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A3591">
      <w:pPr>
        <w:rPr>
          <w:rFonts w:eastAsia="仿宋_GB2312"/>
          <w:color w:val="auto"/>
          <w:sz w:val="36"/>
          <w:szCs w:val="36"/>
        </w:rPr>
      </w:pPr>
    </w:p>
    <w:p w14:paraId="0E2581C4">
      <w:pPr>
        <w:adjustRightInd w:val="0"/>
        <w:snapToGrid w:val="0"/>
        <w:jc w:val="center"/>
        <w:outlineLvl w:val="0"/>
        <w:rPr>
          <w:rFonts w:eastAsia="方正小标宋_GBK"/>
          <w:bCs/>
          <w:color w:val="auto"/>
          <w:sz w:val="72"/>
          <w:szCs w:val="72"/>
        </w:rPr>
      </w:pPr>
      <w:r>
        <w:rPr>
          <w:rFonts w:eastAsia="方正小标宋_GBK"/>
          <w:bCs/>
          <w:color w:val="auto"/>
          <w:sz w:val="72"/>
          <w:szCs w:val="72"/>
        </w:rPr>
        <w:t>建设项目环境影响报告表</w:t>
      </w:r>
    </w:p>
    <w:p w14:paraId="30FB961F">
      <w:pPr>
        <w:adjustRightInd w:val="0"/>
        <w:snapToGrid w:val="0"/>
        <w:spacing w:before="192" w:beforeLines="80"/>
        <w:jc w:val="center"/>
        <w:rPr>
          <w:rFonts w:eastAsia="楷体_GB2312"/>
          <w:bCs/>
          <w:color w:val="auto"/>
          <w:sz w:val="48"/>
          <w:szCs w:val="48"/>
        </w:rPr>
      </w:pPr>
      <w:r>
        <w:rPr>
          <w:rFonts w:eastAsia="楷体_GB2312"/>
          <w:bCs/>
          <w:color w:val="auto"/>
          <w:sz w:val="48"/>
          <w:szCs w:val="48"/>
        </w:rPr>
        <w:t>（污染影响类）</w:t>
      </w:r>
    </w:p>
    <w:p w14:paraId="65F02CBD">
      <w:pPr>
        <w:ind w:firstLine="1040"/>
        <w:rPr>
          <w:rFonts w:eastAsia="仿宋"/>
          <w:color w:val="auto"/>
          <w:sz w:val="44"/>
          <w:szCs w:val="44"/>
        </w:rPr>
      </w:pPr>
    </w:p>
    <w:p w14:paraId="687528B7">
      <w:pPr>
        <w:adjustRightInd w:val="0"/>
        <w:snapToGrid w:val="0"/>
        <w:spacing w:line="288" w:lineRule="auto"/>
        <w:ind w:firstLine="1040"/>
        <w:rPr>
          <w:rFonts w:eastAsia="仿宋_GB2312"/>
          <w:color w:val="auto"/>
          <w:sz w:val="36"/>
          <w:szCs w:val="36"/>
          <w:u w:val="single"/>
        </w:rPr>
      </w:pPr>
    </w:p>
    <w:p w14:paraId="5598E1B1">
      <w:pPr>
        <w:adjustRightInd w:val="0"/>
        <w:snapToGrid w:val="0"/>
        <w:spacing w:line="288" w:lineRule="auto"/>
        <w:ind w:firstLine="1040"/>
        <w:rPr>
          <w:rFonts w:eastAsia="仿宋_GB2312"/>
          <w:color w:val="auto"/>
          <w:sz w:val="36"/>
          <w:szCs w:val="36"/>
        </w:rPr>
      </w:pPr>
    </w:p>
    <w:p w14:paraId="3143408A">
      <w:pPr>
        <w:adjustRightInd w:val="0"/>
        <w:snapToGrid w:val="0"/>
        <w:spacing w:line="288" w:lineRule="auto"/>
        <w:ind w:firstLine="1040"/>
        <w:rPr>
          <w:rFonts w:eastAsia="仿宋_GB2312"/>
          <w:color w:val="auto"/>
          <w:sz w:val="36"/>
          <w:szCs w:val="36"/>
        </w:rPr>
      </w:pPr>
    </w:p>
    <w:p w14:paraId="77305578">
      <w:pPr>
        <w:rPr>
          <w:rFonts w:eastAsia="仿宋"/>
          <w:color w:val="auto"/>
          <w:sz w:val="44"/>
          <w:szCs w:val="44"/>
        </w:rPr>
      </w:pPr>
    </w:p>
    <w:p w14:paraId="469540BF">
      <w:pPr>
        <w:adjustRightInd w:val="0"/>
        <w:snapToGrid w:val="0"/>
        <w:spacing w:line="288" w:lineRule="auto"/>
        <w:ind w:left="2974" w:leftChars="414" w:hanging="1980" w:hangingChars="550"/>
        <w:rPr>
          <w:rFonts w:eastAsia="仿宋_GB2312"/>
          <w:color w:val="auto"/>
          <w:sz w:val="36"/>
          <w:szCs w:val="36"/>
          <w:u w:val="single"/>
        </w:rPr>
      </w:pPr>
      <w:r>
        <w:rPr>
          <w:rFonts w:eastAsia="仿宋_GB2312"/>
          <w:color w:val="auto"/>
          <w:sz w:val="36"/>
          <w:szCs w:val="36"/>
        </w:rPr>
        <w:t>项目名称：</w:t>
      </w:r>
      <w:bookmarkStart w:id="0" w:name="_Hlk99009549"/>
      <w:r>
        <w:rPr>
          <w:rFonts w:hint="eastAsia" w:eastAsia="仿宋_GB2312"/>
          <w:color w:val="auto"/>
          <w:sz w:val="36"/>
          <w:szCs w:val="36"/>
          <w:u w:val="single"/>
        </w:rPr>
        <w:t>鄂尔多斯蒙苏经济开发区零碳产业园</w:t>
      </w:r>
    </w:p>
    <w:p w14:paraId="773E1FBF">
      <w:pPr>
        <w:adjustRightInd w:val="0"/>
        <w:snapToGrid w:val="0"/>
        <w:spacing w:line="288" w:lineRule="auto"/>
        <w:ind w:left="2971" w:leftChars="1163" w:hanging="180" w:hangingChars="50"/>
        <w:rPr>
          <w:rFonts w:eastAsia="仿宋_GB2312"/>
          <w:color w:val="auto"/>
          <w:sz w:val="36"/>
          <w:szCs w:val="36"/>
          <w:u w:val="single"/>
        </w:rPr>
      </w:pPr>
      <w:r>
        <w:rPr>
          <w:rFonts w:hint="eastAsia" w:eastAsia="仿宋_GB2312"/>
          <w:color w:val="auto"/>
          <w:sz w:val="36"/>
          <w:szCs w:val="36"/>
          <w:u w:val="single"/>
        </w:rPr>
        <w:t>工业废水处理厂锅炉</w:t>
      </w:r>
      <w:r>
        <w:rPr>
          <w:rFonts w:hint="eastAsia" w:eastAsia="仿宋_GB2312"/>
          <w:color w:val="auto"/>
          <w:sz w:val="36"/>
          <w:szCs w:val="36"/>
          <w:u w:val="single"/>
          <w:lang w:val="en-US" w:eastAsia="zh-CN"/>
        </w:rPr>
        <w:t>变更项目</w:t>
      </w:r>
      <w:r>
        <w:rPr>
          <w:rFonts w:hint="eastAsia" w:eastAsia="仿宋_GB2312"/>
          <w:color w:val="auto"/>
          <w:sz w:val="36"/>
          <w:szCs w:val="36"/>
          <w:u w:val="single"/>
        </w:rPr>
        <w:t xml:space="preserve"> </w:t>
      </w:r>
      <w:bookmarkEnd w:id="0"/>
    </w:p>
    <w:p w14:paraId="3927C880">
      <w:pPr>
        <w:adjustRightInd w:val="0"/>
        <w:snapToGrid w:val="0"/>
        <w:spacing w:line="288" w:lineRule="auto"/>
        <w:ind w:firstLine="1040"/>
        <w:rPr>
          <w:rFonts w:eastAsia="仿宋_GB2312"/>
          <w:color w:val="auto"/>
          <w:sz w:val="36"/>
          <w:szCs w:val="36"/>
          <w:u w:val="single"/>
        </w:rPr>
      </w:pPr>
      <w:r>
        <w:rPr>
          <w:rFonts w:eastAsia="仿宋_GB2312"/>
          <w:color w:val="auto"/>
          <w:sz w:val="36"/>
          <w:szCs w:val="36"/>
        </w:rPr>
        <w:t>建设单位（盖章）：</w:t>
      </w:r>
      <w:r>
        <w:rPr>
          <w:rFonts w:hint="eastAsia" w:eastAsia="仿宋_GB2312"/>
          <w:color w:val="auto"/>
          <w:sz w:val="36"/>
          <w:szCs w:val="36"/>
          <w:u w:val="single"/>
        </w:rPr>
        <w:t>伊金霍洛旗澎源供水有限</w:t>
      </w:r>
    </w:p>
    <w:p w14:paraId="020C470D">
      <w:pPr>
        <w:adjustRightInd w:val="0"/>
        <w:snapToGrid w:val="0"/>
        <w:spacing w:line="288" w:lineRule="auto"/>
        <w:ind w:firstLine="4071" w:firstLineChars="1131"/>
        <w:rPr>
          <w:rFonts w:eastAsia="仿宋_GB2312"/>
          <w:color w:val="auto"/>
          <w:sz w:val="36"/>
          <w:szCs w:val="36"/>
          <w:u w:val="single"/>
        </w:rPr>
      </w:pPr>
      <w:r>
        <w:rPr>
          <w:rFonts w:hint="eastAsia" w:eastAsia="仿宋_GB2312"/>
          <w:color w:val="auto"/>
          <w:sz w:val="36"/>
          <w:szCs w:val="36"/>
          <w:u w:val="single"/>
        </w:rPr>
        <w:t>责任公司</w:t>
      </w:r>
    </w:p>
    <w:p w14:paraId="1DCCF082">
      <w:pPr>
        <w:adjustRightInd w:val="0"/>
        <w:snapToGrid w:val="0"/>
        <w:spacing w:line="288" w:lineRule="auto"/>
        <w:ind w:firstLine="1040"/>
        <w:rPr>
          <w:rFonts w:eastAsia="仿宋_GB2312"/>
          <w:color w:val="auto"/>
          <w:sz w:val="36"/>
          <w:szCs w:val="36"/>
          <w:u w:val="single"/>
        </w:rPr>
      </w:pPr>
      <w:r>
        <w:rPr>
          <w:rFonts w:eastAsia="仿宋_GB2312"/>
          <w:color w:val="auto"/>
          <w:sz w:val="36"/>
          <w:szCs w:val="36"/>
        </w:rPr>
        <w:t>编制日期：</w:t>
      </w:r>
      <w:r>
        <w:rPr>
          <w:rFonts w:eastAsia="仿宋_GB2312"/>
          <w:color w:val="auto"/>
          <w:sz w:val="36"/>
          <w:szCs w:val="36"/>
          <w:u w:val="single"/>
        </w:rPr>
        <w:t xml:space="preserve">   202</w:t>
      </w:r>
      <w:r>
        <w:rPr>
          <w:rFonts w:hint="eastAsia" w:eastAsia="仿宋_GB2312"/>
          <w:color w:val="auto"/>
          <w:sz w:val="36"/>
          <w:szCs w:val="36"/>
          <w:u w:val="single"/>
          <w:lang w:val="en-US" w:eastAsia="zh-CN"/>
        </w:rPr>
        <w:t>5</w:t>
      </w:r>
      <w:r>
        <w:rPr>
          <w:rFonts w:eastAsia="仿宋_GB2312"/>
          <w:color w:val="auto"/>
          <w:sz w:val="36"/>
          <w:szCs w:val="36"/>
          <w:u w:val="single"/>
        </w:rPr>
        <w:t>年</w:t>
      </w:r>
      <w:r>
        <w:rPr>
          <w:rFonts w:hint="eastAsia" w:eastAsia="仿宋_GB2312"/>
          <w:color w:val="auto"/>
          <w:sz w:val="36"/>
          <w:szCs w:val="36"/>
          <w:u w:val="single"/>
          <w:lang w:val="en-US" w:eastAsia="zh-CN"/>
        </w:rPr>
        <w:t>5</w:t>
      </w:r>
      <w:r>
        <w:rPr>
          <w:rFonts w:eastAsia="仿宋_GB2312"/>
          <w:color w:val="auto"/>
          <w:sz w:val="36"/>
          <w:szCs w:val="36"/>
          <w:u w:val="single"/>
        </w:rPr>
        <w:t xml:space="preserve">月                   </w:t>
      </w:r>
    </w:p>
    <w:p w14:paraId="6B32B501">
      <w:pPr>
        <w:adjustRightInd w:val="0"/>
        <w:snapToGrid w:val="0"/>
        <w:spacing w:line="288" w:lineRule="auto"/>
        <w:ind w:firstLine="1040"/>
        <w:rPr>
          <w:rFonts w:eastAsia="仿宋_GB2312"/>
          <w:color w:val="auto"/>
          <w:sz w:val="36"/>
          <w:szCs w:val="36"/>
        </w:rPr>
      </w:pPr>
      <w:bookmarkStart w:id="1" w:name="_Hlk57884087"/>
    </w:p>
    <w:p w14:paraId="4482624A">
      <w:pPr>
        <w:adjustRightInd w:val="0"/>
        <w:snapToGrid w:val="0"/>
        <w:spacing w:line="288" w:lineRule="auto"/>
        <w:ind w:firstLine="1040"/>
        <w:rPr>
          <w:rFonts w:eastAsia="仿宋_GB2312"/>
          <w:color w:val="auto"/>
          <w:sz w:val="36"/>
          <w:szCs w:val="36"/>
        </w:rPr>
      </w:pPr>
    </w:p>
    <w:p w14:paraId="5D4E33AC">
      <w:pPr>
        <w:pStyle w:val="23"/>
        <w:rPr>
          <w:rFonts w:eastAsia="仿宋_GB2312"/>
          <w:color w:val="auto"/>
          <w:sz w:val="36"/>
          <w:szCs w:val="36"/>
        </w:rPr>
      </w:pPr>
    </w:p>
    <w:p w14:paraId="3F239AB5">
      <w:pPr>
        <w:pStyle w:val="23"/>
        <w:rPr>
          <w:rFonts w:eastAsia="仿宋_GB2312"/>
          <w:color w:val="auto"/>
          <w:sz w:val="36"/>
          <w:szCs w:val="36"/>
        </w:rPr>
      </w:pPr>
    </w:p>
    <w:p w14:paraId="13ACD747">
      <w:pPr>
        <w:adjustRightInd w:val="0"/>
        <w:snapToGrid w:val="0"/>
        <w:spacing w:line="288" w:lineRule="auto"/>
        <w:ind w:firstLine="1040"/>
        <w:rPr>
          <w:rFonts w:eastAsia="仿宋_GB2312"/>
          <w:color w:val="auto"/>
          <w:sz w:val="36"/>
          <w:szCs w:val="36"/>
        </w:rPr>
      </w:pPr>
    </w:p>
    <w:p w14:paraId="4544BBF0">
      <w:pPr>
        <w:adjustRightInd w:val="0"/>
        <w:snapToGrid w:val="0"/>
        <w:spacing w:line="288" w:lineRule="auto"/>
        <w:ind w:firstLine="1040"/>
        <w:rPr>
          <w:rFonts w:eastAsia="仿宋_GB2312"/>
          <w:color w:val="auto"/>
          <w:sz w:val="36"/>
          <w:szCs w:val="36"/>
        </w:rPr>
      </w:pPr>
    </w:p>
    <w:bookmarkEnd w:id="1"/>
    <w:p w14:paraId="1577AD61">
      <w:pPr>
        <w:adjustRightInd w:val="0"/>
        <w:snapToGrid w:val="0"/>
        <w:spacing w:line="288" w:lineRule="auto"/>
        <w:jc w:val="center"/>
        <w:rPr>
          <w:rFonts w:eastAsia="楷体_GB2312"/>
          <w:color w:val="auto"/>
          <w:sz w:val="36"/>
          <w:szCs w:val="36"/>
        </w:rPr>
      </w:pPr>
      <w:r>
        <w:rPr>
          <w:rFonts w:eastAsia="楷体_GB2312"/>
          <w:color w:val="auto"/>
          <w:sz w:val="36"/>
          <w:szCs w:val="36"/>
        </w:rPr>
        <w:t>中华人民共和国生态环境部制</w:t>
      </w:r>
    </w:p>
    <w:p w14:paraId="6143BAA7">
      <w:pPr>
        <w:adjustRightInd w:val="0"/>
        <w:snapToGrid w:val="0"/>
        <w:spacing w:line="288" w:lineRule="auto"/>
        <w:ind w:firstLine="1040"/>
        <w:rPr>
          <w:rFonts w:eastAsia="仿宋_GB2312"/>
          <w:color w:val="auto"/>
          <w:sz w:val="36"/>
          <w:szCs w:val="36"/>
        </w:rPr>
        <w:sectPr>
          <w:headerReference r:id="rId5" w:type="default"/>
          <w:footerReference r:id="rId7" w:type="default"/>
          <w:headerReference r:id="rId6" w:type="even"/>
          <w:footerReference r:id="rId8" w:type="even"/>
          <w:pgSz w:w="11906" w:h="16838"/>
          <w:pgMar w:top="1701" w:right="1531" w:bottom="1701" w:left="1531" w:header="851" w:footer="1077" w:gutter="0"/>
          <w:pgNumType w:start="0"/>
          <w:cols w:space="720" w:num="1"/>
          <w:docGrid w:linePitch="312" w:charSpace="0"/>
        </w:sectPr>
      </w:pPr>
    </w:p>
    <w:p w14:paraId="245B505C">
      <w:pPr>
        <w:pStyle w:val="15"/>
        <w:numPr>
          <w:ilvl w:val="0"/>
          <w:numId w:val="1"/>
        </w:numPr>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建设项目基本情况</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40"/>
        <w:gridCol w:w="1879"/>
        <w:gridCol w:w="2212"/>
        <w:gridCol w:w="2639"/>
      </w:tblGrid>
      <w:tr w14:paraId="64A5F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77E3A5B6">
            <w:pPr>
              <w:adjustRightInd w:val="0"/>
              <w:snapToGrid w:val="0"/>
              <w:spacing w:line="240" w:lineRule="auto"/>
              <w:jc w:val="center"/>
              <w:rPr>
                <w:color w:val="auto"/>
              </w:rPr>
            </w:pPr>
            <w:r>
              <w:rPr>
                <w:color w:val="auto"/>
              </w:rPr>
              <w:t>建设项目名称</w:t>
            </w:r>
          </w:p>
        </w:tc>
        <w:tc>
          <w:tcPr>
            <w:tcW w:w="6730" w:type="dxa"/>
            <w:gridSpan w:val="3"/>
            <w:vAlign w:val="center"/>
          </w:tcPr>
          <w:p w14:paraId="1EA707F1">
            <w:pPr>
              <w:adjustRightInd w:val="0"/>
              <w:snapToGrid w:val="0"/>
              <w:spacing w:line="240" w:lineRule="auto"/>
              <w:jc w:val="center"/>
              <w:rPr>
                <w:rFonts w:hint="eastAsia" w:eastAsia="宋体"/>
                <w:color w:val="auto"/>
                <w:lang w:eastAsia="zh-CN"/>
              </w:rPr>
            </w:pPr>
            <w:r>
              <w:rPr>
                <w:rFonts w:hint="eastAsia"/>
                <w:color w:val="auto"/>
              </w:rPr>
              <w:t>鄂尔多斯蒙苏经济开发区零碳产业园工业废水处理厂锅炉</w:t>
            </w:r>
            <w:r>
              <w:rPr>
                <w:rFonts w:hint="eastAsia"/>
                <w:color w:val="auto"/>
                <w:lang w:val="en-US" w:eastAsia="zh-CN"/>
              </w:rPr>
              <w:t>变更项目</w:t>
            </w:r>
          </w:p>
        </w:tc>
      </w:tr>
      <w:tr w14:paraId="3F502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32969EA2">
            <w:pPr>
              <w:adjustRightInd w:val="0"/>
              <w:snapToGrid w:val="0"/>
              <w:spacing w:line="240" w:lineRule="auto"/>
              <w:jc w:val="center"/>
              <w:rPr>
                <w:color w:val="auto"/>
              </w:rPr>
            </w:pPr>
            <w:r>
              <w:rPr>
                <w:color w:val="auto"/>
              </w:rPr>
              <w:t>项目代码</w:t>
            </w:r>
          </w:p>
        </w:tc>
        <w:tc>
          <w:tcPr>
            <w:tcW w:w="6730" w:type="dxa"/>
            <w:gridSpan w:val="3"/>
            <w:vAlign w:val="center"/>
          </w:tcPr>
          <w:p w14:paraId="66C78A84">
            <w:pPr>
              <w:adjustRightInd w:val="0"/>
              <w:snapToGrid w:val="0"/>
              <w:spacing w:line="240" w:lineRule="auto"/>
              <w:jc w:val="center"/>
              <w:rPr>
                <w:color w:val="auto"/>
              </w:rPr>
            </w:pPr>
            <w:r>
              <w:rPr>
                <w:rFonts w:hint="eastAsia"/>
                <w:color w:val="auto"/>
              </w:rPr>
              <w:t>/</w:t>
            </w:r>
          </w:p>
        </w:tc>
      </w:tr>
      <w:tr w14:paraId="5ECB4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7680F31C">
            <w:pPr>
              <w:adjustRightInd w:val="0"/>
              <w:snapToGrid w:val="0"/>
              <w:spacing w:line="240" w:lineRule="auto"/>
              <w:jc w:val="center"/>
              <w:rPr>
                <w:color w:val="auto"/>
              </w:rPr>
            </w:pPr>
            <w:r>
              <w:rPr>
                <w:color w:val="auto"/>
              </w:rPr>
              <w:t>建设单位联系人</w:t>
            </w:r>
          </w:p>
        </w:tc>
        <w:tc>
          <w:tcPr>
            <w:tcW w:w="1879" w:type="dxa"/>
            <w:vAlign w:val="center"/>
          </w:tcPr>
          <w:p w14:paraId="048A1D71">
            <w:pPr>
              <w:adjustRightInd w:val="0"/>
              <w:snapToGrid w:val="0"/>
              <w:spacing w:line="240" w:lineRule="auto"/>
              <w:jc w:val="center"/>
              <w:rPr>
                <w:color w:val="auto"/>
              </w:rPr>
            </w:pPr>
            <w:r>
              <w:rPr>
                <w:rFonts w:hint="eastAsia"/>
                <w:color w:val="auto"/>
              </w:rPr>
              <w:t>王艳龙</w:t>
            </w:r>
          </w:p>
        </w:tc>
        <w:tc>
          <w:tcPr>
            <w:tcW w:w="2212" w:type="dxa"/>
            <w:vAlign w:val="center"/>
          </w:tcPr>
          <w:p w14:paraId="573B140A">
            <w:pPr>
              <w:adjustRightInd w:val="0"/>
              <w:snapToGrid w:val="0"/>
              <w:spacing w:line="240" w:lineRule="auto"/>
              <w:jc w:val="center"/>
              <w:rPr>
                <w:color w:val="auto"/>
              </w:rPr>
            </w:pPr>
            <w:r>
              <w:rPr>
                <w:color w:val="auto"/>
              </w:rPr>
              <w:t>联系方式</w:t>
            </w:r>
          </w:p>
        </w:tc>
        <w:tc>
          <w:tcPr>
            <w:tcW w:w="2639" w:type="dxa"/>
            <w:vAlign w:val="center"/>
          </w:tcPr>
          <w:p w14:paraId="7A5D60F2">
            <w:pPr>
              <w:adjustRightInd w:val="0"/>
              <w:snapToGrid w:val="0"/>
              <w:spacing w:line="240" w:lineRule="auto"/>
              <w:jc w:val="center"/>
              <w:rPr>
                <w:color w:val="auto"/>
              </w:rPr>
            </w:pPr>
            <w:r>
              <w:rPr>
                <w:rFonts w:hint="eastAsia"/>
                <w:color w:val="auto"/>
              </w:rPr>
              <w:t>15947657872</w:t>
            </w:r>
          </w:p>
        </w:tc>
      </w:tr>
      <w:tr w14:paraId="32B30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0EB730F1">
            <w:pPr>
              <w:adjustRightInd w:val="0"/>
              <w:snapToGrid w:val="0"/>
              <w:spacing w:line="240" w:lineRule="auto"/>
              <w:jc w:val="center"/>
              <w:rPr>
                <w:color w:val="auto"/>
              </w:rPr>
            </w:pPr>
            <w:r>
              <w:rPr>
                <w:color w:val="auto"/>
              </w:rPr>
              <w:t>建设地点</w:t>
            </w:r>
          </w:p>
        </w:tc>
        <w:tc>
          <w:tcPr>
            <w:tcW w:w="6730" w:type="dxa"/>
            <w:gridSpan w:val="3"/>
            <w:vAlign w:val="center"/>
          </w:tcPr>
          <w:p w14:paraId="7EEAA0A2">
            <w:pPr>
              <w:adjustRightInd w:val="0"/>
              <w:snapToGrid w:val="0"/>
              <w:spacing w:line="240" w:lineRule="auto"/>
              <w:jc w:val="center"/>
              <w:rPr>
                <w:color w:val="auto"/>
              </w:rPr>
            </w:pPr>
            <w:r>
              <w:rPr>
                <w:color w:val="auto"/>
              </w:rPr>
              <w:t>内蒙古自治区鄂尔多斯市蒙苏经济开发区零碳产业园工业废水处理厂</w:t>
            </w:r>
            <w:r>
              <w:rPr>
                <w:rFonts w:hint="eastAsia"/>
                <w:color w:val="auto"/>
              </w:rPr>
              <w:t>厂区内</w:t>
            </w:r>
          </w:p>
        </w:tc>
      </w:tr>
      <w:tr w14:paraId="5475AF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6B6BE553">
            <w:pPr>
              <w:adjustRightInd w:val="0"/>
              <w:snapToGrid w:val="0"/>
              <w:spacing w:line="240" w:lineRule="auto"/>
              <w:jc w:val="center"/>
              <w:rPr>
                <w:color w:val="auto"/>
              </w:rPr>
            </w:pPr>
            <w:r>
              <w:rPr>
                <w:color w:val="auto"/>
              </w:rPr>
              <w:t>地理坐标</w:t>
            </w:r>
          </w:p>
        </w:tc>
        <w:tc>
          <w:tcPr>
            <w:tcW w:w="6730" w:type="dxa"/>
            <w:gridSpan w:val="3"/>
            <w:vAlign w:val="center"/>
          </w:tcPr>
          <w:p w14:paraId="1501FCFD">
            <w:pPr>
              <w:spacing w:line="240" w:lineRule="auto"/>
              <w:jc w:val="center"/>
              <w:rPr>
                <w:color w:val="auto"/>
              </w:rPr>
            </w:pPr>
            <w:r>
              <w:rPr>
                <w:color w:val="auto"/>
              </w:rPr>
              <w:t>（</w:t>
            </w:r>
            <w:r>
              <w:rPr>
                <w:color w:val="auto"/>
                <w:u w:val="single"/>
              </w:rPr>
              <w:t xml:space="preserve"> 1</w:t>
            </w:r>
            <w:r>
              <w:rPr>
                <w:rFonts w:hint="eastAsia"/>
                <w:color w:val="auto"/>
                <w:u w:val="single"/>
              </w:rPr>
              <w:t>09</w:t>
            </w:r>
            <w:r>
              <w:rPr>
                <w:color w:val="auto"/>
              </w:rPr>
              <w:t>度</w:t>
            </w:r>
            <w:r>
              <w:rPr>
                <w:color w:val="auto"/>
                <w:u w:val="single"/>
              </w:rPr>
              <w:t xml:space="preserve"> </w:t>
            </w:r>
            <w:r>
              <w:rPr>
                <w:rFonts w:hint="eastAsia"/>
                <w:color w:val="auto"/>
                <w:u w:val="single"/>
              </w:rPr>
              <w:t>30</w:t>
            </w:r>
            <w:r>
              <w:rPr>
                <w:color w:val="auto"/>
                <w:u w:val="single"/>
              </w:rPr>
              <w:t xml:space="preserve"> </w:t>
            </w:r>
            <w:r>
              <w:rPr>
                <w:color w:val="auto"/>
              </w:rPr>
              <w:t>分</w:t>
            </w:r>
            <w:r>
              <w:rPr>
                <w:color w:val="auto"/>
                <w:u w:val="single"/>
              </w:rPr>
              <w:t xml:space="preserve"> </w:t>
            </w:r>
            <w:r>
              <w:rPr>
                <w:rFonts w:hint="eastAsia"/>
                <w:color w:val="auto"/>
                <w:u w:val="single"/>
              </w:rPr>
              <w:t>39.484</w:t>
            </w:r>
            <w:r>
              <w:rPr>
                <w:color w:val="auto"/>
                <w:u w:val="single"/>
              </w:rPr>
              <w:t xml:space="preserve"> </w:t>
            </w:r>
            <w:r>
              <w:rPr>
                <w:color w:val="auto"/>
              </w:rPr>
              <w:t>秒，</w:t>
            </w:r>
            <w:r>
              <w:rPr>
                <w:color w:val="auto"/>
                <w:u w:val="single"/>
              </w:rPr>
              <w:t xml:space="preserve"> </w:t>
            </w:r>
            <w:r>
              <w:rPr>
                <w:rFonts w:hint="eastAsia"/>
                <w:color w:val="auto"/>
                <w:u w:val="single"/>
              </w:rPr>
              <w:t>39</w:t>
            </w:r>
            <w:r>
              <w:rPr>
                <w:color w:val="auto"/>
                <w:u w:val="single"/>
              </w:rPr>
              <w:t xml:space="preserve"> </w:t>
            </w:r>
            <w:r>
              <w:rPr>
                <w:color w:val="auto"/>
              </w:rPr>
              <w:t>度</w:t>
            </w:r>
            <w:r>
              <w:rPr>
                <w:color w:val="auto"/>
                <w:u w:val="single"/>
              </w:rPr>
              <w:t xml:space="preserve"> </w:t>
            </w:r>
            <w:r>
              <w:rPr>
                <w:rFonts w:hint="eastAsia"/>
                <w:color w:val="auto"/>
                <w:u w:val="single"/>
              </w:rPr>
              <w:t>34</w:t>
            </w:r>
            <w:r>
              <w:rPr>
                <w:color w:val="auto"/>
                <w:u w:val="single"/>
              </w:rPr>
              <w:t xml:space="preserve"> </w:t>
            </w:r>
            <w:r>
              <w:rPr>
                <w:color w:val="auto"/>
              </w:rPr>
              <w:t>分</w:t>
            </w:r>
            <w:r>
              <w:rPr>
                <w:rFonts w:hint="eastAsia"/>
                <w:color w:val="auto"/>
              </w:rPr>
              <w:t>45.473</w:t>
            </w:r>
            <w:r>
              <w:rPr>
                <w:color w:val="auto"/>
                <w:u w:val="single"/>
              </w:rPr>
              <w:t xml:space="preserve"> </w:t>
            </w:r>
            <w:r>
              <w:rPr>
                <w:color w:val="auto"/>
              </w:rPr>
              <w:t>秒）</w:t>
            </w:r>
          </w:p>
        </w:tc>
      </w:tr>
      <w:tr w14:paraId="05634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40" w:type="dxa"/>
            <w:tcMar>
              <w:top w:w="16" w:type="dxa"/>
              <w:left w:w="16" w:type="dxa"/>
              <w:right w:w="16" w:type="dxa"/>
            </w:tcMar>
            <w:vAlign w:val="center"/>
          </w:tcPr>
          <w:p w14:paraId="7411D359">
            <w:pPr>
              <w:adjustRightInd w:val="0"/>
              <w:snapToGrid w:val="0"/>
              <w:spacing w:line="240" w:lineRule="auto"/>
              <w:jc w:val="center"/>
              <w:rPr>
                <w:color w:val="auto"/>
              </w:rPr>
            </w:pPr>
            <w:r>
              <w:rPr>
                <w:color w:val="auto"/>
              </w:rPr>
              <w:t>国民经济</w:t>
            </w:r>
          </w:p>
          <w:p w14:paraId="4E72588C">
            <w:pPr>
              <w:adjustRightInd w:val="0"/>
              <w:snapToGrid w:val="0"/>
              <w:spacing w:line="240" w:lineRule="auto"/>
              <w:jc w:val="center"/>
              <w:rPr>
                <w:color w:val="auto"/>
              </w:rPr>
            </w:pPr>
            <w:r>
              <w:rPr>
                <w:color w:val="auto"/>
              </w:rPr>
              <w:t>行业类别</w:t>
            </w:r>
          </w:p>
        </w:tc>
        <w:tc>
          <w:tcPr>
            <w:tcW w:w="1879" w:type="dxa"/>
            <w:vAlign w:val="center"/>
          </w:tcPr>
          <w:p w14:paraId="29EC4B54">
            <w:pPr>
              <w:adjustRightInd w:val="0"/>
              <w:snapToGrid w:val="0"/>
              <w:spacing w:line="240" w:lineRule="auto"/>
              <w:jc w:val="center"/>
              <w:rPr>
                <w:color w:val="auto"/>
              </w:rPr>
            </w:pPr>
            <w:r>
              <w:rPr>
                <w:color w:val="auto"/>
              </w:rPr>
              <w:t>D 4</w:t>
            </w:r>
            <w:r>
              <w:rPr>
                <w:rFonts w:hint="eastAsia"/>
                <w:color w:val="auto"/>
              </w:rPr>
              <w:t>430</w:t>
            </w:r>
          </w:p>
          <w:p w14:paraId="36DDBCD5">
            <w:pPr>
              <w:adjustRightInd w:val="0"/>
              <w:snapToGrid w:val="0"/>
              <w:spacing w:line="240" w:lineRule="auto"/>
              <w:jc w:val="center"/>
              <w:rPr>
                <w:color w:val="auto"/>
              </w:rPr>
            </w:pPr>
            <w:r>
              <w:rPr>
                <w:rFonts w:hint="eastAsia"/>
                <w:color w:val="auto"/>
              </w:rPr>
              <w:t>热力生产和供应</w:t>
            </w:r>
          </w:p>
        </w:tc>
        <w:tc>
          <w:tcPr>
            <w:tcW w:w="2212" w:type="dxa"/>
            <w:vAlign w:val="center"/>
          </w:tcPr>
          <w:p w14:paraId="7587B7FA">
            <w:pPr>
              <w:adjustRightInd w:val="0"/>
              <w:snapToGrid w:val="0"/>
              <w:spacing w:line="240" w:lineRule="auto"/>
              <w:jc w:val="center"/>
              <w:rPr>
                <w:color w:val="auto"/>
              </w:rPr>
            </w:pPr>
            <w:bookmarkStart w:id="2" w:name="_Hlk49843745"/>
            <w:r>
              <w:rPr>
                <w:color w:val="auto"/>
              </w:rPr>
              <w:t>建设项目</w:t>
            </w:r>
          </w:p>
          <w:p w14:paraId="23BF15BB">
            <w:pPr>
              <w:adjustRightInd w:val="0"/>
              <w:snapToGrid w:val="0"/>
              <w:spacing w:line="240" w:lineRule="auto"/>
              <w:jc w:val="center"/>
              <w:rPr>
                <w:color w:val="auto"/>
              </w:rPr>
            </w:pPr>
            <w:r>
              <w:rPr>
                <w:color w:val="auto"/>
              </w:rPr>
              <w:t>行业类别</w:t>
            </w:r>
            <w:bookmarkEnd w:id="2"/>
          </w:p>
        </w:tc>
        <w:tc>
          <w:tcPr>
            <w:tcW w:w="2639" w:type="dxa"/>
            <w:vAlign w:val="center"/>
          </w:tcPr>
          <w:p w14:paraId="219CBD55">
            <w:pPr>
              <w:adjustRightInd w:val="0"/>
              <w:snapToGrid w:val="0"/>
              <w:spacing w:line="240" w:lineRule="auto"/>
              <w:rPr>
                <w:color w:val="auto"/>
              </w:rPr>
            </w:pPr>
            <w:r>
              <w:rPr>
                <w:rFonts w:hint="eastAsia"/>
                <w:color w:val="auto"/>
              </w:rPr>
              <w:t>四十一</w:t>
            </w:r>
            <w:r>
              <w:rPr>
                <w:color w:val="auto"/>
              </w:rPr>
              <w:t>、</w:t>
            </w:r>
            <w:r>
              <w:rPr>
                <w:rFonts w:hint="eastAsia"/>
                <w:color w:val="auto"/>
              </w:rPr>
              <w:t>电力、热力生产和供应业</w:t>
            </w:r>
            <w:r>
              <w:rPr>
                <w:color w:val="auto"/>
              </w:rPr>
              <w:t>；9</w:t>
            </w:r>
            <w:r>
              <w:rPr>
                <w:rFonts w:hint="eastAsia"/>
                <w:color w:val="auto"/>
              </w:rPr>
              <w:t>1</w:t>
            </w:r>
            <w:r>
              <w:rPr>
                <w:color w:val="auto"/>
              </w:rPr>
              <w:t xml:space="preserve"> </w:t>
            </w:r>
            <w:r>
              <w:rPr>
                <w:rFonts w:hint="eastAsia"/>
                <w:color w:val="auto"/>
              </w:rPr>
              <w:t xml:space="preserve">热力生产和供应工程（包括建设单位自建自用的供应工程） </w:t>
            </w:r>
          </w:p>
        </w:tc>
      </w:tr>
      <w:tr w14:paraId="28873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40" w:type="dxa"/>
            <w:tcMar>
              <w:top w:w="16" w:type="dxa"/>
              <w:left w:w="16" w:type="dxa"/>
              <w:right w:w="16" w:type="dxa"/>
            </w:tcMar>
            <w:vAlign w:val="center"/>
          </w:tcPr>
          <w:p w14:paraId="5A4A721D">
            <w:pPr>
              <w:adjustRightInd w:val="0"/>
              <w:snapToGrid w:val="0"/>
              <w:spacing w:line="240" w:lineRule="auto"/>
              <w:jc w:val="center"/>
              <w:rPr>
                <w:color w:val="auto"/>
              </w:rPr>
            </w:pPr>
            <w:r>
              <w:rPr>
                <w:rFonts w:hint="eastAsia"/>
                <w:color w:val="auto"/>
              </w:rPr>
              <w:t>建设性质</w:t>
            </w:r>
          </w:p>
        </w:tc>
        <w:tc>
          <w:tcPr>
            <w:tcW w:w="1879" w:type="dxa"/>
            <w:vAlign w:val="center"/>
          </w:tcPr>
          <w:p w14:paraId="5F2FC51B">
            <w:pPr>
              <w:spacing w:line="240" w:lineRule="auto"/>
              <w:jc w:val="left"/>
              <w:rPr>
                <w:color w:val="auto"/>
              </w:rPr>
            </w:pPr>
            <w:r>
              <w:rPr>
                <w:color w:val="auto"/>
              </w:rPr>
              <w:sym w:font="Wingdings 2" w:char="0052"/>
            </w:r>
            <w:r>
              <w:rPr>
                <w:rFonts w:hint="eastAsia"/>
                <w:color w:val="auto"/>
              </w:rPr>
              <w:t>新建（迁建）</w:t>
            </w:r>
          </w:p>
          <w:p w14:paraId="3D11AE49">
            <w:pPr>
              <w:spacing w:line="240" w:lineRule="auto"/>
              <w:jc w:val="left"/>
              <w:rPr>
                <w:color w:val="auto"/>
              </w:rPr>
            </w:pPr>
            <w:r>
              <w:rPr>
                <w:color w:val="auto"/>
              </w:rPr>
              <w:sym w:font="Wingdings 2" w:char="00A3"/>
            </w:r>
            <w:r>
              <w:rPr>
                <w:rFonts w:hint="eastAsia"/>
                <w:color w:val="auto"/>
              </w:rPr>
              <w:t>改建</w:t>
            </w:r>
          </w:p>
          <w:p w14:paraId="5D7E71EC">
            <w:pPr>
              <w:spacing w:line="240" w:lineRule="auto"/>
              <w:jc w:val="left"/>
              <w:rPr>
                <w:color w:val="auto"/>
              </w:rPr>
            </w:pPr>
            <w:r>
              <w:rPr>
                <w:color w:val="auto"/>
              </w:rPr>
              <w:sym w:font="Wingdings 2" w:char="00A3"/>
            </w:r>
            <w:r>
              <w:rPr>
                <w:rFonts w:hint="eastAsia"/>
                <w:color w:val="auto"/>
              </w:rPr>
              <w:t>扩建</w:t>
            </w:r>
          </w:p>
          <w:p w14:paraId="79F9AF66">
            <w:pPr>
              <w:spacing w:line="240" w:lineRule="auto"/>
              <w:jc w:val="left"/>
              <w:rPr>
                <w:color w:val="auto"/>
              </w:rPr>
            </w:pPr>
            <w:r>
              <w:rPr>
                <w:color w:val="auto"/>
              </w:rPr>
              <w:sym w:font="Wingdings 2" w:char="00A3"/>
            </w:r>
            <w:r>
              <w:rPr>
                <w:rFonts w:hint="eastAsia"/>
                <w:color w:val="auto"/>
              </w:rPr>
              <w:t>技术改造</w:t>
            </w:r>
          </w:p>
        </w:tc>
        <w:tc>
          <w:tcPr>
            <w:tcW w:w="2212" w:type="dxa"/>
            <w:vAlign w:val="center"/>
          </w:tcPr>
          <w:p w14:paraId="3FE01A63">
            <w:pPr>
              <w:adjustRightInd w:val="0"/>
              <w:snapToGrid w:val="0"/>
              <w:spacing w:line="240" w:lineRule="auto"/>
              <w:jc w:val="center"/>
              <w:rPr>
                <w:color w:val="auto"/>
              </w:rPr>
            </w:pPr>
            <w:r>
              <w:rPr>
                <w:color w:val="auto"/>
              </w:rPr>
              <w:t>建设项目</w:t>
            </w:r>
          </w:p>
          <w:p w14:paraId="5445429D">
            <w:pPr>
              <w:adjustRightInd w:val="0"/>
              <w:snapToGrid w:val="0"/>
              <w:spacing w:line="240" w:lineRule="auto"/>
              <w:jc w:val="center"/>
              <w:rPr>
                <w:color w:val="auto"/>
              </w:rPr>
            </w:pPr>
            <w:r>
              <w:rPr>
                <w:color w:val="auto"/>
              </w:rPr>
              <w:t>申报情形</w:t>
            </w:r>
          </w:p>
        </w:tc>
        <w:tc>
          <w:tcPr>
            <w:tcW w:w="2639" w:type="dxa"/>
            <w:vAlign w:val="center"/>
          </w:tcPr>
          <w:p w14:paraId="19CC10D3">
            <w:pPr>
              <w:spacing w:line="240" w:lineRule="auto"/>
              <w:jc w:val="left"/>
              <w:rPr>
                <w:color w:val="auto"/>
              </w:rPr>
            </w:pPr>
            <w:r>
              <w:rPr>
                <w:color w:val="auto"/>
              </w:rPr>
              <w:sym w:font="Wingdings 2" w:char="00A3"/>
            </w:r>
            <w:r>
              <w:rPr>
                <w:color w:val="auto"/>
              </w:rPr>
              <w:t xml:space="preserve">首次申报项目             </w:t>
            </w:r>
          </w:p>
          <w:p w14:paraId="7EB757FB">
            <w:pPr>
              <w:spacing w:line="240" w:lineRule="auto"/>
              <w:jc w:val="left"/>
              <w:rPr>
                <w:color w:val="auto"/>
              </w:rPr>
            </w:pPr>
            <w:r>
              <w:rPr>
                <w:color w:val="auto"/>
              </w:rPr>
              <w:sym w:font="Wingdings 2" w:char="00A3"/>
            </w:r>
            <w:r>
              <w:rPr>
                <w:color w:val="auto"/>
              </w:rPr>
              <w:t>不予批准后再次申报项目</w:t>
            </w:r>
          </w:p>
          <w:p w14:paraId="1FA780AF">
            <w:pPr>
              <w:spacing w:line="240" w:lineRule="auto"/>
              <w:jc w:val="left"/>
              <w:rPr>
                <w:color w:val="auto"/>
              </w:rPr>
            </w:pPr>
            <w:r>
              <w:rPr>
                <w:color w:val="auto"/>
              </w:rPr>
              <w:sym w:font="Wingdings 2" w:char="00A3"/>
            </w:r>
            <w:r>
              <w:rPr>
                <w:color w:val="auto"/>
              </w:rPr>
              <w:t xml:space="preserve">超五年重新审核项目     </w:t>
            </w:r>
          </w:p>
          <w:p w14:paraId="14D73EB2">
            <w:pPr>
              <w:spacing w:line="240" w:lineRule="auto"/>
              <w:jc w:val="left"/>
              <w:rPr>
                <w:color w:val="auto"/>
              </w:rPr>
            </w:pPr>
            <w:r>
              <w:rPr>
                <w:color w:val="auto"/>
              </w:rPr>
              <w:sym w:font="Wingdings 2" w:char="0052"/>
            </w:r>
            <w:r>
              <w:rPr>
                <w:color w:val="auto"/>
              </w:rPr>
              <w:t>重大变动重新报批项目</w:t>
            </w:r>
          </w:p>
        </w:tc>
      </w:tr>
      <w:tr w14:paraId="58736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40" w:type="dxa"/>
            <w:tcMar>
              <w:top w:w="16" w:type="dxa"/>
              <w:left w:w="16" w:type="dxa"/>
              <w:right w:w="16" w:type="dxa"/>
            </w:tcMar>
            <w:vAlign w:val="center"/>
          </w:tcPr>
          <w:p w14:paraId="6AA5A8BE">
            <w:pPr>
              <w:adjustRightInd w:val="0"/>
              <w:snapToGrid w:val="0"/>
              <w:spacing w:line="240" w:lineRule="auto"/>
              <w:jc w:val="center"/>
              <w:rPr>
                <w:color w:val="auto"/>
              </w:rPr>
            </w:pPr>
            <w:r>
              <w:rPr>
                <w:color w:val="auto"/>
              </w:rPr>
              <w:t>项目审批（核准/</w:t>
            </w:r>
          </w:p>
          <w:p w14:paraId="51860AA0">
            <w:pPr>
              <w:adjustRightInd w:val="0"/>
              <w:snapToGrid w:val="0"/>
              <w:spacing w:line="240" w:lineRule="auto"/>
              <w:jc w:val="center"/>
              <w:rPr>
                <w:color w:val="auto"/>
              </w:rPr>
            </w:pPr>
            <w:r>
              <w:rPr>
                <w:color w:val="auto"/>
              </w:rPr>
              <w:t>备案）部门（选填）</w:t>
            </w:r>
          </w:p>
        </w:tc>
        <w:tc>
          <w:tcPr>
            <w:tcW w:w="1879" w:type="dxa"/>
            <w:vAlign w:val="center"/>
          </w:tcPr>
          <w:p w14:paraId="294F4CC3">
            <w:pPr>
              <w:adjustRightInd w:val="0"/>
              <w:snapToGrid w:val="0"/>
              <w:spacing w:line="240" w:lineRule="auto"/>
              <w:jc w:val="center"/>
              <w:rPr>
                <w:color w:val="auto"/>
              </w:rPr>
            </w:pPr>
            <w:r>
              <w:rPr>
                <w:rFonts w:hint="eastAsia"/>
                <w:color w:val="auto"/>
              </w:rPr>
              <w:t>/</w:t>
            </w:r>
          </w:p>
        </w:tc>
        <w:tc>
          <w:tcPr>
            <w:tcW w:w="2212" w:type="dxa"/>
            <w:vAlign w:val="center"/>
          </w:tcPr>
          <w:p w14:paraId="1E8C8EA8">
            <w:pPr>
              <w:adjustRightInd w:val="0"/>
              <w:snapToGrid w:val="0"/>
              <w:spacing w:line="240" w:lineRule="auto"/>
              <w:jc w:val="center"/>
              <w:rPr>
                <w:color w:val="auto"/>
              </w:rPr>
            </w:pPr>
            <w:r>
              <w:rPr>
                <w:color w:val="auto"/>
              </w:rPr>
              <w:t>项目审批（核准/</w:t>
            </w:r>
          </w:p>
          <w:p w14:paraId="75AA13D3">
            <w:pPr>
              <w:adjustRightInd w:val="0"/>
              <w:snapToGrid w:val="0"/>
              <w:spacing w:line="240" w:lineRule="auto"/>
              <w:jc w:val="center"/>
              <w:rPr>
                <w:color w:val="auto"/>
              </w:rPr>
            </w:pPr>
            <w:r>
              <w:rPr>
                <w:color w:val="auto"/>
              </w:rPr>
              <w:t>备案）文号（选填）</w:t>
            </w:r>
          </w:p>
        </w:tc>
        <w:tc>
          <w:tcPr>
            <w:tcW w:w="2639" w:type="dxa"/>
            <w:vAlign w:val="center"/>
          </w:tcPr>
          <w:p w14:paraId="58CDA08D">
            <w:pPr>
              <w:adjustRightInd w:val="0"/>
              <w:snapToGrid w:val="0"/>
              <w:spacing w:line="240" w:lineRule="auto"/>
              <w:jc w:val="center"/>
              <w:rPr>
                <w:color w:val="auto"/>
              </w:rPr>
            </w:pPr>
            <w:r>
              <w:rPr>
                <w:rFonts w:hint="eastAsia"/>
                <w:color w:val="auto"/>
              </w:rPr>
              <w:t>/</w:t>
            </w:r>
          </w:p>
        </w:tc>
      </w:tr>
      <w:tr w14:paraId="6AD01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5B9063FA">
            <w:pPr>
              <w:adjustRightInd w:val="0"/>
              <w:snapToGrid w:val="0"/>
              <w:spacing w:line="240" w:lineRule="auto"/>
              <w:jc w:val="center"/>
              <w:rPr>
                <w:color w:val="auto"/>
              </w:rPr>
            </w:pPr>
            <w:r>
              <w:rPr>
                <w:color w:val="auto"/>
              </w:rPr>
              <w:t>总投资（万元）</w:t>
            </w:r>
          </w:p>
        </w:tc>
        <w:tc>
          <w:tcPr>
            <w:tcW w:w="1879" w:type="dxa"/>
            <w:vAlign w:val="center"/>
          </w:tcPr>
          <w:p w14:paraId="1B83A0AA">
            <w:pPr>
              <w:adjustRightInd w:val="0"/>
              <w:snapToGrid w:val="0"/>
              <w:spacing w:line="240" w:lineRule="auto"/>
              <w:jc w:val="center"/>
              <w:rPr>
                <w:color w:val="auto"/>
              </w:rPr>
            </w:pPr>
            <w:r>
              <w:rPr>
                <w:rFonts w:hint="eastAsia"/>
                <w:color w:val="auto"/>
              </w:rPr>
              <w:t>本次</w:t>
            </w:r>
            <w:r>
              <w:rPr>
                <w:rFonts w:hint="eastAsia"/>
                <w:color w:val="auto"/>
                <w:lang w:val="en-US" w:eastAsia="zh-CN"/>
              </w:rPr>
              <w:t>变更</w:t>
            </w:r>
            <w:r>
              <w:rPr>
                <w:rFonts w:hint="eastAsia"/>
                <w:color w:val="auto"/>
              </w:rPr>
              <w:t>无土建及环保工程</w:t>
            </w:r>
          </w:p>
        </w:tc>
        <w:tc>
          <w:tcPr>
            <w:tcW w:w="2212" w:type="dxa"/>
            <w:tcMar>
              <w:top w:w="16" w:type="dxa"/>
              <w:left w:w="16" w:type="dxa"/>
              <w:right w:w="16" w:type="dxa"/>
            </w:tcMar>
            <w:vAlign w:val="center"/>
          </w:tcPr>
          <w:p w14:paraId="3924D6F9">
            <w:pPr>
              <w:adjustRightInd w:val="0"/>
              <w:snapToGrid w:val="0"/>
              <w:spacing w:line="240" w:lineRule="auto"/>
              <w:jc w:val="center"/>
              <w:rPr>
                <w:color w:val="auto"/>
              </w:rPr>
            </w:pPr>
            <w:r>
              <w:rPr>
                <w:color w:val="auto"/>
              </w:rPr>
              <w:t>环保投资（万元）</w:t>
            </w:r>
          </w:p>
        </w:tc>
        <w:tc>
          <w:tcPr>
            <w:tcW w:w="2639" w:type="dxa"/>
            <w:vAlign w:val="center"/>
          </w:tcPr>
          <w:p w14:paraId="58010E03">
            <w:pPr>
              <w:adjustRightInd w:val="0"/>
              <w:snapToGrid w:val="0"/>
              <w:spacing w:line="240" w:lineRule="auto"/>
              <w:jc w:val="center"/>
              <w:rPr>
                <w:color w:val="auto"/>
              </w:rPr>
            </w:pPr>
            <w:r>
              <w:rPr>
                <w:rFonts w:hint="eastAsia"/>
                <w:color w:val="auto"/>
              </w:rPr>
              <w:t>本次</w:t>
            </w:r>
            <w:r>
              <w:rPr>
                <w:rFonts w:hint="eastAsia"/>
                <w:color w:val="auto"/>
                <w:lang w:val="en-US" w:eastAsia="zh-CN"/>
              </w:rPr>
              <w:t>变更</w:t>
            </w:r>
            <w:r>
              <w:rPr>
                <w:rFonts w:hint="eastAsia"/>
                <w:color w:val="auto"/>
              </w:rPr>
              <w:t>无土建及环保工程</w:t>
            </w:r>
          </w:p>
        </w:tc>
      </w:tr>
      <w:tr w14:paraId="06AE0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266DCAEB">
            <w:pPr>
              <w:adjustRightInd w:val="0"/>
              <w:snapToGrid w:val="0"/>
              <w:spacing w:line="240" w:lineRule="auto"/>
              <w:jc w:val="center"/>
              <w:rPr>
                <w:color w:val="auto"/>
              </w:rPr>
            </w:pPr>
            <w:r>
              <w:rPr>
                <w:color w:val="auto"/>
              </w:rPr>
              <w:t>环保投资占比（%）</w:t>
            </w:r>
          </w:p>
        </w:tc>
        <w:tc>
          <w:tcPr>
            <w:tcW w:w="1879" w:type="dxa"/>
            <w:vAlign w:val="center"/>
          </w:tcPr>
          <w:p w14:paraId="34539AE5">
            <w:pPr>
              <w:adjustRightInd w:val="0"/>
              <w:snapToGrid w:val="0"/>
              <w:spacing w:line="240" w:lineRule="auto"/>
              <w:jc w:val="center"/>
              <w:rPr>
                <w:color w:val="auto"/>
              </w:rPr>
            </w:pPr>
            <w:r>
              <w:rPr>
                <w:rFonts w:hint="eastAsia"/>
                <w:color w:val="auto"/>
              </w:rPr>
              <w:t>/</w:t>
            </w:r>
          </w:p>
        </w:tc>
        <w:tc>
          <w:tcPr>
            <w:tcW w:w="2212" w:type="dxa"/>
            <w:tcMar>
              <w:top w:w="16" w:type="dxa"/>
              <w:left w:w="16" w:type="dxa"/>
              <w:right w:w="16" w:type="dxa"/>
            </w:tcMar>
            <w:vAlign w:val="center"/>
          </w:tcPr>
          <w:p w14:paraId="0E5D138C">
            <w:pPr>
              <w:adjustRightInd w:val="0"/>
              <w:snapToGrid w:val="0"/>
              <w:spacing w:line="240" w:lineRule="auto"/>
              <w:jc w:val="center"/>
              <w:rPr>
                <w:color w:val="auto"/>
              </w:rPr>
            </w:pPr>
            <w:r>
              <w:rPr>
                <w:color w:val="auto"/>
              </w:rPr>
              <w:t>施工工期</w:t>
            </w:r>
          </w:p>
        </w:tc>
        <w:tc>
          <w:tcPr>
            <w:tcW w:w="2639" w:type="dxa"/>
            <w:vAlign w:val="center"/>
          </w:tcPr>
          <w:p w14:paraId="524B33AF">
            <w:pPr>
              <w:adjustRightInd w:val="0"/>
              <w:snapToGrid w:val="0"/>
              <w:spacing w:line="240" w:lineRule="auto"/>
              <w:jc w:val="center"/>
              <w:rPr>
                <w:color w:val="auto"/>
              </w:rPr>
            </w:pPr>
            <w:r>
              <w:rPr>
                <w:rFonts w:hint="eastAsia"/>
                <w:color w:val="auto"/>
              </w:rPr>
              <w:t>无施工期</w:t>
            </w:r>
          </w:p>
        </w:tc>
      </w:tr>
      <w:tr w14:paraId="15BD01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tcMar>
              <w:top w:w="16" w:type="dxa"/>
              <w:left w:w="16" w:type="dxa"/>
              <w:right w:w="16" w:type="dxa"/>
            </w:tcMar>
            <w:vAlign w:val="center"/>
          </w:tcPr>
          <w:p w14:paraId="75CD3839">
            <w:pPr>
              <w:adjustRightInd w:val="0"/>
              <w:snapToGrid w:val="0"/>
              <w:spacing w:line="240" w:lineRule="auto"/>
              <w:jc w:val="center"/>
              <w:rPr>
                <w:color w:val="auto"/>
              </w:rPr>
            </w:pPr>
            <w:r>
              <w:rPr>
                <w:color w:val="auto"/>
              </w:rPr>
              <w:t>是否开工建设</w:t>
            </w:r>
          </w:p>
        </w:tc>
        <w:tc>
          <w:tcPr>
            <w:tcW w:w="1879" w:type="dxa"/>
            <w:vAlign w:val="center"/>
          </w:tcPr>
          <w:p w14:paraId="0B7EA336">
            <w:pPr>
              <w:adjustRightInd w:val="0"/>
              <w:snapToGrid w:val="0"/>
              <w:spacing w:line="240" w:lineRule="auto"/>
              <w:rPr>
                <w:color w:val="auto"/>
              </w:rPr>
            </w:pPr>
            <w:r>
              <w:rPr>
                <w:color w:val="auto"/>
              </w:rPr>
              <w:sym w:font="Wingdings 2" w:char="0052"/>
            </w:r>
            <w:r>
              <w:rPr>
                <w:color w:val="auto"/>
              </w:rPr>
              <w:t>否</w:t>
            </w:r>
          </w:p>
          <w:p w14:paraId="37531015">
            <w:pPr>
              <w:adjustRightInd w:val="0"/>
              <w:snapToGrid w:val="0"/>
              <w:spacing w:line="240" w:lineRule="auto"/>
              <w:rPr>
                <w:color w:val="auto"/>
              </w:rPr>
            </w:pPr>
            <w:r>
              <w:rPr>
                <w:color w:val="auto"/>
              </w:rPr>
              <w:sym w:font="Wingdings 2" w:char="00A3"/>
            </w:r>
            <w:r>
              <w:rPr>
                <w:color w:val="auto"/>
              </w:rPr>
              <w:t>是：</w:t>
            </w:r>
          </w:p>
        </w:tc>
        <w:tc>
          <w:tcPr>
            <w:tcW w:w="2212" w:type="dxa"/>
            <w:tcMar>
              <w:top w:w="16" w:type="dxa"/>
              <w:left w:w="16" w:type="dxa"/>
              <w:right w:w="16" w:type="dxa"/>
            </w:tcMar>
            <w:vAlign w:val="center"/>
          </w:tcPr>
          <w:p w14:paraId="3BCC5B83">
            <w:pPr>
              <w:adjustRightInd w:val="0"/>
              <w:snapToGrid w:val="0"/>
              <w:spacing w:line="240" w:lineRule="auto"/>
              <w:jc w:val="center"/>
              <w:rPr>
                <w:color w:val="auto"/>
                <w:spacing w:val="-6"/>
              </w:rPr>
            </w:pPr>
            <w:r>
              <w:rPr>
                <w:color w:val="auto"/>
                <w:spacing w:val="-6"/>
              </w:rPr>
              <w:t>用地（用海）</w:t>
            </w:r>
          </w:p>
          <w:p w14:paraId="51912DD0">
            <w:pPr>
              <w:adjustRightInd w:val="0"/>
              <w:snapToGrid w:val="0"/>
              <w:spacing w:line="240" w:lineRule="auto"/>
              <w:jc w:val="center"/>
              <w:rPr>
                <w:color w:val="auto"/>
              </w:rPr>
            </w:pPr>
            <w:r>
              <w:rPr>
                <w:color w:val="auto"/>
                <w:spacing w:val="-6"/>
              </w:rPr>
              <w:t>面积（m</w:t>
            </w:r>
            <w:r>
              <w:rPr>
                <w:color w:val="auto"/>
                <w:spacing w:val="-6"/>
                <w:vertAlign w:val="superscript"/>
              </w:rPr>
              <w:t>2</w:t>
            </w:r>
            <w:r>
              <w:rPr>
                <w:color w:val="auto"/>
                <w:spacing w:val="-6"/>
              </w:rPr>
              <w:t>）</w:t>
            </w:r>
          </w:p>
        </w:tc>
        <w:tc>
          <w:tcPr>
            <w:tcW w:w="2639" w:type="dxa"/>
            <w:vAlign w:val="center"/>
          </w:tcPr>
          <w:p w14:paraId="611389CD">
            <w:pPr>
              <w:adjustRightInd w:val="0"/>
              <w:snapToGrid w:val="0"/>
              <w:spacing w:line="240" w:lineRule="auto"/>
              <w:jc w:val="center"/>
              <w:rPr>
                <w:rFonts w:hint="default" w:eastAsia="宋体"/>
                <w:color w:val="auto"/>
                <w:lang w:val="en-US" w:eastAsia="zh-CN"/>
              </w:rPr>
            </w:pPr>
            <w:r>
              <w:rPr>
                <w:rFonts w:hint="eastAsia"/>
                <w:color w:val="auto"/>
                <w:lang w:val="en-US" w:eastAsia="zh-CN"/>
              </w:rPr>
              <w:t>711.35</w:t>
            </w:r>
          </w:p>
        </w:tc>
      </w:tr>
      <w:tr w14:paraId="0D570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40" w:type="dxa"/>
            <w:vAlign w:val="center"/>
          </w:tcPr>
          <w:p w14:paraId="6E2A1F79">
            <w:pPr>
              <w:autoSpaceDE w:val="0"/>
              <w:autoSpaceDN w:val="0"/>
              <w:adjustRightInd w:val="0"/>
              <w:snapToGrid w:val="0"/>
              <w:spacing w:line="240" w:lineRule="auto"/>
              <w:jc w:val="center"/>
              <w:rPr>
                <w:color w:val="auto"/>
                <w:kern w:val="0"/>
              </w:rPr>
            </w:pPr>
            <w:r>
              <w:rPr>
                <w:color w:val="auto"/>
                <w:kern w:val="0"/>
              </w:rPr>
              <w:t>专项评价设置情况</w:t>
            </w:r>
          </w:p>
        </w:tc>
        <w:tc>
          <w:tcPr>
            <w:tcW w:w="6730" w:type="dxa"/>
            <w:gridSpan w:val="3"/>
            <w:vAlign w:val="center"/>
          </w:tcPr>
          <w:p w14:paraId="7F2B4B5B">
            <w:pPr>
              <w:adjustRightInd w:val="0"/>
              <w:snapToGrid w:val="0"/>
              <w:ind w:firstLine="480" w:firstLineChars="200"/>
              <w:jc w:val="left"/>
              <w:rPr>
                <w:rFonts w:hint="eastAsia"/>
                <w:color w:val="auto"/>
                <w:kern w:val="0"/>
              </w:rPr>
            </w:pPr>
            <w:r>
              <w:rPr>
                <w:rFonts w:hint="eastAsia"/>
                <w:color w:val="auto"/>
                <w:kern w:val="0"/>
              </w:rPr>
              <w:t>根据《建设项目环境影响报告表编制技术指南（污染影响类）》（试行），本项目不需要开展“大气、地表水、环境风险、生态和海洋”专项评价工作，具体对照分析见表 1-1。</w:t>
            </w:r>
          </w:p>
          <w:p w14:paraId="28ABAEC3">
            <w:pPr>
              <w:pStyle w:val="52"/>
              <w:rPr>
                <w:color w:val="auto"/>
              </w:rPr>
            </w:pPr>
            <w:r>
              <w:rPr>
                <w:rFonts w:hint="eastAsia"/>
                <w:color w:val="auto"/>
              </w:rPr>
              <w:t>表1-1</w:t>
            </w:r>
            <w:r>
              <w:rPr>
                <w:color w:val="auto"/>
              </w:rPr>
              <w:t xml:space="preserve">  </w:t>
            </w:r>
            <w:r>
              <w:rPr>
                <w:rFonts w:hint="eastAsia"/>
                <w:color w:val="auto"/>
              </w:rPr>
              <w:t>项目专项评价设置情况判定表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3285"/>
              <w:gridCol w:w="2068"/>
            </w:tblGrid>
            <w:tr w14:paraId="7001265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1986A7F6">
                  <w:pPr>
                    <w:spacing w:line="240" w:lineRule="auto"/>
                    <w:jc w:val="center"/>
                    <w:rPr>
                      <w:b w:val="0"/>
                      <w:bCs/>
                      <w:color w:val="auto"/>
                      <w:kern w:val="0"/>
                      <w:sz w:val="21"/>
                      <w:szCs w:val="21"/>
                    </w:rPr>
                  </w:pPr>
                  <w:r>
                    <w:rPr>
                      <w:b/>
                      <w:bCs/>
                      <w:color w:val="auto"/>
                      <w:sz w:val="21"/>
                      <w:szCs w:val="21"/>
                    </w:rPr>
                    <w:t>专项评价的类别</w:t>
                  </w:r>
                </w:p>
              </w:tc>
              <w:tc>
                <w:tcPr>
                  <w:tcW w:w="3285" w:type="dxa"/>
                  <w:vAlign w:val="center"/>
                </w:tcPr>
                <w:p w14:paraId="53D33A33">
                  <w:pPr>
                    <w:spacing w:line="240" w:lineRule="auto"/>
                    <w:jc w:val="center"/>
                    <w:rPr>
                      <w:b w:val="0"/>
                      <w:bCs/>
                      <w:color w:val="auto"/>
                      <w:kern w:val="0"/>
                      <w:sz w:val="21"/>
                      <w:szCs w:val="21"/>
                    </w:rPr>
                  </w:pPr>
                  <w:r>
                    <w:rPr>
                      <w:b/>
                      <w:bCs/>
                      <w:color w:val="auto"/>
                      <w:sz w:val="21"/>
                      <w:szCs w:val="21"/>
                    </w:rPr>
                    <w:t>设置原则</w:t>
                  </w:r>
                </w:p>
              </w:tc>
              <w:tc>
                <w:tcPr>
                  <w:tcW w:w="2068" w:type="dxa"/>
                  <w:vAlign w:val="center"/>
                </w:tcPr>
                <w:p w14:paraId="6C075C62">
                  <w:pPr>
                    <w:spacing w:line="240" w:lineRule="auto"/>
                    <w:jc w:val="center"/>
                    <w:rPr>
                      <w:b w:val="0"/>
                      <w:bCs/>
                      <w:color w:val="auto"/>
                      <w:kern w:val="0"/>
                      <w:sz w:val="21"/>
                      <w:szCs w:val="21"/>
                    </w:rPr>
                  </w:pPr>
                  <w:r>
                    <w:rPr>
                      <w:b/>
                      <w:bCs/>
                      <w:color w:val="auto"/>
                      <w:sz w:val="21"/>
                      <w:szCs w:val="21"/>
                    </w:rPr>
                    <w:t>本项目</w:t>
                  </w:r>
                </w:p>
              </w:tc>
            </w:tr>
            <w:tr w14:paraId="4F049A7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5583BA2A">
                  <w:pPr>
                    <w:spacing w:line="240" w:lineRule="auto"/>
                    <w:jc w:val="center"/>
                    <w:rPr>
                      <w:color w:val="auto"/>
                      <w:kern w:val="0"/>
                      <w:sz w:val="21"/>
                      <w:szCs w:val="21"/>
                    </w:rPr>
                  </w:pPr>
                  <w:r>
                    <w:rPr>
                      <w:color w:val="auto"/>
                      <w:sz w:val="21"/>
                      <w:szCs w:val="21"/>
                    </w:rPr>
                    <w:t>大气</w:t>
                  </w:r>
                </w:p>
              </w:tc>
              <w:tc>
                <w:tcPr>
                  <w:tcW w:w="3285" w:type="dxa"/>
                  <w:vAlign w:val="center"/>
                </w:tcPr>
                <w:p w14:paraId="6F4A4A25">
                  <w:pPr>
                    <w:spacing w:line="240" w:lineRule="auto"/>
                    <w:jc w:val="center"/>
                    <w:rPr>
                      <w:color w:val="auto"/>
                      <w:kern w:val="0"/>
                      <w:sz w:val="21"/>
                      <w:szCs w:val="21"/>
                    </w:rPr>
                  </w:pPr>
                  <w:r>
                    <w:rPr>
                      <w:color w:val="auto"/>
                      <w:sz w:val="21"/>
                      <w:szCs w:val="21"/>
                    </w:rPr>
                    <w:t>排放废气含有毒有害污染物、二噁英、苯并[a]芘、氰化物、氯气且厂界外500米范围内有环境空气保护目标的建设项目</w:t>
                  </w:r>
                </w:p>
              </w:tc>
              <w:tc>
                <w:tcPr>
                  <w:tcW w:w="2068" w:type="dxa"/>
                  <w:vAlign w:val="center"/>
                </w:tcPr>
                <w:p w14:paraId="4C490E48">
                  <w:pPr>
                    <w:spacing w:line="240" w:lineRule="auto"/>
                    <w:jc w:val="center"/>
                    <w:rPr>
                      <w:color w:val="auto"/>
                      <w:kern w:val="0"/>
                      <w:sz w:val="21"/>
                      <w:szCs w:val="21"/>
                    </w:rPr>
                  </w:pPr>
                  <w:r>
                    <w:rPr>
                      <w:color w:val="auto"/>
                      <w:sz w:val="21"/>
                      <w:szCs w:val="21"/>
                    </w:rPr>
                    <w:t>本项目排放废气</w:t>
                  </w:r>
                  <w:r>
                    <w:rPr>
                      <w:rFonts w:hint="eastAsia"/>
                      <w:color w:val="auto"/>
                      <w:sz w:val="21"/>
                      <w:szCs w:val="21"/>
                    </w:rPr>
                    <w:t>不含</w:t>
                  </w:r>
                  <w:r>
                    <w:rPr>
                      <w:color w:val="auto"/>
                      <w:sz w:val="21"/>
                      <w:szCs w:val="21"/>
                    </w:rPr>
                    <w:t>有毒有害污染物、二噁英、苯并[a]芘、氰化物、氯气</w:t>
                  </w:r>
                </w:p>
              </w:tc>
            </w:tr>
            <w:tr w14:paraId="1E8C1B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05837007">
                  <w:pPr>
                    <w:spacing w:line="240" w:lineRule="auto"/>
                    <w:jc w:val="center"/>
                    <w:rPr>
                      <w:color w:val="auto"/>
                      <w:kern w:val="0"/>
                      <w:sz w:val="21"/>
                      <w:szCs w:val="21"/>
                    </w:rPr>
                  </w:pPr>
                  <w:r>
                    <w:rPr>
                      <w:color w:val="auto"/>
                      <w:sz w:val="21"/>
                      <w:szCs w:val="21"/>
                    </w:rPr>
                    <w:t>地表水</w:t>
                  </w:r>
                </w:p>
              </w:tc>
              <w:tc>
                <w:tcPr>
                  <w:tcW w:w="3285" w:type="dxa"/>
                  <w:vAlign w:val="center"/>
                </w:tcPr>
                <w:p w14:paraId="136A5430">
                  <w:pPr>
                    <w:spacing w:line="240" w:lineRule="auto"/>
                    <w:jc w:val="center"/>
                    <w:rPr>
                      <w:color w:val="auto"/>
                      <w:kern w:val="0"/>
                      <w:sz w:val="21"/>
                      <w:szCs w:val="21"/>
                    </w:rPr>
                  </w:pPr>
                  <w:r>
                    <w:rPr>
                      <w:color w:val="auto"/>
                      <w:sz w:val="21"/>
                      <w:szCs w:val="21"/>
                    </w:rPr>
                    <w:t>新增工业废水直排建设项目（槽罐车外送污水处理厂的除外）；新增废水</w:t>
                  </w:r>
                  <w:r>
                    <w:rPr>
                      <w:rFonts w:hint="eastAsia"/>
                      <w:color w:val="auto"/>
                      <w:sz w:val="21"/>
                      <w:szCs w:val="21"/>
                    </w:rPr>
                    <w:t>重复利用剩余的</w:t>
                  </w:r>
                  <w:r>
                    <w:rPr>
                      <w:color w:val="auto"/>
                      <w:sz w:val="21"/>
                      <w:szCs w:val="21"/>
                    </w:rPr>
                    <w:t>直排的污水集中处理</w:t>
                  </w:r>
                  <w:r>
                    <w:rPr>
                      <w:rFonts w:hint="eastAsia"/>
                      <w:color w:val="auto"/>
                      <w:sz w:val="21"/>
                      <w:szCs w:val="21"/>
                    </w:rPr>
                    <w:t>站</w:t>
                  </w:r>
                </w:p>
              </w:tc>
              <w:tc>
                <w:tcPr>
                  <w:tcW w:w="2068" w:type="dxa"/>
                  <w:vAlign w:val="center"/>
                </w:tcPr>
                <w:p w14:paraId="13AF1C96">
                  <w:pPr>
                    <w:spacing w:line="240" w:lineRule="auto"/>
                    <w:jc w:val="center"/>
                    <w:rPr>
                      <w:color w:val="auto"/>
                      <w:kern w:val="0"/>
                      <w:sz w:val="21"/>
                      <w:szCs w:val="21"/>
                    </w:rPr>
                  </w:pPr>
                  <w:r>
                    <w:rPr>
                      <w:color w:val="auto"/>
                      <w:sz w:val="21"/>
                      <w:szCs w:val="21"/>
                    </w:rPr>
                    <w:t>本项目</w:t>
                  </w:r>
                  <w:r>
                    <w:rPr>
                      <w:rFonts w:hint="eastAsia"/>
                      <w:color w:val="auto"/>
                      <w:sz w:val="21"/>
                      <w:szCs w:val="21"/>
                    </w:rPr>
                    <w:t>不属于</w:t>
                  </w:r>
                  <w:r>
                    <w:rPr>
                      <w:color w:val="auto"/>
                      <w:sz w:val="21"/>
                      <w:szCs w:val="21"/>
                    </w:rPr>
                    <w:t>新增工业废水直排建设项目</w:t>
                  </w:r>
                </w:p>
              </w:tc>
            </w:tr>
            <w:tr w14:paraId="1FA19F0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388E5AA1">
                  <w:pPr>
                    <w:spacing w:line="240" w:lineRule="auto"/>
                    <w:jc w:val="center"/>
                    <w:rPr>
                      <w:color w:val="auto"/>
                      <w:kern w:val="0"/>
                      <w:sz w:val="21"/>
                      <w:szCs w:val="21"/>
                    </w:rPr>
                  </w:pPr>
                  <w:r>
                    <w:rPr>
                      <w:color w:val="auto"/>
                      <w:sz w:val="21"/>
                      <w:szCs w:val="21"/>
                    </w:rPr>
                    <w:t>环境风险</w:t>
                  </w:r>
                </w:p>
              </w:tc>
              <w:tc>
                <w:tcPr>
                  <w:tcW w:w="3285" w:type="dxa"/>
                  <w:vAlign w:val="center"/>
                </w:tcPr>
                <w:p w14:paraId="492E7AB3">
                  <w:pPr>
                    <w:spacing w:line="240" w:lineRule="auto"/>
                    <w:jc w:val="center"/>
                    <w:rPr>
                      <w:color w:val="auto"/>
                      <w:kern w:val="0"/>
                      <w:sz w:val="21"/>
                      <w:szCs w:val="21"/>
                    </w:rPr>
                  </w:pPr>
                  <w:r>
                    <w:rPr>
                      <w:color w:val="auto"/>
                      <w:sz w:val="21"/>
                      <w:szCs w:val="21"/>
                    </w:rPr>
                    <w:t>有毒有害和易燃易爆危险物质存储量超过临界量的建设项目</w:t>
                  </w:r>
                </w:p>
              </w:tc>
              <w:tc>
                <w:tcPr>
                  <w:tcW w:w="2068" w:type="dxa"/>
                  <w:vAlign w:val="center"/>
                </w:tcPr>
                <w:p w14:paraId="0E5183F4">
                  <w:pPr>
                    <w:spacing w:line="240" w:lineRule="auto"/>
                    <w:jc w:val="center"/>
                    <w:rPr>
                      <w:color w:val="auto"/>
                      <w:kern w:val="0"/>
                      <w:sz w:val="21"/>
                      <w:szCs w:val="21"/>
                    </w:rPr>
                  </w:pPr>
                  <w:r>
                    <w:rPr>
                      <w:rFonts w:hint="eastAsia"/>
                      <w:color w:val="auto"/>
                      <w:sz w:val="21"/>
                      <w:szCs w:val="21"/>
                    </w:rPr>
                    <w:t>本项目天然气储量不超过临界量</w:t>
                  </w:r>
                </w:p>
              </w:tc>
            </w:tr>
            <w:tr w14:paraId="75793A2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0D35CF4A">
                  <w:pPr>
                    <w:spacing w:line="240" w:lineRule="auto"/>
                    <w:jc w:val="center"/>
                    <w:rPr>
                      <w:color w:val="auto"/>
                      <w:kern w:val="0"/>
                      <w:sz w:val="21"/>
                      <w:szCs w:val="21"/>
                    </w:rPr>
                  </w:pPr>
                  <w:r>
                    <w:rPr>
                      <w:color w:val="auto"/>
                      <w:sz w:val="21"/>
                      <w:szCs w:val="21"/>
                    </w:rPr>
                    <w:t>生态</w:t>
                  </w:r>
                </w:p>
              </w:tc>
              <w:tc>
                <w:tcPr>
                  <w:tcW w:w="3285" w:type="dxa"/>
                  <w:vAlign w:val="center"/>
                </w:tcPr>
                <w:p w14:paraId="27F66DD2">
                  <w:pPr>
                    <w:spacing w:line="240" w:lineRule="auto"/>
                    <w:jc w:val="center"/>
                    <w:rPr>
                      <w:color w:val="auto"/>
                      <w:kern w:val="0"/>
                      <w:sz w:val="21"/>
                      <w:szCs w:val="21"/>
                    </w:rPr>
                  </w:pPr>
                  <w:r>
                    <w:rPr>
                      <w:color w:val="auto"/>
                      <w:sz w:val="21"/>
                      <w:szCs w:val="21"/>
                    </w:rPr>
                    <w:t>取水口下游500米范围内有重要水生生物的自然产卵场、索饵场、越冬场和洄游通道的新增河道取水的污染类建设项目</w:t>
                  </w:r>
                </w:p>
              </w:tc>
              <w:tc>
                <w:tcPr>
                  <w:tcW w:w="2068" w:type="dxa"/>
                  <w:vAlign w:val="center"/>
                </w:tcPr>
                <w:p w14:paraId="37610591">
                  <w:pPr>
                    <w:spacing w:line="240" w:lineRule="auto"/>
                    <w:jc w:val="center"/>
                    <w:rPr>
                      <w:color w:val="auto"/>
                      <w:sz w:val="21"/>
                      <w:szCs w:val="21"/>
                    </w:rPr>
                  </w:pPr>
                  <w:r>
                    <w:rPr>
                      <w:rFonts w:hint="eastAsia"/>
                      <w:color w:val="auto"/>
                      <w:sz w:val="21"/>
                      <w:szCs w:val="21"/>
                    </w:rPr>
                    <w:t>本项目</w:t>
                  </w:r>
                  <w:r>
                    <w:rPr>
                      <w:color w:val="auto"/>
                      <w:sz w:val="21"/>
                      <w:szCs w:val="21"/>
                    </w:rPr>
                    <w:t>无河道</w:t>
                  </w:r>
                </w:p>
                <w:p w14:paraId="0CF797BD">
                  <w:pPr>
                    <w:spacing w:line="240" w:lineRule="auto"/>
                    <w:jc w:val="center"/>
                    <w:rPr>
                      <w:color w:val="auto"/>
                      <w:kern w:val="0"/>
                      <w:sz w:val="21"/>
                      <w:szCs w:val="21"/>
                    </w:rPr>
                  </w:pPr>
                  <w:r>
                    <w:rPr>
                      <w:color w:val="auto"/>
                      <w:sz w:val="21"/>
                      <w:szCs w:val="21"/>
                    </w:rPr>
                    <w:t>取水</w:t>
                  </w:r>
                  <w:r>
                    <w:rPr>
                      <w:rFonts w:hint="eastAsia"/>
                      <w:color w:val="auto"/>
                      <w:sz w:val="21"/>
                      <w:szCs w:val="21"/>
                    </w:rPr>
                    <w:t>口</w:t>
                  </w:r>
                </w:p>
              </w:tc>
            </w:tr>
            <w:tr w14:paraId="1378FD6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Align w:val="center"/>
                </w:tcPr>
                <w:p w14:paraId="74763AEF">
                  <w:pPr>
                    <w:spacing w:line="240" w:lineRule="auto"/>
                    <w:jc w:val="center"/>
                    <w:rPr>
                      <w:color w:val="auto"/>
                      <w:kern w:val="0"/>
                      <w:sz w:val="21"/>
                      <w:szCs w:val="21"/>
                    </w:rPr>
                  </w:pPr>
                  <w:r>
                    <w:rPr>
                      <w:color w:val="auto"/>
                      <w:sz w:val="21"/>
                      <w:szCs w:val="21"/>
                    </w:rPr>
                    <w:t>海洋</w:t>
                  </w:r>
                </w:p>
              </w:tc>
              <w:tc>
                <w:tcPr>
                  <w:tcW w:w="3285" w:type="dxa"/>
                  <w:vAlign w:val="center"/>
                </w:tcPr>
                <w:p w14:paraId="408D1055">
                  <w:pPr>
                    <w:spacing w:line="240" w:lineRule="auto"/>
                    <w:jc w:val="center"/>
                    <w:rPr>
                      <w:color w:val="auto"/>
                      <w:kern w:val="0"/>
                      <w:sz w:val="21"/>
                      <w:szCs w:val="21"/>
                    </w:rPr>
                  </w:pPr>
                  <w:r>
                    <w:rPr>
                      <w:color w:val="auto"/>
                      <w:sz w:val="21"/>
                      <w:szCs w:val="21"/>
                    </w:rPr>
                    <w:t>直接向海排放污染物的海洋工程建设项目</w:t>
                  </w:r>
                </w:p>
              </w:tc>
              <w:tc>
                <w:tcPr>
                  <w:tcW w:w="2068" w:type="dxa"/>
                  <w:vAlign w:val="center"/>
                </w:tcPr>
                <w:p w14:paraId="77A59236">
                  <w:pPr>
                    <w:spacing w:line="240" w:lineRule="auto"/>
                    <w:jc w:val="center"/>
                    <w:rPr>
                      <w:color w:val="auto"/>
                      <w:kern w:val="0"/>
                      <w:sz w:val="21"/>
                      <w:szCs w:val="21"/>
                    </w:rPr>
                  </w:pPr>
                  <w:r>
                    <w:rPr>
                      <w:rFonts w:hint="eastAsia"/>
                      <w:color w:val="auto"/>
                      <w:sz w:val="21"/>
                      <w:szCs w:val="21"/>
                    </w:rPr>
                    <w:t>本项目不属于</w:t>
                  </w:r>
                  <w:r>
                    <w:rPr>
                      <w:color w:val="auto"/>
                      <w:sz w:val="21"/>
                      <w:szCs w:val="21"/>
                    </w:rPr>
                    <w:t>海洋工程建设项</w:t>
                  </w:r>
                  <w:r>
                    <w:rPr>
                      <w:rFonts w:hint="eastAsia"/>
                      <w:color w:val="auto"/>
                      <w:sz w:val="21"/>
                      <w:szCs w:val="21"/>
                    </w:rPr>
                    <w:t>目</w:t>
                  </w:r>
                </w:p>
              </w:tc>
            </w:tr>
          </w:tbl>
          <w:p w14:paraId="5949AA82">
            <w:pPr>
              <w:adjustRightInd w:val="0"/>
              <w:snapToGrid w:val="0"/>
              <w:ind w:firstLine="480" w:firstLineChars="200"/>
              <w:jc w:val="left"/>
              <w:rPr>
                <w:rFonts w:hint="eastAsia" w:ascii="Times New Roman" w:hAnsi="Times New Roman" w:eastAsia="宋体" w:cs="Times New Roman"/>
                <w:b w:val="0"/>
                <w:bCs/>
                <w:color w:val="auto"/>
                <w:kern w:val="0"/>
                <w:sz w:val="24"/>
              </w:rPr>
            </w:pPr>
            <w:r>
              <w:rPr>
                <w:rFonts w:hint="eastAsia" w:ascii="Times New Roman" w:hAnsi="Times New Roman" w:eastAsia="宋体" w:cs="Times New Roman"/>
                <w:b w:val="0"/>
                <w:bCs/>
                <w:color w:val="auto"/>
                <w:kern w:val="0"/>
                <w:sz w:val="24"/>
              </w:rPr>
              <w:t>根据《建设项目环境影响报告表编制技术指南（污染影响类）》（试行），土壤、声环境不开展专项评价。地下水原则上不开展专项评价，涉及集中式饮用水水源和热水、矿泉水、温泉等特殊地下水资源保护区的开展地下水专项评价工作。</w:t>
            </w:r>
            <w:r>
              <w:rPr>
                <w:color w:val="auto"/>
                <w:kern w:val="0"/>
                <w:szCs w:val="21"/>
              </w:rPr>
              <w:t>本项目</w:t>
            </w:r>
            <w:r>
              <w:rPr>
                <w:rFonts w:hint="eastAsia"/>
                <w:color w:val="auto"/>
                <w:kern w:val="0"/>
                <w:szCs w:val="21"/>
              </w:rPr>
              <w:t>位于鄂尔多斯市</w:t>
            </w:r>
            <w:r>
              <w:rPr>
                <w:color w:val="auto"/>
              </w:rPr>
              <w:t>蒙苏经济开发区零碳产业园工业废水处理厂</w:t>
            </w:r>
            <w:r>
              <w:rPr>
                <w:rFonts w:hint="eastAsia"/>
                <w:color w:val="auto"/>
              </w:rPr>
              <w:t>厂区内</w:t>
            </w:r>
            <w:r>
              <w:rPr>
                <w:rFonts w:hint="eastAsia" w:ascii="Times New Roman" w:hAnsi="Times New Roman" w:eastAsia="宋体" w:cs="Times New Roman"/>
                <w:b w:val="0"/>
                <w:bCs/>
                <w:color w:val="auto"/>
                <w:kern w:val="0"/>
                <w:sz w:val="24"/>
              </w:rPr>
              <w:t>，厂界500m范围内不涉及集中式饮用水水源和热水、矿泉水、温泉等特殊地下水资源保护区，因此不需要开展地下水专项评价工作。</w:t>
            </w:r>
          </w:p>
          <w:p w14:paraId="233B6854">
            <w:pPr>
              <w:adjustRightInd w:val="0"/>
              <w:snapToGrid w:val="0"/>
              <w:ind w:firstLine="480" w:firstLineChars="200"/>
              <w:jc w:val="left"/>
              <w:rPr>
                <w:color w:val="auto"/>
              </w:rPr>
            </w:pPr>
            <w:r>
              <w:rPr>
                <w:rFonts w:hint="eastAsia" w:ascii="Times New Roman" w:hAnsi="Times New Roman" w:eastAsia="宋体" w:cs="Times New Roman"/>
                <w:b w:val="0"/>
                <w:bCs/>
                <w:color w:val="auto"/>
                <w:kern w:val="0"/>
                <w:sz w:val="24"/>
              </w:rPr>
              <w:t>综上所述，本项目不需要开展专项评价工作。</w:t>
            </w:r>
          </w:p>
        </w:tc>
      </w:tr>
      <w:tr w14:paraId="0DF3A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2140" w:type="dxa"/>
            <w:vAlign w:val="center"/>
          </w:tcPr>
          <w:p w14:paraId="10CDFA85">
            <w:pPr>
              <w:autoSpaceDE w:val="0"/>
              <w:autoSpaceDN w:val="0"/>
              <w:adjustRightInd w:val="0"/>
              <w:snapToGrid w:val="0"/>
              <w:spacing w:line="240" w:lineRule="auto"/>
              <w:jc w:val="center"/>
              <w:rPr>
                <w:color w:val="auto"/>
                <w:kern w:val="0"/>
              </w:rPr>
            </w:pPr>
            <w:r>
              <w:rPr>
                <w:color w:val="auto"/>
              </w:rPr>
              <w:t>规划情况</w:t>
            </w:r>
          </w:p>
        </w:tc>
        <w:tc>
          <w:tcPr>
            <w:tcW w:w="6730" w:type="dxa"/>
            <w:gridSpan w:val="3"/>
            <w:vAlign w:val="center"/>
          </w:tcPr>
          <w:p w14:paraId="0C1A8FC4">
            <w:pPr>
              <w:adjustRightInd w:val="0"/>
              <w:snapToGrid w:val="0"/>
              <w:ind w:firstLine="480" w:firstLineChars="200"/>
              <w:jc w:val="both"/>
              <w:rPr>
                <w:rFonts w:hint="default" w:ascii="Times New Roman" w:hAnsi="Times New Roman" w:cs="Times New Roman"/>
                <w:b w:val="0"/>
                <w:bCs/>
                <w:color w:val="auto"/>
                <w:kern w:val="0"/>
                <w:sz w:val="24"/>
              </w:rPr>
            </w:pPr>
            <w:r>
              <w:rPr>
                <w:rFonts w:hint="default" w:ascii="Times New Roman" w:hAnsi="Times New Roman" w:cs="Times New Roman"/>
                <w:b w:val="0"/>
                <w:bCs/>
                <w:color w:val="auto"/>
                <w:kern w:val="0"/>
                <w:sz w:val="24"/>
              </w:rPr>
              <w:t>鄂尔多斯蒙苏经济开发区按照“一区三园”模式进行一体化管理，包括鄂尔多斯零碳产业园、圣圆煤化工产业园、伊金霍洛物流园。其中：鄂尔多斯零碳产业园包括鄂尔多斯零碳产业园装备制造片区、鄂尔多斯零碳产业园西片区。</w:t>
            </w:r>
          </w:p>
          <w:p w14:paraId="60DBA0F5">
            <w:pPr>
              <w:adjustRightInd w:val="0"/>
              <w:snapToGrid w:val="0"/>
              <w:ind w:firstLine="480" w:firstLineChars="200"/>
              <w:jc w:val="both"/>
              <w:rPr>
                <w:rFonts w:hint="default" w:ascii="Times New Roman" w:hAnsi="Times New Roman" w:cs="Times New Roman"/>
                <w:b w:val="0"/>
                <w:bCs/>
                <w:color w:val="auto"/>
                <w:kern w:val="0"/>
                <w:sz w:val="24"/>
              </w:rPr>
            </w:pPr>
            <w:r>
              <w:rPr>
                <w:rFonts w:hint="default" w:ascii="Times New Roman" w:hAnsi="Times New Roman" w:cs="Times New Roman"/>
                <w:b w:val="0"/>
                <w:bCs/>
                <w:color w:val="auto"/>
                <w:kern w:val="0"/>
                <w:sz w:val="24"/>
              </w:rPr>
              <w:t>鄂尔多斯零碳产业园装备制造片区即原阿勒腾席热镇现代装备制造业基地</w:t>
            </w:r>
            <w:r>
              <w:rPr>
                <w:rFonts w:hint="eastAsia" w:cs="Times New Roman"/>
                <w:b w:val="0"/>
                <w:bCs/>
                <w:color w:val="auto"/>
                <w:kern w:val="0"/>
                <w:sz w:val="24"/>
                <w:lang w:eastAsia="zh-CN"/>
              </w:rPr>
              <w:t>，位于内蒙古自治区鄂尔多斯市伊金霍洛旗阿勒腾席热镇。2008年7月，阿勒腾席热镇现代装备制造业基地取得《鄂尔多斯市人民政府关于同意规划建设阿勒腾席热镇现代装备制造业基地的批复》（鄂府函〔2008〕236号），批复基地规划面积为33平方公里。主导产业为机械加工，矿井及煤炭采掘洗选机械设备维修制造交通运输设备及其配套的零部件制造，电子器材、通信设备及仪器仪表装备制造等非资源型产业。</w:t>
            </w:r>
            <w:r>
              <w:rPr>
                <w:rFonts w:hint="default" w:ascii="Times New Roman" w:hAnsi="Times New Roman" w:cs="Times New Roman"/>
                <w:b w:val="0"/>
                <w:bCs/>
                <w:color w:val="auto"/>
                <w:kern w:val="0"/>
                <w:sz w:val="24"/>
              </w:rPr>
              <w:t>2009年4月，阿勒腾席热镇现代装备制造业基地管委会委托中国市政工程西北设计研究院有限公司编制完成《伊金霍洛旗阿勒腾席热镇现代装备制造业基地一期控制性详细规划》，并取得《伊金霍洛旗人民政府关于伊旗阿镇现代装备制造业基地一期控制性详细规划的批复》（伊政发</w:t>
            </w:r>
            <w:r>
              <w:rPr>
                <w:rFonts w:hint="eastAsia" w:cs="Times New Roman"/>
                <w:b w:val="0"/>
                <w:bCs/>
                <w:color w:val="auto"/>
                <w:kern w:val="0"/>
                <w:sz w:val="24"/>
                <w:lang w:eastAsia="zh-CN"/>
              </w:rPr>
              <w:t>〔2009〕32号</w:t>
            </w:r>
            <w:r>
              <w:rPr>
                <w:rFonts w:hint="default" w:ascii="Times New Roman" w:hAnsi="Times New Roman" w:cs="Times New Roman"/>
                <w:b w:val="0"/>
                <w:bCs/>
                <w:color w:val="auto"/>
                <w:kern w:val="0"/>
                <w:sz w:val="24"/>
              </w:rPr>
              <w:t>）</w:t>
            </w:r>
            <w:r>
              <w:rPr>
                <w:rFonts w:hint="eastAsia" w:cs="Times New Roman"/>
                <w:b w:val="0"/>
                <w:bCs/>
                <w:color w:val="auto"/>
                <w:kern w:val="0"/>
                <w:sz w:val="24"/>
                <w:lang w:eastAsia="zh-CN"/>
              </w:rPr>
              <w:t>，</w:t>
            </w:r>
            <w:r>
              <w:rPr>
                <w:rFonts w:hint="default" w:ascii="Times New Roman" w:hAnsi="Times New Roman" w:cs="Times New Roman"/>
                <w:b w:val="0"/>
                <w:bCs/>
                <w:color w:val="auto"/>
                <w:kern w:val="0"/>
                <w:sz w:val="24"/>
              </w:rPr>
              <w:t>规划用地面积943.04公顷。</w:t>
            </w:r>
          </w:p>
          <w:p w14:paraId="5C468EF2">
            <w:pPr>
              <w:adjustRightInd w:val="0"/>
              <w:snapToGrid w:val="0"/>
              <w:ind w:firstLine="480" w:firstLineChars="200"/>
              <w:jc w:val="both"/>
              <w:rPr>
                <w:rFonts w:hint="eastAsia" w:cs="Times New Roman"/>
                <w:b w:val="0"/>
                <w:bCs/>
                <w:color w:val="auto"/>
                <w:kern w:val="0"/>
                <w:sz w:val="24"/>
                <w:lang w:val="en-US" w:eastAsia="zh-CN"/>
              </w:rPr>
            </w:pPr>
            <w:r>
              <w:rPr>
                <w:rFonts w:hint="default" w:ascii="Times New Roman" w:hAnsi="Times New Roman" w:cs="Times New Roman"/>
                <w:b w:val="0"/>
                <w:bCs/>
                <w:color w:val="auto"/>
                <w:kern w:val="0"/>
                <w:sz w:val="24"/>
              </w:rPr>
              <w:t>鄂尔多斯零碳产业园西片区即原鄂尔多斯江苏工业园区，位于内蒙古自治区鄂尔多斯市伊金霍洛旗苏布尔嘎镇。2012年3月，鄂尔多斯江苏工业园区取得《鄂尔多斯市人民政府关于同意设立鄂尔多斯江苏工业园区的批复》（鄂府函</w:t>
            </w:r>
            <w:r>
              <w:rPr>
                <w:rFonts w:hint="eastAsia" w:cs="Times New Roman"/>
                <w:b w:val="0"/>
                <w:bCs/>
                <w:color w:val="auto"/>
                <w:kern w:val="0"/>
                <w:sz w:val="24"/>
                <w:lang w:eastAsia="zh-CN"/>
              </w:rPr>
              <w:t>〔2012〕70号</w:t>
            </w:r>
            <w:r>
              <w:rPr>
                <w:rFonts w:hint="default" w:ascii="Times New Roman" w:hAnsi="Times New Roman" w:cs="Times New Roman"/>
                <w:b w:val="0"/>
                <w:bCs/>
                <w:color w:val="auto"/>
                <w:kern w:val="0"/>
                <w:sz w:val="24"/>
              </w:rPr>
              <w:t>），批复园区规划控制区面积238km</w:t>
            </w:r>
            <w:r>
              <w:rPr>
                <w:rFonts w:hint="default" w:ascii="Times New Roman" w:hAnsi="Times New Roman" w:cs="Times New Roman"/>
                <w:b w:val="0"/>
                <w:bCs/>
                <w:color w:val="auto"/>
                <w:kern w:val="0"/>
                <w:sz w:val="24"/>
                <w:vertAlign w:val="superscript"/>
              </w:rPr>
              <w:t>2</w:t>
            </w:r>
            <w:r>
              <w:rPr>
                <w:rFonts w:hint="default" w:ascii="Times New Roman" w:hAnsi="Times New Roman" w:cs="Times New Roman"/>
                <w:b w:val="0"/>
                <w:bCs/>
                <w:color w:val="auto"/>
                <w:kern w:val="0"/>
                <w:sz w:val="24"/>
              </w:rPr>
              <w:t>，规划建设面积 170km</w:t>
            </w:r>
            <w:r>
              <w:rPr>
                <w:rFonts w:hint="default" w:ascii="Times New Roman" w:hAnsi="Times New Roman" w:cs="Times New Roman"/>
                <w:b w:val="0"/>
                <w:bCs/>
                <w:color w:val="auto"/>
                <w:kern w:val="0"/>
                <w:sz w:val="24"/>
                <w:vertAlign w:val="superscript"/>
              </w:rPr>
              <w:t>2</w:t>
            </w:r>
            <w:r>
              <w:rPr>
                <w:rFonts w:hint="default" w:ascii="Times New Roman" w:hAnsi="Times New Roman" w:cs="Times New Roman"/>
                <w:b w:val="0"/>
                <w:bCs/>
                <w:color w:val="auto"/>
                <w:kern w:val="0"/>
                <w:sz w:val="24"/>
              </w:rPr>
              <w:t>。2012年10月，鄂尔多斯江苏工业园区完成《鄂尔多斯江苏工业园区总体规划》，并取得《鄂尔多斯市人民政府关于同意江苏工业园区总体规划的批复》（鄂府函</w:t>
            </w:r>
            <w:r>
              <w:rPr>
                <w:rFonts w:hint="eastAsia" w:cs="Times New Roman"/>
                <w:b w:val="0"/>
                <w:bCs/>
                <w:color w:val="auto"/>
                <w:kern w:val="0"/>
                <w:sz w:val="24"/>
                <w:lang w:eastAsia="zh-CN"/>
              </w:rPr>
              <w:t>〔2012〕434号</w:t>
            </w:r>
            <w:r>
              <w:rPr>
                <w:rFonts w:hint="default" w:ascii="Times New Roman" w:hAnsi="Times New Roman" w:cs="Times New Roman"/>
                <w:b w:val="0"/>
                <w:bCs/>
                <w:color w:val="auto"/>
                <w:kern w:val="0"/>
                <w:sz w:val="24"/>
              </w:rPr>
              <w:t>），批复园区规划控制面积238km</w:t>
            </w:r>
            <w:r>
              <w:rPr>
                <w:rFonts w:hint="default" w:ascii="Times New Roman" w:hAnsi="Times New Roman" w:cs="Times New Roman"/>
                <w:b w:val="0"/>
                <w:bCs/>
                <w:color w:val="auto"/>
                <w:kern w:val="0"/>
                <w:sz w:val="24"/>
                <w:vertAlign w:val="superscript"/>
              </w:rPr>
              <w:t>2</w:t>
            </w:r>
            <w:r>
              <w:rPr>
                <w:rFonts w:hint="default" w:ascii="Times New Roman" w:hAnsi="Times New Roman" w:cs="Times New Roman"/>
                <w:b w:val="0"/>
                <w:bCs/>
                <w:color w:val="auto"/>
                <w:kern w:val="0"/>
                <w:sz w:val="24"/>
              </w:rPr>
              <w:t>，规划建设用地面积170km</w:t>
            </w:r>
            <w:r>
              <w:rPr>
                <w:rFonts w:hint="default" w:ascii="Times New Roman" w:hAnsi="Times New Roman" w:cs="Times New Roman"/>
                <w:b w:val="0"/>
                <w:bCs/>
                <w:color w:val="auto"/>
                <w:kern w:val="0"/>
                <w:sz w:val="24"/>
                <w:vertAlign w:val="superscript"/>
              </w:rPr>
              <w:t>2</w:t>
            </w:r>
            <w:r>
              <w:rPr>
                <w:rFonts w:hint="default" w:ascii="Times New Roman" w:hAnsi="Times New Roman" w:cs="Times New Roman"/>
                <w:b w:val="0"/>
                <w:bCs/>
                <w:color w:val="auto"/>
                <w:kern w:val="0"/>
                <w:sz w:val="24"/>
              </w:rPr>
              <w:t>，园区以高端装备制造产业、通用航空产业等为主导产业，承接国际国内产业转移的现代工业园区。</w:t>
            </w:r>
          </w:p>
          <w:p w14:paraId="5E0802FD">
            <w:pPr>
              <w:adjustRightInd w:val="0"/>
              <w:snapToGrid w:val="0"/>
              <w:ind w:firstLine="480" w:firstLineChars="200"/>
              <w:jc w:val="both"/>
              <w:rPr>
                <w:rFonts w:hint="eastAsia" w:ascii="Times New Roman" w:cs="Times New Roman"/>
                <w:b w:val="0"/>
                <w:bCs/>
                <w:color w:val="auto"/>
                <w:kern w:val="0"/>
                <w:sz w:val="24"/>
                <w:lang w:val="en-US" w:eastAsia="zh-CN"/>
              </w:rPr>
            </w:pPr>
            <w:r>
              <w:rPr>
                <w:rFonts w:hint="eastAsia" w:cs="Times New Roman"/>
                <w:b w:val="0"/>
                <w:bCs/>
                <w:color w:val="auto"/>
                <w:kern w:val="0"/>
                <w:sz w:val="24"/>
                <w:lang w:val="en-US" w:eastAsia="zh-CN"/>
              </w:rPr>
              <w:t>2020年，</w:t>
            </w:r>
            <w:r>
              <w:rPr>
                <w:rFonts w:hint="eastAsia" w:ascii="Times New Roman" w:cs="Times New Roman"/>
                <w:b w:val="0"/>
                <w:bCs/>
                <w:color w:val="auto"/>
                <w:kern w:val="0"/>
                <w:sz w:val="24"/>
                <w:lang w:val="en-US" w:eastAsia="zh-CN"/>
              </w:rPr>
              <w:t>鄂尔多斯市人民政府</w:t>
            </w:r>
            <w:r>
              <w:rPr>
                <w:rFonts w:hint="eastAsia" w:cs="Times New Roman"/>
                <w:b w:val="0"/>
                <w:bCs/>
                <w:color w:val="auto"/>
                <w:kern w:val="0"/>
                <w:sz w:val="24"/>
                <w:lang w:val="en-US" w:eastAsia="zh-CN"/>
              </w:rPr>
              <w:t>根据</w:t>
            </w:r>
            <w:r>
              <w:rPr>
                <w:rFonts w:hint="default" w:ascii="Times New Roman" w:hAnsi="Times New Roman" w:cs="Times New Roman"/>
                <w:b w:val="0"/>
                <w:bCs/>
                <w:color w:val="auto"/>
                <w:kern w:val="0"/>
                <w:sz w:val="24"/>
              </w:rPr>
              <w:t>《关于促进工业园区高质量发展的若干意见》（内政发</w:t>
            </w:r>
            <w:r>
              <w:rPr>
                <w:rFonts w:hint="eastAsia" w:cs="Times New Roman"/>
                <w:b w:val="0"/>
                <w:bCs/>
                <w:color w:val="auto"/>
                <w:kern w:val="0"/>
                <w:sz w:val="24"/>
                <w:lang w:eastAsia="zh-CN"/>
              </w:rPr>
              <w:t>〔2019〕21号</w:t>
            </w:r>
            <w:r>
              <w:rPr>
                <w:rFonts w:hint="default" w:ascii="Times New Roman" w:hAnsi="Times New Roman" w:cs="Times New Roman"/>
                <w:b w:val="0"/>
                <w:bCs/>
                <w:color w:val="auto"/>
                <w:kern w:val="0"/>
                <w:sz w:val="24"/>
              </w:rPr>
              <w:t>）</w:t>
            </w:r>
            <w:r>
              <w:rPr>
                <w:rFonts w:hint="eastAsia" w:ascii="Times New Roman" w:hAnsi="Times New Roman" w:cs="Times New Roman"/>
                <w:b w:val="0"/>
                <w:bCs/>
                <w:color w:val="auto"/>
                <w:kern w:val="0"/>
                <w:sz w:val="24"/>
                <w:lang w:val="en-US" w:eastAsia="zh-CN"/>
              </w:rPr>
              <w:t>文件要求，</w:t>
            </w:r>
            <w:r>
              <w:rPr>
                <w:rFonts w:hint="eastAsia" w:cs="Times New Roman"/>
                <w:b w:val="0"/>
                <w:bCs/>
                <w:color w:val="auto"/>
                <w:kern w:val="0"/>
                <w:sz w:val="24"/>
                <w:lang w:val="en-US" w:eastAsia="zh-CN"/>
              </w:rPr>
              <w:t>将</w:t>
            </w:r>
            <w:r>
              <w:rPr>
                <w:rFonts w:hint="eastAsia" w:ascii="Times New Roman" w:cs="Times New Roman"/>
                <w:b w:val="0"/>
                <w:bCs/>
                <w:color w:val="auto"/>
                <w:kern w:val="0"/>
                <w:sz w:val="24"/>
                <w:lang w:val="en-US" w:eastAsia="zh-CN"/>
              </w:rPr>
              <w:t>鄂尔多斯圣圆煤化工基地（包含乌兰木伦工业项目区、汇能工业项目区）、鄂尔多斯江苏工业园区、伊金霍洛旗煤炭物流园区、札萨克煤炭物流产业园区</w:t>
            </w:r>
            <w:r>
              <w:rPr>
                <w:rFonts w:hint="eastAsia" w:cs="Times New Roman"/>
                <w:b w:val="0"/>
                <w:bCs/>
                <w:color w:val="auto"/>
                <w:kern w:val="0"/>
                <w:sz w:val="24"/>
                <w:lang w:val="en-US" w:eastAsia="zh-CN"/>
              </w:rPr>
              <w:t>等进行了整合，</w:t>
            </w:r>
            <w:r>
              <w:rPr>
                <w:rFonts w:hint="eastAsia" w:ascii="Times New Roman" w:cs="Times New Roman"/>
                <w:b w:val="0"/>
                <w:bCs/>
                <w:color w:val="auto"/>
                <w:kern w:val="0"/>
                <w:sz w:val="24"/>
                <w:lang w:val="en-US" w:eastAsia="zh-CN"/>
              </w:rPr>
              <w:t>成立了内蒙古鄂尔多斯蒙苏经济开发区。</w:t>
            </w:r>
          </w:p>
          <w:p w14:paraId="37C2C87C">
            <w:pPr>
              <w:adjustRightInd w:val="0"/>
              <w:snapToGrid w:val="0"/>
              <w:ind w:firstLine="480" w:firstLineChars="200"/>
              <w:jc w:val="both"/>
              <w:rPr>
                <w:rFonts w:hint="eastAsia" w:ascii="Times New Roman" w:cs="Times New Roman"/>
                <w:b w:val="0"/>
                <w:bCs/>
                <w:color w:val="auto"/>
                <w:kern w:val="0"/>
                <w:sz w:val="24"/>
                <w:lang w:val="en-US" w:eastAsia="zh-CN"/>
              </w:rPr>
            </w:pPr>
            <w:r>
              <w:rPr>
                <w:rFonts w:hint="eastAsia" w:ascii="Times New Roman" w:cs="Times New Roman"/>
                <w:b w:val="0"/>
                <w:bCs/>
                <w:color w:val="auto"/>
                <w:kern w:val="0"/>
                <w:sz w:val="24"/>
                <w:lang w:val="en-US" w:eastAsia="zh-CN"/>
              </w:rPr>
              <w:t>2022年2月23日，内蒙古自治区工业和信息化厅发布《关于印发实施内蒙古自治区开发区审核公告目录的通知》（内工信发</w:t>
            </w:r>
            <w:r>
              <w:rPr>
                <w:rFonts w:hint="eastAsia" w:cs="Times New Roman"/>
                <w:b w:val="0"/>
                <w:bCs/>
                <w:color w:val="auto"/>
                <w:kern w:val="0"/>
                <w:sz w:val="24"/>
                <w:lang w:val="en-US" w:eastAsia="zh-CN"/>
              </w:rPr>
              <w:t>〔2022〕</w:t>
            </w:r>
            <w:r>
              <w:rPr>
                <w:rFonts w:hint="eastAsia" w:ascii="Times New Roman" w:cs="Times New Roman"/>
                <w:b w:val="0"/>
                <w:bCs/>
                <w:color w:val="auto"/>
                <w:kern w:val="0"/>
                <w:sz w:val="24"/>
                <w:lang w:val="en-US" w:eastAsia="zh-CN"/>
              </w:rPr>
              <w:t>34 号），根据《内蒙古自治区开发区审核公告目录》，内蒙古鄂尔多斯蒙苏经济开发区园区级别为一类，分为江苏产业园、圣圆产业园、伊金霍洛物流园三个区块。江苏产业园主导产业是清洁能源、新材料。2024年3月1日，内蒙古自治区工业和信息化厅发布《关于印发实施内蒙古自治区工业园区审核公告目录的通知》（内工信发</w:t>
            </w:r>
            <w:r>
              <w:rPr>
                <w:rFonts w:hint="eastAsia" w:ascii="Times New Roman" w:hAnsi="Times New Roman" w:eastAsia="宋体" w:cs="Times New Roman"/>
                <w:color w:val="auto"/>
              </w:rPr>
              <w:t>〔20</w:t>
            </w:r>
            <w:r>
              <w:rPr>
                <w:rFonts w:hint="eastAsia" w:ascii="Times New Roman" w:hAnsi="Times New Roman" w:eastAsia="宋体" w:cs="Times New Roman"/>
                <w:color w:val="auto"/>
                <w:lang w:val="en-US" w:eastAsia="zh-CN"/>
              </w:rPr>
              <w:t>24</w:t>
            </w:r>
            <w:r>
              <w:rPr>
                <w:rFonts w:hint="eastAsia" w:ascii="Times New Roman" w:hAnsi="Times New Roman" w:eastAsia="宋体" w:cs="Times New Roman"/>
                <w:color w:val="auto"/>
              </w:rPr>
              <w:t>〕</w:t>
            </w:r>
            <w:r>
              <w:rPr>
                <w:rFonts w:hint="eastAsia" w:ascii="Times New Roman" w:cs="Times New Roman"/>
                <w:b w:val="0"/>
                <w:bCs/>
                <w:color w:val="auto"/>
                <w:kern w:val="0"/>
                <w:sz w:val="24"/>
                <w:lang w:val="en-US" w:eastAsia="zh-CN"/>
              </w:rPr>
              <w:t>87号），鄂尔多斯蒙苏经济开发区园区级别为一类，分为鄂尔多斯零碳产业园、圣圆煤化工产业园、伊金霍洛物流园三个区块。鄂尔多斯零碳产业园主导产业为装备制造。</w:t>
            </w:r>
          </w:p>
          <w:p w14:paraId="49996EDF">
            <w:pPr>
              <w:adjustRightInd w:val="0"/>
              <w:snapToGrid w:val="0"/>
              <w:ind w:firstLine="480" w:firstLineChars="200"/>
              <w:jc w:val="both"/>
              <w:rPr>
                <w:rFonts w:hint="eastAsia" w:ascii="Times New Roman" w:cs="Times New Roman"/>
                <w:b w:val="0"/>
                <w:bCs/>
                <w:color w:val="auto"/>
                <w:kern w:val="0"/>
                <w:sz w:val="24"/>
                <w:lang w:val="en-US" w:eastAsia="zh-CN"/>
              </w:rPr>
            </w:pPr>
            <w:r>
              <w:rPr>
                <w:rFonts w:hint="eastAsia" w:ascii="Times New Roman" w:cs="Times New Roman"/>
                <w:b w:val="0"/>
                <w:bCs/>
                <w:color w:val="auto"/>
                <w:kern w:val="0"/>
                <w:sz w:val="24"/>
                <w:lang w:val="en-US" w:eastAsia="zh-CN"/>
              </w:rPr>
              <w:t>2023年4月，鄂尔多斯蒙苏经济开发区管委会委托城市科学规划设计研究院有限公司编制《鄂尔多斯蒙苏经济开发区国土空间总体规划（2021-2035 年）（鄂尔多斯零碳产业园）》</w:t>
            </w:r>
          </w:p>
        </w:tc>
      </w:tr>
      <w:tr w14:paraId="36583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40" w:type="dxa"/>
            <w:vAlign w:val="center"/>
          </w:tcPr>
          <w:p w14:paraId="15130E5D">
            <w:pPr>
              <w:adjustRightInd w:val="0"/>
              <w:snapToGrid w:val="0"/>
              <w:spacing w:line="240" w:lineRule="auto"/>
              <w:jc w:val="center"/>
              <w:rPr>
                <w:color w:val="auto"/>
              </w:rPr>
            </w:pPr>
            <w:r>
              <w:rPr>
                <w:color w:val="auto"/>
              </w:rPr>
              <w:t>规划环境影响</w:t>
            </w:r>
          </w:p>
          <w:p w14:paraId="03B9B4D2">
            <w:pPr>
              <w:adjustRightInd w:val="0"/>
              <w:snapToGrid w:val="0"/>
              <w:spacing w:line="240" w:lineRule="auto"/>
              <w:jc w:val="center"/>
              <w:rPr>
                <w:color w:val="auto"/>
                <w:kern w:val="0"/>
              </w:rPr>
            </w:pPr>
            <w:r>
              <w:rPr>
                <w:color w:val="auto"/>
              </w:rPr>
              <w:t>评价情况</w:t>
            </w:r>
          </w:p>
        </w:tc>
        <w:tc>
          <w:tcPr>
            <w:tcW w:w="6730" w:type="dxa"/>
            <w:gridSpan w:val="3"/>
            <w:vAlign w:val="center"/>
          </w:tcPr>
          <w:p w14:paraId="7171FC8E">
            <w:pPr>
              <w:adjustRightInd w:val="0"/>
              <w:snapToGrid w:val="0"/>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2009年12月，《伊金霍洛旗阿镇现代装备制造业基地区域开发环境影响报告书》（中冶东方工程技术有限公司编制）取得《内蒙古自治区环境保护厅关于伊金霍洛旗阿镇现代装备制造业基地区域开发环境影响报告书审查意见》（内环字</w:t>
            </w:r>
            <w:r>
              <w:rPr>
                <w:rFonts w:hint="eastAsia" w:cs="Times New Roman"/>
                <w:color w:val="auto"/>
                <w:lang w:val="en-US" w:eastAsia="zh-CN"/>
              </w:rPr>
              <w:t>〔2009〕95号</w:t>
            </w:r>
            <w:r>
              <w:rPr>
                <w:rFonts w:hint="eastAsia" w:ascii="Times New Roman" w:hAnsi="Times New Roman" w:eastAsia="宋体" w:cs="Times New Roman"/>
                <w:color w:val="auto"/>
                <w:lang w:val="en-US" w:eastAsia="zh-CN"/>
              </w:rPr>
              <w:t>）：规划范围南临阿大一级公路，西为东红海子湖，包茂高速公路南北向穿过，基地东南毗邻鄂尔多斯机场；基地规划分为二期，总用地规模30.37km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lang w:val="en-US" w:eastAsia="zh-CN"/>
              </w:rPr>
              <w:t>，其中一期（2008</w:t>
            </w:r>
            <w:r>
              <w:rPr>
                <w:rFonts w:hint="eastAsia" w:cs="Times New Roman"/>
                <w:color w:val="auto"/>
                <w:lang w:val="en-US" w:eastAsia="zh-CN"/>
              </w:rPr>
              <w:t>—</w:t>
            </w:r>
            <w:r>
              <w:rPr>
                <w:rFonts w:hint="eastAsia" w:ascii="Times New Roman" w:hAnsi="Times New Roman" w:eastAsia="宋体" w:cs="Times New Roman"/>
                <w:color w:val="auto"/>
                <w:lang w:val="en-US" w:eastAsia="zh-CN"/>
              </w:rPr>
              <w:t>2011年）面积为8.17km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lang w:val="en-US" w:eastAsia="zh-CN"/>
              </w:rPr>
              <w:t>，二期（2012</w:t>
            </w:r>
            <w:r>
              <w:rPr>
                <w:rFonts w:hint="eastAsia" w:cs="Times New Roman"/>
                <w:color w:val="auto"/>
                <w:lang w:val="en-US" w:eastAsia="zh-CN"/>
              </w:rPr>
              <w:t>—</w:t>
            </w:r>
            <w:r>
              <w:rPr>
                <w:rFonts w:hint="eastAsia" w:ascii="Times New Roman" w:hAnsi="Times New Roman" w:eastAsia="宋体" w:cs="Times New Roman"/>
                <w:color w:val="auto"/>
                <w:lang w:val="en-US" w:eastAsia="zh-CN"/>
              </w:rPr>
              <w:t>2016年）面积为22.2km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lang w:val="en-US" w:eastAsia="zh-CN"/>
              </w:rPr>
              <w:t>。物流产业、汽车零部件产业、高新技术产业、煤机及化工机械加工等为基地的主导产业。</w:t>
            </w:r>
          </w:p>
          <w:p w14:paraId="5EC1E97B">
            <w:pPr>
              <w:adjustRightInd w:val="0"/>
              <w:snapToGrid w:val="0"/>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2014年11月，由中冶东方控股有限公司编制《鄂尔多斯江苏工业园区总体规划环境影响报告书》；并于 2014年11月19日，由原鄂尔多斯市环境保护局出具《鄂尔多斯市环境保护局关于鄂尔多斯江苏工业园区总体规划环境影响报告书的审查意见》（鄂环函</w:t>
            </w:r>
            <w:r>
              <w:rPr>
                <w:rFonts w:hint="eastAsia" w:cs="Times New Roman"/>
                <w:color w:val="auto"/>
                <w:lang w:val="en-US" w:eastAsia="zh-CN"/>
              </w:rPr>
              <w:t>〔2014〕142号</w:t>
            </w:r>
            <w:r>
              <w:rPr>
                <w:rFonts w:hint="eastAsia" w:ascii="Times New Roman" w:hAnsi="Times New Roman" w:eastAsia="宋体" w:cs="Times New Roman"/>
                <w:color w:val="auto"/>
                <w:lang w:val="en-US" w:eastAsia="zh-CN"/>
              </w:rPr>
              <w:t>）</w:t>
            </w:r>
            <w:r>
              <w:rPr>
                <w:rFonts w:hint="eastAsia" w:cs="Times New Roman"/>
                <w:color w:val="auto"/>
                <w:lang w:val="en-US" w:eastAsia="zh-CN"/>
              </w:rPr>
              <w:t>：</w:t>
            </w:r>
            <w:r>
              <w:rPr>
                <w:rFonts w:hint="eastAsia" w:ascii="Times New Roman" w:hAnsi="Times New Roman" w:eastAsia="宋体" w:cs="Times New Roman"/>
                <w:color w:val="auto"/>
                <w:lang w:val="en-US" w:eastAsia="zh-CN"/>
              </w:rPr>
              <w:t>规划范围为东起阿格图一社、南到查干图村、西至苏布尔嘎镇（西南至光明卓尔水库）、北至伊力概沟四社向北0.8km处；园区规划控制面积238km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lang w:val="en-US" w:eastAsia="zh-CN"/>
              </w:rPr>
              <w:t>，建设面积约170km</w:t>
            </w:r>
            <w:r>
              <w:rPr>
                <w:rFonts w:hint="eastAsia" w:ascii="Times New Roman" w:hAnsi="Times New Roman" w:eastAsia="宋体" w:cs="Times New Roman"/>
                <w:color w:val="auto"/>
                <w:vertAlign w:val="superscript"/>
                <w:lang w:val="en-US" w:eastAsia="zh-CN"/>
              </w:rPr>
              <w:t>2</w:t>
            </w:r>
            <w:r>
              <w:rPr>
                <w:rFonts w:hint="eastAsia" w:ascii="Times New Roman" w:hAnsi="Times New Roman" w:eastAsia="宋体" w:cs="Times New Roman"/>
                <w:color w:val="auto"/>
                <w:lang w:val="en-US" w:eastAsia="zh-CN"/>
              </w:rPr>
              <w:t>。园区产业定位以高端装备制造产业、通用航空产业为主导产业，以新型材料产业、新能源产业等为关联产业，以现代物流、文化创意和商务会展等现代服务业为配套，共同协调发展的产业体系。</w:t>
            </w:r>
          </w:p>
          <w:p w14:paraId="40671C0B">
            <w:pPr>
              <w:adjustRightInd w:val="0"/>
              <w:snapToGrid w:val="0"/>
              <w:ind w:firstLine="480" w:firstLineChars="200"/>
              <w:jc w:val="both"/>
              <w:rPr>
                <w:rFonts w:hint="eastAsia" w:eastAsia="宋体"/>
                <w:color w:val="auto"/>
                <w:kern w:val="0"/>
                <w:lang w:eastAsia="zh-CN"/>
              </w:rPr>
            </w:pPr>
            <w:r>
              <w:rPr>
                <w:rFonts w:hint="eastAsia" w:cs="Times New Roman"/>
                <w:color w:val="auto"/>
                <w:lang w:val="en-US" w:eastAsia="zh-CN"/>
              </w:rPr>
              <w:t>2023年8月，鄂尔多斯蒙苏经济开发区管理委员会委托内蒙古尚清环保科技有限公司编制了《鄂尔多斯蒙苏经济开发区国土空间总体规划（2021-2035 年）（鄂尔多斯零碳产业园）环境影响报告书》，于2024年12月20日经《内蒙古自治区生态环境厅关于＜鄂尔多斯蒙苏经济开发区国土空间总体规划(2021—2035年)鄂尔多斯零碳产业园环境影响报告书＞的审查意见》（内环审〔2024〕83号）文件审查通过。</w:t>
            </w:r>
          </w:p>
        </w:tc>
      </w:tr>
      <w:tr w14:paraId="17746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40" w:type="dxa"/>
            <w:vAlign w:val="center"/>
          </w:tcPr>
          <w:p w14:paraId="2F31B25C">
            <w:pPr>
              <w:autoSpaceDE w:val="0"/>
              <w:autoSpaceDN w:val="0"/>
              <w:adjustRightInd w:val="0"/>
              <w:snapToGrid w:val="0"/>
              <w:spacing w:line="240" w:lineRule="auto"/>
              <w:jc w:val="center"/>
              <w:rPr>
                <w:color w:val="auto"/>
                <w:kern w:val="0"/>
              </w:rPr>
            </w:pPr>
            <w:r>
              <w:rPr>
                <w:color w:val="auto"/>
                <w:kern w:val="0"/>
              </w:rPr>
              <w:t>规划及规划环境影响评价符合性分析</w:t>
            </w:r>
          </w:p>
        </w:tc>
        <w:tc>
          <w:tcPr>
            <w:tcW w:w="6730" w:type="dxa"/>
            <w:gridSpan w:val="3"/>
            <w:vAlign w:val="center"/>
          </w:tcPr>
          <w:p w14:paraId="0BBA84CD">
            <w:pPr>
              <w:adjustRightInd w:val="0"/>
              <w:snapToGrid w:val="0"/>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尔多斯零碳产业园整体为“一园两区”空间格局，包括鄂尔多斯零碳产业园西片区和鄂尔多斯零碳产业园装备制造片区两部分。鄂尔多斯零碳产业园西片区位于伊金霍洛旗苏布尔嘎镇，鄂尔多斯零碳产业园装备制造片区位于伊金霍洛旗阿勒腾席热镇。鄂尔多斯零碳产业园西片区、鄂尔多斯零碳产业园装备制造片区直线距离约19.17公里。</w:t>
            </w:r>
          </w:p>
          <w:p w14:paraId="5512F229">
            <w:pPr>
              <w:adjustRightInd w:val="0"/>
              <w:snapToGrid w:val="0"/>
              <w:ind w:firstLine="480" w:firstLineChars="200"/>
              <w:jc w:val="both"/>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本项目位于鄂尔多斯零碳产业园西片区。</w:t>
            </w:r>
          </w:p>
          <w:p w14:paraId="3C44AD41">
            <w:pPr>
              <w:adjustRightInd w:val="0"/>
              <w:snapToGrid w:val="0"/>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鄂尔多斯零碳产业园西片区产业定位——风光氢储车全产业链。新能源电池、新能源装备和新能源汽车为主导，打造零碳产业集群。</w:t>
            </w:r>
          </w:p>
          <w:p w14:paraId="74775A67">
            <w:pPr>
              <w:adjustRightInd w:val="0"/>
              <w:snapToGrid w:val="0"/>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尔多斯零碳产业园产业空间按照“西片区核心引领、装备制造片区强化支撑”的思路，有序推动新能源装备产业链供应链各环节企业落户，构建园区联动新格局。鄂尔多斯零碳产业园西片区依托新型绿色能源体系，发挥好电价政策优势，以绿色低碳技术优势和土地供给优势，集中招引新能源装备产业大型龙头企业及其一级供应商，同时考虑部分上下游衔接较为紧密的二级供应商布局。</w:t>
            </w:r>
          </w:p>
          <w:p w14:paraId="759D4310">
            <w:pPr>
              <w:adjustRightInd w:val="0"/>
              <w:snapToGrid w:val="0"/>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鄂尔多斯零碳产业园西片区规划建设“一心、两轴、四区”的空间布局</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一心</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鄂尔多斯零碳产业园区综合发展核心，以科研研发、商务商业、成果展示、人才公寓等综合功能辐射整个园区发展。两轴</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沿纬十五路零碳产业综合展示轴线和沿经六路鄂尔多斯零碳产业园区纵向延伸发展轴线。四区</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新能源上下游产业区（新能源电池、新能源汽车、新能源装备及其他相关产业以及光伏、氢能产业）；综合服务功能区；储能上下游产业区；新能源装备产业区。</w:t>
            </w:r>
          </w:p>
          <w:p w14:paraId="37531B30">
            <w:pPr>
              <w:ind w:firstLine="4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鄂尔多斯蒙苏经济开发区零碳产业园工业废水处理厂</w:t>
            </w:r>
            <w:r>
              <w:rPr>
                <w:rFonts w:hint="eastAsia" w:cs="Times New Roman"/>
                <w:color w:val="auto"/>
                <w:highlight w:val="none"/>
                <w:lang w:val="en-US" w:eastAsia="zh-CN"/>
              </w:rPr>
              <w:t>属于园区的基础设施，建设场址属于园区规划的污水处理设施用地，本项目为污水处理厂的配套设施，为蒸发结晶工序提供蒸汽，项目建设符合园区规划。</w:t>
            </w:r>
          </w:p>
          <w:p w14:paraId="00A48C51">
            <w:pPr>
              <w:pStyle w:val="52"/>
              <w:rPr>
                <w:rFonts w:hint="eastAsia"/>
                <w:color w:val="auto"/>
              </w:rPr>
            </w:pPr>
            <w:r>
              <w:rPr>
                <w:rFonts w:hint="eastAsia"/>
                <w:color w:val="auto"/>
              </w:rPr>
              <w:t>表1-2</w:t>
            </w:r>
            <w:r>
              <w:rPr>
                <w:color w:val="auto"/>
              </w:rPr>
              <w:t xml:space="preserve">  </w:t>
            </w:r>
            <w:r>
              <w:rPr>
                <w:rFonts w:hint="eastAsia"/>
                <w:color w:val="auto"/>
              </w:rPr>
              <w:t>本项目与园区规划的相符性分析表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16"/>
              <w:gridCol w:w="1069"/>
              <w:gridCol w:w="724"/>
            </w:tblGrid>
            <w:tr w14:paraId="4D0008B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21" w:type="pct"/>
                  <w:vAlign w:val="center"/>
                </w:tcPr>
                <w:p w14:paraId="26DE76A1">
                  <w:pPr>
                    <w:autoSpaceDE w:val="0"/>
                    <w:autoSpaceDN w:val="0"/>
                    <w:adjustRightInd w:val="0"/>
                    <w:snapToGrid w:val="0"/>
                    <w:spacing w:line="240" w:lineRule="auto"/>
                    <w:jc w:val="center"/>
                    <w:rPr>
                      <w:b w:val="0"/>
                      <w:color w:val="auto"/>
                      <w:kern w:val="0"/>
                      <w:sz w:val="21"/>
                      <w:szCs w:val="21"/>
                    </w:rPr>
                  </w:pPr>
                  <w:bookmarkStart w:id="3" w:name="OLE_LINK8"/>
                  <w:r>
                    <w:rPr>
                      <w:rFonts w:hint="eastAsia"/>
                      <w:b/>
                      <w:color w:val="auto"/>
                      <w:kern w:val="0"/>
                      <w:sz w:val="21"/>
                      <w:szCs w:val="21"/>
                      <w:lang w:val="en-US" w:eastAsia="zh-CN"/>
                    </w:rPr>
                    <w:t>零碳产业园</w:t>
                  </w:r>
                  <w:r>
                    <w:rPr>
                      <w:rFonts w:hint="eastAsia"/>
                      <w:b/>
                      <w:color w:val="auto"/>
                      <w:kern w:val="0"/>
                      <w:sz w:val="21"/>
                      <w:szCs w:val="21"/>
                    </w:rPr>
                    <w:t>规划环评中内容</w:t>
                  </w:r>
                </w:p>
              </w:tc>
              <w:tc>
                <w:tcPr>
                  <w:tcW w:w="821" w:type="pct"/>
                  <w:vAlign w:val="center"/>
                </w:tcPr>
                <w:p w14:paraId="3D184837">
                  <w:pPr>
                    <w:autoSpaceDE w:val="0"/>
                    <w:autoSpaceDN w:val="0"/>
                    <w:adjustRightInd w:val="0"/>
                    <w:snapToGrid w:val="0"/>
                    <w:spacing w:line="240" w:lineRule="auto"/>
                    <w:jc w:val="center"/>
                    <w:rPr>
                      <w:b w:val="0"/>
                      <w:color w:val="auto"/>
                      <w:kern w:val="0"/>
                      <w:sz w:val="21"/>
                      <w:szCs w:val="21"/>
                    </w:rPr>
                  </w:pPr>
                  <w:r>
                    <w:rPr>
                      <w:rFonts w:hint="eastAsia"/>
                      <w:b/>
                      <w:color w:val="auto"/>
                      <w:kern w:val="0"/>
                      <w:sz w:val="21"/>
                      <w:szCs w:val="21"/>
                    </w:rPr>
                    <w:t>本项目</w:t>
                  </w:r>
                </w:p>
              </w:tc>
              <w:tc>
                <w:tcPr>
                  <w:tcW w:w="556" w:type="pct"/>
                  <w:vAlign w:val="center"/>
                </w:tcPr>
                <w:p w14:paraId="3570ED60">
                  <w:pPr>
                    <w:autoSpaceDE w:val="0"/>
                    <w:autoSpaceDN w:val="0"/>
                    <w:adjustRightInd w:val="0"/>
                    <w:snapToGrid w:val="0"/>
                    <w:spacing w:line="240" w:lineRule="auto"/>
                    <w:jc w:val="center"/>
                    <w:rPr>
                      <w:b w:val="0"/>
                      <w:color w:val="auto"/>
                      <w:kern w:val="0"/>
                      <w:sz w:val="21"/>
                      <w:szCs w:val="21"/>
                    </w:rPr>
                  </w:pPr>
                  <w:r>
                    <w:rPr>
                      <w:rFonts w:hint="eastAsia"/>
                      <w:b/>
                      <w:color w:val="auto"/>
                      <w:kern w:val="0"/>
                      <w:sz w:val="21"/>
                      <w:szCs w:val="21"/>
                    </w:rPr>
                    <w:t>是否相符</w:t>
                  </w:r>
                </w:p>
              </w:tc>
            </w:tr>
            <w:tr w14:paraId="01EF3A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21" w:type="pct"/>
                  <w:vAlign w:val="center"/>
                </w:tcPr>
                <w:p w14:paraId="19F42FE0">
                  <w:pPr>
                    <w:autoSpaceDE w:val="0"/>
                    <w:autoSpaceDN w:val="0"/>
                    <w:adjustRightInd w:val="0"/>
                    <w:snapToGrid w:val="0"/>
                    <w:spacing w:line="240" w:lineRule="auto"/>
                    <w:jc w:val="center"/>
                    <w:rPr>
                      <w:color w:val="auto"/>
                      <w:kern w:val="0"/>
                      <w:sz w:val="21"/>
                      <w:szCs w:val="21"/>
                    </w:rPr>
                  </w:pPr>
                  <w:r>
                    <w:rPr>
                      <w:rFonts w:hint="eastAsia" w:cs="Times New Roman"/>
                      <w:color w:val="auto"/>
                      <w:sz w:val="21"/>
                      <w:szCs w:val="21"/>
                      <w:lang w:val="en-US" w:eastAsia="zh-CN"/>
                    </w:rPr>
                    <w:t>鄂尔多斯零碳产业园西片区以天然气为气源。园区规划建设天然气门站一座，占地面积3.32公顷，通过长输管线接中石油二十号集气站。鄂尔多斯零碳产业园西片区目前已接入天然气管线。</w:t>
                  </w:r>
                </w:p>
              </w:tc>
              <w:tc>
                <w:tcPr>
                  <w:tcW w:w="821" w:type="pct"/>
                  <w:vAlign w:val="center"/>
                </w:tcPr>
                <w:p w14:paraId="725BE47E">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rPr>
                    <w:t>本项目</w:t>
                  </w:r>
                  <w:r>
                    <w:rPr>
                      <w:rFonts w:hint="eastAsia"/>
                      <w:color w:val="auto"/>
                      <w:kern w:val="0"/>
                      <w:sz w:val="21"/>
                      <w:szCs w:val="21"/>
                      <w:lang w:val="en-US" w:eastAsia="zh-CN"/>
                    </w:rPr>
                    <w:t>锅炉燃料</w:t>
                  </w:r>
                  <w:r>
                    <w:rPr>
                      <w:rFonts w:hint="eastAsia"/>
                      <w:color w:val="auto"/>
                      <w:kern w:val="0"/>
                      <w:sz w:val="21"/>
                      <w:szCs w:val="21"/>
                    </w:rPr>
                    <w:t>采用管道天然气</w:t>
                  </w:r>
                  <w:r>
                    <w:rPr>
                      <w:rFonts w:hint="eastAsia"/>
                      <w:color w:val="auto"/>
                      <w:kern w:val="0"/>
                      <w:sz w:val="21"/>
                      <w:szCs w:val="21"/>
                      <w:lang w:eastAsia="zh-CN"/>
                    </w:rPr>
                    <w:t>，可以保障本</w:t>
                  </w:r>
                  <w:r>
                    <w:rPr>
                      <w:rFonts w:hint="eastAsia"/>
                      <w:color w:val="auto"/>
                      <w:kern w:val="0"/>
                      <w:sz w:val="21"/>
                      <w:szCs w:val="21"/>
                      <w:lang w:val="en-US" w:eastAsia="zh-CN"/>
                    </w:rPr>
                    <w:t>项目</w:t>
                  </w:r>
                  <w:r>
                    <w:rPr>
                      <w:rFonts w:hint="eastAsia"/>
                      <w:color w:val="auto"/>
                      <w:kern w:val="0"/>
                      <w:sz w:val="21"/>
                      <w:szCs w:val="21"/>
                      <w:lang w:eastAsia="zh-CN"/>
                    </w:rPr>
                    <w:t>的供气需求。</w:t>
                  </w:r>
                </w:p>
              </w:tc>
              <w:tc>
                <w:tcPr>
                  <w:tcW w:w="556" w:type="pct"/>
                  <w:vAlign w:val="center"/>
                </w:tcPr>
                <w:p w14:paraId="3FDFB449">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rPr>
                    <w:t>相符</w:t>
                  </w:r>
                </w:p>
              </w:tc>
            </w:tr>
            <w:tr w14:paraId="337BC0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21" w:type="pct"/>
                  <w:vAlign w:val="center"/>
                </w:tcPr>
                <w:p w14:paraId="67C54A73">
                  <w:pPr>
                    <w:autoSpaceDE w:val="0"/>
                    <w:autoSpaceDN w:val="0"/>
                    <w:adjustRightInd w:val="0"/>
                    <w:snapToGrid w:val="0"/>
                    <w:spacing w:line="240" w:lineRule="auto"/>
                    <w:jc w:val="both"/>
                    <w:rPr>
                      <w:color w:val="auto"/>
                      <w:kern w:val="0"/>
                      <w:sz w:val="21"/>
                      <w:szCs w:val="21"/>
                    </w:rPr>
                  </w:pPr>
                  <w:r>
                    <w:rPr>
                      <w:rFonts w:hint="eastAsia" w:ascii="Times New Roman" w:hAnsi="Times New Roman" w:eastAsia="宋体" w:cs="Times New Roman"/>
                      <w:color w:val="auto"/>
                      <w:sz w:val="21"/>
                      <w:szCs w:val="21"/>
                      <w:lang w:val="en-US" w:eastAsia="zh-CN"/>
                    </w:rPr>
                    <w:t>大气环境污染防治要求：①严格环境准入，强化源头管理</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严格落实国家、自治区关于污染物排放总量控制制度，将污染物总量控制指标作为新上项目审批的前置条件，严控污染物排放总量，以总量定项目。严格执行新建锅炉准入制度，禁止新建 35 蒸吨/小时以下的燃煤锅炉。规划项目应该把挥发性有机物污染控制作为建设项目环境影响评价的重要内容，采取严格的污染控制措施。新、改、扩建项目排放挥发性有机物的车间有机废气的收集率应大于 90%，安装废气回收/净化装置。规划项目应采用清洁生产技术、工艺和设备，减少大气污染物产排放。②加强污染源的管控和治理</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持续开展 VOCs 治理、采取有效措施削减设备动静密封点、有机液体储存和装卸、污水收集暂存和处理系统等环节产生挥发性有机物（VOCs）、恶臭物质及有毒有害污染物的逸散与排放。通过专有设备或火炬等设施妥善处理非正常排放废气。根据《内蒙古自治区工业炉窑大气污染综合治理实施方案》（内环办</w:t>
                  </w:r>
                  <w:r>
                    <w:rPr>
                      <w:rFonts w:hint="eastAsia" w:cs="Times New Roman"/>
                      <w:color w:val="auto"/>
                      <w:sz w:val="21"/>
                      <w:szCs w:val="21"/>
                      <w:lang w:val="en-US" w:eastAsia="zh-CN"/>
                    </w:rPr>
                    <w:t>〔2019〕</w:t>
                  </w:r>
                  <w:r>
                    <w:rPr>
                      <w:rFonts w:hint="eastAsia" w:ascii="Times New Roman" w:hAnsi="Times New Roman" w:eastAsia="宋体" w:cs="Times New Roman"/>
                      <w:color w:val="auto"/>
                      <w:sz w:val="21"/>
                      <w:szCs w:val="21"/>
                      <w:lang w:val="en-US" w:eastAsia="zh-CN"/>
                    </w:rPr>
                    <w:t>295 号）相关要求，强化工业窑炉达标治理，确保污染物排放浓度达到行业排放标准限值要求。全面加强无组织排放管理。严格控制工业炉窑生产工艺过程及相关物料储存、输送等无组织排放。推进重点行业污染深度治理。建立“散乱污”工业企业综合整治长效机制，对“散乱污”企业采取“三清两断”（即断水、断电、断气、清除原料、清除产品、清除设备）等措施，防止“散乱污”工业企业死灰复燃，确保清理整顿工作执行到位。同时，进一步加强执法监督和统一监管，各部门强化联动执法，对违法行为及时采取相应停止或限制措施，依法依规推动“散乱污”工业企业整治工作。加大园区扬尘整治。粉状物料堆场全封闭，堆场视频监管方面。并与市、旗区环保部门联网，块状物料堆场必须安装抑尘设施。③合理建设布局</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工业用地布局上，依据园区的位置以及主导风向等因素，进行工业企业布局，尽量减少工业区可能对周边环境造成的大气污染。禁止不符合园区产业定位以及环境保护准入条件的工业项目进入本园区。加强绿化。绿化林带能起到隔离污染、减弱噪声和净化空气的作用。拟在园区与镇区最近的区域建设绿化隔离防护带。④强化移动污染源控制</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推进柴油货车超标排放综合治理，在用重型柴油车应当按照规定加装、更换污染控制装置，排放的污染物应当符合国家规定的排放标准。⑤加强施工扬尘控制</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加强各类开发活动和施工工地扬尘污染监管。建立健全扬尘环境管理制度和机制，加强文明施工管理，积极创建绿色工地。建立对违法违规企业的长效制约机制，对施工单位扬尘污染不良行为予以处罚和公示。积极推进绿色施工，建设工程施工现场严禁敞开式作业，实施扬尘污染防治全过程管理，降低环境本底值。⑥对入园企业污染治理设施全过程监管</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对引进项目，要从环评、设计、验收、运行监督等方面强化污染治理设施的全过程监管。⑦全面加强联防联控的能力建设</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加强重点污染源自动监控体系建设重点污染源建设自动监控体系，在线监测仪器与开发区监测站中心控制系统相连，以便随时掌握高架源的排放情况。强化监测数据质量控制自动监控设施应与生态环境主管部门联网。加强自动监控设施运营维护，数据传输有效率达到 90%。企业在正常生产以及限产、停产、检修等非正常工况下，均应保证自动监控设施正常运行并联网传输数据。⑧制定优惠政策鼓励企业改造降低污染物排放水平</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项目工艺技术水平的高低，在很大程度上决定了污染物的产生水平和排放强度，相同产能的同种产品，不同的技术水平，污染物的排放量存在着很大的差别，因此，产品生产过程技术水平的提高，是降低污染物排放量的重要手段。园区制定鼓励企业通过技术改造降低污染物排放水平的优惠政策，是一种有效的减排管理手段。</w:t>
                  </w:r>
                </w:p>
              </w:tc>
              <w:tc>
                <w:tcPr>
                  <w:tcW w:w="821" w:type="pct"/>
                  <w:vAlign w:val="center"/>
                </w:tcPr>
                <w:p w14:paraId="55528F2D">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rPr>
                    <w:t>项目使用2台12t/h的燃气锅炉</w:t>
                  </w:r>
                  <w:r>
                    <w:rPr>
                      <w:rFonts w:hint="eastAsia"/>
                      <w:color w:val="auto"/>
                      <w:kern w:val="0"/>
                      <w:sz w:val="21"/>
                      <w:szCs w:val="21"/>
                      <w:lang w:eastAsia="zh-CN"/>
                    </w:rPr>
                    <w:t>（</w:t>
                  </w:r>
                  <w:r>
                    <w:rPr>
                      <w:rFonts w:hint="eastAsia"/>
                      <w:color w:val="auto"/>
                      <w:kern w:val="0"/>
                      <w:sz w:val="21"/>
                      <w:szCs w:val="21"/>
                    </w:rPr>
                    <w:t>1用1备</w:t>
                  </w:r>
                  <w:r>
                    <w:rPr>
                      <w:rFonts w:hint="eastAsia"/>
                      <w:color w:val="auto"/>
                      <w:kern w:val="0"/>
                      <w:sz w:val="21"/>
                      <w:szCs w:val="21"/>
                      <w:lang w:eastAsia="zh-CN"/>
                    </w:rPr>
                    <w:t>）</w:t>
                  </w:r>
                  <w:r>
                    <w:rPr>
                      <w:rFonts w:hint="eastAsia"/>
                      <w:color w:val="auto"/>
                      <w:kern w:val="0"/>
                      <w:sz w:val="21"/>
                      <w:szCs w:val="21"/>
                    </w:rPr>
                    <w:t>为园区污水处理工程蒸发结晶工段提供热源，</w:t>
                  </w:r>
                  <w:r>
                    <w:rPr>
                      <w:rFonts w:hint="eastAsia"/>
                      <w:color w:val="auto"/>
                      <w:kern w:val="0"/>
                      <w:sz w:val="21"/>
                      <w:szCs w:val="21"/>
                      <w:lang w:val="en-US" w:eastAsia="zh-CN"/>
                    </w:rPr>
                    <w:t>本项目生产过程中采用低氮燃烧，</w:t>
                  </w:r>
                  <w:r>
                    <w:rPr>
                      <w:rFonts w:hint="eastAsia"/>
                      <w:color w:val="auto"/>
                      <w:kern w:val="0"/>
                      <w:sz w:val="21"/>
                      <w:szCs w:val="21"/>
                    </w:rPr>
                    <w:t>SO</w:t>
                  </w:r>
                  <w:r>
                    <w:rPr>
                      <w:rFonts w:hint="eastAsia"/>
                      <w:color w:val="auto"/>
                      <w:kern w:val="0"/>
                      <w:sz w:val="21"/>
                      <w:szCs w:val="21"/>
                      <w:vertAlign w:val="subscript"/>
                    </w:rPr>
                    <w:t>2</w:t>
                  </w:r>
                  <w:r>
                    <w:rPr>
                      <w:rFonts w:hint="eastAsia"/>
                      <w:color w:val="auto"/>
                      <w:kern w:val="0"/>
                      <w:sz w:val="21"/>
                      <w:szCs w:val="21"/>
                    </w:rPr>
                    <w:t>、NO</w:t>
                  </w:r>
                  <w:r>
                    <w:rPr>
                      <w:rFonts w:hint="eastAsia"/>
                      <w:color w:val="auto"/>
                      <w:kern w:val="0"/>
                      <w:sz w:val="21"/>
                      <w:szCs w:val="21"/>
                      <w:vertAlign w:val="subscript"/>
                    </w:rPr>
                    <w:t>X</w:t>
                  </w:r>
                  <w:r>
                    <w:rPr>
                      <w:rFonts w:hint="eastAsia"/>
                      <w:color w:val="auto"/>
                      <w:kern w:val="0"/>
                      <w:sz w:val="21"/>
                      <w:szCs w:val="21"/>
                    </w:rPr>
                    <w:t>产生量较小对周围环境影响较小。</w:t>
                  </w:r>
                </w:p>
              </w:tc>
              <w:tc>
                <w:tcPr>
                  <w:tcW w:w="556" w:type="pct"/>
                  <w:vAlign w:val="center"/>
                </w:tcPr>
                <w:p w14:paraId="591FBE36">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rPr>
                    <w:t>相符</w:t>
                  </w:r>
                </w:p>
              </w:tc>
            </w:tr>
            <w:tr w14:paraId="2FBD5A0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21" w:type="pct"/>
                  <w:vAlign w:val="center"/>
                </w:tcPr>
                <w:p w14:paraId="6B41CD87">
                  <w:pPr>
                    <w:autoSpaceDE w:val="0"/>
                    <w:autoSpaceDN w:val="0"/>
                    <w:adjustRightInd w:val="0"/>
                    <w:snapToGrid w:val="0"/>
                    <w:spacing w:line="240" w:lineRule="auto"/>
                    <w:jc w:val="both"/>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环境污染防治要求：园区废水污染的减缓措施体现在源头、生产中以及末端三个阶段。首先在选择工艺路线时优先选择废水排放量少的工艺装置，在实践中表现为按照清洁生产原则与减少废水产生的要求，优化确定具体项目的原料路线、工艺技术；其次在装置内、装置之间、不同企业间建立废水循环利用关系，力求在生产过程中减少废水的产生量，具体表现为一水多用、重复利用等；最后是建立完善的废水收集与处理系统，也就是实施末端治理，这是控制水污染的最后防线，主要包括废水收集系统、预处理系统、废水再生处理系统等。</w:t>
                  </w:r>
                </w:p>
              </w:tc>
              <w:tc>
                <w:tcPr>
                  <w:tcW w:w="821" w:type="pct"/>
                  <w:vAlign w:val="center"/>
                </w:tcPr>
                <w:p w14:paraId="4CCC6ADB">
                  <w:pPr>
                    <w:autoSpaceDE w:val="0"/>
                    <w:autoSpaceDN w:val="0"/>
                    <w:adjustRightInd w:val="0"/>
                    <w:snapToGrid w:val="0"/>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本项目生产废水排入本公司废水处理厂隆基废水处理系统进行处理后，回用于隆基生产用水，不外排。</w:t>
                  </w:r>
                </w:p>
              </w:tc>
              <w:tc>
                <w:tcPr>
                  <w:tcW w:w="556" w:type="pct"/>
                  <w:vAlign w:val="center"/>
                </w:tcPr>
                <w:p w14:paraId="08EB40BE">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r w14:paraId="17D2EE5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621" w:type="pct"/>
                  <w:vAlign w:val="center"/>
                </w:tcPr>
                <w:p w14:paraId="44C750B6">
                  <w:pPr>
                    <w:autoSpaceDE w:val="0"/>
                    <w:autoSpaceDN w:val="0"/>
                    <w:adjustRightInd w:val="0"/>
                    <w:snapToGrid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园区环境风险防范对策</w:t>
                  </w:r>
                  <w:r>
                    <w:rPr>
                      <w:rFonts w:hint="eastAsia" w:cs="Times New Roman"/>
                      <w:color w:val="auto"/>
                      <w:sz w:val="21"/>
                      <w:szCs w:val="21"/>
                      <w:lang w:val="en-US" w:eastAsia="zh-CN"/>
                    </w:rPr>
                    <w:t>：①</w:t>
                  </w:r>
                  <w:r>
                    <w:rPr>
                      <w:rFonts w:hint="eastAsia" w:ascii="Times New Roman" w:hAnsi="Times New Roman" w:eastAsia="宋体" w:cs="Times New Roman"/>
                      <w:color w:val="auto"/>
                      <w:sz w:val="21"/>
                      <w:szCs w:val="21"/>
                      <w:lang w:val="en-US" w:eastAsia="zh-CN"/>
                    </w:rPr>
                    <w:t>环境风险防范措施</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为减少事故状态下对环境的影响，应从装置、企业、园区三个层级构建环境风险防护体系和完善应急预案，包括针对各重大危险源设立围堰、建立废水事故应急区域调控、完善区域应急能力建设和应急跟踪监测计划等措施，及时监测预警事故出现，一旦发现事故应立即启动应急预案，以减轻对周围环境空气和水环境的影响。在强化安全管理、采取有效的事故防范和应急措施后，风险事故对周边环境保护目标的影响可得到有效消减。②合理优化园区风险源布局</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为最大限度减少突发事故风险对环境保护目标的不利影响，首先应从空间布局上将风险较大的储罐和生产装置优先考虑设置在远离居住区等环境保护目标的地块。园区拟建项目的涉重大危险源生产装置和储罐区应尽量远离呼和温都尔镇规划用地布局。事故风险源设在非主导风向，尽量布在下风向。加强园区环境风险预警体系建设，从园区总体层面上，建立统一的园区风险预警平台，将各基地企业的风险源、在线监测、应急监测等纳入该平台体系，实现实时预警和信息共享。按照环发</w:t>
                  </w:r>
                  <w:r>
                    <w:rPr>
                      <w:rFonts w:hint="eastAsia" w:cs="Times New Roman"/>
                      <w:color w:val="auto"/>
                      <w:sz w:val="21"/>
                      <w:szCs w:val="21"/>
                      <w:lang w:val="en-US" w:eastAsia="zh-CN"/>
                    </w:rPr>
                    <w:t>〔2012〕</w:t>
                  </w:r>
                  <w:r>
                    <w:rPr>
                      <w:rFonts w:hint="eastAsia" w:ascii="Times New Roman" w:hAnsi="Times New Roman" w:eastAsia="宋体" w:cs="Times New Roman"/>
                      <w:color w:val="auto"/>
                      <w:sz w:val="21"/>
                      <w:szCs w:val="21"/>
                      <w:lang w:val="en-US" w:eastAsia="zh-CN"/>
                    </w:rPr>
                    <w:t>54 号文件要求，加快园区环境风险预警体系建设。3、加强园区环境风险应急保障体系建设</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全面构建园区环境风险应急保障体系，包括从人力、物力、财力、交通运输、医疗卫生、通信及安全保障等各方面。</w:t>
                  </w:r>
                </w:p>
              </w:tc>
              <w:tc>
                <w:tcPr>
                  <w:tcW w:w="821" w:type="pct"/>
                  <w:vAlign w:val="center"/>
                </w:tcPr>
                <w:p w14:paraId="109C0595">
                  <w:pPr>
                    <w:pStyle w:val="25"/>
                    <w:jc w:val="center"/>
                    <w:rPr>
                      <w:rFonts w:hint="eastAsia"/>
                      <w:color w:val="auto"/>
                      <w:kern w:val="0"/>
                      <w:sz w:val="21"/>
                      <w:szCs w:val="21"/>
                      <w:lang w:val="en-US" w:eastAsia="zh-CN"/>
                    </w:rPr>
                  </w:pPr>
                  <w:r>
                    <w:rPr>
                      <w:rFonts w:hint="eastAsia"/>
                      <w:bCs/>
                      <w:color w:val="auto"/>
                    </w:rPr>
                    <w:t>本项目不存在重大风险源，加强日常环境风险监督。</w:t>
                  </w:r>
                </w:p>
              </w:tc>
              <w:tc>
                <w:tcPr>
                  <w:tcW w:w="556" w:type="pct"/>
                  <w:vAlign w:val="center"/>
                </w:tcPr>
                <w:p w14:paraId="5F16E54B">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bookmarkEnd w:id="3"/>
          </w:tbl>
          <w:p w14:paraId="0F739BCE">
            <w:pPr>
              <w:pStyle w:val="52"/>
              <w:rPr>
                <w:color w:val="auto"/>
              </w:rPr>
            </w:pPr>
            <w:r>
              <w:rPr>
                <w:rFonts w:hint="eastAsia"/>
                <w:color w:val="auto"/>
              </w:rPr>
              <w:t>1-</w:t>
            </w:r>
            <w:r>
              <w:rPr>
                <w:rFonts w:hint="eastAsia"/>
                <w:color w:val="auto"/>
                <w:lang w:val="en-US" w:eastAsia="zh-CN"/>
              </w:rPr>
              <w:t>3</w:t>
            </w:r>
            <w:r>
              <w:rPr>
                <w:color w:val="auto"/>
              </w:rPr>
              <w:t xml:space="preserve">  </w:t>
            </w:r>
            <w:r>
              <w:rPr>
                <w:rFonts w:hint="eastAsia"/>
                <w:color w:val="auto"/>
              </w:rPr>
              <w:t>本项目与园区规划环评审查意见的相符性分析表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79"/>
              <w:gridCol w:w="1806"/>
              <w:gridCol w:w="724"/>
            </w:tblGrid>
            <w:tr w14:paraId="6B60917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423F6959">
                  <w:pPr>
                    <w:autoSpaceDE w:val="0"/>
                    <w:autoSpaceDN w:val="0"/>
                    <w:adjustRightInd w:val="0"/>
                    <w:snapToGrid w:val="0"/>
                    <w:spacing w:line="240" w:lineRule="auto"/>
                    <w:jc w:val="center"/>
                    <w:rPr>
                      <w:b w:val="0"/>
                      <w:color w:val="auto"/>
                      <w:kern w:val="0"/>
                      <w:sz w:val="21"/>
                      <w:szCs w:val="21"/>
                    </w:rPr>
                  </w:pPr>
                  <w:r>
                    <w:rPr>
                      <w:rFonts w:hint="eastAsia"/>
                      <w:b/>
                      <w:color w:val="auto"/>
                      <w:kern w:val="0"/>
                      <w:sz w:val="21"/>
                      <w:szCs w:val="21"/>
                      <w:lang w:val="en-US" w:eastAsia="zh-CN"/>
                    </w:rPr>
                    <w:t>零碳产业园</w:t>
                  </w:r>
                  <w:r>
                    <w:rPr>
                      <w:rFonts w:hint="eastAsia"/>
                      <w:b/>
                      <w:color w:val="auto"/>
                      <w:kern w:val="0"/>
                      <w:sz w:val="21"/>
                      <w:szCs w:val="21"/>
                    </w:rPr>
                    <w:t>规划环评</w:t>
                  </w:r>
                  <w:r>
                    <w:rPr>
                      <w:rFonts w:hint="eastAsia"/>
                      <w:b/>
                      <w:color w:val="auto"/>
                      <w:kern w:val="0"/>
                      <w:sz w:val="21"/>
                      <w:szCs w:val="21"/>
                      <w:lang w:val="en-US" w:eastAsia="zh-CN"/>
                    </w:rPr>
                    <w:t>审查意见</w:t>
                  </w:r>
                  <w:r>
                    <w:rPr>
                      <w:rFonts w:hint="eastAsia"/>
                      <w:b/>
                      <w:color w:val="auto"/>
                      <w:kern w:val="0"/>
                      <w:sz w:val="21"/>
                      <w:szCs w:val="21"/>
                    </w:rPr>
                    <w:t>内容</w:t>
                  </w:r>
                </w:p>
              </w:tc>
              <w:tc>
                <w:tcPr>
                  <w:tcW w:w="1387" w:type="pct"/>
                  <w:vAlign w:val="center"/>
                </w:tcPr>
                <w:p w14:paraId="6D33A67C">
                  <w:pPr>
                    <w:autoSpaceDE w:val="0"/>
                    <w:autoSpaceDN w:val="0"/>
                    <w:adjustRightInd w:val="0"/>
                    <w:snapToGrid w:val="0"/>
                    <w:spacing w:line="240" w:lineRule="auto"/>
                    <w:jc w:val="center"/>
                    <w:rPr>
                      <w:b w:val="0"/>
                      <w:color w:val="auto"/>
                      <w:kern w:val="0"/>
                      <w:sz w:val="21"/>
                      <w:szCs w:val="21"/>
                    </w:rPr>
                  </w:pPr>
                  <w:r>
                    <w:rPr>
                      <w:rFonts w:hint="eastAsia"/>
                      <w:b/>
                      <w:color w:val="auto"/>
                      <w:kern w:val="0"/>
                      <w:sz w:val="21"/>
                      <w:szCs w:val="21"/>
                    </w:rPr>
                    <w:t>本项目</w:t>
                  </w:r>
                </w:p>
              </w:tc>
              <w:tc>
                <w:tcPr>
                  <w:tcW w:w="556" w:type="pct"/>
                  <w:vAlign w:val="center"/>
                </w:tcPr>
                <w:p w14:paraId="27C2BE45">
                  <w:pPr>
                    <w:autoSpaceDE w:val="0"/>
                    <w:autoSpaceDN w:val="0"/>
                    <w:adjustRightInd w:val="0"/>
                    <w:snapToGrid w:val="0"/>
                    <w:spacing w:line="240" w:lineRule="auto"/>
                    <w:jc w:val="center"/>
                    <w:rPr>
                      <w:b w:val="0"/>
                      <w:color w:val="auto"/>
                      <w:kern w:val="0"/>
                      <w:sz w:val="21"/>
                      <w:szCs w:val="21"/>
                    </w:rPr>
                  </w:pPr>
                  <w:r>
                    <w:rPr>
                      <w:rFonts w:hint="eastAsia"/>
                      <w:b/>
                      <w:color w:val="auto"/>
                      <w:kern w:val="0"/>
                      <w:sz w:val="21"/>
                      <w:szCs w:val="21"/>
                    </w:rPr>
                    <w:t>是否相符</w:t>
                  </w:r>
                </w:p>
              </w:tc>
            </w:tr>
            <w:tr w14:paraId="4103214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3056" w:type="pct"/>
                  <w:vAlign w:val="center"/>
                </w:tcPr>
                <w:p w14:paraId="11751711">
                  <w:pPr>
                    <w:autoSpaceDE w:val="0"/>
                    <w:autoSpaceDN w:val="0"/>
                    <w:adjustRightInd w:val="0"/>
                    <w:snapToGrid w:val="0"/>
                    <w:spacing w:line="240" w:lineRule="auto"/>
                    <w:jc w:val="center"/>
                    <w:rPr>
                      <w:color w:val="auto"/>
                      <w:kern w:val="0"/>
                      <w:sz w:val="21"/>
                      <w:szCs w:val="21"/>
                    </w:rPr>
                  </w:pPr>
                  <w:r>
                    <w:rPr>
                      <w:rFonts w:hint="eastAsia" w:ascii="Times New Roman" w:hAnsi="Times New Roman" w:eastAsia="宋体" w:cs="Times New Roman"/>
                      <w:color w:val="auto"/>
                      <w:sz w:val="21"/>
                      <w:szCs w:val="21"/>
                      <w:lang w:val="en-US" w:eastAsia="zh-CN"/>
                    </w:rPr>
                    <w:t>坚持生态优先、绿色发展理念，加强规划引领。园区总体规划应做好与自治区、鄂尔多斯市国土空间总体规划及生态环境分区管控的协调衔接，并要与</w:t>
                  </w:r>
                  <w:r>
                    <w:rPr>
                      <w:rFonts w:hint="eastAsia" w:cs="Times New Roman"/>
                      <w:color w:val="auto"/>
                      <w:sz w:val="21"/>
                      <w:szCs w:val="21"/>
                      <w:lang w:val="en-US" w:eastAsia="zh-CN"/>
                    </w:rPr>
                    <w:t>当地其他</w:t>
                  </w:r>
                  <w:r>
                    <w:rPr>
                      <w:rFonts w:hint="eastAsia" w:ascii="Times New Roman" w:hAnsi="Times New Roman" w:eastAsia="宋体" w:cs="Times New Roman"/>
                      <w:color w:val="auto"/>
                      <w:sz w:val="21"/>
                      <w:szCs w:val="21"/>
                      <w:lang w:val="en-US" w:eastAsia="zh-CN"/>
                    </w:rPr>
                    <w:t>专项规划相协调。按照《内蒙古自治区人民政府关于促进工业园区高质量发展的</w:t>
                  </w:r>
                  <w:r>
                    <w:rPr>
                      <w:rFonts w:hint="eastAsia" w:cs="Times New Roman"/>
                      <w:color w:val="auto"/>
                      <w:sz w:val="21"/>
                      <w:szCs w:val="21"/>
                      <w:lang w:val="en-US" w:eastAsia="zh-CN"/>
                    </w:rPr>
                    <w:t>若干意见</w:t>
                  </w:r>
                  <w:r>
                    <w:rPr>
                      <w:rFonts w:hint="eastAsia" w:ascii="Times New Roman" w:hAnsi="Times New Roman" w:eastAsia="宋体" w:cs="Times New Roman"/>
                      <w:color w:val="auto"/>
                      <w:sz w:val="21"/>
                      <w:szCs w:val="21"/>
                      <w:lang w:val="en-US" w:eastAsia="zh-CN"/>
                    </w:rPr>
                    <w:t>》(内政发〔2019〕21号)《内蒙古自治区人民政府办公厅关于进一步加强全区自治区级及以上工业园区环境保护工作的通知》(内政办发〔2018〕88号)及自治区、鄂尔多斯市国民经济和社会发展第十四个五年规划以及2035年远景目标纲要等要求，指导园区建设。</w:t>
                  </w:r>
                </w:p>
              </w:tc>
              <w:tc>
                <w:tcPr>
                  <w:tcW w:w="1387" w:type="pct"/>
                  <w:vAlign w:val="center"/>
                </w:tcPr>
                <w:p w14:paraId="3BAE109B">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rPr>
                    <w:t>本项目为园区废水处理环保工程配套供汽设施。项目符合国家产业政策、区域发展规划、行业准入要求。</w:t>
                  </w:r>
                </w:p>
              </w:tc>
              <w:tc>
                <w:tcPr>
                  <w:tcW w:w="556" w:type="pct"/>
                  <w:vAlign w:val="center"/>
                </w:tcPr>
                <w:p w14:paraId="7FA2FA3D">
                  <w:pPr>
                    <w:autoSpaceDE w:val="0"/>
                    <w:autoSpaceDN w:val="0"/>
                    <w:adjustRightInd w:val="0"/>
                    <w:snapToGrid w:val="0"/>
                    <w:spacing w:line="240" w:lineRule="auto"/>
                    <w:jc w:val="center"/>
                    <w:rPr>
                      <w:color w:val="auto"/>
                      <w:kern w:val="0"/>
                      <w:sz w:val="21"/>
                      <w:szCs w:val="21"/>
                    </w:rPr>
                  </w:pPr>
                  <w:bookmarkStart w:id="4" w:name="OLE_LINK10"/>
                  <w:r>
                    <w:rPr>
                      <w:rFonts w:hint="eastAsia"/>
                      <w:color w:val="auto"/>
                      <w:kern w:val="0"/>
                      <w:sz w:val="21"/>
                      <w:szCs w:val="21"/>
                    </w:rPr>
                    <w:t>相符</w:t>
                  </w:r>
                  <w:bookmarkEnd w:id="4"/>
                </w:p>
              </w:tc>
            </w:tr>
            <w:tr w14:paraId="590275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607A5AEE">
                  <w:pPr>
                    <w:autoSpaceDE w:val="0"/>
                    <w:autoSpaceDN w:val="0"/>
                    <w:adjustRightInd w:val="0"/>
                    <w:snapToGrid w:val="0"/>
                    <w:spacing w:line="240" w:lineRule="auto"/>
                    <w:jc w:val="center"/>
                    <w:rPr>
                      <w:color w:val="auto"/>
                      <w:kern w:val="0"/>
                      <w:sz w:val="21"/>
                      <w:szCs w:val="21"/>
                    </w:rPr>
                  </w:pPr>
                  <w:r>
                    <w:rPr>
                      <w:rFonts w:hint="eastAsia" w:ascii="Times New Roman" w:hAnsi="Times New Roman" w:eastAsia="宋体" w:cs="Times New Roman"/>
                      <w:color w:val="auto"/>
                      <w:sz w:val="21"/>
                      <w:szCs w:val="21"/>
                      <w:lang w:val="en-US" w:eastAsia="zh-CN"/>
                    </w:rPr>
                    <w:t>严格生态环境准入，推动高质量发展。园区应结合区域资源禀赋、生态敏感特征、生态功能保护、自治区及鄂尔多斯市碳达峰目标约束等要求，坚持循环经济和能源高效利用理念严格落实《内蒙古自治区工业园区审核公告目录》、产业政</w:t>
                  </w:r>
                  <w:r>
                    <w:rPr>
                      <w:rFonts w:hint="eastAsia" w:cs="Times New Roman"/>
                      <w:color w:val="auto"/>
                      <w:sz w:val="21"/>
                      <w:szCs w:val="21"/>
                      <w:lang w:val="en-US" w:eastAsia="zh-CN"/>
                    </w:rPr>
                    <w:t>策和</w:t>
                  </w:r>
                  <w:r>
                    <w:rPr>
                      <w:rFonts w:hint="eastAsia" w:ascii="Times New Roman" w:hAnsi="Times New Roman" w:eastAsia="宋体" w:cs="Times New Roman"/>
                      <w:color w:val="auto"/>
                      <w:sz w:val="21"/>
                      <w:szCs w:val="21"/>
                      <w:lang w:val="en-US" w:eastAsia="zh-CN"/>
                    </w:rPr>
                    <w:t>生态环境准入清单等要求及《报告书》推荐产业发展方案，合理发展装备制造、零碳经济等产业，不得新引进煤化工、金属冶炼等污染物排放量大、环境风险高的非主导产业项目，统筹做好产业发展和生态环境保护工作。落实“四水四定”要求，推动园区再生水资源全部合理利用，实现绿色发展、循环发展、低碳发展</w:t>
                  </w:r>
                  <w:r>
                    <w:rPr>
                      <w:rFonts w:hint="eastAsia" w:cs="Times New Roman"/>
                      <w:color w:val="auto"/>
                      <w:sz w:val="21"/>
                      <w:szCs w:val="21"/>
                      <w:lang w:val="en-US" w:eastAsia="zh-CN"/>
                    </w:rPr>
                    <w:t>。</w:t>
                  </w:r>
                </w:p>
              </w:tc>
              <w:tc>
                <w:tcPr>
                  <w:tcW w:w="1387" w:type="pct"/>
                  <w:vAlign w:val="center"/>
                </w:tcPr>
                <w:p w14:paraId="64D58DE9">
                  <w:pPr>
                    <w:autoSpaceDE w:val="0"/>
                    <w:autoSpaceDN w:val="0"/>
                    <w:adjustRightInd w:val="0"/>
                    <w:snapToGrid w:val="0"/>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本项目属于园区污水处理厂（园区基础设施）的配套设施，符合产业发展要求</w:t>
                  </w:r>
                </w:p>
              </w:tc>
              <w:tc>
                <w:tcPr>
                  <w:tcW w:w="556" w:type="pct"/>
                  <w:vAlign w:val="center"/>
                </w:tcPr>
                <w:p w14:paraId="6C4AD0AF">
                  <w:pPr>
                    <w:autoSpaceDE w:val="0"/>
                    <w:autoSpaceDN w:val="0"/>
                    <w:adjustRightInd w:val="0"/>
                    <w:snapToGrid w:val="0"/>
                    <w:spacing w:line="240" w:lineRule="auto"/>
                    <w:jc w:val="center"/>
                    <w:rPr>
                      <w:color w:val="auto"/>
                      <w:kern w:val="0"/>
                      <w:sz w:val="21"/>
                      <w:szCs w:val="21"/>
                    </w:rPr>
                  </w:pPr>
                  <w:r>
                    <w:rPr>
                      <w:rFonts w:hint="eastAsia"/>
                      <w:color w:val="auto"/>
                      <w:kern w:val="0"/>
                      <w:sz w:val="21"/>
                      <w:szCs w:val="21"/>
                      <w:lang w:val="en-US" w:eastAsia="zh-CN"/>
                    </w:rPr>
                    <w:t>相符</w:t>
                  </w:r>
                </w:p>
              </w:tc>
            </w:tr>
            <w:tr w14:paraId="0F85121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3D771A76">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根据园区环境容量，控制污染物排放</w:t>
                  </w:r>
                </w:p>
                <w:p w14:paraId="15F964F2">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总量。应结合当地环保规划中主要污染物总量控制要求，将园区二氧化硫、</w:t>
                  </w:r>
                  <w:r>
                    <w:rPr>
                      <w:rFonts w:hint="eastAsia" w:cs="Times New Roman"/>
                      <w:color w:val="auto"/>
                      <w:sz w:val="21"/>
                      <w:szCs w:val="21"/>
                      <w:lang w:val="en-US" w:eastAsia="zh-CN"/>
                    </w:rPr>
                    <w:t>氮氧化物</w:t>
                  </w:r>
                  <w:r>
                    <w:rPr>
                      <w:rFonts w:hint="eastAsia" w:ascii="Times New Roman" w:hAnsi="Times New Roman" w:eastAsia="宋体" w:cs="Times New Roman"/>
                      <w:color w:val="auto"/>
                      <w:sz w:val="21"/>
                      <w:szCs w:val="21"/>
                      <w:lang w:val="en-US" w:eastAsia="zh-CN"/>
                    </w:rPr>
                    <w:t>等主要污染物控制纳入</w:t>
                  </w:r>
                  <w:r>
                    <w:rPr>
                      <w:rFonts w:hint="eastAsia" w:cs="Times New Roman"/>
                      <w:color w:val="auto"/>
                      <w:sz w:val="21"/>
                      <w:szCs w:val="21"/>
                      <w:lang w:val="en-US" w:eastAsia="zh-CN"/>
                    </w:rPr>
                    <w:t>区域</w:t>
                  </w:r>
                  <w:r>
                    <w:rPr>
                      <w:rFonts w:hint="eastAsia" w:ascii="Times New Roman" w:hAnsi="Times New Roman" w:eastAsia="宋体" w:cs="Times New Roman"/>
                      <w:color w:val="auto"/>
                      <w:sz w:val="21"/>
                      <w:szCs w:val="21"/>
                      <w:lang w:val="en-US" w:eastAsia="zh-CN"/>
                    </w:rPr>
                    <w:t>管理，制定实施入园项目总量控制指标的准入条件。入园项目应采用先进的污染物控制措施，并依据主要污染物总量指标保障程度，合理确定园区引入项目及建设规模；园区禁止建设分散燃煤锅炉，企业近期可建设临时燃气锅炉。远期园区应实行集中供热，合理确定依托热源，同时加快供热管网建设。</w:t>
                  </w:r>
                </w:p>
              </w:tc>
              <w:tc>
                <w:tcPr>
                  <w:tcW w:w="1387" w:type="pct"/>
                  <w:vAlign w:val="center"/>
                </w:tcPr>
                <w:p w14:paraId="3786B32E">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项目使用2台12t/h的燃气锅炉</w:t>
                  </w:r>
                  <w:r>
                    <w:rPr>
                      <w:rFonts w:hint="eastAsia"/>
                      <w:color w:val="auto"/>
                      <w:kern w:val="0"/>
                      <w:sz w:val="21"/>
                      <w:szCs w:val="21"/>
                      <w:lang w:eastAsia="zh-CN"/>
                    </w:rPr>
                    <w:t>（</w:t>
                  </w:r>
                  <w:r>
                    <w:rPr>
                      <w:rFonts w:hint="eastAsia"/>
                      <w:color w:val="auto"/>
                      <w:kern w:val="0"/>
                      <w:sz w:val="21"/>
                      <w:szCs w:val="21"/>
                    </w:rPr>
                    <w:t>1用1备</w:t>
                  </w:r>
                  <w:r>
                    <w:rPr>
                      <w:rFonts w:hint="eastAsia"/>
                      <w:color w:val="auto"/>
                      <w:kern w:val="0"/>
                      <w:sz w:val="21"/>
                      <w:szCs w:val="21"/>
                      <w:lang w:eastAsia="zh-CN"/>
                    </w:rPr>
                    <w:t>）</w:t>
                  </w:r>
                  <w:r>
                    <w:rPr>
                      <w:rFonts w:hint="eastAsia"/>
                      <w:color w:val="auto"/>
                      <w:kern w:val="0"/>
                      <w:sz w:val="21"/>
                      <w:szCs w:val="21"/>
                    </w:rPr>
                    <w:t>为园区污水处理工程蒸发结晶工段提供热源，本项目生产过程中SO</w:t>
                  </w:r>
                  <w:r>
                    <w:rPr>
                      <w:rFonts w:hint="eastAsia"/>
                      <w:color w:val="auto"/>
                      <w:kern w:val="0"/>
                      <w:sz w:val="21"/>
                      <w:szCs w:val="21"/>
                      <w:vertAlign w:val="subscript"/>
                    </w:rPr>
                    <w:t>2</w:t>
                  </w:r>
                  <w:r>
                    <w:rPr>
                      <w:rFonts w:hint="eastAsia"/>
                      <w:color w:val="auto"/>
                      <w:kern w:val="0"/>
                      <w:sz w:val="21"/>
                      <w:szCs w:val="21"/>
                    </w:rPr>
                    <w:t>、NO</w:t>
                  </w:r>
                  <w:r>
                    <w:rPr>
                      <w:rFonts w:hint="eastAsia"/>
                      <w:color w:val="auto"/>
                      <w:kern w:val="0"/>
                      <w:sz w:val="21"/>
                      <w:szCs w:val="21"/>
                      <w:vertAlign w:val="subscript"/>
                      <w:lang w:val="en-US" w:eastAsia="zh-CN"/>
                    </w:rPr>
                    <w:t>x</w:t>
                  </w:r>
                  <w:r>
                    <w:rPr>
                      <w:rFonts w:hint="eastAsia"/>
                      <w:color w:val="auto"/>
                      <w:kern w:val="0"/>
                      <w:sz w:val="21"/>
                      <w:szCs w:val="21"/>
                    </w:rPr>
                    <w:t>产生量较小，生产过程中</w:t>
                  </w:r>
                  <w:r>
                    <w:rPr>
                      <w:rFonts w:hint="eastAsia"/>
                      <w:color w:val="auto"/>
                      <w:kern w:val="0"/>
                      <w:sz w:val="21"/>
                      <w:szCs w:val="21"/>
                      <w:lang w:val="en-US" w:eastAsia="zh-CN"/>
                    </w:rPr>
                    <w:t>采用低氮燃烧</w:t>
                  </w:r>
                  <w:r>
                    <w:rPr>
                      <w:rFonts w:hint="eastAsia"/>
                      <w:color w:val="auto"/>
                      <w:kern w:val="0"/>
                      <w:sz w:val="21"/>
                      <w:szCs w:val="21"/>
                    </w:rPr>
                    <w:t>，</w:t>
                  </w:r>
                  <w:r>
                    <w:rPr>
                      <w:rFonts w:hint="eastAsia"/>
                      <w:color w:val="auto"/>
                      <w:kern w:val="0"/>
                      <w:sz w:val="21"/>
                      <w:szCs w:val="21"/>
                      <w:lang w:val="en-US" w:eastAsia="zh-CN"/>
                    </w:rPr>
                    <w:t>排放的二氧化硫和氮氧化物已取得了总量批复文件，符合园区总量控制要求</w:t>
                  </w:r>
                  <w:r>
                    <w:rPr>
                      <w:rFonts w:hint="eastAsia"/>
                      <w:color w:val="auto"/>
                      <w:kern w:val="0"/>
                      <w:sz w:val="21"/>
                      <w:szCs w:val="21"/>
                    </w:rPr>
                    <w:t>。</w:t>
                  </w:r>
                </w:p>
              </w:tc>
              <w:tc>
                <w:tcPr>
                  <w:tcW w:w="556" w:type="pct"/>
                  <w:vAlign w:val="center"/>
                </w:tcPr>
                <w:p w14:paraId="4A694DE5">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r w14:paraId="0D05478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7BCB70B2">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严格空间管控，优化产业布局。按照相关要求做好规划控制和防护带建设，园区与居民区、地表水体等环境敏感区之间应设置足够距离的隔离带并合理优化邻近区域产业布局，确保园区产业发展与生态环境、人居环境相协调。配合伊金霍洛旗人民政府及其有关部门做好园区及周边区域的国土空间规划和优化调整，发现不符合管控要求的行为，应及时向伊金霍洛旗人民政府报告。加强土壤污染重点企业监管，开展腾退企业遗留场地的土壤环境调查和风险评估，合理确定土地利用方式。</w:t>
                  </w:r>
                </w:p>
              </w:tc>
              <w:tc>
                <w:tcPr>
                  <w:tcW w:w="1387" w:type="pct"/>
                  <w:vAlign w:val="center"/>
                </w:tcPr>
                <w:p w14:paraId="2F93DAE2">
                  <w:pPr>
                    <w:autoSpaceDE w:val="0"/>
                    <w:autoSpaceDN w:val="0"/>
                    <w:adjustRightInd w:val="0"/>
                    <w:snapToGrid w:val="0"/>
                    <w:spacing w:line="240" w:lineRule="auto"/>
                    <w:jc w:val="center"/>
                    <w:rPr>
                      <w:rFonts w:hint="default" w:eastAsia="宋体"/>
                      <w:color w:val="auto"/>
                      <w:kern w:val="0"/>
                      <w:sz w:val="21"/>
                      <w:szCs w:val="21"/>
                      <w:lang w:val="en-US" w:eastAsia="zh-CN"/>
                    </w:rPr>
                  </w:pPr>
                  <w:r>
                    <w:rPr>
                      <w:rFonts w:hint="default" w:eastAsia="宋体"/>
                      <w:color w:val="auto"/>
                      <w:kern w:val="0"/>
                      <w:sz w:val="21"/>
                      <w:szCs w:val="21"/>
                      <w:lang w:val="en-US" w:eastAsia="zh-CN"/>
                    </w:rPr>
                    <w:t>鄂尔多斯蒙苏经济开发区零碳产业园工业废水处理厂属于园区的基础设施，建设场址属于园区规划的污水处理设施用地，本项目为污水处理厂的配套设施，为蒸发结晶工序提供蒸汽，项目建设符合园区规划</w:t>
                  </w:r>
                  <w:r>
                    <w:rPr>
                      <w:rFonts w:hint="eastAsia"/>
                      <w:color w:val="auto"/>
                      <w:kern w:val="0"/>
                      <w:sz w:val="21"/>
                      <w:szCs w:val="21"/>
                      <w:lang w:val="en-US" w:eastAsia="zh-CN"/>
                    </w:rPr>
                    <w:t>。</w:t>
                  </w:r>
                </w:p>
              </w:tc>
              <w:tc>
                <w:tcPr>
                  <w:tcW w:w="556" w:type="pct"/>
                  <w:vAlign w:val="center"/>
                </w:tcPr>
                <w:p w14:paraId="5A8D9533">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r w14:paraId="5E0E7A1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31E3CC02">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严守环境质量底线，强化污染物排放总量管控。根据国家、自治区和鄂尔多斯市关于大气、水、土壤、挥发性有机物污染防治相关要求，落实与区域环境空气质量改善目标相匹配的区域削减措施，强化主要污染物总量管控，推动重点行业实施大气污染物治理措施升级改造，持续减少主要污染物、挥发性有机物等有组织和无组织排放量，保障区域环境质量改善。</w:t>
                  </w:r>
                </w:p>
              </w:tc>
              <w:tc>
                <w:tcPr>
                  <w:tcW w:w="1387" w:type="pct"/>
                  <w:vAlign w:val="center"/>
                </w:tcPr>
                <w:p w14:paraId="49CFFE44">
                  <w:pPr>
                    <w:autoSpaceDE w:val="0"/>
                    <w:autoSpaceDN w:val="0"/>
                    <w:adjustRightInd w:val="0"/>
                    <w:snapToGrid w:val="0"/>
                    <w:spacing w:line="240" w:lineRule="auto"/>
                    <w:jc w:val="center"/>
                    <w:rPr>
                      <w:rFonts w:hint="eastAsia" w:eastAsia="宋体"/>
                      <w:color w:val="auto"/>
                      <w:kern w:val="0"/>
                      <w:sz w:val="21"/>
                      <w:szCs w:val="21"/>
                      <w:lang w:eastAsia="zh-CN"/>
                    </w:rPr>
                  </w:pPr>
                  <w:r>
                    <w:rPr>
                      <w:rFonts w:hint="eastAsia"/>
                      <w:color w:val="auto"/>
                      <w:kern w:val="0"/>
                      <w:sz w:val="21"/>
                      <w:szCs w:val="21"/>
                      <w:lang w:val="en-US" w:eastAsia="zh-CN"/>
                    </w:rPr>
                    <w:t>本项目以清洁能源天然气为燃料，采用低氮燃烧措施，排放的二氧化硫和氮氧化物已取得了总量批复文件，不会突破环境质量底线</w:t>
                  </w:r>
                  <w:r>
                    <w:rPr>
                      <w:rFonts w:hint="eastAsia"/>
                      <w:color w:val="auto"/>
                      <w:kern w:val="0"/>
                      <w:sz w:val="21"/>
                      <w:szCs w:val="21"/>
                      <w:lang w:eastAsia="zh-CN"/>
                    </w:rPr>
                    <w:t>。</w:t>
                  </w:r>
                </w:p>
              </w:tc>
              <w:tc>
                <w:tcPr>
                  <w:tcW w:w="556" w:type="pct"/>
                  <w:vAlign w:val="center"/>
                </w:tcPr>
                <w:p w14:paraId="519AF100">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r w14:paraId="6C2FEA3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69C69D65">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环境基础设施建设，推进污染集中治理。强化企业生产废水预处理，合理规划西片区污水集中处理设施及配套管网，组织开展装备制造片区生产废水依托城镇污水处理厂处理可行性评估，统筹制定园区废水处理和综合利用总体方案并做好落实。因地制宜利用集中供热或清洁能源实现供热、供汽，禁止新建各类燃煤锅炉。强化企业危险废物鉴别主体责任，对园区各类危废实施严格监管和严密监控，实现全过程安全妥善处置。园区内及周边中短途汽车运输推广使用清洁能源。</w:t>
                  </w:r>
                </w:p>
              </w:tc>
              <w:tc>
                <w:tcPr>
                  <w:tcW w:w="1387" w:type="pct"/>
                  <w:vAlign w:val="center"/>
                </w:tcPr>
                <w:p w14:paraId="373CEDEA">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lang w:val="en-US" w:eastAsia="zh-CN"/>
                    </w:rPr>
                    <w:t>本项目属于园区污水处理厂（园区基础设施）的配套设施，采用清洁能源天然气为燃料，符合规划要求。</w:t>
                  </w:r>
                </w:p>
              </w:tc>
              <w:tc>
                <w:tcPr>
                  <w:tcW w:w="556" w:type="pct"/>
                  <w:vAlign w:val="center"/>
                </w:tcPr>
                <w:p w14:paraId="40BA7B67">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lang w:val="en-US" w:eastAsia="zh-CN"/>
                    </w:rPr>
                    <w:t>相符</w:t>
                  </w:r>
                </w:p>
              </w:tc>
            </w:tr>
            <w:tr w14:paraId="0373819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351C9D35">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强化源头防控，有效防范环境污染和事故风险。加强园区突发环境事件应急处置能力建设，建立完善的环境风险防控和应急监测体系</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强化应急演练和应急物资储备,不断提升应急响应能力，保障区域环境安全。入园企业按要求设置事故水池:确保任何情况下事故废水不进入外环境。</w:t>
                  </w:r>
                </w:p>
              </w:tc>
              <w:tc>
                <w:tcPr>
                  <w:tcW w:w="1387" w:type="pct"/>
                  <w:vAlign w:val="center"/>
                </w:tcPr>
                <w:p w14:paraId="76986998">
                  <w:pPr>
                    <w:autoSpaceDE w:val="0"/>
                    <w:autoSpaceDN w:val="0"/>
                    <w:adjustRightInd w:val="0"/>
                    <w:snapToGrid w:val="0"/>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建设单位编制了环境风险应急预案，并按照要求实施。</w:t>
                  </w:r>
                </w:p>
              </w:tc>
              <w:tc>
                <w:tcPr>
                  <w:tcW w:w="556" w:type="pct"/>
                  <w:vAlign w:val="center"/>
                </w:tcPr>
                <w:p w14:paraId="730DC22E">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r w14:paraId="399D0C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6" w:type="pct"/>
                  <w:vAlign w:val="center"/>
                </w:tcPr>
                <w:p w14:paraId="2CD7E42C">
                  <w:pPr>
                    <w:autoSpaceDE w:val="0"/>
                    <w:autoSpaceDN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环境监管及日常环境质量监测。园区应建立完善的环境监测计划，开展包括常规污染物、特征污染物、挥发性有机物等在内的环境空气、地下水、土壤、生态系统等环境质量监测工作，实现长期监测与有效监控。重点企业排污口要设置在线监测系统并与生态环境部门联网。</w:t>
                  </w:r>
                </w:p>
              </w:tc>
              <w:tc>
                <w:tcPr>
                  <w:tcW w:w="1387" w:type="pct"/>
                  <w:vAlign w:val="center"/>
                </w:tcPr>
                <w:p w14:paraId="47F79DBB">
                  <w:pPr>
                    <w:autoSpaceDE w:val="0"/>
                    <w:autoSpaceDN w:val="0"/>
                    <w:adjustRightInd w:val="0"/>
                    <w:snapToGrid w:val="0"/>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建设单位制定了运行的环境监测计划，并实施；本项目不涉及在线监测。</w:t>
                  </w:r>
                </w:p>
              </w:tc>
              <w:tc>
                <w:tcPr>
                  <w:tcW w:w="556" w:type="pct"/>
                  <w:vAlign w:val="center"/>
                </w:tcPr>
                <w:p w14:paraId="19FB208A">
                  <w:pPr>
                    <w:autoSpaceDE w:val="0"/>
                    <w:autoSpaceDN w:val="0"/>
                    <w:adjustRightInd w:val="0"/>
                    <w:snapToGrid w:val="0"/>
                    <w:spacing w:line="240" w:lineRule="auto"/>
                    <w:jc w:val="center"/>
                    <w:rPr>
                      <w:rFonts w:hint="eastAsia"/>
                      <w:color w:val="auto"/>
                      <w:kern w:val="0"/>
                      <w:sz w:val="21"/>
                      <w:szCs w:val="21"/>
                    </w:rPr>
                  </w:pPr>
                  <w:r>
                    <w:rPr>
                      <w:rFonts w:hint="eastAsia"/>
                      <w:color w:val="auto"/>
                      <w:kern w:val="0"/>
                      <w:sz w:val="21"/>
                      <w:szCs w:val="21"/>
                    </w:rPr>
                    <w:t>相符</w:t>
                  </w:r>
                </w:p>
              </w:tc>
            </w:tr>
          </w:tbl>
          <w:p w14:paraId="112BD5EE">
            <w:pPr>
              <w:autoSpaceDE w:val="0"/>
              <w:autoSpaceDN w:val="0"/>
              <w:adjustRightInd w:val="0"/>
              <w:snapToGrid w:val="0"/>
              <w:spacing w:line="240" w:lineRule="auto"/>
              <w:jc w:val="center"/>
              <w:rPr>
                <w:color w:val="auto"/>
                <w:kern w:val="0"/>
              </w:rPr>
            </w:pPr>
          </w:p>
        </w:tc>
      </w:tr>
      <w:tr w14:paraId="16506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16" w:hRule="atLeast"/>
          <w:jc w:val="center"/>
        </w:trPr>
        <w:tc>
          <w:tcPr>
            <w:tcW w:w="2140" w:type="dxa"/>
            <w:vAlign w:val="center"/>
          </w:tcPr>
          <w:p w14:paraId="65D31940">
            <w:pPr>
              <w:autoSpaceDE w:val="0"/>
              <w:autoSpaceDN w:val="0"/>
              <w:adjustRightInd w:val="0"/>
              <w:snapToGrid w:val="0"/>
              <w:jc w:val="center"/>
              <w:rPr>
                <w:color w:val="auto"/>
                <w:kern w:val="0"/>
              </w:rPr>
            </w:pPr>
            <w:r>
              <w:rPr>
                <w:color w:val="auto"/>
                <w:kern w:val="0"/>
              </w:rPr>
              <w:t>其他符合性分析</w:t>
            </w:r>
          </w:p>
        </w:tc>
        <w:tc>
          <w:tcPr>
            <w:tcW w:w="6730" w:type="dxa"/>
            <w:gridSpan w:val="3"/>
            <w:vAlign w:val="center"/>
          </w:tcPr>
          <w:p w14:paraId="570D94C0">
            <w:pPr>
              <w:ind w:firstLine="480"/>
              <w:rPr>
                <w:color w:val="auto"/>
                <w:shd w:val="clear" w:color="auto" w:fill="FFFFFF"/>
              </w:rPr>
            </w:pPr>
            <w:r>
              <w:rPr>
                <w:b/>
                <w:bCs/>
                <w:color w:val="auto"/>
                <w:shd w:val="clear" w:color="auto" w:fill="FFFFFF"/>
              </w:rPr>
              <w:t>1.</w:t>
            </w:r>
            <w:r>
              <w:rPr>
                <w:rFonts w:hint="eastAsia"/>
                <w:b/>
                <w:bCs/>
                <w:color w:val="auto"/>
                <w:shd w:val="clear" w:color="auto" w:fill="FFFFFF"/>
              </w:rPr>
              <w:t>“三线一单</w:t>
            </w:r>
            <w:r>
              <w:rPr>
                <w:rFonts w:hint="eastAsia"/>
                <w:color w:val="auto"/>
                <w:shd w:val="clear" w:color="auto" w:fill="FFFFFF"/>
              </w:rPr>
              <w:t>”</w:t>
            </w:r>
          </w:p>
          <w:p w14:paraId="03B3424F">
            <w:pPr>
              <w:autoSpaceDE w:val="0"/>
              <w:autoSpaceDN w:val="0"/>
              <w:adjustRightInd w:val="0"/>
              <w:snapToGrid w:val="0"/>
              <w:ind w:firstLine="482" w:firstLineChars="200"/>
              <w:rPr>
                <w:b/>
                <w:bCs/>
                <w:color w:val="auto"/>
                <w:kern w:val="0"/>
              </w:rPr>
            </w:pPr>
            <w:r>
              <w:rPr>
                <w:rFonts w:hint="eastAsia"/>
                <w:b/>
                <w:bCs/>
                <w:color w:val="auto"/>
                <w:kern w:val="0"/>
              </w:rPr>
              <w:t>（1）</w:t>
            </w:r>
            <w:r>
              <w:rPr>
                <w:b/>
                <w:bCs/>
                <w:color w:val="auto"/>
                <w:kern w:val="0"/>
              </w:rPr>
              <w:t>生态保护红线</w:t>
            </w:r>
          </w:p>
          <w:p w14:paraId="170331C3">
            <w:pPr>
              <w:ind w:firstLine="480"/>
              <w:rPr>
                <w:color w:val="auto"/>
              </w:rPr>
            </w:pPr>
            <w:r>
              <w:rPr>
                <w:rFonts w:hint="eastAsia"/>
                <w:color w:val="auto"/>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本项目位于鄂尔多斯零碳产业园西片区，环境管控单元为蒙苏经济开发区-环境管控单元编码ZH15062720001，属于重点管控单元，且本项目不在自然保护区、风景名胜区、饮用水源保护区范围内，本项目不占用生态保护红线，符合生态保护红线管控要求。</w:t>
            </w:r>
          </w:p>
          <w:p w14:paraId="2766507C">
            <w:pPr>
              <w:ind w:firstLine="480"/>
              <w:rPr>
                <w:b/>
                <w:bCs/>
                <w:color w:val="auto"/>
                <w:kern w:val="0"/>
              </w:rPr>
            </w:pPr>
            <w:r>
              <w:rPr>
                <w:rFonts w:hint="eastAsia"/>
                <w:b/>
                <w:bCs/>
                <w:color w:val="auto"/>
                <w:kern w:val="0"/>
              </w:rPr>
              <w:t>（</w:t>
            </w:r>
            <w:r>
              <w:rPr>
                <w:b/>
                <w:bCs/>
                <w:color w:val="auto"/>
                <w:kern w:val="0"/>
              </w:rPr>
              <w:t>2</w:t>
            </w:r>
            <w:r>
              <w:rPr>
                <w:rFonts w:hint="eastAsia"/>
                <w:b/>
                <w:bCs/>
                <w:color w:val="auto"/>
                <w:kern w:val="0"/>
              </w:rPr>
              <w:t>）环境质量底线</w:t>
            </w:r>
          </w:p>
          <w:p w14:paraId="0F349268">
            <w:pPr>
              <w:widowControl/>
              <w:ind w:firstLine="480"/>
              <w:jc w:val="both"/>
              <w:rPr>
                <w:color w:val="auto"/>
              </w:rPr>
            </w:pPr>
            <w:r>
              <w:rPr>
                <w:rFonts w:hint="eastAsia"/>
                <w:color w:val="auto"/>
              </w:rPr>
              <w:t>本项目所在区域大气环境质量满足《环境空气质量标准》（GB3095-2012）二级的要求；声环境质量满足《声环境质量标准》（GB3096-2008）</w:t>
            </w:r>
            <w:r>
              <w:rPr>
                <w:rFonts w:hint="eastAsia"/>
                <w:color w:val="auto"/>
                <w:lang w:val="en-US" w:eastAsia="zh-CN"/>
              </w:rPr>
              <w:t>3</w:t>
            </w:r>
            <w:r>
              <w:rPr>
                <w:rFonts w:hint="eastAsia"/>
                <w:color w:val="auto"/>
              </w:rPr>
              <w:t>类标准。</w:t>
            </w:r>
            <w:r>
              <w:rPr>
                <w:color w:val="auto"/>
              </w:rPr>
              <w:t>本项目生产过程中产生的废气和噪声采取相应的污染防治措施后均可达标排放；</w:t>
            </w:r>
            <w:r>
              <w:rPr>
                <w:rFonts w:hint="eastAsia"/>
                <w:color w:val="auto"/>
                <w:lang w:val="en-US" w:eastAsia="zh-CN"/>
              </w:rPr>
              <w:t>产生的废水进入园区废水处理厂处理后</w:t>
            </w:r>
            <w:r>
              <w:rPr>
                <w:color w:val="auto"/>
              </w:rPr>
              <w:t>回用于隆基生产用水</w:t>
            </w:r>
            <w:r>
              <w:rPr>
                <w:rFonts w:hint="eastAsia"/>
                <w:color w:val="auto"/>
                <w:lang w:val="en-US" w:eastAsia="zh-CN"/>
              </w:rPr>
              <w:t>，不外排；</w:t>
            </w:r>
            <w:r>
              <w:rPr>
                <w:color w:val="auto"/>
              </w:rPr>
              <w:t>产生的固体废物定期进行了合理的处置。因此，在落实本评价提出的相关污染防治措施后，项目各类污染物均能有效处理，不会明显降低区域环境质量现状，不会对当地环境质量底线造成冲击，不会突破</w:t>
            </w:r>
            <w:r>
              <w:rPr>
                <w:color w:val="auto"/>
                <w:kern w:val="0"/>
                <w:lang w:bidi="ar"/>
              </w:rPr>
              <w:t>区域环境质量底线。</w:t>
            </w:r>
          </w:p>
          <w:p w14:paraId="02FBBD2E">
            <w:pPr>
              <w:autoSpaceDE w:val="0"/>
              <w:autoSpaceDN w:val="0"/>
              <w:adjustRightInd w:val="0"/>
              <w:snapToGrid w:val="0"/>
              <w:rPr>
                <w:b/>
                <w:bCs/>
                <w:color w:val="auto"/>
                <w:kern w:val="0"/>
              </w:rPr>
            </w:pPr>
            <w:r>
              <w:rPr>
                <w:rFonts w:hint="eastAsia"/>
                <w:color w:val="auto"/>
              </w:rPr>
              <w:t xml:space="preserve"> </w:t>
            </w:r>
            <w:r>
              <w:rPr>
                <w:color w:val="auto"/>
              </w:rPr>
              <w:t xml:space="preserve">   </w:t>
            </w:r>
            <w:r>
              <w:rPr>
                <w:rFonts w:hint="eastAsia"/>
                <w:b/>
                <w:bCs/>
                <w:color w:val="auto"/>
                <w:kern w:val="0"/>
              </w:rPr>
              <w:t>（</w:t>
            </w:r>
            <w:r>
              <w:rPr>
                <w:b/>
                <w:bCs/>
                <w:color w:val="auto"/>
                <w:kern w:val="0"/>
              </w:rPr>
              <w:t>3</w:t>
            </w:r>
            <w:r>
              <w:rPr>
                <w:rFonts w:hint="eastAsia"/>
                <w:b/>
                <w:bCs/>
                <w:color w:val="auto"/>
                <w:kern w:val="0"/>
              </w:rPr>
              <w:t>）资源利用上线</w:t>
            </w:r>
          </w:p>
          <w:p w14:paraId="72C4DBDC">
            <w:pPr>
              <w:autoSpaceDE w:val="0"/>
              <w:autoSpaceDN w:val="0"/>
              <w:adjustRightInd w:val="0"/>
              <w:snapToGrid w:val="0"/>
              <w:ind w:firstLine="480" w:firstLineChars="200"/>
              <w:rPr>
                <w:color w:val="auto"/>
                <w:kern w:val="0"/>
                <w:lang w:bidi="ar"/>
              </w:rPr>
            </w:pPr>
            <w:r>
              <w:rPr>
                <w:color w:val="auto"/>
              </w:rPr>
              <w:t>本项目供电由园区供电电网接入；项目生活用水园区供水管网提供的自来水，生产用水为项目处理过后的中水，水的消耗量满足相关部门要求；项目使用的天然气由园区内供气管网提供，使用量较小。</w:t>
            </w:r>
            <w:r>
              <w:rPr>
                <w:color w:val="auto"/>
                <w:kern w:val="0"/>
                <w:lang w:bidi="ar"/>
              </w:rPr>
              <w:t>本项目位于</w:t>
            </w:r>
            <w:r>
              <w:rPr>
                <w:rFonts w:hint="eastAsia"/>
                <w:color w:val="auto"/>
                <w:kern w:val="0"/>
                <w:lang w:bidi="ar"/>
              </w:rPr>
              <w:t>鄂尔多斯蒙苏经济开发区零碳产业园</w:t>
            </w:r>
            <w:r>
              <w:rPr>
                <w:color w:val="auto"/>
                <w:kern w:val="0"/>
                <w:lang w:bidi="ar"/>
              </w:rPr>
              <w:t>，</w:t>
            </w:r>
            <w:r>
              <w:rPr>
                <w:color w:val="auto"/>
              </w:rPr>
              <w:t>项目用地属于工业用地，土地资源消耗符合要求。</w:t>
            </w:r>
            <w:r>
              <w:rPr>
                <w:color w:val="auto"/>
                <w:kern w:val="0"/>
                <w:lang w:bidi="ar"/>
              </w:rPr>
              <w:t>因此，本项目资源利用不会超出当地资源利用上线，满足相关要求。</w:t>
            </w:r>
          </w:p>
          <w:p w14:paraId="0B3A1332">
            <w:pPr>
              <w:autoSpaceDE w:val="0"/>
              <w:autoSpaceDN w:val="0"/>
              <w:adjustRightInd w:val="0"/>
              <w:snapToGrid w:val="0"/>
              <w:ind w:firstLine="482" w:firstLineChars="200"/>
              <w:rPr>
                <w:b/>
                <w:bCs/>
                <w:color w:val="auto"/>
                <w:kern w:val="0"/>
              </w:rPr>
            </w:pPr>
            <w:r>
              <w:rPr>
                <w:rFonts w:hint="eastAsia"/>
                <w:b/>
                <w:bCs/>
                <w:color w:val="auto"/>
                <w:kern w:val="0"/>
              </w:rPr>
              <w:t>（</w:t>
            </w:r>
            <w:r>
              <w:rPr>
                <w:b/>
                <w:bCs/>
                <w:color w:val="auto"/>
                <w:kern w:val="0"/>
              </w:rPr>
              <w:t>4</w:t>
            </w:r>
            <w:r>
              <w:rPr>
                <w:rFonts w:hint="eastAsia"/>
                <w:b/>
                <w:bCs/>
                <w:color w:val="auto"/>
                <w:kern w:val="0"/>
              </w:rPr>
              <w:t>）生态环境准入清单</w:t>
            </w:r>
          </w:p>
          <w:p w14:paraId="7E20BF73">
            <w:pPr>
              <w:ind w:firstLine="480"/>
              <w:rPr>
                <w:color w:val="auto"/>
              </w:rPr>
            </w:pPr>
            <w:r>
              <w:rPr>
                <w:rFonts w:hint="default" w:ascii="Times New Roman" w:hAnsi="Times New Roman" w:eastAsia="宋体" w:cs="Times New Roman"/>
                <w:color w:val="auto"/>
                <w:szCs w:val="24"/>
                <w:highlight w:val="none"/>
                <w:lang w:val="en-US" w:eastAsia="zh-CN"/>
              </w:rPr>
              <w:t>根据</w:t>
            </w:r>
            <w:r>
              <w:rPr>
                <w:rFonts w:hint="eastAsia"/>
                <w:color w:val="auto"/>
                <w:kern w:val="0"/>
                <w:sz w:val="24"/>
                <w:highlight w:val="none"/>
              </w:rPr>
              <w:t>《鄂尔多斯市生态环境分区管控动态更新成果(2023年版)》的通知</w:t>
            </w:r>
            <w:r>
              <w:rPr>
                <w:color w:val="auto"/>
                <w:kern w:val="0"/>
                <w:sz w:val="24"/>
                <w:highlight w:val="none"/>
              </w:rPr>
              <w:t>（</w:t>
            </w:r>
            <w:r>
              <w:rPr>
                <w:rFonts w:hint="eastAsia"/>
                <w:color w:val="auto"/>
                <w:kern w:val="0"/>
                <w:sz w:val="24"/>
                <w:highlight w:val="none"/>
              </w:rPr>
              <w:t>2024年8月6日</w:t>
            </w:r>
            <w:r>
              <w:rPr>
                <w:color w:val="auto"/>
                <w:kern w:val="0"/>
                <w:sz w:val="24"/>
                <w:highlight w:val="none"/>
              </w:rPr>
              <w:t>）</w:t>
            </w:r>
            <w:r>
              <w:rPr>
                <w:rFonts w:hint="eastAsia"/>
                <w:color w:val="auto"/>
                <w:kern w:val="0"/>
                <w:sz w:val="24"/>
                <w:highlight w:val="none"/>
                <w:lang w:eastAsia="zh-CN"/>
              </w:rPr>
              <w:t>及《</w:t>
            </w:r>
            <w:r>
              <w:rPr>
                <w:rFonts w:hint="eastAsia"/>
                <w:color w:val="auto"/>
                <w:kern w:val="0"/>
                <w:sz w:val="24"/>
                <w:highlight w:val="none"/>
              </w:rPr>
              <w:t>鄂尔多斯市生态环境分区管控动态更新成果(2023年版)</w:t>
            </w:r>
            <w:r>
              <w:rPr>
                <w:rFonts w:hint="eastAsia"/>
                <w:color w:val="auto"/>
                <w:kern w:val="0"/>
                <w:sz w:val="24"/>
                <w:highlight w:val="none"/>
                <w:lang w:eastAsia="zh-CN"/>
              </w:rPr>
              <w:t>》</w:t>
            </w:r>
            <w:r>
              <w:rPr>
                <w:color w:val="auto"/>
                <w:kern w:val="0"/>
                <w:sz w:val="24"/>
                <w:highlight w:val="none"/>
              </w:rPr>
              <w:t>文本</w:t>
            </w:r>
            <w:r>
              <w:rPr>
                <w:color w:val="auto"/>
              </w:rPr>
              <w:t>，</w:t>
            </w:r>
            <w:r>
              <w:rPr>
                <w:rFonts w:hint="default" w:ascii="Times New Roman" w:hAnsi="Times New Roman" w:eastAsia="宋体" w:cs="Times New Roman"/>
                <w:color w:val="auto"/>
                <w:szCs w:val="24"/>
                <w:highlight w:val="none"/>
                <w:lang w:val="en-US" w:eastAsia="zh-CN"/>
              </w:rPr>
              <w:t>本项目位于</w:t>
            </w:r>
            <w:r>
              <w:rPr>
                <w:rFonts w:hint="default" w:ascii="Times New Roman" w:hAnsi="Times New Roman" w:eastAsia="宋体" w:cs="Times New Roman"/>
                <w:b w:val="0"/>
                <w:bCs w:val="0"/>
                <w:color w:val="auto"/>
                <w:sz w:val="24"/>
                <w:szCs w:val="24"/>
                <w:highlight w:val="none"/>
                <w:lang w:val="en-US" w:eastAsia="zh-CN"/>
              </w:rPr>
              <w:t>内蒙古自治区鄂尔多斯蒙苏经济开发区鄂尔多斯零碳产业园</w:t>
            </w:r>
            <w:r>
              <w:rPr>
                <w:rFonts w:hint="eastAsia" w:eastAsia="宋体" w:cs="Times New Roman"/>
                <w:b w:val="0"/>
                <w:bCs w:val="0"/>
                <w:color w:val="auto"/>
                <w:sz w:val="24"/>
                <w:szCs w:val="24"/>
                <w:highlight w:val="none"/>
                <w:lang w:val="en-US" w:eastAsia="zh-CN"/>
              </w:rPr>
              <w:t>西片区</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本项目</w:t>
            </w:r>
            <w:r>
              <w:rPr>
                <w:rFonts w:hint="eastAsia" w:eastAsia="宋体" w:cs="Times New Roman"/>
                <w:color w:val="auto"/>
                <w:highlight w:val="none"/>
                <w:lang w:val="en-US" w:eastAsia="zh-CN"/>
              </w:rPr>
              <w:t>拟建场址属于</w:t>
            </w:r>
            <w:r>
              <w:rPr>
                <w:rFonts w:hint="eastAsia" w:ascii="Times New Roman" w:hAnsi="Times New Roman" w:eastAsia="宋体" w:cs="Times New Roman"/>
                <w:color w:val="auto"/>
                <w:highlight w:val="none"/>
                <w:lang w:val="en-US" w:eastAsia="zh-CN"/>
              </w:rPr>
              <w:t>重点管控单元-蒙苏经济开发区-环境管控单元编码ZH15062720001</w:t>
            </w:r>
            <w:r>
              <w:rPr>
                <w:rFonts w:hint="default" w:ascii="Times New Roman" w:hAnsi="Times New Roman" w:eastAsia="宋体" w:cs="Times New Roman"/>
                <w:color w:val="auto"/>
                <w:highlight w:val="none"/>
                <w:lang w:val="en-US" w:eastAsia="zh-CN"/>
              </w:rPr>
              <w:t>，管控单元</w:t>
            </w:r>
            <w:r>
              <w:rPr>
                <w:rFonts w:hint="default" w:ascii="Times New Roman" w:hAnsi="Times New Roman" w:eastAsia="宋体" w:cs="Times New Roman"/>
                <w:color w:val="auto"/>
                <w:kern w:val="0"/>
                <w:highlight w:val="none"/>
              </w:rPr>
              <w:t>相关符合性分析见表</w:t>
            </w:r>
            <w:r>
              <w:rPr>
                <w:rFonts w:hint="eastAsia" w:eastAsia="宋体" w:cs="Times New Roman"/>
                <w:color w:val="auto"/>
                <w:kern w:val="0"/>
                <w:highlight w:val="none"/>
                <w:lang w:val="en-US" w:eastAsia="zh-CN"/>
              </w:rPr>
              <w:t>1-3</w:t>
            </w:r>
            <w:r>
              <w:rPr>
                <w:color w:val="auto"/>
              </w:rPr>
              <w:t>。</w:t>
            </w:r>
          </w:p>
          <w:p w14:paraId="16DB9816">
            <w:pPr>
              <w:pStyle w:val="64"/>
              <w:ind w:firstLine="480"/>
              <w:rPr>
                <w:color w:val="auto"/>
              </w:rPr>
            </w:pPr>
            <w:r>
              <w:rPr>
                <w:rFonts w:hint="eastAsia"/>
                <w:color w:val="auto"/>
              </w:rPr>
              <w:t xml:space="preserve">表1-3 </w:t>
            </w:r>
            <w:r>
              <w:rPr>
                <w:color w:val="auto"/>
              </w:rPr>
              <w:t xml:space="preserve"> </w:t>
            </w:r>
            <w:r>
              <w:rPr>
                <w:rFonts w:eastAsia="宋体"/>
                <w:b/>
                <w:bCs/>
                <w:color w:val="auto"/>
              </w:rPr>
              <w:t>与</w:t>
            </w:r>
            <w:r>
              <w:rPr>
                <w:rFonts w:hint="eastAsia"/>
                <w:color w:val="auto"/>
              </w:rPr>
              <w:t>蒙苏经济开发区</w:t>
            </w:r>
            <w:r>
              <w:rPr>
                <w:rFonts w:hint="eastAsia"/>
                <w:color w:val="auto"/>
                <w:lang w:val="en-US" w:eastAsia="zh-CN"/>
              </w:rPr>
              <w:t>管控单元管控要求的</w:t>
            </w:r>
            <w:r>
              <w:rPr>
                <w:rFonts w:eastAsia="宋体"/>
                <w:b/>
                <w:bCs/>
                <w:color w:val="auto"/>
              </w:rPr>
              <w:t>符合性分析</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3679"/>
              <w:gridCol w:w="1778"/>
              <w:gridCol w:w="496"/>
            </w:tblGrid>
            <w:tr w14:paraId="4473E78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306" w:type="pct"/>
                  <w:gridSpan w:val="2"/>
                  <w:vAlign w:val="center"/>
                </w:tcPr>
                <w:p w14:paraId="2BF1CE98">
                  <w:pPr>
                    <w:pStyle w:val="25"/>
                    <w:jc w:val="center"/>
                    <w:rPr>
                      <w:b w:val="0"/>
                      <w:color w:val="auto"/>
                    </w:rPr>
                  </w:pPr>
                  <w:r>
                    <w:rPr>
                      <w:rFonts w:hint="eastAsia"/>
                      <w:b/>
                      <w:color w:val="auto"/>
                    </w:rPr>
                    <w:t>管控要求</w:t>
                  </w:r>
                </w:p>
              </w:tc>
              <w:tc>
                <w:tcPr>
                  <w:tcW w:w="1323" w:type="pct"/>
                  <w:vAlign w:val="center"/>
                </w:tcPr>
                <w:p w14:paraId="236214C0">
                  <w:pPr>
                    <w:pStyle w:val="25"/>
                    <w:jc w:val="center"/>
                    <w:rPr>
                      <w:b w:val="0"/>
                      <w:bCs/>
                      <w:color w:val="auto"/>
                    </w:rPr>
                  </w:pPr>
                  <w:r>
                    <w:rPr>
                      <w:rFonts w:hint="eastAsia"/>
                      <w:b/>
                      <w:bCs/>
                      <w:color w:val="auto"/>
                    </w:rPr>
                    <w:t>本项目</w:t>
                  </w:r>
                </w:p>
              </w:tc>
              <w:tc>
                <w:tcPr>
                  <w:tcW w:w="369" w:type="pct"/>
                  <w:vAlign w:val="center"/>
                </w:tcPr>
                <w:p w14:paraId="21A32C8A">
                  <w:pPr>
                    <w:pStyle w:val="25"/>
                    <w:jc w:val="center"/>
                    <w:rPr>
                      <w:b w:val="0"/>
                      <w:bCs/>
                      <w:color w:val="auto"/>
                    </w:rPr>
                  </w:pPr>
                  <w:r>
                    <w:rPr>
                      <w:rFonts w:hint="eastAsia"/>
                      <w:b/>
                      <w:bCs/>
                      <w:color w:val="auto"/>
                    </w:rPr>
                    <w:t>备注</w:t>
                  </w:r>
                </w:p>
              </w:tc>
            </w:tr>
            <w:tr w14:paraId="71C986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Align w:val="center"/>
                </w:tcPr>
                <w:p w14:paraId="6653B564">
                  <w:pPr>
                    <w:pStyle w:val="25"/>
                    <w:jc w:val="center"/>
                    <w:rPr>
                      <w:bCs/>
                      <w:color w:val="auto"/>
                    </w:rPr>
                  </w:pPr>
                  <w:r>
                    <w:rPr>
                      <w:bCs/>
                      <w:color w:val="auto"/>
                    </w:rPr>
                    <w:t>空间布局约束</w:t>
                  </w:r>
                </w:p>
              </w:tc>
              <w:tc>
                <w:tcPr>
                  <w:tcW w:w="2738" w:type="pct"/>
                  <w:vAlign w:val="center"/>
                </w:tcPr>
                <w:p w14:paraId="776BD792">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1.</w:t>
                  </w:r>
                  <w:r>
                    <w:rPr>
                      <w:rFonts w:hint="default" w:ascii="Times New Roman" w:hAnsi="Times New Roman" w:eastAsia="宋体" w:cs="Times New Roman"/>
                      <w:b w:val="0"/>
                      <w:bCs w:val="0"/>
                      <w:color w:val="auto"/>
                      <w:kern w:val="0"/>
                      <w:sz w:val="21"/>
                      <w:szCs w:val="21"/>
                      <w:highlight w:val="none"/>
                      <w:lang w:val="en-US" w:eastAsia="zh-CN" w:bidi="ar"/>
                    </w:rPr>
                    <w:t>禁止不符合园区产业定位及规划环评等要求的项目入园</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国家明令淘汰的落后产能和不符合国家产业政策的项目，禁止向工业园区转移。</w:t>
                  </w:r>
                </w:p>
                <w:p w14:paraId="5BBF966E">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鄂尔多斯江苏工业园区</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①重点培育发展高端装备制造、高新技术和战略性新兴产业，禁止发展生物发酵类、印染类等高污染产业。②园区产业生产工艺达到国内先进水平</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二级以上</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。③居住用地周边严控布局潜在污染扰民和环境风险突出的建设项目。</w:t>
                  </w:r>
                </w:p>
                <w:p w14:paraId="1B8293C2">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乌兰木工业项目区</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①禁止引进硫</w:t>
                  </w:r>
                  <w:r>
                    <w:rPr>
                      <w:rFonts w:hint="eastAsia" w:ascii="Times New Roman" w:hAnsi="Times New Roman" w:eastAsia="宋体" w:cs="Times New Roman"/>
                      <w:b w:val="0"/>
                      <w:bCs w:val="0"/>
                      <w:color w:val="auto"/>
                      <w:kern w:val="0"/>
                      <w:sz w:val="21"/>
                      <w:szCs w:val="21"/>
                      <w:highlight w:val="none"/>
                      <w:lang w:val="en-US" w:eastAsia="zh-CN" w:bidi="ar"/>
                    </w:rPr>
                    <w:t>化氢</w:t>
                  </w:r>
                  <w:r>
                    <w:rPr>
                      <w:rFonts w:hint="default" w:ascii="Times New Roman" w:hAnsi="Times New Roman" w:eastAsia="宋体" w:cs="Times New Roman"/>
                      <w:b w:val="0"/>
                      <w:bCs w:val="0"/>
                      <w:color w:val="auto"/>
                      <w:kern w:val="0"/>
                      <w:sz w:val="21"/>
                      <w:szCs w:val="21"/>
                      <w:highlight w:val="none"/>
                      <w:lang w:val="en-US" w:eastAsia="zh-CN" w:bidi="ar"/>
                    </w:rPr>
                    <w:t>、</w:t>
                  </w:r>
                  <w:r>
                    <w:rPr>
                      <w:rFonts w:hint="eastAsia" w:ascii="Times New Roman" w:hAnsi="Times New Roman" w:eastAsia="宋体" w:cs="Times New Roman"/>
                      <w:b w:val="0"/>
                      <w:bCs w:val="0"/>
                      <w:color w:val="auto"/>
                      <w:kern w:val="0"/>
                      <w:sz w:val="21"/>
                      <w:szCs w:val="21"/>
                      <w:highlight w:val="none"/>
                      <w:lang w:val="en-US" w:eastAsia="zh-CN" w:bidi="ar"/>
                    </w:rPr>
                    <w:t>苯并芘</w:t>
                  </w:r>
                  <w:r>
                    <w:rPr>
                      <w:rFonts w:hint="default" w:ascii="Times New Roman" w:hAnsi="Times New Roman" w:eastAsia="宋体" w:cs="Times New Roman"/>
                      <w:b w:val="0"/>
                      <w:bCs w:val="0"/>
                      <w:color w:val="auto"/>
                      <w:kern w:val="0"/>
                      <w:sz w:val="21"/>
                      <w:szCs w:val="21"/>
                      <w:highlight w:val="none"/>
                      <w:lang w:val="en-US" w:eastAsia="zh-CN" w:bidi="ar"/>
                    </w:rPr>
                    <w:t>排放较大的企业入园</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②居住用地周边严控布局潜在污染扰民和环境风险突出的建设项目。</w:t>
                  </w:r>
                </w:p>
                <w:p w14:paraId="03803FAD">
                  <w:pPr>
                    <w:pStyle w:val="25"/>
                    <w:jc w:val="both"/>
                    <w:rPr>
                      <w:rFonts w:hint="eastAsia"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汇能工业项目区</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①禁止建设涉及铅、求、路、锡、碑五种重点控制的重金属产生和排放的项目</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②马进达到清洁生产一级水平或国内国际</w:t>
                  </w:r>
                  <w:r>
                    <w:rPr>
                      <w:rFonts w:hint="eastAsia" w:ascii="Times New Roman" w:hAnsi="Times New Roman" w:eastAsia="宋体" w:cs="Times New Roman"/>
                      <w:b w:val="0"/>
                      <w:bCs w:val="0"/>
                      <w:color w:val="auto"/>
                      <w:kern w:val="0"/>
                      <w:sz w:val="21"/>
                      <w:szCs w:val="21"/>
                      <w:highlight w:val="none"/>
                      <w:lang w:val="en-US" w:eastAsia="zh-CN" w:bidi="ar"/>
                    </w:rPr>
                    <w:t>先进</w:t>
                  </w:r>
                  <w:r>
                    <w:rPr>
                      <w:rFonts w:hint="default" w:ascii="Times New Roman" w:hAnsi="Times New Roman" w:eastAsia="宋体" w:cs="Times New Roman"/>
                      <w:b w:val="0"/>
                      <w:bCs w:val="0"/>
                      <w:color w:val="auto"/>
                      <w:kern w:val="0"/>
                      <w:sz w:val="21"/>
                      <w:szCs w:val="21"/>
                      <w:highlight w:val="none"/>
                      <w:lang w:val="en-US" w:eastAsia="zh-CN" w:bidi="ar"/>
                    </w:rPr>
                    <w:t>水平、资源利用效率达到</w:t>
                  </w:r>
                  <w:r>
                    <w:rPr>
                      <w:rFonts w:hint="eastAsia" w:ascii="Times New Roman" w:hAnsi="Times New Roman" w:eastAsia="宋体" w:cs="Times New Roman"/>
                      <w:b w:val="0"/>
                      <w:bCs w:val="0"/>
                      <w:color w:val="auto"/>
                      <w:kern w:val="0"/>
                      <w:sz w:val="21"/>
                      <w:szCs w:val="21"/>
                      <w:highlight w:val="none"/>
                      <w:lang w:val="en-US" w:eastAsia="zh-CN" w:bidi="ar"/>
                    </w:rPr>
                    <w:t>国内</w:t>
                  </w:r>
                  <w:r>
                    <w:rPr>
                      <w:rFonts w:hint="default" w:ascii="Times New Roman" w:hAnsi="Times New Roman" w:eastAsia="宋体" w:cs="Times New Roman"/>
                      <w:b w:val="0"/>
                      <w:bCs w:val="0"/>
                      <w:color w:val="auto"/>
                      <w:kern w:val="0"/>
                      <w:sz w:val="21"/>
                      <w:szCs w:val="21"/>
                      <w:highlight w:val="none"/>
                      <w:lang w:val="en-US" w:eastAsia="zh-CN" w:bidi="ar"/>
                    </w:rPr>
                    <w:t>先进水平、污染排放少的项目。落实各类废渣和工业副产品的循环综合利用。③园区与居民、地表水体、文物保护等环境敏感区之间应设置合理的防护隔离区，工业区和居住区间绿化隔离带不小于500米。</w:t>
                  </w:r>
                </w:p>
              </w:tc>
              <w:tc>
                <w:tcPr>
                  <w:tcW w:w="1323" w:type="pct"/>
                  <w:vAlign w:val="center"/>
                </w:tcPr>
                <w:p w14:paraId="6ADCA94F">
                  <w:pPr>
                    <w:spacing w:line="240" w:lineRule="auto"/>
                    <w:rPr>
                      <w:rFonts w:hint="default" w:eastAsia="宋体"/>
                      <w:color w:val="auto"/>
                      <w:sz w:val="21"/>
                      <w:szCs w:val="21"/>
                      <w:lang w:val="en-US" w:eastAsia="zh-CN" w:bidi="ar"/>
                    </w:rPr>
                  </w:pPr>
                  <w:r>
                    <w:rPr>
                      <w:rFonts w:hint="eastAsia"/>
                      <w:color w:val="auto"/>
                      <w:sz w:val="21"/>
                      <w:szCs w:val="21"/>
                      <w:lang w:val="en-US" w:eastAsia="zh-CN" w:bidi="ar"/>
                    </w:rPr>
                    <w:t>1.鄂尔多斯蒙苏经济开发区零碳产业园工业废水处理厂属于园区的基础设施，建设场址属于园区规划的污水处理设施用地，本项目为污水处理厂的配套设施，为蒸发结晶工序提供蒸汽，项目建设符合园区规划。</w:t>
                  </w:r>
                </w:p>
                <w:p w14:paraId="015C6E2D">
                  <w:pPr>
                    <w:spacing w:line="240" w:lineRule="auto"/>
                    <w:rPr>
                      <w:rFonts w:hint="default"/>
                      <w:color w:val="auto"/>
                      <w:sz w:val="21"/>
                      <w:szCs w:val="21"/>
                      <w:lang w:val="en-US" w:eastAsia="zh-CN" w:bidi="ar"/>
                    </w:rPr>
                  </w:pPr>
                  <w:r>
                    <w:rPr>
                      <w:rFonts w:hint="eastAsia"/>
                      <w:color w:val="auto"/>
                      <w:sz w:val="21"/>
                      <w:szCs w:val="21"/>
                      <w:lang w:val="en-US" w:eastAsia="zh-CN" w:bidi="ar"/>
                    </w:rPr>
                    <w:t>2.本项目园区基础设施的配套工程，满足清洁生产要求。</w:t>
                  </w:r>
                </w:p>
                <w:p w14:paraId="79D4B313">
                  <w:pPr>
                    <w:spacing w:line="240" w:lineRule="auto"/>
                    <w:rPr>
                      <w:rFonts w:hint="default"/>
                      <w:bCs/>
                      <w:color w:val="auto"/>
                      <w:lang w:val="en-US"/>
                    </w:rPr>
                  </w:pPr>
                  <w:r>
                    <w:rPr>
                      <w:rFonts w:hint="eastAsia"/>
                      <w:color w:val="auto"/>
                      <w:sz w:val="21"/>
                      <w:szCs w:val="21"/>
                      <w:lang w:val="en-US" w:eastAsia="zh-CN" w:bidi="ar"/>
                    </w:rPr>
                    <w:t>3.本项目不属于潜在污染扰民和环境风险突出的建设项目</w:t>
                  </w:r>
                </w:p>
              </w:tc>
              <w:tc>
                <w:tcPr>
                  <w:tcW w:w="369" w:type="pct"/>
                  <w:vAlign w:val="center"/>
                </w:tcPr>
                <w:p w14:paraId="63542B45">
                  <w:pPr>
                    <w:pStyle w:val="25"/>
                    <w:jc w:val="center"/>
                    <w:rPr>
                      <w:bCs/>
                      <w:color w:val="auto"/>
                    </w:rPr>
                  </w:pPr>
                  <w:r>
                    <w:rPr>
                      <w:rFonts w:hint="eastAsia"/>
                      <w:bCs/>
                      <w:color w:val="auto"/>
                    </w:rPr>
                    <w:t>符合</w:t>
                  </w:r>
                </w:p>
              </w:tc>
            </w:tr>
            <w:tr w14:paraId="50576DA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Align w:val="center"/>
                </w:tcPr>
                <w:p w14:paraId="460740E6">
                  <w:pPr>
                    <w:pStyle w:val="25"/>
                    <w:jc w:val="center"/>
                    <w:rPr>
                      <w:bCs/>
                      <w:color w:val="auto"/>
                      <w:kern w:val="0"/>
                    </w:rPr>
                  </w:pPr>
                  <w:r>
                    <w:rPr>
                      <w:bCs/>
                      <w:color w:val="auto"/>
                      <w:kern w:val="0"/>
                    </w:rPr>
                    <w:t>污染物排放管控</w:t>
                  </w:r>
                </w:p>
              </w:tc>
              <w:tc>
                <w:tcPr>
                  <w:tcW w:w="2738" w:type="pct"/>
                  <w:vAlign w:val="center"/>
                </w:tcPr>
                <w:p w14:paraId="4DF40906">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1.</w:t>
                  </w:r>
                  <w:r>
                    <w:rPr>
                      <w:rFonts w:hint="default" w:ascii="Times New Roman" w:hAnsi="Times New Roman" w:eastAsia="宋体" w:cs="Times New Roman"/>
                      <w:b w:val="0"/>
                      <w:bCs w:val="0"/>
                      <w:color w:val="auto"/>
                      <w:kern w:val="0"/>
                      <w:sz w:val="21"/>
                      <w:szCs w:val="21"/>
                      <w:highlight w:val="none"/>
                      <w:lang w:val="en-US" w:eastAsia="zh-CN" w:bidi="ar"/>
                    </w:rPr>
                    <w:t>按“清污分流”、“雨污分流”、“污污分流”原则，污水应收尽收，全部回用或作为景观用水不外排。</w:t>
                  </w:r>
                </w:p>
                <w:p w14:paraId="3B17E7FA">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2.</w:t>
                  </w:r>
                  <w:r>
                    <w:rPr>
                      <w:rFonts w:hint="default" w:ascii="Times New Roman" w:hAnsi="Times New Roman" w:eastAsia="宋体" w:cs="Times New Roman"/>
                      <w:b w:val="0"/>
                      <w:bCs w:val="0"/>
                      <w:color w:val="auto"/>
                      <w:kern w:val="0"/>
                      <w:sz w:val="21"/>
                      <w:szCs w:val="21"/>
                      <w:highlight w:val="none"/>
                      <w:lang w:val="en-US" w:eastAsia="zh-CN" w:bidi="ar"/>
                    </w:rPr>
                    <w:t>推进高含盐水“零排放</w:t>
                  </w:r>
                  <w:r>
                    <w:rPr>
                      <w:rFonts w:hint="eastAsia" w:ascii="Times New Roman" w:hAnsi="Times New Roman" w:eastAsia="宋体" w:cs="Times New Roman"/>
                      <w:b w:val="0"/>
                      <w:bCs w:val="0"/>
                      <w:color w:val="auto"/>
                      <w:kern w:val="0"/>
                      <w:sz w:val="21"/>
                      <w:szCs w:val="21"/>
                      <w:highlight w:val="none"/>
                      <w:lang w:val="en-US" w:eastAsia="zh-CN" w:bidi="ar"/>
                    </w:rPr>
                    <w:t>”</w:t>
                  </w:r>
                  <w:r>
                    <w:rPr>
                      <w:rFonts w:hint="default" w:ascii="Times New Roman" w:hAnsi="Times New Roman" w:eastAsia="宋体" w:cs="Times New Roman"/>
                      <w:b w:val="0"/>
                      <w:bCs w:val="0"/>
                      <w:color w:val="auto"/>
                      <w:kern w:val="0"/>
                      <w:sz w:val="21"/>
                      <w:szCs w:val="21"/>
                      <w:highlight w:val="none"/>
                      <w:lang w:val="en-US" w:eastAsia="zh-CN" w:bidi="ar"/>
                    </w:rPr>
                    <w:t>，稳定运行高盐水深度处理和分盐结晶设施，完善配套设施、优化工艺</w:t>
                  </w:r>
                  <w:r>
                    <w:rPr>
                      <w:rFonts w:hint="eastAsia" w:ascii="Times New Roman" w:hAnsi="Times New Roman" w:eastAsia="宋体" w:cs="Times New Roman"/>
                      <w:b w:val="0"/>
                      <w:bCs w:val="0"/>
                      <w:color w:val="auto"/>
                      <w:kern w:val="0"/>
                      <w:sz w:val="21"/>
                      <w:szCs w:val="21"/>
                      <w:highlight w:val="none"/>
                      <w:lang w:val="en-US" w:eastAsia="zh-CN" w:bidi="ar"/>
                    </w:rPr>
                    <w:t>技术</w:t>
                  </w:r>
                  <w:r>
                    <w:rPr>
                      <w:rFonts w:hint="default" w:ascii="Times New Roman" w:hAnsi="Times New Roman" w:eastAsia="宋体" w:cs="Times New Roman"/>
                      <w:b w:val="0"/>
                      <w:bCs w:val="0"/>
                      <w:color w:val="auto"/>
                      <w:kern w:val="0"/>
                      <w:sz w:val="21"/>
                      <w:szCs w:val="21"/>
                      <w:highlight w:val="none"/>
                      <w:lang w:val="en-US" w:eastAsia="zh-CN" w:bidi="ar"/>
                    </w:rPr>
                    <w:t>，确保高盐水全部结晶处理，严禁排入晾晒池。加快现有晾晒池取缔或转变功能，禁止新建晾晒池、蒸发塘。</w:t>
                  </w:r>
                </w:p>
                <w:p w14:paraId="682ABE06">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涉VOC</w:t>
                  </w:r>
                  <w:r>
                    <w:rPr>
                      <w:rFonts w:hint="eastAsia" w:ascii="Times New Roman" w:hAnsi="Times New Roman" w:eastAsia="宋体" w:cs="Times New Roman"/>
                      <w:b w:val="0"/>
                      <w:bCs w:val="0"/>
                      <w:color w:val="auto"/>
                      <w:kern w:val="0"/>
                      <w:sz w:val="21"/>
                      <w:szCs w:val="21"/>
                      <w:highlight w:val="none"/>
                      <w:lang w:val="en-US" w:eastAsia="zh-CN" w:bidi="ar"/>
                    </w:rPr>
                    <w:t>s</w:t>
                  </w:r>
                  <w:r>
                    <w:rPr>
                      <w:rFonts w:hint="default" w:ascii="Times New Roman" w:hAnsi="Times New Roman" w:eastAsia="宋体" w:cs="Times New Roman"/>
                      <w:b w:val="0"/>
                      <w:bCs w:val="0"/>
                      <w:color w:val="auto"/>
                      <w:kern w:val="0"/>
                      <w:sz w:val="21"/>
                      <w:szCs w:val="21"/>
                      <w:highlight w:val="none"/>
                      <w:lang w:val="en-US" w:eastAsia="zh-CN" w:bidi="ar"/>
                    </w:rPr>
                    <w:t>项目应使用低(无)VOCs含量的原辅材料，安装废气收集、高效治理设施。</w:t>
                  </w:r>
                </w:p>
                <w:p w14:paraId="69E6479F">
                  <w:pPr>
                    <w:pStyle w:val="25"/>
                    <w:jc w:val="both"/>
                    <w:rPr>
                      <w:rFonts w:hint="eastAsia"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4.园区实施集中供热，禁止企业自建燃煤锅炉，燃煤发电机组执行大气污染物超低排放限值。</w:t>
                  </w:r>
                </w:p>
              </w:tc>
              <w:tc>
                <w:tcPr>
                  <w:tcW w:w="1323" w:type="pct"/>
                  <w:vAlign w:val="center"/>
                </w:tcPr>
                <w:p w14:paraId="25F504FC">
                  <w:pPr>
                    <w:spacing w:line="240" w:lineRule="auto"/>
                    <w:rPr>
                      <w:color w:val="auto"/>
                      <w:sz w:val="21"/>
                      <w:szCs w:val="21"/>
                    </w:rPr>
                  </w:pPr>
                  <w:r>
                    <w:rPr>
                      <w:color w:val="auto"/>
                      <w:sz w:val="21"/>
                      <w:szCs w:val="21"/>
                    </w:rPr>
                    <w:t>1.本项目采取雨污分流的排水方式。项目产生的</w:t>
                  </w:r>
                  <w:r>
                    <w:rPr>
                      <w:rFonts w:hint="eastAsia"/>
                      <w:color w:val="auto"/>
                      <w:sz w:val="21"/>
                      <w:szCs w:val="21"/>
                    </w:rPr>
                    <w:t>生产废水</w:t>
                  </w:r>
                  <w:r>
                    <w:rPr>
                      <w:color w:val="auto"/>
                      <w:sz w:val="21"/>
                      <w:szCs w:val="21"/>
                    </w:rPr>
                    <w:t>，全部排入</w:t>
                  </w:r>
                  <w:r>
                    <w:rPr>
                      <w:rFonts w:hint="eastAsia"/>
                      <w:color w:val="auto"/>
                      <w:sz w:val="21"/>
                      <w:szCs w:val="21"/>
                    </w:rPr>
                    <w:t>污水处理厂隆基废水处理系统</w:t>
                  </w:r>
                  <w:r>
                    <w:rPr>
                      <w:color w:val="auto"/>
                      <w:sz w:val="21"/>
                      <w:szCs w:val="21"/>
                    </w:rPr>
                    <w:t>进行处理。</w:t>
                  </w:r>
                </w:p>
                <w:p w14:paraId="55E2ED42">
                  <w:pPr>
                    <w:spacing w:line="240" w:lineRule="auto"/>
                    <w:rPr>
                      <w:color w:val="auto"/>
                      <w:sz w:val="21"/>
                      <w:szCs w:val="21"/>
                    </w:rPr>
                  </w:pPr>
                  <w:r>
                    <w:rPr>
                      <w:rFonts w:hint="eastAsia"/>
                      <w:color w:val="auto"/>
                      <w:sz w:val="21"/>
                      <w:szCs w:val="21"/>
                    </w:rPr>
                    <w:t>2.不涉及。</w:t>
                  </w:r>
                </w:p>
                <w:p w14:paraId="336B948A">
                  <w:pPr>
                    <w:spacing w:line="240" w:lineRule="auto"/>
                    <w:rPr>
                      <w:color w:val="auto"/>
                      <w:sz w:val="21"/>
                      <w:szCs w:val="21"/>
                    </w:rPr>
                  </w:pPr>
                  <w:r>
                    <w:rPr>
                      <w:rFonts w:hint="eastAsia"/>
                      <w:color w:val="auto"/>
                      <w:sz w:val="21"/>
                      <w:szCs w:val="21"/>
                      <w:lang w:val="en-US" w:eastAsia="zh-CN"/>
                    </w:rPr>
                    <w:t>3</w:t>
                  </w:r>
                  <w:r>
                    <w:rPr>
                      <w:rFonts w:hint="eastAsia"/>
                      <w:color w:val="auto"/>
                      <w:sz w:val="21"/>
                      <w:szCs w:val="21"/>
                    </w:rPr>
                    <w:t>.不涉及。</w:t>
                  </w:r>
                </w:p>
                <w:p w14:paraId="17AA764C">
                  <w:pPr>
                    <w:spacing w:line="240" w:lineRule="auto"/>
                    <w:rPr>
                      <w:rFonts w:hint="eastAsia" w:eastAsia="宋体"/>
                      <w:color w:val="auto"/>
                      <w:lang w:eastAsia="zh-CN"/>
                    </w:rPr>
                  </w:pPr>
                  <w:r>
                    <w:rPr>
                      <w:rFonts w:hint="eastAsia"/>
                      <w:color w:val="auto"/>
                      <w:sz w:val="21"/>
                      <w:szCs w:val="21"/>
                      <w:lang w:val="en-US" w:eastAsia="zh-CN"/>
                    </w:rPr>
                    <w:t>4</w:t>
                  </w:r>
                  <w:r>
                    <w:rPr>
                      <w:rFonts w:hint="eastAsia"/>
                      <w:color w:val="auto"/>
                      <w:sz w:val="21"/>
                      <w:szCs w:val="21"/>
                    </w:rPr>
                    <w:t>.本项目为园区内配套环保工程污水处理设施</w:t>
                  </w:r>
                  <w:r>
                    <w:rPr>
                      <w:rFonts w:hint="eastAsia"/>
                      <w:color w:val="auto"/>
                      <w:sz w:val="21"/>
                      <w:szCs w:val="21"/>
                      <w:lang w:val="en-US" w:eastAsia="zh-CN"/>
                    </w:rPr>
                    <w:t>蒸发结晶</w:t>
                  </w:r>
                  <w:r>
                    <w:rPr>
                      <w:rFonts w:hint="eastAsia"/>
                      <w:color w:val="auto"/>
                      <w:sz w:val="21"/>
                      <w:szCs w:val="21"/>
                    </w:rPr>
                    <w:t>供汽工程，</w:t>
                  </w:r>
                  <w:r>
                    <w:rPr>
                      <w:rFonts w:hint="eastAsia"/>
                      <w:color w:val="auto"/>
                      <w:sz w:val="21"/>
                      <w:szCs w:val="21"/>
                      <w:lang w:val="en-US" w:eastAsia="zh-CN"/>
                    </w:rPr>
                    <w:t>不涉及</w:t>
                  </w:r>
                  <w:r>
                    <w:rPr>
                      <w:rFonts w:hint="eastAsia"/>
                      <w:color w:val="auto"/>
                      <w:sz w:val="21"/>
                      <w:szCs w:val="21"/>
                    </w:rPr>
                    <w:t>燃煤锅炉</w:t>
                  </w:r>
                  <w:r>
                    <w:rPr>
                      <w:rFonts w:hint="eastAsia"/>
                      <w:color w:val="auto"/>
                      <w:sz w:val="21"/>
                      <w:szCs w:val="21"/>
                      <w:lang w:eastAsia="zh-CN"/>
                    </w:rPr>
                    <w:t>；厂房车间冬季供暖采用园区集中供暖方式进行供热。</w:t>
                  </w:r>
                </w:p>
              </w:tc>
              <w:tc>
                <w:tcPr>
                  <w:tcW w:w="369" w:type="pct"/>
                  <w:vAlign w:val="center"/>
                </w:tcPr>
                <w:p w14:paraId="552FC1AC">
                  <w:pPr>
                    <w:pStyle w:val="25"/>
                    <w:jc w:val="center"/>
                    <w:rPr>
                      <w:color w:val="auto"/>
                    </w:rPr>
                  </w:pPr>
                  <w:r>
                    <w:rPr>
                      <w:rFonts w:hint="eastAsia"/>
                      <w:bCs/>
                      <w:color w:val="auto"/>
                    </w:rPr>
                    <w:t>符合</w:t>
                  </w:r>
                </w:p>
              </w:tc>
            </w:tr>
            <w:tr w14:paraId="7BE1FBD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Align w:val="center"/>
                </w:tcPr>
                <w:p w14:paraId="103FE60D">
                  <w:pPr>
                    <w:pStyle w:val="25"/>
                    <w:jc w:val="center"/>
                    <w:rPr>
                      <w:bCs/>
                      <w:color w:val="auto"/>
                      <w:kern w:val="0"/>
                    </w:rPr>
                  </w:pPr>
                  <w:r>
                    <w:rPr>
                      <w:bCs/>
                      <w:color w:val="auto"/>
                      <w:kern w:val="0"/>
                    </w:rPr>
                    <w:t>资源利用效率</w:t>
                  </w:r>
                </w:p>
              </w:tc>
              <w:tc>
                <w:tcPr>
                  <w:tcW w:w="2738" w:type="pct"/>
                  <w:vAlign w:val="center"/>
                </w:tcPr>
                <w:p w14:paraId="3097D735">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1.</w:t>
                  </w:r>
                  <w:r>
                    <w:rPr>
                      <w:rFonts w:hint="default" w:ascii="Times New Roman" w:hAnsi="Times New Roman" w:eastAsia="宋体" w:cs="Times New Roman"/>
                      <w:b w:val="0"/>
                      <w:bCs w:val="0"/>
                      <w:color w:val="auto"/>
                      <w:kern w:val="0"/>
                      <w:sz w:val="21"/>
                      <w:szCs w:val="21"/>
                      <w:highlight w:val="none"/>
                      <w:lang w:val="en-US" w:eastAsia="zh-CN" w:bidi="ar"/>
                    </w:rPr>
                    <w:t>严格"以水定产业、以水定规模”，做好节水工作，按分质供水原则，合理进行水资源分配，优先使用疏干水、污水处理厂中水。</w:t>
                  </w:r>
                </w:p>
                <w:p w14:paraId="03F92EEA">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2.</w:t>
                  </w:r>
                  <w:r>
                    <w:rPr>
                      <w:rFonts w:hint="default" w:ascii="Times New Roman" w:hAnsi="Times New Roman" w:eastAsia="宋体" w:cs="Times New Roman"/>
                      <w:b w:val="0"/>
                      <w:bCs w:val="0"/>
                      <w:color w:val="auto"/>
                      <w:kern w:val="0"/>
                      <w:sz w:val="21"/>
                      <w:szCs w:val="21"/>
                      <w:highlight w:val="none"/>
                      <w:lang w:val="en-US" w:eastAsia="zh-CN" w:bidi="ar"/>
                    </w:rPr>
                    <w:t>严控地下水超采。新建、改建、扩建的高耗水工业项目，禁止擅自使用地下水。食品、制药等项目取用地下水，须经有管理权限的水行政主管部门批准。</w:t>
                  </w:r>
                </w:p>
                <w:p w14:paraId="504C77F5">
                  <w:pPr>
                    <w:pStyle w:val="25"/>
                    <w:jc w:val="both"/>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实施园区可再生能源替代行动，推动园区企业采用新能源供能方式进行电能替代，打造低碳、零碳示范园区。</w:t>
                  </w:r>
                </w:p>
              </w:tc>
              <w:tc>
                <w:tcPr>
                  <w:tcW w:w="1323" w:type="pct"/>
                  <w:vAlign w:val="center"/>
                </w:tcPr>
                <w:p w14:paraId="1AB0AEF5">
                  <w:pPr>
                    <w:pStyle w:val="25"/>
                    <w:jc w:val="center"/>
                    <w:rPr>
                      <w:color w:val="auto"/>
                    </w:rPr>
                  </w:pPr>
                  <w:r>
                    <w:rPr>
                      <w:color w:val="auto"/>
                    </w:rPr>
                    <w:t>本项目用水不采用地下水，生活用水为园区供水管网提供自来水，生产用水为</w:t>
                  </w:r>
                  <w:r>
                    <w:rPr>
                      <w:rFonts w:hint="eastAsia"/>
                      <w:color w:val="auto"/>
                    </w:rPr>
                    <w:t>污水处理厂处理中水</w:t>
                  </w:r>
                  <w:r>
                    <w:rPr>
                      <w:color w:val="auto"/>
                    </w:rPr>
                    <w:t>。</w:t>
                  </w:r>
                </w:p>
              </w:tc>
              <w:tc>
                <w:tcPr>
                  <w:tcW w:w="369" w:type="pct"/>
                  <w:vAlign w:val="center"/>
                </w:tcPr>
                <w:p w14:paraId="1FEACFD5">
                  <w:pPr>
                    <w:pStyle w:val="25"/>
                    <w:jc w:val="center"/>
                    <w:rPr>
                      <w:color w:val="auto"/>
                    </w:rPr>
                  </w:pPr>
                  <w:r>
                    <w:rPr>
                      <w:rFonts w:hint="eastAsia"/>
                      <w:bCs/>
                      <w:color w:val="auto"/>
                    </w:rPr>
                    <w:t>符合</w:t>
                  </w:r>
                </w:p>
              </w:tc>
            </w:tr>
          </w:tbl>
          <w:p w14:paraId="24AE5573">
            <w:pPr>
              <w:autoSpaceDE w:val="0"/>
              <w:autoSpaceDN w:val="0"/>
              <w:adjustRightInd w:val="0"/>
              <w:snapToGrid w:val="0"/>
              <w:ind w:firstLine="482" w:firstLineChars="200"/>
              <w:rPr>
                <w:b/>
                <w:bCs/>
                <w:color w:val="auto"/>
                <w:kern w:val="0"/>
              </w:rPr>
            </w:pPr>
            <w:r>
              <w:rPr>
                <w:b/>
                <w:bCs/>
                <w:color w:val="auto"/>
                <w:kern w:val="0"/>
              </w:rPr>
              <w:t>2.环境准入负面清单</w:t>
            </w:r>
          </w:p>
          <w:p w14:paraId="651D51B4">
            <w:pPr>
              <w:ind w:firstLine="480"/>
              <w:rPr>
                <w:color w:val="auto"/>
              </w:rPr>
            </w:pPr>
            <w:r>
              <w:rPr>
                <w:rFonts w:hint="eastAsia"/>
                <w:color w:val="auto"/>
              </w:rPr>
              <w:t>《内蒙古自治区国家重点生态功能区产业准入负面清单（试行）》于2018年3月12日由自治区人民政府以“内政发</w:t>
            </w:r>
            <w:r>
              <w:rPr>
                <w:rFonts w:hint="eastAsia" w:ascii="宋体" w:hAnsi="宋体"/>
                <w:color w:val="auto"/>
              </w:rPr>
              <w:t>〔</w:t>
            </w:r>
            <w:r>
              <w:rPr>
                <w:rFonts w:hint="eastAsia"/>
                <w:color w:val="auto"/>
              </w:rPr>
              <w:t>2018</w:t>
            </w:r>
            <w:r>
              <w:rPr>
                <w:rFonts w:hint="eastAsia" w:ascii="宋体" w:hAnsi="宋体"/>
                <w:color w:val="auto"/>
              </w:rPr>
              <w:t>〕</w:t>
            </w:r>
            <w:r>
              <w:rPr>
                <w:rFonts w:hint="eastAsia"/>
                <w:color w:val="auto"/>
              </w:rPr>
              <w:t>11号”文发布。本项目建设地点位于</w:t>
            </w:r>
            <w:r>
              <w:rPr>
                <w:color w:val="auto"/>
              </w:rPr>
              <w:t>鄂尔多斯市蒙苏经济开发区零碳产业园工业废水处理厂</w:t>
            </w:r>
            <w:r>
              <w:rPr>
                <w:rFonts w:hint="eastAsia"/>
                <w:color w:val="auto"/>
              </w:rPr>
              <w:t>厂区内，不在《自治区国家重点生态功能区产业准入负面清单》内。</w:t>
            </w:r>
          </w:p>
          <w:p w14:paraId="0ABD05CE">
            <w:pPr>
              <w:ind w:firstLine="480"/>
              <w:rPr>
                <w:color w:val="auto"/>
              </w:rPr>
            </w:pPr>
            <w:r>
              <w:rPr>
                <w:rFonts w:hint="eastAsia"/>
                <w:color w:val="auto"/>
              </w:rPr>
              <w:t>综上所述，本项目符合国家和地方“三线一单”的相关要求。</w:t>
            </w:r>
          </w:p>
          <w:p w14:paraId="6C97B171">
            <w:pPr>
              <w:autoSpaceDE w:val="0"/>
              <w:autoSpaceDN w:val="0"/>
              <w:adjustRightInd w:val="0"/>
              <w:snapToGrid w:val="0"/>
              <w:ind w:firstLine="482" w:firstLineChars="200"/>
              <w:rPr>
                <w:b/>
                <w:bCs/>
                <w:color w:val="auto"/>
                <w:kern w:val="0"/>
              </w:rPr>
            </w:pPr>
            <w:r>
              <w:rPr>
                <w:b/>
                <w:bCs/>
                <w:color w:val="auto"/>
                <w:kern w:val="0"/>
              </w:rPr>
              <w:t>3.产业政策符合性分析</w:t>
            </w:r>
          </w:p>
          <w:p w14:paraId="4A4152C4">
            <w:pPr>
              <w:ind w:firstLine="480"/>
              <w:rPr>
                <w:color w:val="auto"/>
              </w:rPr>
            </w:pPr>
            <w:bookmarkStart w:id="5" w:name="_Hlk41388041"/>
            <w:r>
              <w:rPr>
                <w:rFonts w:hint="eastAsia"/>
                <w:color w:val="auto"/>
              </w:rPr>
              <w:t>本项目为热力生产和供应</w:t>
            </w:r>
            <w:r>
              <w:rPr>
                <w:rFonts w:hint="eastAsia"/>
                <w:color w:val="auto"/>
                <w:lang w:val="en-US" w:eastAsia="zh-CN"/>
              </w:rPr>
              <w:t>项目</w:t>
            </w:r>
            <w:r>
              <w:rPr>
                <w:rFonts w:hint="eastAsia"/>
                <w:color w:val="auto"/>
              </w:rPr>
              <w:t>，</w:t>
            </w:r>
            <w:r>
              <w:rPr>
                <w:rFonts w:hint="eastAsia"/>
                <w:color w:val="auto"/>
                <w:lang w:val="en-US" w:eastAsia="zh-CN"/>
              </w:rPr>
              <w:t>不</w:t>
            </w:r>
            <w:r>
              <w:rPr>
                <w:rFonts w:hint="eastAsia"/>
                <w:color w:val="auto"/>
              </w:rPr>
              <w:t>属于《产业结构调整指导目录（2024年本）》（</w:t>
            </w:r>
            <w:r>
              <w:rPr>
                <w:rFonts w:hint="eastAsia"/>
                <w:color w:val="auto"/>
                <w:lang w:eastAsia="zh-CN"/>
              </w:rPr>
              <w:t>国家发展改革委</w:t>
            </w:r>
            <w:r>
              <w:rPr>
                <w:rFonts w:hint="eastAsia"/>
                <w:color w:val="auto"/>
              </w:rPr>
              <w:t>2023年第7号令）中鼓励类、限制类、淘汰类，属于允许类，符合国家的产业政策。</w:t>
            </w:r>
            <w:bookmarkEnd w:id="5"/>
          </w:p>
          <w:p w14:paraId="44E66CB9">
            <w:pPr>
              <w:autoSpaceDE w:val="0"/>
              <w:autoSpaceDN w:val="0"/>
              <w:adjustRightInd w:val="0"/>
              <w:snapToGrid w:val="0"/>
              <w:ind w:firstLine="482" w:firstLineChars="200"/>
              <w:rPr>
                <w:b/>
                <w:bCs/>
                <w:color w:val="auto"/>
                <w:kern w:val="0"/>
              </w:rPr>
            </w:pPr>
            <w:r>
              <w:rPr>
                <w:b/>
                <w:bCs/>
                <w:color w:val="auto"/>
                <w:kern w:val="0"/>
              </w:rPr>
              <w:t>4.选址合理性分析</w:t>
            </w:r>
          </w:p>
          <w:p w14:paraId="4533917C">
            <w:pPr>
              <w:autoSpaceDE w:val="0"/>
              <w:autoSpaceDN w:val="0"/>
              <w:adjustRightInd w:val="0"/>
              <w:snapToGrid w:val="0"/>
              <w:ind w:firstLine="480" w:firstLineChars="200"/>
              <w:rPr>
                <w:rFonts w:hint="eastAsia"/>
                <w:bCs/>
                <w:color w:val="auto"/>
                <w:kern w:val="0"/>
              </w:rPr>
            </w:pPr>
            <w:r>
              <w:rPr>
                <w:rFonts w:hint="eastAsia"/>
                <w:bCs/>
                <w:color w:val="auto"/>
                <w:kern w:val="0"/>
              </w:rPr>
              <w:t>本项目位于</w:t>
            </w:r>
            <w:r>
              <w:rPr>
                <w:color w:val="auto"/>
              </w:rPr>
              <w:t>鄂尔多斯市蒙苏经济开发区零碳产业园工业废水处理厂</w:t>
            </w:r>
            <w:r>
              <w:rPr>
                <w:rFonts w:hint="eastAsia"/>
                <w:color w:val="auto"/>
              </w:rPr>
              <w:t>厂区内</w:t>
            </w:r>
            <w:r>
              <w:rPr>
                <w:rFonts w:hint="eastAsia"/>
                <w:color w:val="auto"/>
                <w:lang w:eastAsia="zh-CN"/>
              </w:rPr>
              <w:t>，</w:t>
            </w:r>
            <w:r>
              <w:rPr>
                <w:rFonts w:hint="eastAsia"/>
                <w:color w:val="auto"/>
                <w:lang w:val="en-US" w:eastAsia="zh-CN"/>
              </w:rPr>
              <w:t>属于园区废水处理环保工程配套供汽设施</w:t>
            </w:r>
            <w:r>
              <w:rPr>
                <w:rFonts w:hint="eastAsia"/>
                <w:bCs/>
                <w:color w:val="auto"/>
                <w:kern w:val="0"/>
              </w:rPr>
              <w:t>。本项目为热力生产和供应工程，</w:t>
            </w:r>
            <w:r>
              <w:rPr>
                <w:color w:val="auto"/>
              </w:rPr>
              <w:t>项目所在地不涉及自然保护区、风景名胜区、饮用水水源保护区、基本农田保护区和其他需要特别保护的地区，用地性质属于工业用地，厂址建设条件良好</w:t>
            </w:r>
            <w:r>
              <w:rPr>
                <w:rFonts w:hint="eastAsia"/>
                <w:bCs/>
                <w:color w:val="auto"/>
                <w:kern w:val="0"/>
              </w:rPr>
              <w:t>。</w:t>
            </w:r>
          </w:p>
          <w:p w14:paraId="05E6454C">
            <w:pPr>
              <w:pStyle w:val="23"/>
              <w:rPr>
                <w:rFonts w:hint="eastAsia"/>
                <w:bCs/>
                <w:color w:val="auto"/>
                <w:kern w:val="0"/>
              </w:rPr>
            </w:pPr>
          </w:p>
          <w:p w14:paraId="6214C067">
            <w:pPr>
              <w:pStyle w:val="23"/>
              <w:rPr>
                <w:rFonts w:hint="eastAsia"/>
                <w:bCs/>
                <w:color w:val="auto"/>
                <w:kern w:val="0"/>
              </w:rPr>
            </w:pPr>
          </w:p>
          <w:p w14:paraId="2248C945">
            <w:pPr>
              <w:pStyle w:val="23"/>
              <w:rPr>
                <w:rFonts w:hint="eastAsia"/>
                <w:bCs/>
                <w:color w:val="auto"/>
                <w:kern w:val="0"/>
              </w:rPr>
            </w:pPr>
          </w:p>
          <w:p w14:paraId="0912EBB0">
            <w:pPr>
              <w:pStyle w:val="23"/>
              <w:rPr>
                <w:rFonts w:hint="eastAsia"/>
                <w:bCs/>
                <w:color w:val="auto"/>
                <w:kern w:val="0"/>
              </w:rPr>
            </w:pPr>
          </w:p>
          <w:p w14:paraId="71C97F18">
            <w:pPr>
              <w:pStyle w:val="23"/>
              <w:rPr>
                <w:rFonts w:hint="eastAsia"/>
                <w:bCs/>
                <w:color w:val="auto"/>
                <w:kern w:val="0"/>
              </w:rPr>
            </w:pPr>
          </w:p>
        </w:tc>
      </w:tr>
    </w:tbl>
    <w:p w14:paraId="6A8098D1">
      <w:pPr>
        <w:outlineLvl w:val="0"/>
        <w:rPr>
          <w:rFonts w:eastAsia="黑体"/>
          <w:color w:val="auto"/>
          <w:sz w:val="30"/>
        </w:rPr>
        <w:sectPr>
          <w:footerReference r:id="rId9" w:type="default"/>
          <w:pgSz w:w="11906" w:h="16838"/>
          <w:pgMar w:top="1701" w:right="1531" w:bottom="1701" w:left="1531" w:header="851" w:footer="850" w:gutter="0"/>
          <w:pgNumType w:start="1"/>
          <w:cols w:space="720" w:num="1"/>
          <w:docGrid w:linePitch="326" w:charSpace="0"/>
        </w:sectPr>
      </w:pPr>
    </w:p>
    <w:p w14:paraId="3F6D92AE">
      <w:pPr>
        <w:pStyle w:val="15"/>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二、建设项目工程分析</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605"/>
      </w:tblGrid>
      <w:tr w14:paraId="544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20" w:type="dxa"/>
            <w:vAlign w:val="center"/>
          </w:tcPr>
          <w:p w14:paraId="0FF3CA2F">
            <w:pPr>
              <w:pStyle w:val="15"/>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Cs w:val="24"/>
              </w:rPr>
              <w:t>建设内容</w:t>
            </w:r>
          </w:p>
        </w:tc>
        <w:tc>
          <w:tcPr>
            <w:tcW w:w="8240" w:type="dxa"/>
            <w:vAlign w:val="center"/>
          </w:tcPr>
          <w:p w14:paraId="34F4D2C4">
            <w:pPr>
              <w:adjustRightInd w:val="0"/>
              <w:snapToGrid w:val="0"/>
              <w:ind w:firstLine="482" w:firstLineChars="200"/>
              <w:rPr>
                <w:b/>
                <w:bCs/>
                <w:color w:val="auto"/>
              </w:rPr>
            </w:pPr>
            <w:r>
              <w:rPr>
                <w:rFonts w:hint="eastAsia"/>
                <w:b/>
                <w:bCs/>
                <w:color w:val="auto"/>
              </w:rPr>
              <w:t>1、项目由来</w:t>
            </w:r>
          </w:p>
          <w:p w14:paraId="290687B2">
            <w:pPr>
              <w:adjustRightInd w:val="0"/>
              <w:snapToGrid w:val="0"/>
              <w:ind w:firstLine="480" w:firstLineChars="200"/>
              <w:jc w:val="both"/>
              <w:rPr>
                <w:color w:val="auto"/>
              </w:rPr>
            </w:pPr>
            <w:r>
              <w:rPr>
                <w:color w:val="auto"/>
              </w:rPr>
              <w:t>鄂尔多斯蒙苏经济开发区零碳产业园位于内蒙古自治区鄂尔多斯市伊金霍洛旗境内，鄂尔多斯市中心城区西侧。国道210以西。距离中心城区康巴什新区和阿勒腾席热镇约13公里，由文明西路和阿四公路相连。</w:t>
            </w:r>
          </w:p>
          <w:p w14:paraId="497CCFE3">
            <w:pPr>
              <w:adjustRightInd w:val="0"/>
              <w:snapToGrid w:val="0"/>
              <w:ind w:firstLine="480" w:firstLineChars="200"/>
              <w:jc w:val="both"/>
              <w:rPr>
                <w:color w:val="auto"/>
              </w:rPr>
            </w:pPr>
            <w:r>
              <w:rPr>
                <w:rFonts w:hint="eastAsia"/>
                <w:color w:val="auto"/>
              </w:rPr>
              <w:t>2023年7月内蒙古新仕界项目管理有限公司编制了《鄂尔多斯蒙苏经济开发区零碳产业园工业废水处理厂及水资源再生利用项目环境影响评价报告书》，2023年7月5日，鄂尔多斯市生态环境局以鄂环审字〔2023〕147号文件对《鄂尔多斯蒙苏经济产业园零碳产业园工业污水处理厂及水资源再生利用项目环境影响报告书》作出批复。</w:t>
            </w:r>
            <w:r>
              <w:rPr>
                <w:rFonts w:hint="eastAsia"/>
                <w:bCs/>
                <w:color w:val="auto"/>
                <w:szCs w:val="21"/>
              </w:rPr>
              <w:t>2</w:t>
            </w:r>
            <w:r>
              <w:rPr>
                <w:bCs/>
                <w:color w:val="auto"/>
                <w:szCs w:val="21"/>
              </w:rPr>
              <w:t>02</w:t>
            </w:r>
            <w:r>
              <w:rPr>
                <w:rFonts w:hint="eastAsia"/>
                <w:bCs/>
                <w:color w:val="auto"/>
                <w:szCs w:val="21"/>
              </w:rPr>
              <w:t>3年10月开始建设施工，2</w:t>
            </w:r>
            <w:r>
              <w:rPr>
                <w:bCs/>
                <w:color w:val="auto"/>
                <w:szCs w:val="21"/>
              </w:rPr>
              <w:t>02</w:t>
            </w:r>
            <w:r>
              <w:rPr>
                <w:rFonts w:hint="eastAsia"/>
                <w:bCs/>
                <w:color w:val="auto"/>
                <w:szCs w:val="21"/>
              </w:rPr>
              <w:t>4年10月建设完成，2024年11月开始调试运行；2</w:t>
            </w:r>
            <w:r>
              <w:rPr>
                <w:bCs/>
                <w:color w:val="auto"/>
                <w:szCs w:val="21"/>
              </w:rPr>
              <w:t>02</w:t>
            </w:r>
            <w:r>
              <w:rPr>
                <w:rFonts w:hint="eastAsia"/>
                <w:bCs/>
                <w:color w:val="auto"/>
                <w:szCs w:val="21"/>
              </w:rPr>
              <w:t>4年12月对隆基专用废水处理系统处理规模6.0万m</w:t>
            </w:r>
            <w:r>
              <w:rPr>
                <w:rFonts w:hint="eastAsia"/>
                <w:bCs/>
                <w:color w:val="auto"/>
                <w:szCs w:val="21"/>
                <w:vertAlign w:val="superscript"/>
              </w:rPr>
              <w:t>3</w:t>
            </w:r>
            <w:r>
              <w:rPr>
                <w:rFonts w:hint="eastAsia"/>
                <w:bCs/>
                <w:color w:val="auto"/>
                <w:szCs w:val="21"/>
              </w:rPr>
              <w:t>进行建设项目自主环保验收（其他废水处理系统来水量较小无法运行，且未完工，不在该次验收范围内），并由专家组出具验收意见。</w:t>
            </w:r>
          </w:p>
          <w:p w14:paraId="5AFEC20F">
            <w:pPr>
              <w:adjustRightInd w:val="0"/>
              <w:snapToGrid w:val="0"/>
              <w:ind w:firstLine="480" w:firstLineChars="200"/>
              <w:jc w:val="both"/>
              <w:rPr>
                <w:color w:val="auto"/>
              </w:rPr>
            </w:pPr>
            <w:r>
              <w:rPr>
                <w:rFonts w:hint="eastAsia"/>
                <w:color w:val="auto"/>
              </w:rPr>
              <w:t>鄂尔多斯蒙苏经济开发区零碳产业园工业废水处理厂占</w:t>
            </w:r>
            <w:r>
              <w:rPr>
                <w:color w:val="auto"/>
              </w:rPr>
              <w:t>地面积为29.1193hm</w:t>
            </w:r>
            <w:r>
              <w:rPr>
                <w:color w:val="auto"/>
                <w:vertAlign w:val="superscript"/>
              </w:rPr>
              <w:t>2</w:t>
            </w:r>
            <w:r>
              <w:rPr>
                <w:color w:val="auto"/>
              </w:rPr>
              <w:t>，建设规模为10万m³/d，服务面积7270.56ha。分为单独隆基废水处理系统</w:t>
            </w:r>
            <w:r>
              <w:rPr>
                <w:rFonts w:hint="eastAsia"/>
                <w:color w:val="auto"/>
              </w:rPr>
              <w:t>（已验收）</w:t>
            </w:r>
            <w:r>
              <w:rPr>
                <w:color w:val="auto"/>
              </w:rPr>
              <w:t>和其他企业废水处理系统</w:t>
            </w:r>
            <w:r>
              <w:rPr>
                <w:rFonts w:hint="eastAsia"/>
                <w:color w:val="auto"/>
              </w:rPr>
              <w:t>（未验收）</w:t>
            </w:r>
            <w:r>
              <w:rPr>
                <w:color w:val="auto"/>
              </w:rPr>
              <w:t>。</w:t>
            </w:r>
          </w:p>
          <w:p w14:paraId="204C7200">
            <w:pPr>
              <w:ind w:firstLine="480" w:firstLineChars="200"/>
              <w:jc w:val="both"/>
              <w:rPr>
                <w:color w:val="auto"/>
              </w:rPr>
            </w:pPr>
            <w:r>
              <w:rPr>
                <w:color w:val="auto"/>
              </w:rPr>
              <w:t>隆基废水处理系统处理规模为6万m³/d，处理后中水返回隆基企业的量为5.7万m³/d，回用率95%，设计处理工艺采用“除硅除硬高效沉淀+1#生物池（多模式AO生物池）+除氟高效沉淀+过滤+臭氧催化氧化+纯膜MBBR+磁混凝沉淀+双模处理工艺→中水回用于隆基生产用水+浓水”，产生的浓水进行进一步处理，处理工艺采用“预处理+膜浓缩+蒸发结晶+冷冻结晶→中水+氯化钠结晶盐+硫酸钠结晶盐+杂盐”，浓水处理系统的中水与前端中水混合，出水满足《城市污水再生利用  工业用水水质》（GB/T19923-2005）敞开式循环冷却水系统补充用水标准要求并同时满足隆基生产用水要求回用于隆基生产用水，产生的副产品氯化钠结晶盐达《再生工业盐  氯化钠》（T/ZGZS0302-2023）工业干盐标准外售综合利用，硫酸钠结晶盐达《再生工业盐  硫酸钠》（T/ZGZS0303-2023）工业硫酸钠标准后外售综合利用。</w:t>
            </w:r>
            <w:r>
              <w:rPr>
                <w:rFonts w:hint="eastAsia"/>
                <w:color w:val="auto"/>
              </w:rPr>
              <w:t>其中</w:t>
            </w:r>
            <w:r>
              <w:rPr>
                <w:color w:val="auto"/>
              </w:rPr>
              <w:t>蒸发结晶过程中使用的蒸汽由2台（1用1备）12t/h的燃气锅炉提供</w:t>
            </w:r>
            <w:r>
              <w:rPr>
                <w:rFonts w:hint="eastAsia"/>
                <w:color w:val="auto"/>
                <w:lang w:eastAsia="zh-CN"/>
              </w:rPr>
              <w:t>（</w:t>
            </w:r>
            <w:r>
              <w:rPr>
                <w:rFonts w:hint="eastAsia"/>
                <w:color w:val="auto"/>
                <w:lang w:val="en-US" w:eastAsia="zh-CN"/>
              </w:rPr>
              <w:t>未验收</w:t>
            </w:r>
            <w:r>
              <w:rPr>
                <w:rFonts w:hint="eastAsia"/>
                <w:color w:val="auto"/>
                <w:lang w:eastAsia="zh-CN"/>
              </w:rPr>
              <w:t>）</w:t>
            </w:r>
            <w:r>
              <w:rPr>
                <w:color w:val="auto"/>
              </w:rPr>
              <w:t>。</w:t>
            </w:r>
          </w:p>
          <w:p w14:paraId="13C4D630">
            <w:pPr>
              <w:ind w:firstLine="480" w:firstLineChars="200"/>
              <w:jc w:val="both"/>
              <w:rPr>
                <w:color w:val="auto"/>
              </w:rPr>
            </w:pPr>
            <w:r>
              <w:rPr>
                <w:color w:val="auto"/>
              </w:rPr>
              <w:t>其他企业废水处理系统规模为4.0万m³/d，回用于园区内其他企业生产的中水量为3.8万m³/d，回用率95%。设计处理工艺采用“格栅+初沉池+2#生物池（五段bardenpho生物池）+高速气浮池+2#V型过滤+臭氧催化氧化→中水”，出水执行《城市污水再生利用  工业用水水质》（GB/T19923-2005）中直流冷却、洗涤（循环冷却）用水标准最终回用于其他企业生产用水及园区内消防用水。</w:t>
            </w:r>
          </w:p>
          <w:p w14:paraId="4BF8D4AB">
            <w:pPr>
              <w:pStyle w:val="8"/>
              <w:ind w:firstLine="480" w:firstLineChars="200"/>
              <w:jc w:val="both"/>
              <w:rPr>
                <w:rFonts w:hint="eastAsia" w:eastAsia="宋体"/>
                <w:color w:val="auto"/>
                <w:lang w:eastAsia="zh-CN"/>
              </w:rPr>
            </w:pPr>
            <w:r>
              <w:rPr>
                <w:rFonts w:hint="eastAsia"/>
                <w:color w:val="auto"/>
                <w:lang w:val="en-US" w:eastAsia="zh-CN"/>
              </w:rPr>
              <w:t>根据污水处理厂原工艺设计</w:t>
            </w:r>
            <w:r>
              <w:rPr>
                <w:rFonts w:hint="eastAsia"/>
                <w:color w:val="auto"/>
                <w:lang w:eastAsia="zh-CN"/>
              </w:rPr>
              <w:t>，氯化钠蒸发系统采用降膜蒸发浓缩+强制循环结晶工艺，</w:t>
            </w:r>
            <w:bookmarkStart w:id="6" w:name="OLE_LINK14"/>
            <w:r>
              <w:rPr>
                <w:rFonts w:hint="eastAsia"/>
                <w:color w:val="auto"/>
                <w:lang w:val="en-US" w:eastAsia="zh-CN"/>
              </w:rPr>
              <w:t>蒸发工段</w:t>
            </w:r>
            <w:r>
              <w:rPr>
                <w:rFonts w:hint="eastAsia"/>
                <w:color w:val="auto"/>
                <w:lang w:eastAsia="zh-CN"/>
              </w:rPr>
              <w:t>进水量</w:t>
            </w:r>
            <w:r>
              <w:rPr>
                <w:rFonts w:hint="eastAsia"/>
                <w:color w:val="auto"/>
                <w:lang w:val="en-US" w:eastAsia="zh-CN"/>
              </w:rPr>
              <w:t>6.32</w:t>
            </w:r>
            <w:bookmarkStart w:id="7" w:name="OLE_LINK13"/>
            <w:r>
              <w:rPr>
                <w:rFonts w:hint="eastAsia"/>
                <w:color w:val="auto"/>
                <w:lang w:eastAsia="zh-CN"/>
              </w:rPr>
              <w:t>m³/h</w:t>
            </w:r>
            <w:bookmarkEnd w:id="7"/>
            <w:r>
              <w:rPr>
                <w:rFonts w:hint="eastAsia"/>
                <w:color w:val="auto"/>
                <w:lang w:eastAsia="zh-CN"/>
              </w:rPr>
              <w:t>，</w:t>
            </w:r>
            <w:r>
              <w:rPr>
                <w:rFonts w:hint="eastAsia"/>
                <w:color w:val="auto"/>
                <w:lang w:val="en-US" w:eastAsia="zh-CN"/>
              </w:rPr>
              <w:t>所需蒸汽量为2.844</w:t>
            </w:r>
            <w:r>
              <w:rPr>
                <w:rFonts w:hint="eastAsia"/>
                <w:color w:val="auto"/>
                <w:lang w:eastAsia="zh-CN"/>
              </w:rPr>
              <w:t>m³/h；硫酸钠冷冻结晶系统采用冷冻结晶+热熔结晶工艺，</w:t>
            </w:r>
            <w:r>
              <w:rPr>
                <w:rFonts w:hint="eastAsia"/>
                <w:color w:val="auto"/>
                <w:lang w:val="en-US" w:eastAsia="zh-CN"/>
              </w:rPr>
              <w:t>热熔工段进水量0.432</w:t>
            </w:r>
            <w:r>
              <w:rPr>
                <w:rFonts w:hint="eastAsia"/>
                <w:color w:val="auto"/>
                <w:lang w:eastAsia="zh-CN"/>
              </w:rPr>
              <w:t>m³/h，</w:t>
            </w:r>
            <w:r>
              <w:rPr>
                <w:rFonts w:hint="eastAsia"/>
                <w:color w:val="auto"/>
                <w:lang w:val="en-US" w:eastAsia="zh-CN"/>
              </w:rPr>
              <w:t>所需蒸汽量为0.216</w:t>
            </w:r>
            <w:r>
              <w:rPr>
                <w:rFonts w:hint="eastAsia"/>
                <w:color w:val="auto"/>
                <w:lang w:eastAsia="zh-CN"/>
              </w:rPr>
              <w:t>m³/h；混盐蒸发结晶系统</w:t>
            </w:r>
            <w:r>
              <w:rPr>
                <w:rFonts w:hint="eastAsia"/>
                <w:color w:val="auto"/>
                <w:lang w:val="en-US" w:eastAsia="zh-CN"/>
              </w:rPr>
              <w:t>使用</w:t>
            </w:r>
            <w:r>
              <w:rPr>
                <w:rFonts w:hint="default" w:ascii="Times New Roman" w:hAnsi="Times New Roman" w:eastAsia="宋体" w:cs="Times New Roman"/>
                <w:color w:val="auto"/>
                <w:lang w:val="en-US" w:eastAsia="zh-CN"/>
              </w:rPr>
              <w:t>双效强制循环蒸发结晶器</w:t>
            </w:r>
            <w:r>
              <w:rPr>
                <w:rFonts w:hint="eastAsia" w:cs="Times New Roman"/>
                <w:color w:val="auto"/>
                <w:lang w:val="en-US" w:eastAsia="zh-CN"/>
              </w:rPr>
              <w:t>，</w:t>
            </w:r>
            <w:r>
              <w:rPr>
                <w:rFonts w:hint="eastAsia"/>
                <w:color w:val="auto"/>
                <w:lang w:val="en-US" w:eastAsia="zh-CN"/>
              </w:rPr>
              <w:t>蒸发工段</w:t>
            </w:r>
            <w:r>
              <w:rPr>
                <w:rFonts w:hint="eastAsia"/>
                <w:color w:val="auto"/>
                <w:lang w:eastAsia="zh-CN"/>
              </w:rPr>
              <w:t>进水量</w:t>
            </w:r>
            <w:r>
              <w:rPr>
                <w:rFonts w:hint="eastAsia"/>
                <w:color w:val="auto"/>
                <w:lang w:val="en-US" w:eastAsia="zh-CN"/>
              </w:rPr>
              <w:t>0.54</w:t>
            </w:r>
            <w:r>
              <w:rPr>
                <w:rFonts w:hint="eastAsia"/>
                <w:color w:val="auto"/>
                <w:lang w:eastAsia="zh-CN"/>
              </w:rPr>
              <w:t>m³/h，</w:t>
            </w:r>
            <w:r>
              <w:rPr>
                <w:rFonts w:hint="eastAsia"/>
                <w:color w:val="auto"/>
                <w:lang w:val="en-US" w:eastAsia="zh-CN"/>
              </w:rPr>
              <w:t>所需蒸汽量为0.54</w:t>
            </w:r>
            <w:r>
              <w:rPr>
                <w:rFonts w:hint="eastAsia"/>
                <w:color w:val="auto"/>
                <w:lang w:eastAsia="zh-CN"/>
              </w:rPr>
              <w:t>m³/h</w:t>
            </w:r>
            <w:bookmarkEnd w:id="6"/>
            <w:r>
              <w:rPr>
                <w:rFonts w:hint="eastAsia"/>
                <w:color w:val="auto"/>
                <w:lang w:eastAsia="zh-CN"/>
              </w:rPr>
              <w:t>。</w:t>
            </w:r>
          </w:p>
          <w:p w14:paraId="7F0B23C7">
            <w:pPr>
              <w:pStyle w:val="8"/>
              <w:ind w:firstLine="480" w:firstLineChars="200"/>
              <w:jc w:val="both"/>
              <w:rPr>
                <w:color w:val="0000FF"/>
              </w:rPr>
            </w:pPr>
            <w:r>
              <w:rPr>
                <w:rFonts w:hint="eastAsia"/>
                <w:color w:val="auto"/>
              </w:rPr>
              <w:t>根据</w:t>
            </w:r>
            <w:r>
              <w:rPr>
                <w:rFonts w:hint="eastAsia"/>
                <w:color w:val="auto"/>
                <w:lang w:val="en-US" w:eastAsia="zh-CN"/>
              </w:rPr>
              <w:t>建设单位</w:t>
            </w:r>
            <w:r>
              <w:rPr>
                <w:color w:val="auto"/>
              </w:rPr>
              <w:t>隆基废水处理系统</w:t>
            </w:r>
            <w:r>
              <w:rPr>
                <w:rFonts w:hint="eastAsia"/>
                <w:color w:val="auto"/>
                <w:lang w:val="en-US" w:eastAsia="zh-CN"/>
              </w:rPr>
              <w:t>实际运行情况</w:t>
            </w:r>
            <w:r>
              <w:rPr>
                <w:rFonts w:hint="eastAsia"/>
                <w:color w:val="auto"/>
              </w:rPr>
              <w:t>，浓盐水蒸发结晶</w:t>
            </w:r>
            <w:r>
              <w:rPr>
                <w:rFonts w:hint="eastAsia"/>
                <w:color w:val="auto"/>
                <w:lang w:val="en-US" w:eastAsia="zh-CN"/>
              </w:rPr>
              <w:t>系统蒸汽消耗量</w:t>
            </w:r>
            <w:r>
              <w:rPr>
                <w:rFonts w:hint="eastAsia"/>
                <w:color w:val="auto"/>
              </w:rPr>
              <w:t>较原环评增加，</w:t>
            </w:r>
            <w:bookmarkStart w:id="8" w:name="OLE_LINK5"/>
            <w:r>
              <w:rPr>
                <w:rFonts w:hint="eastAsia"/>
                <w:color w:val="auto"/>
                <w:lang w:val="en-US" w:eastAsia="zh-CN"/>
              </w:rPr>
              <w:t>实际蒸发工段</w:t>
            </w:r>
            <w:r>
              <w:rPr>
                <w:rFonts w:hint="eastAsia"/>
                <w:color w:val="auto"/>
                <w:lang w:eastAsia="zh-CN"/>
              </w:rPr>
              <w:t>进水量</w:t>
            </w:r>
            <w:r>
              <w:rPr>
                <w:rFonts w:hint="eastAsia"/>
                <w:color w:val="auto"/>
                <w:lang w:val="en-US" w:eastAsia="zh-CN"/>
              </w:rPr>
              <w:t>18.96</w:t>
            </w:r>
            <w:r>
              <w:rPr>
                <w:rFonts w:hint="eastAsia"/>
                <w:color w:val="auto"/>
                <w:lang w:eastAsia="zh-CN"/>
              </w:rPr>
              <w:t>m³/h，</w:t>
            </w:r>
            <w:r>
              <w:rPr>
                <w:rFonts w:hint="eastAsia"/>
                <w:color w:val="auto"/>
                <w:lang w:val="en-US" w:eastAsia="zh-CN"/>
              </w:rPr>
              <w:t>所需蒸汽量为8.532</w:t>
            </w:r>
            <w:r>
              <w:rPr>
                <w:rFonts w:hint="eastAsia"/>
                <w:color w:val="auto"/>
                <w:lang w:eastAsia="zh-CN"/>
              </w:rPr>
              <w:t>m³/h；硫酸钠冷冻结晶系统采用冷冻结晶+热熔结晶工艺，</w:t>
            </w:r>
            <w:r>
              <w:rPr>
                <w:rFonts w:hint="eastAsia"/>
                <w:color w:val="auto"/>
                <w:lang w:val="en-US" w:eastAsia="zh-CN"/>
              </w:rPr>
              <w:t>热熔工段进水量1.296</w:t>
            </w:r>
            <w:r>
              <w:rPr>
                <w:rFonts w:hint="eastAsia"/>
                <w:color w:val="auto"/>
                <w:lang w:eastAsia="zh-CN"/>
              </w:rPr>
              <w:t>m³/h，</w:t>
            </w:r>
            <w:r>
              <w:rPr>
                <w:rFonts w:hint="eastAsia"/>
                <w:color w:val="auto"/>
                <w:lang w:val="en-US" w:eastAsia="zh-CN"/>
              </w:rPr>
              <w:t>所需蒸汽量为0.648</w:t>
            </w:r>
            <w:r>
              <w:rPr>
                <w:rFonts w:hint="eastAsia"/>
                <w:color w:val="auto"/>
                <w:lang w:eastAsia="zh-CN"/>
              </w:rPr>
              <w:t>m³/h；混盐蒸发结晶系统</w:t>
            </w:r>
            <w:r>
              <w:rPr>
                <w:rFonts w:hint="eastAsia"/>
                <w:color w:val="auto"/>
                <w:lang w:val="en-US" w:eastAsia="zh-CN"/>
              </w:rPr>
              <w:t>使用</w:t>
            </w:r>
            <w:r>
              <w:rPr>
                <w:rFonts w:hint="default" w:ascii="Times New Roman" w:hAnsi="Times New Roman" w:eastAsia="宋体" w:cs="Times New Roman"/>
                <w:color w:val="auto"/>
                <w:lang w:val="en-US" w:eastAsia="zh-CN"/>
              </w:rPr>
              <w:t>双效强制循环蒸发结晶器</w:t>
            </w:r>
            <w:r>
              <w:rPr>
                <w:rFonts w:hint="eastAsia" w:cs="Times New Roman"/>
                <w:color w:val="auto"/>
                <w:lang w:val="en-US" w:eastAsia="zh-CN"/>
              </w:rPr>
              <w:t>，</w:t>
            </w:r>
            <w:r>
              <w:rPr>
                <w:rFonts w:hint="eastAsia"/>
                <w:color w:val="auto"/>
                <w:lang w:val="en-US" w:eastAsia="zh-CN"/>
              </w:rPr>
              <w:t>蒸发工段</w:t>
            </w:r>
            <w:r>
              <w:rPr>
                <w:rFonts w:hint="eastAsia"/>
                <w:color w:val="auto"/>
                <w:lang w:eastAsia="zh-CN"/>
              </w:rPr>
              <w:t>进水量</w:t>
            </w:r>
            <w:r>
              <w:rPr>
                <w:rFonts w:hint="eastAsia"/>
                <w:color w:val="auto"/>
                <w:lang w:val="en-US" w:eastAsia="zh-CN"/>
              </w:rPr>
              <w:t>1.62</w:t>
            </w:r>
            <w:r>
              <w:rPr>
                <w:rFonts w:hint="eastAsia"/>
                <w:color w:val="auto"/>
                <w:lang w:eastAsia="zh-CN"/>
              </w:rPr>
              <w:t>m³/h，</w:t>
            </w:r>
            <w:r>
              <w:rPr>
                <w:rFonts w:hint="eastAsia"/>
                <w:color w:val="auto"/>
                <w:lang w:val="en-US" w:eastAsia="zh-CN"/>
              </w:rPr>
              <w:t>所需蒸汽量为1.62</w:t>
            </w:r>
            <w:r>
              <w:rPr>
                <w:rFonts w:hint="eastAsia"/>
                <w:color w:val="auto"/>
                <w:lang w:eastAsia="zh-CN"/>
              </w:rPr>
              <w:t>m³/h，</w:t>
            </w:r>
            <w:r>
              <w:rPr>
                <w:rFonts w:hint="eastAsia"/>
                <w:color w:val="0000FF"/>
                <w:lang w:val="en-US" w:eastAsia="zh-CN"/>
              </w:rPr>
              <w:t>原环评中蒸汽锅炉每日平均运行时间为8h，本次变更后</w:t>
            </w:r>
            <w:r>
              <w:rPr>
                <w:rFonts w:hint="eastAsia"/>
                <w:color w:val="0000FF"/>
              </w:rPr>
              <w:t>锅炉运行时间增加</w:t>
            </w:r>
            <w:r>
              <w:rPr>
                <w:rFonts w:hint="eastAsia"/>
                <w:color w:val="0000FF"/>
                <w:lang w:val="en-US" w:eastAsia="zh-CN"/>
              </w:rPr>
              <w:t>至24小时每日，根据《污染影响类建设项目重大变动清单（试行）》，属于“生产、处置或储存能力增大30%及以上的”，因此本项目需重新报批环境影响报告表</w:t>
            </w:r>
            <w:r>
              <w:rPr>
                <w:rFonts w:hint="eastAsia"/>
                <w:color w:val="0000FF"/>
              </w:rPr>
              <w:t>。</w:t>
            </w:r>
            <w:bookmarkEnd w:id="8"/>
          </w:p>
          <w:p w14:paraId="41D88384">
            <w:pPr>
              <w:adjustRightInd w:val="0"/>
              <w:snapToGrid w:val="0"/>
              <w:ind w:firstLine="480" w:firstLineChars="200"/>
              <w:jc w:val="both"/>
              <w:rPr>
                <w:bCs/>
                <w:color w:val="auto"/>
                <w:szCs w:val="21"/>
              </w:rPr>
            </w:pPr>
            <w:r>
              <w:rPr>
                <w:rFonts w:hint="eastAsia"/>
                <w:color w:val="auto"/>
              </w:rPr>
              <w:t>本项目属于热力生产和供应，属于《国民经济行业分类》（G</w:t>
            </w:r>
            <w:r>
              <w:rPr>
                <w:color w:val="auto"/>
              </w:rPr>
              <w:t>B/T 4754-2017</w:t>
            </w:r>
            <w:r>
              <w:rPr>
                <w:rFonts w:hint="eastAsia"/>
                <w:color w:val="auto"/>
              </w:rPr>
              <w:t>）中“D4430</w:t>
            </w:r>
            <w:r>
              <w:rPr>
                <w:color w:val="auto"/>
              </w:rPr>
              <w:t xml:space="preserve"> </w:t>
            </w:r>
            <w:r>
              <w:rPr>
                <w:rFonts w:hint="eastAsia"/>
                <w:color w:val="auto"/>
              </w:rPr>
              <w:t>热力生产与供应”，根据《建设项目环境影响评价分类管理名录》（2</w:t>
            </w:r>
            <w:r>
              <w:rPr>
                <w:color w:val="auto"/>
              </w:rPr>
              <w:t>021</w:t>
            </w:r>
            <w:r>
              <w:rPr>
                <w:rFonts w:hint="eastAsia"/>
                <w:color w:val="auto"/>
              </w:rPr>
              <w:t>年版），应编制环境影响报告表。</w:t>
            </w:r>
            <w:bookmarkStart w:id="9" w:name="_Hlk100936146"/>
          </w:p>
          <w:bookmarkEnd w:id="9"/>
          <w:p w14:paraId="133315A5">
            <w:pPr>
              <w:ind w:firstLine="482" w:firstLineChars="200"/>
              <w:rPr>
                <w:b/>
                <w:bCs/>
                <w:color w:val="auto"/>
              </w:rPr>
            </w:pPr>
            <w:r>
              <w:rPr>
                <w:rFonts w:hint="eastAsia"/>
                <w:b/>
                <w:bCs/>
                <w:color w:val="auto"/>
              </w:rPr>
              <w:t>2、项目基本概况</w:t>
            </w:r>
          </w:p>
          <w:p w14:paraId="7306750E">
            <w:pPr>
              <w:ind w:firstLine="480" w:firstLineChars="200"/>
              <w:rPr>
                <w:rFonts w:hint="eastAsia"/>
                <w:color w:val="auto"/>
                <w:lang w:val="en-US" w:eastAsia="zh-CN"/>
              </w:rPr>
            </w:pPr>
            <w:r>
              <w:rPr>
                <w:rFonts w:hint="eastAsia"/>
                <w:color w:val="auto"/>
              </w:rPr>
              <w:t>项目名称：鄂尔多斯蒙苏经济开发区零碳产业园工业废水处理厂锅炉</w:t>
            </w:r>
            <w:r>
              <w:rPr>
                <w:rFonts w:hint="eastAsia"/>
                <w:color w:val="auto"/>
                <w:lang w:val="en-US" w:eastAsia="zh-CN"/>
              </w:rPr>
              <w:t>变更项目</w:t>
            </w:r>
          </w:p>
          <w:p w14:paraId="0E4EE6B2">
            <w:pPr>
              <w:ind w:firstLine="480" w:firstLineChars="200"/>
              <w:rPr>
                <w:color w:val="auto"/>
              </w:rPr>
            </w:pPr>
            <w:r>
              <w:rPr>
                <w:rFonts w:hint="eastAsia"/>
                <w:color w:val="auto"/>
              </w:rPr>
              <w:t>建设单位：伊金霍洛旗澎源供水有限责任公司</w:t>
            </w:r>
          </w:p>
          <w:p w14:paraId="5ECA8CF2">
            <w:pPr>
              <w:ind w:firstLine="480" w:firstLineChars="200"/>
              <w:rPr>
                <w:rFonts w:hint="default" w:eastAsia="宋体"/>
                <w:color w:val="auto"/>
                <w:lang w:val="en-US" w:eastAsia="zh-CN"/>
              </w:rPr>
            </w:pPr>
            <w:r>
              <w:rPr>
                <w:rFonts w:hint="eastAsia"/>
                <w:color w:val="auto"/>
              </w:rPr>
              <w:t>建设性质：</w:t>
            </w:r>
            <w:r>
              <w:rPr>
                <w:rFonts w:hint="eastAsia"/>
                <w:color w:val="auto"/>
                <w:lang w:val="en-US" w:eastAsia="zh-CN"/>
              </w:rPr>
              <w:t>新建</w:t>
            </w:r>
            <w:r>
              <w:rPr>
                <w:rFonts w:hint="eastAsia"/>
                <w:color w:val="auto"/>
                <w:lang w:eastAsia="zh-CN"/>
              </w:rPr>
              <w:t>（</w:t>
            </w:r>
            <w:r>
              <w:rPr>
                <w:rFonts w:hint="eastAsia"/>
                <w:color w:val="auto"/>
              </w:rPr>
              <w:t>本次</w:t>
            </w:r>
            <w:r>
              <w:rPr>
                <w:rFonts w:hint="eastAsia"/>
                <w:color w:val="auto"/>
                <w:lang w:val="en-US" w:eastAsia="zh-CN"/>
              </w:rPr>
              <w:t>变更</w:t>
            </w:r>
            <w:r>
              <w:rPr>
                <w:rFonts w:hint="eastAsia"/>
                <w:color w:val="auto"/>
              </w:rPr>
              <w:t>后锅炉运行时间增加至</w:t>
            </w:r>
            <w:r>
              <w:rPr>
                <w:rFonts w:hint="eastAsia"/>
                <w:color w:val="auto"/>
                <w:lang w:val="en-US" w:eastAsia="zh-CN"/>
              </w:rPr>
              <w:t>每日24小时）</w:t>
            </w:r>
          </w:p>
          <w:p w14:paraId="3F8DBF41">
            <w:pPr>
              <w:ind w:firstLine="480" w:firstLineChars="200"/>
              <w:rPr>
                <w:color w:val="auto"/>
                <w:vertAlign w:val="superscript"/>
              </w:rPr>
            </w:pPr>
            <w:r>
              <w:rPr>
                <w:rFonts w:hint="eastAsia"/>
                <w:color w:val="auto"/>
              </w:rPr>
              <w:t>占地面积：</w:t>
            </w:r>
            <w:r>
              <w:rPr>
                <w:rFonts w:hint="eastAsia"/>
                <w:color w:val="auto"/>
                <w:lang w:val="en-US" w:eastAsia="zh-CN"/>
              </w:rPr>
              <w:t>711.35</w:t>
            </w:r>
            <w:r>
              <w:rPr>
                <w:rFonts w:hint="eastAsia"/>
                <w:color w:val="auto"/>
              </w:rPr>
              <w:t>m</w:t>
            </w:r>
            <w:r>
              <w:rPr>
                <w:color w:val="auto"/>
                <w:vertAlign w:val="superscript"/>
              </w:rPr>
              <w:t>2</w:t>
            </w:r>
          </w:p>
          <w:p w14:paraId="0263EC7C">
            <w:pPr>
              <w:ind w:firstLine="480" w:firstLineChars="200"/>
              <w:rPr>
                <w:color w:val="auto"/>
              </w:rPr>
            </w:pPr>
            <w:r>
              <w:rPr>
                <w:rFonts w:hint="eastAsia"/>
                <w:color w:val="auto"/>
              </w:rPr>
              <w:t>建设地点：内蒙古自治区鄂尔多斯市蒙苏经济开发区零碳产业园工业废水处理厂厂区内</w:t>
            </w:r>
          </w:p>
          <w:p w14:paraId="32801874">
            <w:pPr>
              <w:adjustRightInd w:val="0"/>
              <w:snapToGrid w:val="0"/>
              <w:ind w:firstLine="480" w:firstLineChars="200"/>
              <w:rPr>
                <w:bCs/>
                <w:color w:val="auto"/>
                <w:szCs w:val="21"/>
              </w:rPr>
            </w:pPr>
            <w:r>
              <w:rPr>
                <w:rFonts w:hint="eastAsia"/>
                <w:color w:val="auto"/>
              </w:rPr>
              <w:t>建设内容：</w:t>
            </w:r>
            <w:r>
              <w:rPr>
                <w:rFonts w:hint="eastAsia"/>
                <w:bCs/>
                <w:color w:val="auto"/>
                <w:szCs w:val="21"/>
              </w:rPr>
              <w:t>本项目设置2台12t/h（单台）的</w:t>
            </w:r>
            <w:r>
              <w:rPr>
                <w:rFonts w:hint="eastAsia"/>
                <w:bCs/>
                <w:color w:val="auto"/>
                <w:szCs w:val="21"/>
                <w:lang w:eastAsia="zh-CN"/>
              </w:rPr>
              <w:t>燃气</w:t>
            </w:r>
            <w:r>
              <w:rPr>
                <w:rFonts w:hint="eastAsia"/>
                <w:bCs/>
                <w:color w:val="auto"/>
                <w:szCs w:val="21"/>
              </w:rPr>
              <w:t>锅炉（一用一备），以及换热器、软水装置、循环水泵等相关附属设施。用于浓水处理系统提供蒸汽。</w:t>
            </w:r>
          </w:p>
          <w:p w14:paraId="74DBEA7B">
            <w:pPr>
              <w:pStyle w:val="52"/>
              <w:rPr>
                <w:color w:val="auto"/>
              </w:rPr>
            </w:pPr>
            <w:r>
              <w:rPr>
                <w:color w:val="auto"/>
              </w:rPr>
              <w:t>表</w:t>
            </w:r>
            <w:r>
              <w:rPr>
                <w:rFonts w:hint="eastAsia"/>
                <w:color w:val="auto"/>
              </w:rPr>
              <w:t>2-1</w:t>
            </w:r>
            <w:r>
              <w:rPr>
                <w:color w:val="auto"/>
              </w:rPr>
              <w:t xml:space="preserve">  项目工程组成一览表</w:t>
            </w:r>
          </w:p>
          <w:tbl>
            <w:tblPr>
              <w:tblStyle w:val="5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523"/>
              <w:gridCol w:w="866"/>
              <w:gridCol w:w="2834"/>
              <w:gridCol w:w="2809"/>
              <w:gridCol w:w="869"/>
            </w:tblGrid>
            <w:tr w14:paraId="46961D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9" w:type="pct"/>
                  <w:vAlign w:val="center"/>
                </w:tcPr>
                <w:p w14:paraId="5FFBA786">
                  <w:pPr>
                    <w:pStyle w:val="25"/>
                    <w:jc w:val="center"/>
                    <w:rPr>
                      <w:b/>
                      <w:color w:val="auto"/>
                    </w:rPr>
                  </w:pPr>
                  <w:r>
                    <w:rPr>
                      <w:b/>
                      <w:color w:val="auto"/>
                    </w:rPr>
                    <w:t>工程类别</w:t>
                  </w:r>
                </w:p>
              </w:tc>
              <w:tc>
                <w:tcPr>
                  <w:tcW w:w="828" w:type="pct"/>
                  <w:gridSpan w:val="2"/>
                  <w:vAlign w:val="center"/>
                </w:tcPr>
                <w:p w14:paraId="6D4BCF15">
                  <w:pPr>
                    <w:pStyle w:val="25"/>
                    <w:jc w:val="center"/>
                    <w:rPr>
                      <w:b/>
                      <w:color w:val="auto"/>
                    </w:rPr>
                  </w:pPr>
                  <w:r>
                    <w:rPr>
                      <w:b/>
                      <w:color w:val="auto"/>
                    </w:rPr>
                    <w:t>单项工程名称</w:t>
                  </w:r>
                </w:p>
              </w:tc>
              <w:tc>
                <w:tcPr>
                  <w:tcW w:w="1689" w:type="pct"/>
                  <w:vAlign w:val="center"/>
                </w:tcPr>
                <w:p w14:paraId="6F9EFEF5">
                  <w:pPr>
                    <w:pStyle w:val="25"/>
                    <w:jc w:val="center"/>
                    <w:rPr>
                      <w:b/>
                      <w:color w:val="auto"/>
                    </w:rPr>
                  </w:pPr>
                  <w:r>
                    <w:rPr>
                      <w:rFonts w:hint="eastAsia"/>
                      <w:b/>
                      <w:color w:val="auto"/>
                    </w:rPr>
                    <w:t>鄂尔多斯蒙苏经济开发区零碳产业园工业废水处理厂环境影响报告书锅炉原有工程</w:t>
                  </w:r>
                </w:p>
              </w:tc>
              <w:tc>
                <w:tcPr>
                  <w:tcW w:w="1674" w:type="pct"/>
                  <w:vAlign w:val="center"/>
                </w:tcPr>
                <w:p w14:paraId="57EF125A">
                  <w:pPr>
                    <w:pStyle w:val="25"/>
                    <w:jc w:val="center"/>
                    <w:rPr>
                      <w:b/>
                      <w:color w:val="auto"/>
                    </w:rPr>
                  </w:pPr>
                  <w:r>
                    <w:rPr>
                      <w:rFonts w:hint="eastAsia"/>
                      <w:b/>
                      <w:color w:val="auto"/>
                    </w:rPr>
                    <w:t>本次</w:t>
                  </w:r>
                  <w:r>
                    <w:rPr>
                      <w:rFonts w:hint="eastAsia"/>
                      <w:b/>
                      <w:color w:val="auto"/>
                      <w:lang w:val="en-US" w:eastAsia="zh-CN"/>
                    </w:rPr>
                    <w:t>变更</w:t>
                  </w:r>
                  <w:r>
                    <w:rPr>
                      <w:rFonts w:hint="eastAsia"/>
                      <w:b/>
                      <w:color w:val="auto"/>
                    </w:rPr>
                    <w:t>工程</w:t>
                  </w:r>
                </w:p>
              </w:tc>
              <w:tc>
                <w:tcPr>
                  <w:tcW w:w="518" w:type="pct"/>
                  <w:vAlign w:val="center"/>
                </w:tcPr>
                <w:p w14:paraId="0AF181FF">
                  <w:pPr>
                    <w:pStyle w:val="25"/>
                    <w:jc w:val="center"/>
                    <w:rPr>
                      <w:b/>
                      <w:color w:val="auto"/>
                    </w:rPr>
                  </w:pPr>
                  <w:r>
                    <w:rPr>
                      <w:rFonts w:hint="eastAsia"/>
                      <w:b/>
                      <w:color w:val="auto"/>
                    </w:rPr>
                    <w:t>备注</w:t>
                  </w:r>
                </w:p>
              </w:tc>
            </w:tr>
            <w:tr w14:paraId="2A6CF43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9" w:type="pct"/>
                  <w:vMerge w:val="restart"/>
                  <w:vAlign w:val="center"/>
                </w:tcPr>
                <w:p w14:paraId="4C782A54">
                  <w:pPr>
                    <w:pStyle w:val="25"/>
                    <w:jc w:val="center"/>
                    <w:rPr>
                      <w:color w:val="auto"/>
                    </w:rPr>
                  </w:pPr>
                  <w:r>
                    <w:rPr>
                      <w:color w:val="auto"/>
                    </w:rPr>
                    <w:t>主体</w:t>
                  </w:r>
                </w:p>
                <w:p w14:paraId="0DFCB2A6">
                  <w:pPr>
                    <w:pStyle w:val="25"/>
                    <w:jc w:val="center"/>
                    <w:rPr>
                      <w:color w:val="auto"/>
                    </w:rPr>
                  </w:pPr>
                  <w:r>
                    <w:rPr>
                      <w:color w:val="auto"/>
                    </w:rPr>
                    <w:t>工</w:t>
                  </w:r>
                </w:p>
              </w:tc>
              <w:tc>
                <w:tcPr>
                  <w:tcW w:w="828" w:type="pct"/>
                  <w:gridSpan w:val="2"/>
                  <w:vAlign w:val="center"/>
                </w:tcPr>
                <w:p w14:paraId="0AECCB77">
                  <w:pPr>
                    <w:pStyle w:val="25"/>
                    <w:jc w:val="center"/>
                    <w:rPr>
                      <w:color w:val="auto"/>
                    </w:rPr>
                  </w:pPr>
                  <w:r>
                    <w:rPr>
                      <w:color w:val="auto"/>
                    </w:rPr>
                    <w:t>蒸汽锅炉间</w:t>
                  </w:r>
                </w:p>
              </w:tc>
              <w:tc>
                <w:tcPr>
                  <w:tcW w:w="1689" w:type="pct"/>
                  <w:vAlign w:val="center"/>
                </w:tcPr>
                <w:p w14:paraId="58727235">
                  <w:pPr>
                    <w:pStyle w:val="25"/>
                    <w:jc w:val="center"/>
                    <w:rPr>
                      <w:color w:val="auto"/>
                    </w:rPr>
                  </w:pPr>
                  <w:r>
                    <w:rPr>
                      <w:color w:val="auto"/>
                    </w:rPr>
                    <w:t>建筑面积40</w:t>
                  </w:r>
                  <w:r>
                    <w:rPr>
                      <w:rFonts w:hint="eastAsia"/>
                      <w:color w:val="auto"/>
                      <w:lang w:val="en-US" w:eastAsia="zh-CN"/>
                    </w:rPr>
                    <w:t>1.8</w:t>
                  </w:r>
                  <w:r>
                    <w:rPr>
                      <w:rFonts w:hint="eastAsia"/>
                      <w:color w:val="auto"/>
                    </w:rPr>
                    <w:t>m</w:t>
                  </w:r>
                  <w:r>
                    <w:rPr>
                      <w:rFonts w:hint="eastAsia"/>
                      <w:color w:val="auto"/>
                      <w:vertAlign w:val="superscript"/>
                    </w:rPr>
                    <w:t>2</w:t>
                  </w:r>
                  <w:r>
                    <w:rPr>
                      <w:color w:val="auto"/>
                    </w:rPr>
                    <w:t>，H=</w:t>
                  </w:r>
                  <w:r>
                    <w:rPr>
                      <w:rFonts w:hint="eastAsia"/>
                      <w:color w:val="auto"/>
                      <w:lang w:val="en-US" w:eastAsia="zh-CN"/>
                    </w:rPr>
                    <w:t>9.1</w:t>
                  </w:r>
                  <w:r>
                    <w:rPr>
                      <w:color w:val="auto"/>
                    </w:rPr>
                    <w:t>m</w:t>
                  </w:r>
                  <w:r>
                    <w:rPr>
                      <w:rFonts w:hint="eastAsia"/>
                      <w:color w:val="auto"/>
                    </w:rPr>
                    <w:t>，</w:t>
                  </w:r>
                  <w:r>
                    <w:rPr>
                      <w:color w:val="auto"/>
                    </w:rPr>
                    <w:t>设置2台12t/h（单台）的燃气锅炉，以及换热器、循环水泵等相关附属设施。</w:t>
                  </w:r>
                  <w:r>
                    <w:rPr>
                      <w:rFonts w:hint="eastAsia"/>
                      <w:color w:val="auto"/>
                    </w:rPr>
                    <w:t>锅炉</w:t>
                  </w:r>
                  <w:r>
                    <w:rPr>
                      <w:rFonts w:hint="eastAsia"/>
                      <w:color w:val="auto"/>
                      <w:lang w:val="en-US" w:eastAsia="zh-CN"/>
                    </w:rPr>
                    <w:t>平均每日运行时间8小时每日</w:t>
                  </w:r>
                  <w:r>
                    <w:rPr>
                      <w:rFonts w:hint="eastAsia"/>
                      <w:color w:val="auto"/>
                    </w:rPr>
                    <w:t>，</w:t>
                  </w:r>
                  <w:r>
                    <w:rPr>
                      <w:color w:val="auto"/>
                    </w:rPr>
                    <w:t>用于浓水处理系统提供蒸汽。</w:t>
                  </w:r>
                </w:p>
              </w:tc>
              <w:tc>
                <w:tcPr>
                  <w:tcW w:w="1674" w:type="pct"/>
                  <w:vAlign w:val="center"/>
                </w:tcPr>
                <w:p w14:paraId="1E8DC8FF">
                  <w:pPr>
                    <w:pStyle w:val="25"/>
                    <w:jc w:val="center"/>
                    <w:rPr>
                      <w:color w:val="auto"/>
                    </w:rPr>
                  </w:pPr>
                  <w:r>
                    <w:rPr>
                      <w:color w:val="0000FF"/>
                    </w:rPr>
                    <w:t>建筑面积4</w:t>
                  </w:r>
                  <w:r>
                    <w:rPr>
                      <w:rFonts w:hint="eastAsia"/>
                      <w:color w:val="0000FF"/>
                    </w:rPr>
                    <w:t>06.6m</w:t>
                  </w:r>
                  <w:r>
                    <w:rPr>
                      <w:rFonts w:hint="eastAsia"/>
                      <w:color w:val="0000FF"/>
                      <w:vertAlign w:val="superscript"/>
                    </w:rPr>
                    <w:t>2</w:t>
                  </w:r>
                  <w:r>
                    <w:rPr>
                      <w:color w:val="0000FF"/>
                    </w:rPr>
                    <w:t>，H=7.2m</w:t>
                  </w:r>
                  <w:r>
                    <w:rPr>
                      <w:rFonts w:hint="eastAsia"/>
                      <w:color w:val="0000FF"/>
                    </w:rPr>
                    <w:t>，</w:t>
                  </w:r>
                  <w:r>
                    <w:rPr>
                      <w:color w:val="0000FF"/>
                    </w:rPr>
                    <w:t>设置2台12t/h（单台）的燃气锅炉，以及换热器、软水装置、循环水泵等相关附属设施。</w:t>
                  </w:r>
                  <w:r>
                    <w:rPr>
                      <w:rFonts w:hint="eastAsia"/>
                      <w:color w:val="0000FF"/>
                    </w:rPr>
                    <w:t>锅炉</w:t>
                  </w:r>
                  <w:r>
                    <w:rPr>
                      <w:rFonts w:hint="eastAsia"/>
                      <w:color w:val="0000FF"/>
                      <w:lang w:val="en-US" w:eastAsia="zh-CN"/>
                    </w:rPr>
                    <w:t>每日运行时间增加至24小时，</w:t>
                  </w:r>
                  <w:r>
                    <w:rPr>
                      <w:color w:val="0000FF"/>
                    </w:rPr>
                    <w:t>用于浓水处理系统提供蒸汽。</w:t>
                  </w:r>
                </w:p>
              </w:tc>
              <w:tc>
                <w:tcPr>
                  <w:tcW w:w="518" w:type="pct"/>
                  <w:vAlign w:val="center"/>
                </w:tcPr>
                <w:p w14:paraId="50F96B58">
                  <w:pPr>
                    <w:pStyle w:val="25"/>
                    <w:jc w:val="center"/>
                    <w:rPr>
                      <w:rFonts w:hint="default" w:eastAsia="宋体"/>
                      <w:bCs/>
                      <w:color w:val="auto"/>
                      <w:lang w:val="en-US" w:eastAsia="zh-CN"/>
                    </w:rPr>
                  </w:pPr>
                  <w:r>
                    <w:rPr>
                      <w:rFonts w:hint="eastAsia"/>
                      <w:bCs/>
                      <w:color w:val="auto"/>
                      <w:lang w:val="en-US" w:eastAsia="zh-CN"/>
                    </w:rPr>
                    <w:t>变更</w:t>
                  </w:r>
                  <w:r>
                    <w:rPr>
                      <w:rFonts w:hint="eastAsia"/>
                      <w:bCs/>
                      <w:color w:val="auto"/>
                      <w:lang w:eastAsia="zh-CN"/>
                    </w:rPr>
                    <w:t>，</w:t>
                  </w:r>
                  <w:r>
                    <w:rPr>
                      <w:rFonts w:hint="eastAsia"/>
                      <w:bCs/>
                      <w:color w:val="auto"/>
                      <w:lang w:val="en-US" w:eastAsia="zh-CN"/>
                    </w:rPr>
                    <w:t>运行时间增加</w:t>
                  </w:r>
                </w:p>
              </w:tc>
            </w:tr>
            <w:tr w14:paraId="3D02CC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9" w:type="pct"/>
                  <w:vMerge w:val="continue"/>
                  <w:vAlign w:val="center"/>
                </w:tcPr>
                <w:p w14:paraId="5A37E911">
                  <w:pPr>
                    <w:pStyle w:val="25"/>
                    <w:jc w:val="center"/>
                    <w:rPr>
                      <w:color w:val="auto"/>
                    </w:rPr>
                  </w:pPr>
                </w:p>
              </w:tc>
              <w:tc>
                <w:tcPr>
                  <w:tcW w:w="828" w:type="pct"/>
                  <w:gridSpan w:val="2"/>
                  <w:vAlign w:val="center"/>
                </w:tcPr>
                <w:p w14:paraId="1900B5FD">
                  <w:pPr>
                    <w:pStyle w:val="25"/>
                    <w:jc w:val="center"/>
                    <w:rPr>
                      <w:rFonts w:hint="eastAsia" w:eastAsia="宋体"/>
                      <w:color w:val="auto"/>
                      <w:lang w:val="en-US" w:eastAsia="zh-CN"/>
                    </w:rPr>
                  </w:pPr>
                  <w:r>
                    <w:rPr>
                      <w:rFonts w:hint="eastAsia"/>
                      <w:color w:val="auto"/>
                      <w:lang w:val="en-US" w:eastAsia="zh-CN"/>
                    </w:rPr>
                    <w:t>软水制备间</w:t>
                  </w:r>
                </w:p>
              </w:tc>
              <w:tc>
                <w:tcPr>
                  <w:tcW w:w="1689" w:type="pct"/>
                  <w:vAlign w:val="center"/>
                </w:tcPr>
                <w:p w14:paraId="5E18611B">
                  <w:pPr>
                    <w:pStyle w:val="25"/>
                    <w:jc w:val="center"/>
                    <w:rPr>
                      <w:color w:val="auto"/>
                    </w:rPr>
                  </w:pPr>
                  <w:r>
                    <w:rPr>
                      <w:color w:val="auto"/>
                    </w:rPr>
                    <w:t>建筑面积</w:t>
                  </w:r>
                  <w:r>
                    <w:rPr>
                      <w:rFonts w:hint="eastAsia"/>
                      <w:color w:val="auto"/>
                      <w:lang w:val="en-US" w:eastAsia="zh-CN"/>
                    </w:rPr>
                    <w:t>309.55</w:t>
                  </w:r>
                  <w:r>
                    <w:rPr>
                      <w:rFonts w:hint="eastAsia"/>
                      <w:color w:val="auto"/>
                    </w:rPr>
                    <w:t>m</w:t>
                  </w:r>
                  <w:r>
                    <w:rPr>
                      <w:rFonts w:hint="eastAsia"/>
                      <w:color w:val="auto"/>
                      <w:vertAlign w:val="superscript"/>
                    </w:rPr>
                    <w:t>2</w:t>
                  </w:r>
                  <w:r>
                    <w:rPr>
                      <w:color w:val="auto"/>
                    </w:rPr>
                    <w:t>，H=</w:t>
                  </w:r>
                  <w:r>
                    <w:rPr>
                      <w:rFonts w:hint="eastAsia"/>
                      <w:color w:val="auto"/>
                      <w:lang w:val="en-US" w:eastAsia="zh-CN"/>
                    </w:rPr>
                    <w:t>6.2</w:t>
                  </w:r>
                  <w:r>
                    <w:rPr>
                      <w:color w:val="auto"/>
                    </w:rPr>
                    <w:t>m</w:t>
                  </w:r>
                  <w:r>
                    <w:rPr>
                      <w:rFonts w:hint="eastAsia"/>
                      <w:color w:val="auto"/>
                    </w:rPr>
                    <w:t>，</w:t>
                  </w:r>
                  <w:r>
                    <w:rPr>
                      <w:color w:val="auto"/>
                    </w:rPr>
                    <w:t>设置</w:t>
                  </w:r>
                  <w:r>
                    <w:rPr>
                      <w:rFonts w:hint="eastAsia"/>
                      <w:color w:val="auto"/>
                      <w:lang w:val="en-US" w:eastAsia="zh-CN"/>
                    </w:rPr>
                    <w:t>1套阳</w:t>
                  </w:r>
                  <w:r>
                    <w:rPr>
                      <w:rFonts w:hint="eastAsia"/>
                      <w:bCs/>
                      <w:color w:val="auto"/>
                      <w:lang w:val="en-US" w:eastAsia="zh-CN"/>
                    </w:rPr>
                    <w:t>离子交换树脂装置制备软水</w:t>
                  </w:r>
                  <w:r>
                    <w:rPr>
                      <w:rFonts w:hint="eastAsia"/>
                      <w:color w:val="auto"/>
                      <w:lang w:eastAsia="zh-CN"/>
                    </w:rPr>
                    <w:t>，</w:t>
                  </w:r>
                  <w:r>
                    <w:rPr>
                      <w:rFonts w:hint="eastAsia"/>
                      <w:color w:val="auto"/>
                      <w:lang w:val="en-US" w:eastAsia="zh-CN"/>
                    </w:rPr>
                    <w:t>以及原水箱、软水箱、原水泵、软水泵等附属设施</w:t>
                  </w:r>
                  <w:r>
                    <w:rPr>
                      <w:color w:val="auto"/>
                    </w:rPr>
                    <w:t>。</w:t>
                  </w:r>
                </w:p>
              </w:tc>
              <w:tc>
                <w:tcPr>
                  <w:tcW w:w="1674" w:type="pct"/>
                  <w:vAlign w:val="center"/>
                </w:tcPr>
                <w:p w14:paraId="2CD644EC">
                  <w:pPr>
                    <w:pStyle w:val="25"/>
                    <w:jc w:val="center"/>
                    <w:rPr>
                      <w:color w:val="auto"/>
                    </w:rPr>
                  </w:pPr>
                  <w:r>
                    <w:rPr>
                      <w:color w:val="auto"/>
                    </w:rPr>
                    <w:t>建筑面积</w:t>
                  </w:r>
                  <w:r>
                    <w:rPr>
                      <w:rFonts w:hint="eastAsia"/>
                      <w:color w:val="auto"/>
                      <w:lang w:val="en-US" w:eastAsia="zh-CN"/>
                    </w:rPr>
                    <w:t>309.55</w:t>
                  </w:r>
                  <w:r>
                    <w:rPr>
                      <w:rFonts w:hint="eastAsia"/>
                      <w:color w:val="auto"/>
                    </w:rPr>
                    <w:t>m</w:t>
                  </w:r>
                  <w:r>
                    <w:rPr>
                      <w:rFonts w:hint="eastAsia"/>
                      <w:color w:val="auto"/>
                      <w:vertAlign w:val="superscript"/>
                    </w:rPr>
                    <w:t>2</w:t>
                  </w:r>
                  <w:r>
                    <w:rPr>
                      <w:color w:val="auto"/>
                    </w:rPr>
                    <w:t>，H=</w:t>
                  </w:r>
                  <w:r>
                    <w:rPr>
                      <w:rFonts w:hint="eastAsia"/>
                      <w:color w:val="auto"/>
                      <w:lang w:val="en-US" w:eastAsia="zh-CN"/>
                    </w:rPr>
                    <w:t>6.2</w:t>
                  </w:r>
                  <w:r>
                    <w:rPr>
                      <w:color w:val="auto"/>
                    </w:rPr>
                    <w:t>m</w:t>
                  </w:r>
                  <w:r>
                    <w:rPr>
                      <w:rFonts w:hint="eastAsia"/>
                      <w:color w:val="auto"/>
                    </w:rPr>
                    <w:t>，</w:t>
                  </w:r>
                  <w:r>
                    <w:rPr>
                      <w:color w:val="auto"/>
                    </w:rPr>
                    <w:t>设置</w:t>
                  </w:r>
                  <w:r>
                    <w:rPr>
                      <w:rFonts w:hint="eastAsia"/>
                      <w:color w:val="auto"/>
                      <w:lang w:val="en-US" w:eastAsia="zh-CN"/>
                    </w:rPr>
                    <w:t>1套阳</w:t>
                  </w:r>
                  <w:r>
                    <w:rPr>
                      <w:rFonts w:hint="eastAsia"/>
                      <w:bCs/>
                      <w:color w:val="auto"/>
                      <w:lang w:val="en-US" w:eastAsia="zh-CN"/>
                    </w:rPr>
                    <w:t>离子交换树脂装置</w:t>
                  </w:r>
                  <w:r>
                    <w:rPr>
                      <w:rFonts w:hint="eastAsia"/>
                      <w:color w:val="auto"/>
                      <w:lang w:val="en-US" w:eastAsia="zh-CN"/>
                    </w:rPr>
                    <w:t>、1套</w:t>
                  </w:r>
                  <w:r>
                    <w:rPr>
                      <w:rFonts w:hint="eastAsia"/>
                      <w:bCs/>
                      <w:color w:val="auto"/>
                      <w:lang w:val="en-US" w:eastAsia="zh-CN"/>
                    </w:rPr>
                    <w:t>阴离子交换树脂装置，串联制备软水</w:t>
                  </w:r>
                  <w:r>
                    <w:rPr>
                      <w:rFonts w:hint="eastAsia"/>
                      <w:color w:val="auto"/>
                      <w:lang w:eastAsia="zh-CN"/>
                    </w:rPr>
                    <w:t>，</w:t>
                  </w:r>
                  <w:r>
                    <w:rPr>
                      <w:rFonts w:hint="eastAsia"/>
                      <w:color w:val="auto"/>
                      <w:lang w:val="en-US" w:eastAsia="zh-CN"/>
                    </w:rPr>
                    <w:t>以及原水箱、软水箱、原水泵、软水泵等附属设施</w:t>
                  </w:r>
                  <w:r>
                    <w:rPr>
                      <w:color w:val="auto"/>
                    </w:rPr>
                    <w:t>。</w:t>
                  </w:r>
                </w:p>
              </w:tc>
              <w:tc>
                <w:tcPr>
                  <w:tcW w:w="518" w:type="pct"/>
                  <w:vAlign w:val="center"/>
                </w:tcPr>
                <w:p w14:paraId="40D242BE">
                  <w:pPr>
                    <w:pStyle w:val="25"/>
                    <w:jc w:val="center"/>
                    <w:rPr>
                      <w:rFonts w:hint="default"/>
                      <w:bCs/>
                      <w:color w:val="auto"/>
                      <w:lang w:val="en-US" w:eastAsia="zh-CN"/>
                    </w:rPr>
                  </w:pPr>
                  <w:r>
                    <w:rPr>
                      <w:rFonts w:hint="eastAsia"/>
                      <w:bCs/>
                      <w:color w:val="auto"/>
                      <w:lang w:val="en-US" w:eastAsia="zh-CN"/>
                    </w:rPr>
                    <w:t>变更，新增加一级阴离子树脂交换装置</w:t>
                  </w:r>
                </w:p>
              </w:tc>
            </w:tr>
            <w:tr w14:paraId="4B1CFC0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restart"/>
                  <w:vAlign w:val="center"/>
                </w:tcPr>
                <w:p w14:paraId="68D3FC08">
                  <w:pPr>
                    <w:pStyle w:val="25"/>
                    <w:jc w:val="center"/>
                    <w:rPr>
                      <w:color w:val="auto"/>
                    </w:rPr>
                  </w:pPr>
                  <w:r>
                    <w:rPr>
                      <w:rFonts w:hint="eastAsia"/>
                      <w:color w:val="auto"/>
                    </w:rPr>
                    <w:t>公用工程</w:t>
                  </w:r>
                </w:p>
              </w:tc>
              <w:tc>
                <w:tcPr>
                  <w:tcW w:w="828" w:type="pct"/>
                  <w:gridSpan w:val="2"/>
                  <w:vAlign w:val="center"/>
                </w:tcPr>
                <w:p w14:paraId="75CC1E3B">
                  <w:pPr>
                    <w:pStyle w:val="25"/>
                    <w:jc w:val="center"/>
                    <w:rPr>
                      <w:color w:val="auto"/>
                    </w:rPr>
                  </w:pPr>
                  <w:r>
                    <w:rPr>
                      <w:color w:val="auto"/>
                    </w:rPr>
                    <w:t>供电工程</w:t>
                  </w:r>
                </w:p>
              </w:tc>
              <w:tc>
                <w:tcPr>
                  <w:tcW w:w="1689" w:type="pct"/>
                  <w:vAlign w:val="center"/>
                </w:tcPr>
                <w:p w14:paraId="21423DA8">
                  <w:pPr>
                    <w:pStyle w:val="25"/>
                    <w:jc w:val="center"/>
                    <w:rPr>
                      <w:color w:val="auto"/>
                    </w:rPr>
                  </w:pPr>
                  <w:r>
                    <w:rPr>
                      <w:rFonts w:hint="eastAsia"/>
                      <w:color w:val="auto"/>
                    </w:rPr>
                    <w:t>接入蒙苏经济开发区零碳产业园供电管网</w:t>
                  </w:r>
                </w:p>
              </w:tc>
              <w:tc>
                <w:tcPr>
                  <w:tcW w:w="1674" w:type="pct"/>
                  <w:vAlign w:val="center"/>
                </w:tcPr>
                <w:p w14:paraId="24CB2274">
                  <w:pPr>
                    <w:pStyle w:val="25"/>
                    <w:jc w:val="center"/>
                    <w:rPr>
                      <w:color w:val="auto"/>
                    </w:rPr>
                  </w:pPr>
                  <w:r>
                    <w:rPr>
                      <w:rFonts w:hint="eastAsia"/>
                      <w:color w:val="auto"/>
                    </w:rPr>
                    <w:t>接入蒙苏经济开发区零碳产业园供电管网</w:t>
                  </w:r>
                </w:p>
              </w:tc>
              <w:tc>
                <w:tcPr>
                  <w:tcW w:w="518" w:type="pct"/>
                  <w:vAlign w:val="center"/>
                </w:tcPr>
                <w:p w14:paraId="61E5E083">
                  <w:pPr>
                    <w:pStyle w:val="25"/>
                    <w:jc w:val="center"/>
                    <w:rPr>
                      <w:color w:val="auto"/>
                    </w:rPr>
                  </w:pPr>
                  <w:r>
                    <w:rPr>
                      <w:rFonts w:hint="eastAsia"/>
                      <w:color w:val="auto"/>
                    </w:rPr>
                    <w:t>一致</w:t>
                  </w:r>
                </w:p>
              </w:tc>
            </w:tr>
            <w:tr w14:paraId="387EC68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continue"/>
                  <w:vAlign w:val="center"/>
                </w:tcPr>
                <w:p w14:paraId="35FD5309">
                  <w:pPr>
                    <w:pStyle w:val="25"/>
                    <w:jc w:val="center"/>
                    <w:rPr>
                      <w:color w:val="auto"/>
                    </w:rPr>
                  </w:pPr>
                </w:p>
              </w:tc>
              <w:tc>
                <w:tcPr>
                  <w:tcW w:w="828" w:type="pct"/>
                  <w:gridSpan w:val="2"/>
                  <w:vAlign w:val="center"/>
                </w:tcPr>
                <w:p w14:paraId="0E55588A">
                  <w:pPr>
                    <w:pStyle w:val="25"/>
                    <w:jc w:val="center"/>
                    <w:rPr>
                      <w:color w:val="auto"/>
                    </w:rPr>
                  </w:pPr>
                  <w:r>
                    <w:rPr>
                      <w:color w:val="auto"/>
                    </w:rPr>
                    <w:t>供</w:t>
                  </w:r>
                  <w:r>
                    <w:rPr>
                      <w:rFonts w:hint="eastAsia"/>
                      <w:color w:val="auto"/>
                    </w:rPr>
                    <w:t>热</w:t>
                  </w:r>
                  <w:r>
                    <w:rPr>
                      <w:color w:val="auto"/>
                    </w:rPr>
                    <w:t>工程</w:t>
                  </w:r>
                </w:p>
              </w:tc>
              <w:tc>
                <w:tcPr>
                  <w:tcW w:w="1689" w:type="pct"/>
                  <w:vAlign w:val="center"/>
                </w:tcPr>
                <w:p w14:paraId="60973535">
                  <w:pPr>
                    <w:pStyle w:val="25"/>
                    <w:jc w:val="center"/>
                    <w:rPr>
                      <w:color w:val="auto"/>
                    </w:rPr>
                  </w:pPr>
                  <w:r>
                    <w:rPr>
                      <w:rFonts w:hint="eastAsia"/>
                      <w:color w:val="auto"/>
                    </w:rPr>
                    <w:t>热源依托现有污水处理厂市政供热</w:t>
                  </w:r>
                </w:p>
              </w:tc>
              <w:tc>
                <w:tcPr>
                  <w:tcW w:w="1674" w:type="pct"/>
                  <w:vAlign w:val="center"/>
                </w:tcPr>
                <w:p w14:paraId="33AADA45">
                  <w:pPr>
                    <w:pStyle w:val="25"/>
                    <w:jc w:val="center"/>
                    <w:rPr>
                      <w:color w:val="auto"/>
                    </w:rPr>
                  </w:pPr>
                  <w:r>
                    <w:rPr>
                      <w:rFonts w:hint="eastAsia"/>
                      <w:color w:val="auto"/>
                    </w:rPr>
                    <w:t>热源依托现有污水处理厂市政供热</w:t>
                  </w:r>
                </w:p>
              </w:tc>
              <w:tc>
                <w:tcPr>
                  <w:tcW w:w="518" w:type="pct"/>
                  <w:vAlign w:val="center"/>
                </w:tcPr>
                <w:p w14:paraId="6C8BF7F4">
                  <w:pPr>
                    <w:pStyle w:val="25"/>
                    <w:jc w:val="center"/>
                    <w:rPr>
                      <w:color w:val="auto"/>
                    </w:rPr>
                  </w:pPr>
                  <w:r>
                    <w:rPr>
                      <w:rFonts w:hint="eastAsia"/>
                      <w:color w:val="auto"/>
                    </w:rPr>
                    <w:t>一致</w:t>
                  </w:r>
                </w:p>
              </w:tc>
            </w:tr>
            <w:tr w14:paraId="562D0F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89" w:type="pct"/>
                  <w:vMerge w:val="continue"/>
                  <w:vAlign w:val="center"/>
                </w:tcPr>
                <w:p w14:paraId="5868412A">
                  <w:pPr>
                    <w:pStyle w:val="25"/>
                    <w:jc w:val="center"/>
                    <w:rPr>
                      <w:color w:val="auto"/>
                    </w:rPr>
                  </w:pPr>
                </w:p>
              </w:tc>
              <w:tc>
                <w:tcPr>
                  <w:tcW w:w="312" w:type="pct"/>
                  <w:vMerge w:val="restart"/>
                  <w:vAlign w:val="center"/>
                </w:tcPr>
                <w:p w14:paraId="1CA4F2D5">
                  <w:pPr>
                    <w:pStyle w:val="25"/>
                    <w:jc w:val="center"/>
                    <w:rPr>
                      <w:color w:val="auto"/>
                    </w:rPr>
                  </w:pPr>
                  <w:r>
                    <w:rPr>
                      <w:rFonts w:hint="eastAsia"/>
                      <w:color w:val="auto"/>
                    </w:rPr>
                    <w:t>供水工程</w:t>
                  </w:r>
                </w:p>
              </w:tc>
              <w:tc>
                <w:tcPr>
                  <w:tcW w:w="516" w:type="pct"/>
                  <w:vAlign w:val="center"/>
                </w:tcPr>
                <w:p w14:paraId="43DA033B">
                  <w:pPr>
                    <w:pStyle w:val="25"/>
                    <w:jc w:val="center"/>
                    <w:rPr>
                      <w:color w:val="auto"/>
                    </w:rPr>
                  </w:pPr>
                  <w:r>
                    <w:rPr>
                      <w:rFonts w:hint="eastAsia"/>
                      <w:color w:val="auto"/>
                    </w:rPr>
                    <w:t>生活用水</w:t>
                  </w:r>
                </w:p>
              </w:tc>
              <w:tc>
                <w:tcPr>
                  <w:tcW w:w="1689" w:type="pct"/>
                  <w:vAlign w:val="center"/>
                </w:tcPr>
                <w:p w14:paraId="53DF9D2E">
                  <w:pPr>
                    <w:pStyle w:val="25"/>
                    <w:jc w:val="center"/>
                    <w:rPr>
                      <w:color w:val="auto"/>
                    </w:rPr>
                  </w:pPr>
                  <w:r>
                    <w:rPr>
                      <w:color w:val="auto"/>
                    </w:rPr>
                    <w:t>项目生活用水依托园区供水管网提供。</w:t>
                  </w:r>
                </w:p>
              </w:tc>
              <w:tc>
                <w:tcPr>
                  <w:tcW w:w="1674" w:type="pct"/>
                  <w:vAlign w:val="center"/>
                </w:tcPr>
                <w:p w14:paraId="60517BA6">
                  <w:pPr>
                    <w:pStyle w:val="25"/>
                    <w:jc w:val="center"/>
                    <w:rPr>
                      <w:color w:val="auto"/>
                    </w:rPr>
                  </w:pPr>
                  <w:r>
                    <w:rPr>
                      <w:rFonts w:hint="eastAsia"/>
                      <w:color w:val="auto"/>
                    </w:rPr>
                    <w:t>本项目员工为废水处理厂现有员工，不新增定员</w:t>
                  </w:r>
                </w:p>
              </w:tc>
              <w:tc>
                <w:tcPr>
                  <w:tcW w:w="518" w:type="pct"/>
                  <w:vAlign w:val="center"/>
                </w:tcPr>
                <w:p w14:paraId="454767C8">
                  <w:pPr>
                    <w:pStyle w:val="25"/>
                    <w:jc w:val="center"/>
                    <w:rPr>
                      <w:rFonts w:hint="eastAsia" w:eastAsia="宋体"/>
                      <w:color w:val="auto"/>
                      <w:lang w:eastAsia="zh-CN"/>
                    </w:rPr>
                  </w:pPr>
                  <w:r>
                    <w:rPr>
                      <w:rFonts w:hint="eastAsia"/>
                      <w:color w:val="auto"/>
                      <w:lang w:val="en-US" w:eastAsia="zh-CN"/>
                    </w:rPr>
                    <w:t>/</w:t>
                  </w:r>
                </w:p>
              </w:tc>
            </w:tr>
            <w:tr w14:paraId="100CFEF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continue"/>
                  <w:vAlign w:val="center"/>
                </w:tcPr>
                <w:p w14:paraId="629D03A1">
                  <w:pPr>
                    <w:pStyle w:val="25"/>
                    <w:jc w:val="center"/>
                    <w:rPr>
                      <w:color w:val="auto"/>
                    </w:rPr>
                  </w:pPr>
                </w:p>
              </w:tc>
              <w:tc>
                <w:tcPr>
                  <w:tcW w:w="312" w:type="pct"/>
                  <w:vMerge w:val="continue"/>
                  <w:vAlign w:val="center"/>
                </w:tcPr>
                <w:p w14:paraId="242CBD1D">
                  <w:pPr>
                    <w:pStyle w:val="25"/>
                    <w:jc w:val="center"/>
                    <w:rPr>
                      <w:color w:val="auto"/>
                    </w:rPr>
                  </w:pPr>
                </w:p>
              </w:tc>
              <w:tc>
                <w:tcPr>
                  <w:tcW w:w="516" w:type="pct"/>
                  <w:vAlign w:val="center"/>
                </w:tcPr>
                <w:p w14:paraId="0D6F2D51">
                  <w:pPr>
                    <w:pStyle w:val="25"/>
                    <w:jc w:val="center"/>
                    <w:rPr>
                      <w:color w:val="auto"/>
                    </w:rPr>
                  </w:pPr>
                  <w:r>
                    <w:rPr>
                      <w:rFonts w:hint="eastAsia"/>
                      <w:color w:val="auto"/>
                    </w:rPr>
                    <w:t>生产用水</w:t>
                  </w:r>
                </w:p>
              </w:tc>
              <w:tc>
                <w:tcPr>
                  <w:tcW w:w="1689" w:type="pct"/>
                  <w:vAlign w:val="center"/>
                </w:tcPr>
                <w:p w14:paraId="33CA9311">
                  <w:pPr>
                    <w:pStyle w:val="25"/>
                    <w:jc w:val="center"/>
                    <w:rPr>
                      <w:color w:val="auto"/>
                    </w:rPr>
                  </w:pPr>
                  <w:r>
                    <w:rPr>
                      <w:rFonts w:hint="eastAsia"/>
                      <w:color w:val="auto"/>
                    </w:rPr>
                    <w:t>燃气锅炉用水为软水制备系统出水</w:t>
                  </w:r>
                  <w:r>
                    <w:rPr>
                      <w:rFonts w:hint="eastAsia"/>
                      <w:color w:val="auto"/>
                      <w:lang w:eastAsia="zh-CN"/>
                    </w:rPr>
                    <w:t>，</w:t>
                  </w:r>
                  <w:r>
                    <w:rPr>
                      <w:rFonts w:hint="eastAsia"/>
                      <w:color w:val="auto"/>
                      <w:lang w:val="en-US" w:eastAsia="zh-CN"/>
                    </w:rPr>
                    <w:t>制备工艺为一级阳离子交换树脂工艺</w:t>
                  </w:r>
                  <w:r>
                    <w:rPr>
                      <w:rFonts w:hint="eastAsia"/>
                      <w:color w:val="auto"/>
                    </w:rPr>
                    <w:t>，</w:t>
                  </w:r>
                  <w:r>
                    <w:rPr>
                      <w:color w:val="auto"/>
                    </w:rPr>
                    <w:t>软水制备用水来自其他废水处理系统中水</w:t>
                  </w:r>
                </w:p>
              </w:tc>
              <w:tc>
                <w:tcPr>
                  <w:tcW w:w="1674" w:type="pct"/>
                  <w:vAlign w:val="center"/>
                </w:tcPr>
                <w:p w14:paraId="129F5D69">
                  <w:pPr>
                    <w:pStyle w:val="25"/>
                    <w:jc w:val="center"/>
                    <w:rPr>
                      <w:color w:val="auto"/>
                    </w:rPr>
                  </w:pPr>
                  <w:r>
                    <w:rPr>
                      <w:rFonts w:hint="eastAsia"/>
                      <w:color w:val="auto"/>
                    </w:rPr>
                    <w:t>燃气锅炉用水为软水制备系统出水，</w:t>
                  </w:r>
                  <w:r>
                    <w:rPr>
                      <w:rFonts w:hint="eastAsia"/>
                      <w:color w:val="auto"/>
                      <w:lang w:val="en-US" w:eastAsia="zh-CN"/>
                    </w:rPr>
                    <w:t>制备工艺为一级阳离子交换树脂+一级阴离子交换树脂工艺，</w:t>
                  </w:r>
                  <w:r>
                    <w:rPr>
                      <w:color w:val="auto"/>
                    </w:rPr>
                    <w:t>软水制备</w:t>
                  </w:r>
                  <w:r>
                    <w:rPr>
                      <w:rFonts w:hint="eastAsia"/>
                      <w:color w:val="auto"/>
                    </w:rPr>
                    <w:t>现状</w:t>
                  </w:r>
                  <w:r>
                    <w:rPr>
                      <w:color w:val="auto"/>
                    </w:rPr>
                    <w:t>用水来自隆基废水处理系统中水</w:t>
                  </w:r>
                </w:p>
              </w:tc>
              <w:tc>
                <w:tcPr>
                  <w:tcW w:w="518" w:type="pct"/>
                  <w:vAlign w:val="center"/>
                </w:tcPr>
                <w:p w14:paraId="02924800">
                  <w:pPr>
                    <w:pStyle w:val="25"/>
                    <w:jc w:val="center"/>
                    <w:rPr>
                      <w:rFonts w:hint="default" w:eastAsia="宋体"/>
                      <w:color w:val="auto"/>
                      <w:lang w:val="en-US" w:eastAsia="zh-CN"/>
                    </w:rPr>
                  </w:pPr>
                  <w:r>
                    <w:rPr>
                      <w:rFonts w:hint="eastAsia"/>
                      <w:color w:val="auto"/>
                      <w:lang w:val="en-US" w:eastAsia="zh-CN"/>
                    </w:rPr>
                    <w:t>变更，软水制备增加一级阴离子交换树脂；用水来源发生变化</w:t>
                  </w:r>
                </w:p>
              </w:tc>
            </w:tr>
            <w:tr w14:paraId="181BE8E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9" w:type="pct"/>
                  <w:vMerge w:val="restart"/>
                  <w:vAlign w:val="center"/>
                </w:tcPr>
                <w:p w14:paraId="55B3002F">
                  <w:pPr>
                    <w:pStyle w:val="25"/>
                    <w:jc w:val="center"/>
                    <w:rPr>
                      <w:color w:val="auto"/>
                    </w:rPr>
                  </w:pPr>
                  <w:r>
                    <w:rPr>
                      <w:color w:val="auto"/>
                    </w:rPr>
                    <w:t>环保</w:t>
                  </w:r>
                </w:p>
                <w:p w14:paraId="3E49102E">
                  <w:pPr>
                    <w:pStyle w:val="25"/>
                    <w:jc w:val="center"/>
                    <w:rPr>
                      <w:color w:val="auto"/>
                    </w:rPr>
                  </w:pPr>
                  <w:r>
                    <w:rPr>
                      <w:color w:val="auto"/>
                    </w:rPr>
                    <w:t>工程</w:t>
                  </w:r>
                </w:p>
              </w:tc>
              <w:tc>
                <w:tcPr>
                  <w:tcW w:w="828" w:type="pct"/>
                  <w:gridSpan w:val="2"/>
                  <w:vAlign w:val="center"/>
                </w:tcPr>
                <w:p w14:paraId="68D8D1DE">
                  <w:pPr>
                    <w:pStyle w:val="25"/>
                    <w:jc w:val="center"/>
                    <w:rPr>
                      <w:color w:val="auto"/>
                    </w:rPr>
                  </w:pPr>
                  <w:r>
                    <w:rPr>
                      <w:rFonts w:hint="eastAsia"/>
                      <w:color w:val="auto"/>
                    </w:rPr>
                    <w:t>废气处理</w:t>
                  </w:r>
                </w:p>
              </w:tc>
              <w:tc>
                <w:tcPr>
                  <w:tcW w:w="1689" w:type="pct"/>
                  <w:vAlign w:val="center"/>
                </w:tcPr>
                <w:p w14:paraId="0C8C5F03">
                  <w:pPr>
                    <w:pStyle w:val="25"/>
                    <w:jc w:val="center"/>
                    <w:rPr>
                      <w:color w:val="auto"/>
                    </w:rPr>
                  </w:pPr>
                  <w:r>
                    <w:rPr>
                      <w:color w:val="auto"/>
                    </w:rPr>
                    <w:t>锅炉采用低氮燃烧，锅炉废气由1根8米高排气筒（DA003）排放。</w:t>
                  </w:r>
                </w:p>
              </w:tc>
              <w:tc>
                <w:tcPr>
                  <w:tcW w:w="1674" w:type="pct"/>
                  <w:vAlign w:val="center"/>
                </w:tcPr>
                <w:p w14:paraId="659EBBE1">
                  <w:pPr>
                    <w:pStyle w:val="25"/>
                    <w:jc w:val="center"/>
                    <w:rPr>
                      <w:color w:val="auto"/>
                    </w:rPr>
                  </w:pPr>
                  <w:r>
                    <w:rPr>
                      <w:color w:val="auto"/>
                    </w:rPr>
                    <w:t>锅炉采用低氮燃烧，锅炉废气由1根</w:t>
                  </w:r>
                  <w:r>
                    <w:rPr>
                      <w:rFonts w:hint="eastAsia"/>
                      <w:color w:val="auto"/>
                      <w:lang w:val="en-US" w:eastAsia="zh-CN"/>
                    </w:rPr>
                    <w:t>12</w:t>
                  </w:r>
                  <w:r>
                    <w:rPr>
                      <w:color w:val="auto"/>
                    </w:rPr>
                    <w:t>米高排气筒（DA00</w:t>
                  </w:r>
                  <w:r>
                    <w:rPr>
                      <w:rFonts w:hint="eastAsia"/>
                      <w:color w:val="auto"/>
                    </w:rPr>
                    <w:t>1</w:t>
                  </w:r>
                  <w:r>
                    <w:rPr>
                      <w:color w:val="auto"/>
                    </w:rPr>
                    <w:t>）排放。</w:t>
                  </w:r>
                </w:p>
              </w:tc>
              <w:tc>
                <w:tcPr>
                  <w:tcW w:w="518" w:type="pct"/>
                  <w:vAlign w:val="center"/>
                </w:tcPr>
                <w:p w14:paraId="4AE22ACD">
                  <w:pPr>
                    <w:pStyle w:val="25"/>
                    <w:jc w:val="center"/>
                    <w:rPr>
                      <w:rFonts w:hint="default" w:eastAsia="宋体"/>
                      <w:color w:val="auto"/>
                      <w:lang w:val="en-US" w:eastAsia="zh-CN"/>
                    </w:rPr>
                  </w:pPr>
                  <w:r>
                    <w:rPr>
                      <w:rFonts w:hint="eastAsia"/>
                      <w:color w:val="auto"/>
                      <w:lang w:val="en-US" w:eastAsia="zh-CN"/>
                    </w:rPr>
                    <w:t>排气筒高度增加</w:t>
                  </w:r>
                </w:p>
              </w:tc>
            </w:tr>
            <w:tr w14:paraId="3651E51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89" w:type="pct"/>
                  <w:vMerge w:val="continue"/>
                  <w:vAlign w:val="center"/>
                </w:tcPr>
                <w:p w14:paraId="0A1D4764">
                  <w:pPr>
                    <w:pStyle w:val="25"/>
                    <w:jc w:val="center"/>
                    <w:rPr>
                      <w:color w:val="auto"/>
                    </w:rPr>
                  </w:pPr>
                </w:p>
              </w:tc>
              <w:tc>
                <w:tcPr>
                  <w:tcW w:w="828" w:type="pct"/>
                  <w:gridSpan w:val="2"/>
                  <w:vAlign w:val="center"/>
                </w:tcPr>
                <w:p w14:paraId="0B328E6C">
                  <w:pPr>
                    <w:pStyle w:val="25"/>
                    <w:jc w:val="center"/>
                    <w:rPr>
                      <w:color w:val="auto"/>
                    </w:rPr>
                  </w:pPr>
                  <w:r>
                    <w:rPr>
                      <w:rFonts w:hint="eastAsia"/>
                      <w:color w:val="auto"/>
                    </w:rPr>
                    <w:t>固废治理</w:t>
                  </w:r>
                </w:p>
              </w:tc>
              <w:tc>
                <w:tcPr>
                  <w:tcW w:w="1689" w:type="pct"/>
                  <w:vAlign w:val="center"/>
                </w:tcPr>
                <w:p w14:paraId="0788A65C">
                  <w:pPr>
                    <w:pStyle w:val="25"/>
                    <w:jc w:val="center"/>
                    <w:rPr>
                      <w:color w:val="auto"/>
                    </w:rPr>
                  </w:pPr>
                  <w:r>
                    <w:rPr>
                      <w:color w:val="auto"/>
                    </w:rPr>
                    <w:t>软水制备产生的废离子交换树脂暂存</w:t>
                  </w:r>
                  <w:r>
                    <w:rPr>
                      <w:rFonts w:hint="eastAsia"/>
                      <w:color w:val="auto"/>
                    </w:rPr>
                    <w:t>废水处理厂</w:t>
                  </w:r>
                  <w:r>
                    <w:rPr>
                      <w:color w:val="auto"/>
                    </w:rPr>
                    <w:t>于危废暂存间，交由有危废处置资质的单位处理</w:t>
                  </w:r>
                </w:p>
              </w:tc>
              <w:tc>
                <w:tcPr>
                  <w:tcW w:w="1674" w:type="pct"/>
                  <w:vAlign w:val="center"/>
                </w:tcPr>
                <w:p w14:paraId="3493F20B">
                  <w:pPr>
                    <w:pStyle w:val="25"/>
                    <w:jc w:val="center"/>
                    <w:rPr>
                      <w:color w:val="auto"/>
                    </w:rPr>
                  </w:pPr>
                  <w:r>
                    <w:rPr>
                      <w:color w:val="auto"/>
                    </w:rPr>
                    <w:t>软水制备产生的废离子交换树脂暂存</w:t>
                  </w:r>
                  <w:r>
                    <w:rPr>
                      <w:rFonts w:hint="eastAsia"/>
                      <w:color w:val="auto"/>
                    </w:rPr>
                    <w:t>废水处理厂</w:t>
                  </w:r>
                  <w:r>
                    <w:rPr>
                      <w:color w:val="auto"/>
                    </w:rPr>
                    <w:t>于危废暂存间，交由有危废处置资质的单位处理</w:t>
                  </w:r>
                </w:p>
              </w:tc>
              <w:tc>
                <w:tcPr>
                  <w:tcW w:w="518" w:type="pct"/>
                  <w:vAlign w:val="center"/>
                </w:tcPr>
                <w:p w14:paraId="0C000A43">
                  <w:pPr>
                    <w:pStyle w:val="25"/>
                    <w:jc w:val="center"/>
                    <w:rPr>
                      <w:color w:val="auto"/>
                    </w:rPr>
                  </w:pPr>
                  <w:r>
                    <w:rPr>
                      <w:rFonts w:hint="eastAsia"/>
                      <w:color w:val="auto"/>
                    </w:rPr>
                    <w:t>一致</w:t>
                  </w:r>
                </w:p>
              </w:tc>
            </w:tr>
            <w:tr w14:paraId="1C41B3F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continue"/>
                  <w:vAlign w:val="center"/>
                </w:tcPr>
                <w:p w14:paraId="42B07C20">
                  <w:pPr>
                    <w:pStyle w:val="25"/>
                    <w:jc w:val="center"/>
                    <w:rPr>
                      <w:color w:val="auto"/>
                    </w:rPr>
                  </w:pPr>
                </w:p>
              </w:tc>
              <w:tc>
                <w:tcPr>
                  <w:tcW w:w="828" w:type="pct"/>
                  <w:gridSpan w:val="2"/>
                  <w:vAlign w:val="center"/>
                </w:tcPr>
                <w:p w14:paraId="43DD3968">
                  <w:pPr>
                    <w:pStyle w:val="25"/>
                    <w:jc w:val="center"/>
                    <w:rPr>
                      <w:color w:val="auto"/>
                    </w:rPr>
                  </w:pPr>
                  <w:r>
                    <w:rPr>
                      <w:rFonts w:hint="eastAsia"/>
                      <w:color w:val="auto"/>
                    </w:rPr>
                    <w:t>废水治理</w:t>
                  </w:r>
                </w:p>
              </w:tc>
              <w:tc>
                <w:tcPr>
                  <w:tcW w:w="1689" w:type="pct"/>
                  <w:vAlign w:val="center"/>
                </w:tcPr>
                <w:p w14:paraId="4FFD0CF3">
                  <w:pPr>
                    <w:pStyle w:val="25"/>
                    <w:jc w:val="center"/>
                    <w:rPr>
                      <w:color w:val="auto"/>
                    </w:rPr>
                  </w:pPr>
                  <w:r>
                    <w:rPr>
                      <w:color w:val="auto"/>
                    </w:rPr>
                    <w:t>锅炉排污废水、软水制备排污废水均排入</w:t>
                  </w:r>
                  <w:r>
                    <w:rPr>
                      <w:rFonts w:hint="eastAsia"/>
                      <w:color w:val="auto"/>
                    </w:rPr>
                    <w:t>园区废水处理厂</w:t>
                  </w:r>
                  <w:r>
                    <w:rPr>
                      <w:color w:val="auto"/>
                    </w:rPr>
                    <w:t>其他废水处理系统中的2#调节池与来水一同处置</w:t>
                  </w:r>
                </w:p>
              </w:tc>
              <w:tc>
                <w:tcPr>
                  <w:tcW w:w="1674" w:type="pct"/>
                  <w:vAlign w:val="center"/>
                </w:tcPr>
                <w:p w14:paraId="7C6EDBFA">
                  <w:pPr>
                    <w:pStyle w:val="25"/>
                    <w:jc w:val="center"/>
                    <w:rPr>
                      <w:color w:val="auto"/>
                    </w:rPr>
                  </w:pPr>
                  <w:r>
                    <w:rPr>
                      <w:color w:val="auto"/>
                    </w:rPr>
                    <w:t>锅炉排污废水、软水制备排污废水均排入</w:t>
                  </w:r>
                  <w:r>
                    <w:rPr>
                      <w:rFonts w:hint="eastAsia"/>
                      <w:color w:val="auto"/>
                    </w:rPr>
                    <w:t>园区废水处理厂</w:t>
                  </w:r>
                  <w:r>
                    <w:rPr>
                      <w:color w:val="auto"/>
                    </w:rPr>
                    <w:t>隆基废水处理系统</w:t>
                  </w:r>
                </w:p>
              </w:tc>
              <w:tc>
                <w:tcPr>
                  <w:tcW w:w="518" w:type="pct"/>
                  <w:vAlign w:val="center"/>
                </w:tcPr>
                <w:p w14:paraId="149FA220">
                  <w:pPr>
                    <w:pStyle w:val="25"/>
                    <w:jc w:val="center"/>
                    <w:rPr>
                      <w:rFonts w:hint="default" w:eastAsia="宋体"/>
                      <w:color w:val="auto"/>
                      <w:lang w:val="en-US" w:eastAsia="zh-CN"/>
                    </w:rPr>
                  </w:pPr>
                  <w:r>
                    <w:rPr>
                      <w:rFonts w:hint="eastAsia"/>
                      <w:color w:val="auto"/>
                      <w:lang w:val="en-US" w:eastAsia="zh-CN"/>
                    </w:rPr>
                    <w:t>变更，排入</w:t>
                  </w:r>
                  <w:r>
                    <w:rPr>
                      <w:color w:val="auto"/>
                    </w:rPr>
                    <w:t>隆基废水处理系统</w:t>
                  </w:r>
                </w:p>
              </w:tc>
            </w:tr>
            <w:tr w14:paraId="13F6669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9" w:type="pct"/>
                  <w:vMerge w:val="continue"/>
                  <w:vAlign w:val="center"/>
                </w:tcPr>
                <w:p w14:paraId="3C743960">
                  <w:pPr>
                    <w:pStyle w:val="25"/>
                    <w:jc w:val="center"/>
                    <w:rPr>
                      <w:color w:val="auto"/>
                    </w:rPr>
                  </w:pPr>
                </w:p>
              </w:tc>
              <w:tc>
                <w:tcPr>
                  <w:tcW w:w="828" w:type="pct"/>
                  <w:gridSpan w:val="2"/>
                  <w:vAlign w:val="center"/>
                </w:tcPr>
                <w:p w14:paraId="4357C8FC">
                  <w:pPr>
                    <w:pStyle w:val="25"/>
                    <w:jc w:val="center"/>
                    <w:rPr>
                      <w:color w:val="auto"/>
                    </w:rPr>
                  </w:pPr>
                  <w:r>
                    <w:rPr>
                      <w:rFonts w:hint="eastAsia"/>
                      <w:color w:val="auto"/>
                    </w:rPr>
                    <w:t>噪声治理</w:t>
                  </w:r>
                </w:p>
              </w:tc>
              <w:tc>
                <w:tcPr>
                  <w:tcW w:w="1689" w:type="pct"/>
                  <w:vAlign w:val="center"/>
                </w:tcPr>
                <w:p w14:paraId="718FCB54">
                  <w:pPr>
                    <w:pStyle w:val="25"/>
                    <w:jc w:val="center"/>
                    <w:rPr>
                      <w:rFonts w:eastAsia="新宋体"/>
                      <w:color w:val="auto"/>
                    </w:rPr>
                  </w:pPr>
                  <w:r>
                    <w:rPr>
                      <w:rFonts w:hint="eastAsia"/>
                      <w:color w:val="auto"/>
                    </w:rPr>
                    <w:t>选用低噪声设备并采取减震、隔声等措施</w:t>
                  </w:r>
                </w:p>
              </w:tc>
              <w:tc>
                <w:tcPr>
                  <w:tcW w:w="1674" w:type="pct"/>
                  <w:vAlign w:val="center"/>
                </w:tcPr>
                <w:p w14:paraId="074099BE">
                  <w:pPr>
                    <w:pStyle w:val="25"/>
                    <w:jc w:val="center"/>
                    <w:rPr>
                      <w:rFonts w:eastAsia="新宋体"/>
                      <w:color w:val="auto"/>
                    </w:rPr>
                  </w:pPr>
                  <w:r>
                    <w:rPr>
                      <w:rFonts w:hint="eastAsia"/>
                      <w:color w:val="auto"/>
                    </w:rPr>
                    <w:t>选用低噪声设备并采取减震、隔声等措施</w:t>
                  </w:r>
                </w:p>
              </w:tc>
              <w:tc>
                <w:tcPr>
                  <w:tcW w:w="518" w:type="pct"/>
                  <w:vAlign w:val="center"/>
                </w:tcPr>
                <w:p w14:paraId="0AE9C388">
                  <w:pPr>
                    <w:pStyle w:val="25"/>
                    <w:jc w:val="center"/>
                    <w:rPr>
                      <w:color w:val="auto"/>
                    </w:rPr>
                  </w:pPr>
                  <w:r>
                    <w:rPr>
                      <w:rFonts w:hint="eastAsia"/>
                      <w:color w:val="auto"/>
                    </w:rPr>
                    <w:t>一致</w:t>
                  </w:r>
                </w:p>
              </w:tc>
            </w:tr>
          </w:tbl>
          <w:p w14:paraId="29A89E2B">
            <w:pPr>
              <w:adjustRightInd w:val="0"/>
              <w:snapToGrid w:val="0"/>
              <w:ind w:firstLine="482" w:firstLineChars="200"/>
              <w:rPr>
                <w:b/>
                <w:color w:val="auto"/>
                <w:szCs w:val="21"/>
              </w:rPr>
            </w:pPr>
            <w:r>
              <w:rPr>
                <w:rFonts w:hint="eastAsia"/>
                <w:b/>
                <w:color w:val="auto"/>
                <w:szCs w:val="21"/>
              </w:rPr>
              <w:t>3、</w:t>
            </w:r>
            <w:r>
              <w:rPr>
                <w:b/>
                <w:color w:val="auto"/>
                <w:szCs w:val="21"/>
              </w:rPr>
              <w:t>设备清单</w:t>
            </w:r>
          </w:p>
          <w:p w14:paraId="031C9480">
            <w:pPr>
              <w:adjustRightInd w:val="0"/>
              <w:snapToGrid w:val="0"/>
              <w:ind w:firstLine="480" w:firstLineChars="200"/>
              <w:rPr>
                <w:bCs/>
                <w:color w:val="auto"/>
                <w:szCs w:val="21"/>
              </w:rPr>
            </w:pPr>
            <w:r>
              <w:rPr>
                <w:bCs/>
                <w:color w:val="auto"/>
                <w:szCs w:val="21"/>
              </w:rPr>
              <w:t>本项目主要设备见表</w:t>
            </w:r>
            <w:r>
              <w:rPr>
                <w:rFonts w:hint="eastAsia"/>
                <w:bCs/>
                <w:color w:val="auto"/>
                <w:szCs w:val="21"/>
              </w:rPr>
              <w:t>2-2</w:t>
            </w:r>
            <w:r>
              <w:rPr>
                <w:bCs/>
                <w:color w:val="auto"/>
                <w:szCs w:val="21"/>
              </w:rPr>
              <w:t>。</w:t>
            </w:r>
          </w:p>
          <w:p w14:paraId="68F3E7E4">
            <w:pPr>
              <w:pStyle w:val="52"/>
              <w:rPr>
                <w:color w:val="auto"/>
              </w:rPr>
            </w:pPr>
            <w:r>
              <w:rPr>
                <w:color w:val="auto"/>
              </w:rPr>
              <w:t>表</w:t>
            </w:r>
            <w:r>
              <w:rPr>
                <w:rFonts w:hint="eastAsia"/>
                <w:color w:val="auto"/>
              </w:rPr>
              <w:t>2-2</w:t>
            </w:r>
            <w:r>
              <w:rPr>
                <w:color w:val="auto"/>
              </w:rPr>
              <w:t xml:space="preserve">  主要设备一览表</w:t>
            </w:r>
          </w:p>
          <w:tbl>
            <w:tblPr>
              <w:tblStyle w:val="57"/>
              <w:tblW w:w="8390"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284"/>
              <w:gridCol w:w="3508"/>
              <w:gridCol w:w="675"/>
              <w:gridCol w:w="500"/>
              <w:gridCol w:w="1890"/>
            </w:tblGrid>
            <w:tr w14:paraId="010AEB3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5B26FC67">
                  <w:pPr>
                    <w:pStyle w:val="25"/>
                    <w:jc w:val="center"/>
                    <w:rPr>
                      <w:rFonts w:hint="default" w:ascii="Times New Roman" w:hAnsi="Times New Roman" w:cs="Times New Roman"/>
                      <w:b/>
                      <w:color w:val="auto"/>
                    </w:rPr>
                  </w:pPr>
                  <w:r>
                    <w:rPr>
                      <w:rFonts w:hint="default" w:ascii="Times New Roman" w:hAnsi="Times New Roman" w:cs="Times New Roman"/>
                      <w:b/>
                      <w:color w:val="auto"/>
                    </w:rPr>
                    <w:t>序号</w:t>
                  </w:r>
                </w:p>
              </w:tc>
              <w:tc>
                <w:tcPr>
                  <w:tcW w:w="1284" w:type="dxa"/>
                  <w:vAlign w:val="center"/>
                </w:tcPr>
                <w:p w14:paraId="700DEFDD">
                  <w:pPr>
                    <w:pStyle w:val="25"/>
                    <w:jc w:val="center"/>
                    <w:rPr>
                      <w:rFonts w:hint="default" w:ascii="Times New Roman" w:hAnsi="Times New Roman" w:cs="Times New Roman"/>
                      <w:b/>
                      <w:color w:val="auto"/>
                      <w:kern w:val="0"/>
                    </w:rPr>
                  </w:pPr>
                  <w:r>
                    <w:rPr>
                      <w:rFonts w:hint="default" w:ascii="Times New Roman" w:hAnsi="Times New Roman" w:cs="Times New Roman"/>
                      <w:b/>
                      <w:color w:val="auto"/>
                    </w:rPr>
                    <w:t>名称</w:t>
                  </w:r>
                </w:p>
              </w:tc>
              <w:tc>
                <w:tcPr>
                  <w:tcW w:w="3508" w:type="dxa"/>
                  <w:vAlign w:val="center"/>
                </w:tcPr>
                <w:p w14:paraId="4D152554">
                  <w:pPr>
                    <w:pStyle w:val="25"/>
                    <w:jc w:val="center"/>
                    <w:rPr>
                      <w:rFonts w:hint="default" w:ascii="Times New Roman" w:hAnsi="Times New Roman" w:cs="Times New Roman"/>
                      <w:b/>
                      <w:color w:val="auto"/>
                      <w:kern w:val="0"/>
                    </w:rPr>
                  </w:pPr>
                  <w:r>
                    <w:rPr>
                      <w:rFonts w:hint="default" w:ascii="Times New Roman" w:hAnsi="Times New Roman" w:cs="Times New Roman"/>
                      <w:b/>
                      <w:color w:val="auto"/>
                      <w:kern w:val="0"/>
                    </w:rPr>
                    <w:t>规格</w:t>
                  </w:r>
                </w:p>
              </w:tc>
              <w:tc>
                <w:tcPr>
                  <w:tcW w:w="675" w:type="dxa"/>
                  <w:vAlign w:val="center"/>
                </w:tcPr>
                <w:p w14:paraId="7DAFC6D0">
                  <w:pPr>
                    <w:pStyle w:val="25"/>
                    <w:jc w:val="center"/>
                    <w:rPr>
                      <w:rFonts w:hint="default" w:ascii="Times New Roman" w:hAnsi="Times New Roman" w:cs="Times New Roman"/>
                      <w:b/>
                      <w:color w:val="auto"/>
                      <w:kern w:val="0"/>
                    </w:rPr>
                  </w:pPr>
                  <w:r>
                    <w:rPr>
                      <w:rFonts w:hint="default" w:ascii="Times New Roman" w:hAnsi="Times New Roman" w:cs="Times New Roman"/>
                      <w:b/>
                      <w:color w:val="auto"/>
                      <w:kern w:val="0"/>
                    </w:rPr>
                    <w:t>单位</w:t>
                  </w:r>
                </w:p>
              </w:tc>
              <w:tc>
                <w:tcPr>
                  <w:tcW w:w="500" w:type="dxa"/>
                  <w:vAlign w:val="center"/>
                </w:tcPr>
                <w:p w14:paraId="5428B1D4">
                  <w:pPr>
                    <w:pStyle w:val="25"/>
                    <w:jc w:val="center"/>
                    <w:rPr>
                      <w:rFonts w:hint="default" w:ascii="Times New Roman" w:hAnsi="Times New Roman" w:cs="Times New Roman"/>
                      <w:b/>
                      <w:color w:val="auto"/>
                      <w:kern w:val="0"/>
                    </w:rPr>
                  </w:pPr>
                  <w:r>
                    <w:rPr>
                      <w:rFonts w:hint="default" w:ascii="Times New Roman" w:hAnsi="Times New Roman" w:cs="Times New Roman"/>
                      <w:b/>
                      <w:color w:val="auto"/>
                      <w:kern w:val="0"/>
                    </w:rPr>
                    <w:t>数量</w:t>
                  </w:r>
                </w:p>
              </w:tc>
              <w:tc>
                <w:tcPr>
                  <w:tcW w:w="1890" w:type="dxa"/>
                  <w:vAlign w:val="center"/>
                </w:tcPr>
                <w:p w14:paraId="549334EF">
                  <w:pPr>
                    <w:pStyle w:val="25"/>
                    <w:jc w:val="center"/>
                    <w:rPr>
                      <w:rFonts w:hint="default" w:ascii="Times New Roman" w:hAnsi="Times New Roman" w:cs="Times New Roman"/>
                      <w:b/>
                      <w:color w:val="auto"/>
                      <w:kern w:val="0"/>
                    </w:rPr>
                  </w:pPr>
                  <w:r>
                    <w:rPr>
                      <w:rFonts w:hint="default" w:ascii="Times New Roman" w:hAnsi="Times New Roman" w:cs="Times New Roman"/>
                      <w:b/>
                      <w:color w:val="auto"/>
                      <w:kern w:val="0"/>
                    </w:rPr>
                    <w:t>备注</w:t>
                  </w:r>
                </w:p>
              </w:tc>
            </w:tr>
            <w:tr w14:paraId="0885F4D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vAlign w:val="center"/>
                </w:tcPr>
                <w:p w14:paraId="35AF9A6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284" w:type="dxa"/>
                  <w:vAlign w:val="center"/>
                </w:tcPr>
                <w:p w14:paraId="4ACDF1A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低氮气冷凝蒸汽锅炉</w:t>
                  </w:r>
                </w:p>
              </w:tc>
              <w:tc>
                <w:tcPr>
                  <w:tcW w:w="3508" w:type="dxa"/>
                  <w:vAlign w:val="center"/>
                </w:tcPr>
                <w:p w14:paraId="19FF993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WNS12-1.25-Y.Q，额定蒸发量：12T/h，蒸汽压力：1.25MPa，蒸汽温度：194℃</w:t>
                  </w:r>
                </w:p>
              </w:tc>
              <w:tc>
                <w:tcPr>
                  <w:tcW w:w="675" w:type="dxa"/>
                  <w:vAlign w:val="center"/>
                </w:tcPr>
                <w:p w14:paraId="71F4CDBA">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116AF20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5A685016">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1用1备</w:t>
                  </w:r>
                </w:p>
              </w:tc>
            </w:tr>
            <w:tr w14:paraId="193FED6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27498C2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284" w:type="dxa"/>
                  <w:vAlign w:val="center"/>
                </w:tcPr>
                <w:p w14:paraId="60342740">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低氮燃料器</w:t>
                  </w:r>
                </w:p>
              </w:tc>
              <w:tc>
                <w:tcPr>
                  <w:tcW w:w="3508" w:type="dxa"/>
                  <w:vAlign w:val="center"/>
                </w:tcPr>
                <w:p w14:paraId="07435612">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风机功率：37KW</w:t>
                  </w:r>
                </w:p>
              </w:tc>
              <w:tc>
                <w:tcPr>
                  <w:tcW w:w="675" w:type="dxa"/>
                  <w:vAlign w:val="center"/>
                </w:tcPr>
                <w:p w14:paraId="391E18C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443ED06A">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3E10E7C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1用1备</w:t>
                  </w:r>
                </w:p>
              </w:tc>
            </w:tr>
            <w:tr w14:paraId="3A15856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6FB7D1C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284" w:type="dxa"/>
                  <w:vAlign w:val="center"/>
                </w:tcPr>
                <w:p w14:paraId="6B166EC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锅炉给水泵</w:t>
                  </w:r>
                </w:p>
              </w:tc>
              <w:tc>
                <w:tcPr>
                  <w:tcW w:w="3508" w:type="dxa"/>
                  <w:vAlign w:val="center"/>
                </w:tcPr>
                <w:p w14:paraId="36F2886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Q=22m³/h  H=110m  N=22kW</w:t>
                  </w:r>
                </w:p>
              </w:tc>
              <w:tc>
                <w:tcPr>
                  <w:tcW w:w="675" w:type="dxa"/>
                  <w:vAlign w:val="center"/>
                </w:tcPr>
                <w:p w14:paraId="25399D3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1850962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361F23F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1用1备</w:t>
                  </w:r>
                </w:p>
              </w:tc>
            </w:tr>
            <w:tr w14:paraId="54B1748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41724B6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284" w:type="dxa"/>
                  <w:vAlign w:val="center"/>
                </w:tcPr>
                <w:p w14:paraId="0797F4F0">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冷凝器循环泵</w:t>
                  </w:r>
                </w:p>
              </w:tc>
              <w:tc>
                <w:tcPr>
                  <w:tcW w:w="3508" w:type="dxa"/>
                  <w:vAlign w:val="center"/>
                </w:tcPr>
                <w:p w14:paraId="270470A2">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Q=16m³/h  H=26.7m  N=3kW</w:t>
                  </w:r>
                </w:p>
              </w:tc>
              <w:tc>
                <w:tcPr>
                  <w:tcW w:w="675" w:type="dxa"/>
                  <w:vAlign w:val="center"/>
                </w:tcPr>
                <w:p w14:paraId="0A927B7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07F6084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3123692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1用1备</w:t>
                  </w:r>
                </w:p>
              </w:tc>
            </w:tr>
            <w:tr w14:paraId="43F4EB5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7FD3043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284" w:type="dxa"/>
                  <w:vAlign w:val="center"/>
                </w:tcPr>
                <w:p w14:paraId="2F6362AA">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除氧水泵</w:t>
                  </w:r>
                </w:p>
              </w:tc>
              <w:tc>
                <w:tcPr>
                  <w:tcW w:w="3508" w:type="dxa"/>
                  <w:vAlign w:val="center"/>
                </w:tcPr>
                <w:p w14:paraId="5C01216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Q=16m³/h  H=42.2m  N=7.5kW</w:t>
                  </w:r>
                </w:p>
              </w:tc>
              <w:tc>
                <w:tcPr>
                  <w:tcW w:w="675" w:type="dxa"/>
                  <w:vAlign w:val="center"/>
                </w:tcPr>
                <w:p w14:paraId="06EF601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79DD3F6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1E6ECC8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1用1备</w:t>
                  </w:r>
                </w:p>
              </w:tc>
            </w:tr>
            <w:tr w14:paraId="43DC7B9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24A3F54D">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284" w:type="dxa"/>
                  <w:vAlign w:val="center"/>
                </w:tcPr>
                <w:p w14:paraId="2B8259B4">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低位热力喷雾除氧器</w:t>
                  </w:r>
                </w:p>
              </w:tc>
              <w:tc>
                <w:tcPr>
                  <w:tcW w:w="3508" w:type="dxa"/>
                  <w:vAlign w:val="center"/>
                </w:tcPr>
                <w:p w14:paraId="64D8478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处理能力：15t/h</w:t>
                  </w:r>
                </w:p>
              </w:tc>
              <w:tc>
                <w:tcPr>
                  <w:tcW w:w="675" w:type="dxa"/>
                  <w:vAlign w:val="center"/>
                </w:tcPr>
                <w:p w14:paraId="3534849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套</w:t>
                  </w:r>
                </w:p>
              </w:tc>
              <w:tc>
                <w:tcPr>
                  <w:tcW w:w="500" w:type="dxa"/>
                  <w:vAlign w:val="center"/>
                </w:tcPr>
                <w:p w14:paraId="255852E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08B0436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带控制柜</w:t>
                  </w:r>
                </w:p>
              </w:tc>
            </w:tr>
            <w:tr w14:paraId="20F572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3B323CF1">
                  <w:pPr>
                    <w:spacing w:line="240" w:lineRule="auto"/>
                    <w:jc w:val="center"/>
                    <w:rPr>
                      <w:rFonts w:hint="default" w:ascii="Times New Roman" w:hAnsi="Times New Roman" w:cs="Times New Roman"/>
                      <w:color w:val="auto"/>
                      <w:sz w:val="21"/>
                      <w:szCs w:val="21"/>
                    </w:rPr>
                  </w:pPr>
                </w:p>
              </w:tc>
              <w:tc>
                <w:tcPr>
                  <w:tcW w:w="1284" w:type="dxa"/>
                  <w:vAlign w:val="center"/>
                </w:tcPr>
                <w:p w14:paraId="637AF86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除氧水箱</w:t>
                  </w:r>
                </w:p>
              </w:tc>
              <w:tc>
                <w:tcPr>
                  <w:tcW w:w="3508" w:type="dxa"/>
                  <w:vAlign w:val="center"/>
                </w:tcPr>
                <w:p w14:paraId="4EA7A1D4">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Φ1800×8 L=4566mm  出水含氧量mg/L≤0.05</w:t>
                  </w:r>
                </w:p>
              </w:tc>
              <w:tc>
                <w:tcPr>
                  <w:tcW w:w="675" w:type="dxa"/>
                  <w:vAlign w:val="center"/>
                </w:tcPr>
                <w:p w14:paraId="34810849">
                  <w:pPr>
                    <w:spacing w:line="240" w:lineRule="auto"/>
                    <w:jc w:val="center"/>
                    <w:rPr>
                      <w:rFonts w:hint="default" w:ascii="Times New Roman" w:hAnsi="Times New Roman" w:cs="Times New Roman"/>
                      <w:color w:val="auto"/>
                      <w:sz w:val="21"/>
                      <w:szCs w:val="21"/>
                    </w:rPr>
                  </w:pPr>
                </w:p>
              </w:tc>
              <w:tc>
                <w:tcPr>
                  <w:tcW w:w="500" w:type="dxa"/>
                  <w:vAlign w:val="center"/>
                </w:tcPr>
                <w:p w14:paraId="2317CB54">
                  <w:pPr>
                    <w:spacing w:line="240" w:lineRule="auto"/>
                    <w:jc w:val="center"/>
                    <w:rPr>
                      <w:rFonts w:hint="default" w:ascii="Times New Roman" w:hAnsi="Times New Roman" w:cs="Times New Roman"/>
                      <w:color w:val="auto"/>
                      <w:sz w:val="21"/>
                      <w:szCs w:val="21"/>
                    </w:rPr>
                  </w:pPr>
                </w:p>
              </w:tc>
              <w:tc>
                <w:tcPr>
                  <w:tcW w:w="1890" w:type="dxa"/>
                  <w:vAlign w:val="center"/>
                </w:tcPr>
                <w:p w14:paraId="651CCD6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容积为10m</w:t>
                  </w:r>
                  <w:r>
                    <w:rPr>
                      <w:rFonts w:hint="default" w:ascii="Times New Roman" w:hAnsi="Times New Roman" w:cs="Times New Roman"/>
                      <w:color w:val="auto"/>
                      <w:sz w:val="21"/>
                      <w:szCs w:val="21"/>
                      <w:vertAlign w:val="superscript"/>
                    </w:rPr>
                    <w:t>3</w:t>
                  </w:r>
                </w:p>
              </w:tc>
            </w:tr>
            <w:tr w14:paraId="6E3A905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25835B5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1284" w:type="dxa"/>
                  <w:vAlign w:val="center"/>
                </w:tcPr>
                <w:p w14:paraId="2005696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凝结水箱</w:t>
                  </w:r>
                </w:p>
              </w:tc>
              <w:tc>
                <w:tcPr>
                  <w:tcW w:w="3508" w:type="dxa"/>
                  <w:vAlign w:val="center"/>
                </w:tcPr>
                <w:p w14:paraId="10BC016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有效容积12m</w:t>
                  </w:r>
                  <w:r>
                    <w:rPr>
                      <w:rFonts w:hint="default" w:ascii="Times New Roman" w:hAnsi="Times New Roman" w:cs="Times New Roman"/>
                      <w:color w:val="auto"/>
                      <w:sz w:val="21"/>
                      <w:szCs w:val="21"/>
                      <w:vertAlign w:val="superscript"/>
                    </w:rPr>
                    <w:t xml:space="preserve">3   </w:t>
                  </w:r>
                  <w:r>
                    <w:rPr>
                      <w:rFonts w:hint="default" w:ascii="Times New Roman" w:hAnsi="Times New Roman" w:cs="Times New Roman"/>
                      <w:color w:val="auto"/>
                      <w:sz w:val="21"/>
                      <w:szCs w:val="21"/>
                    </w:rPr>
                    <w:t>3120×2120×2200mm</w:t>
                  </w:r>
                </w:p>
              </w:tc>
              <w:tc>
                <w:tcPr>
                  <w:tcW w:w="675" w:type="dxa"/>
                  <w:vAlign w:val="center"/>
                </w:tcPr>
                <w:p w14:paraId="115CE28C">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7CC11E5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5FFEBFB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装配式镀锌钢板水箱；开式水箱03R401-2</w:t>
                  </w:r>
                </w:p>
              </w:tc>
            </w:tr>
            <w:tr w14:paraId="2C29C36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7E9DDCE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1284" w:type="dxa"/>
                  <w:vAlign w:val="center"/>
                </w:tcPr>
                <w:p w14:paraId="4A538D2D">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定期排污扩容器</w:t>
                  </w:r>
                </w:p>
              </w:tc>
              <w:tc>
                <w:tcPr>
                  <w:tcW w:w="3508" w:type="dxa"/>
                  <w:vAlign w:val="center"/>
                </w:tcPr>
                <w:p w14:paraId="348B0062">
                  <w:pPr>
                    <w:spacing w:line="240" w:lineRule="auto"/>
                    <w:jc w:val="center"/>
                    <w:rPr>
                      <w:rFonts w:hint="default" w:ascii="Times New Roman" w:hAnsi="Times New Roman" w:cs="Times New Roman"/>
                      <w:color w:val="auto"/>
                      <w:sz w:val="21"/>
                      <w:szCs w:val="21"/>
                      <w:vertAlign w:val="superscript"/>
                    </w:rPr>
                  </w:pPr>
                  <w:r>
                    <w:rPr>
                      <w:rFonts w:hint="default" w:ascii="Times New Roman" w:hAnsi="Times New Roman" w:cs="Times New Roman"/>
                      <w:color w:val="auto"/>
                      <w:sz w:val="21"/>
                      <w:szCs w:val="21"/>
                    </w:rPr>
                    <w:t>LP-1.5 V=1.5m</w:t>
                  </w:r>
                  <w:r>
                    <w:rPr>
                      <w:rFonts w:hint="default" w:ascii="Times New Roman" w:hAnsi="Times New Roman" w:cs="Times New Roman"/>
                      <w:color w:val="auto"/>
                      <w:sz w:val="21"/>
                      <w:szCs w:val="21"/>
                      <w:vertAlign w:val="superscript"/>
                    </w:rPr>
                    <w:t xml:space="preserve">3  </w:t>
                  </w:r>
                </w:p>
                <w:p w14:paraId="74A4C15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直径：800 高度：3500</w:t>
                  </w:r>
                </w:p>
              </w:tc>
              <w:tc>
                <w:tcPr>
                  <w:tcW w:w="675" w:type="dxa"/>
                  <w:vAlign w:val="center"/>
                </w:tcPr>
                <w:p w14:paraId="2066DF2C">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47AA22D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703297AD">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设计温度:200℃；设计压力：1.0MPa</w:t>
                  </w:r>
                </w:p>
              </w:tc>
            </w:tr>
            <w:tr w14:paraId="24DBEAE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25F2731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1284" w:type="dxa"/>
                  <w:vAlign w:val="center"/>
                </w:tcPr>
                <w:p w14:paraId="7B65774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连续排污扩容器</w:t>
                  </w:r>
                </w:p>
              </w:tc>
              <w:tc>
                <w:tcPr>
                  <w:tcW w:w="3508" w:type="dxa"/>
                  <w:vAlign w:val="center"/>
                </w:tcPr>
                <w:p w14:paraId="2554FA27">
                  <w:pPr>
                    <w:spacing w:line="240" w:lineRule="auto"/>
                    <w:jc w:val="center"/>
                    <w:rPr>
                      <w:rFonts w:hint="default" w:ascii="Times New Roman" w:hAnsi="Times New Roman" w:cs="Times New Roman"/>
                      <w:color w:val="auto"/>
                      <w:sz w:val="21"/>
                      <w:szCs w:val="21"/>
                      <w:vertAlign w:val="superscript"/>
                    </w:rPr>
                  </w:pPr>
                  <w:r>
                    <w:rPr>
                      <w:rFonts w:hint="default" w:ascii="Times New Roman" w:hAnsi="Times New Roman" w:cs="Times New Roman"/>
                      <w:color w:val="auto"/>
                      <w:sz w:val="21"/>
                      <w:szCs w:val="21"/>
                    </w:rPr>
                    <w:t>LP-1.5 V=1.5m</w:t>
                  </w:r>
                  <w:r>
                    <w:rPr>
                      <w:rFonts w:hint="default" w:ascii="Times New Roman" w:hAnsi="Times New Roman" w:cs="Times New Roman"/>
                      <w:color w:val="auto"/>
                      <w:sz w:val="21"/>
                      <w:szCs w:val="21"/>
                      <w:vertAlign w:val="superscript"/>
                    </w:rPr>
                    <w:t xml:space="preserve">3  </w:t>
                  </w:r>
                </w:p>
                <w:p w14:paraId="2F831910">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直径：800 高度：3500</w:t>
                  </w:r>
                </w:p>
              </w:tc>
              <w:tc>
                <w:tcPr>
                  <w:tcW w:w="675" w:type="dxa"/>
                  <w:vAlign w:val="center"/>
                </w:tcPr>
                <w:p w14:paraId="78FCF32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23A11DB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02A88A6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设计温度:200℃；设计压力：1.0MPa</w:t>
                  </w:r>
                </w:p>
              </w:tc>
            </w:tr>
            <w:tr w14:paraId="40FB4D4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1989A36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1284" w:type="dxa"/>
                  <w:vAlign w:val="center"/>
                </w:tcPr>
                <w:p w14:paraId="2592435C">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炉水取样器</w:t>
                  </w:r>
                </w:p>
              </w:tc>
              <w:tc>
                <w:tcPr>
                  <w:tcW w:w="3508" w:type="dxa"/>
                  <w:vAlign w:val="center"/>
                </w:tcPr>
                <w:p w14:paraId="29A9546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压力：0.25Mpa；温度：220℃</w:t>
                  </w:r>
                </w:p>
              </w:tc>
              <w:tc>
                <w:tcPr>
                  <w:tcW w:w="675" w:type="dxa"/>
                  <w:vAlign w:val="center"/>
                </w:tcPr>
                <w:p w14:paraId="6A69084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22F091A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2B4026DB">
                  <w:pPr>
                    <w:spacing w:line="240" w:lineRule="auto"/>
                    <w:jc w:val="center"/>
                    <w:rPr>
                      <w:rFonts w:hint="default" w:ascii="Times New Roman" w:hAnsi="Times New Roman" w:cs="Times New Roman"/>
                      <w:color w:val="auto"/>
                      <w:sz w:val="21"/>
                      <w:szCs w:val="21"/>
                    </w:rPr>
                  </w:pPr>
                </w:p>
              </w:tc>
            </w:tr>
            <w:tr w14:paraId="32F5B13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7268EAE1">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1284" w:type="dxa"/>
                  <w:vAlign w:val="center"/>
                </w:tcPr>
                <w:p w14:paraId="43798052">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全自动软水器</w:t>
                  </w:r>
                </w:p>
              </w:tc>
              <w:tc>
                <w:tcPr>
                  <w:tcW w:w="3508" w:type="dxa"/>
                  <w:vAlign w:val="center"/>
                </w:tcPr>
                <w:p w14:paraId="49ECE96F">
                  <w:pPr>
                    <w:spacing w:line="240" w:lineRule="auto"/>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15t/h</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一级阳离子交换树脂+一级阴离子交换树脂制备工艺</w:t>
                  </w:r>
                </w:p>
              </w:tc>
              <w:tc>
                <w:tcPr>
                  <w:tcW w:w="675" w:type="dxa"/>
                  <w:vAlign w:val="center"/>
                </w:tcPr>
                <w:p w14:paraId="1F0B9556">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w:t>
                  </w:r>
                </w:p>
              </w:tc>
              <w:tc>
                <w:tcPr>
                  <w:tcW w:w="500" w:type="dxa"/>
                  <w:vAlign w:val="center"/>
                </w:tcPr>
                <w:p w14:paraId="50A8B8C4">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4B5D1889">
                  <w:pPr>
                    <w:spacing w:line="240" w:lineRule="auto"/>
                    <w:jc w:val="center"/>
                    <w:rPr>
                      <w:rFonts w:hint="default" w:ascii="Times New Roman" w:hAnsi="Times New Roman" w:eastAsia="宋体" w:cs="Times New Roman"/>
                      <w:color w:val="auto"/>
                      <w:sz w:val="21"/>
                      <w:szCs w:val="21"/>
                      <w:lang w:val="en-US" w:eastAsia="zh-CN"/>
                    </w:rPr>
                  </w:pPr>
                </w:p>
              </w:tc>
            </w:tr>
            <w:tr w14:paraId="0A2DEA6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1BC7A69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w:t>
                  </w:r>
                </w:p>
              </w:tc>
              <w:tc>
                <w:tcPr>
                  <w:tcW w:w="1284" w:type="dxa"/>
                  <w:vAlign w:val="center"/>
                </w:tcPr>
                <w:p w14:paraId="3EC990D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软化水箱</w:t>
                  </w:r>
                </w:p>
              </w:tc>
              <w:tc>
                <w:tcPr>
                  <w:tcW w:w="3508" w:type="dxa"/>
                  <w:vAlign w:val="center"/>
                </w:tcPr>
                <w:p w14:paraId="7D4154BC">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V=15m³，3.2m×2.2m×2.4m</w:t>
                  </w:r>
                </w:p>
              </w:tc>
              <w:tc>
                <w:tcPr>
                  <w:tcW w:w="675" w:type="dxa"/>
                  <w:vAlign w:val="center"/>
                </w:tcPr>
                <w:p w14:paraId="744B271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500" w:type="dxa"/>
                  <w:vAlign w:val="center"/>
                </w:tcPr>
                <w:p w14:paraId="208D3BDE">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0818E12D">
                  <w:pPr>
                    <w:spacing w:line="240" w:lineRule="auto"/>
                    <w:jc w:val="center"/>
                    <w:rPr>
                      <w:rFonts w:hint="default" w:ascii="Times New Roman" w:hAnsi="Times New Roman" w:cs="Times New Roman"/>
                      <w:color w:val="auto"/>
                      <w:sz w:val="21"/>
                      <w:szCs w:val="21"/>
                    </w:rPr>
                  </w:pPr>
                </w:p>
              </w:tc>
            </w:tr>
            <w:tr w14:paraId="23E84A5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Align w:val="center"/>
                </w:tcPr>
                <w:p w14:paraId="0AC87A48">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1284" w:type="dxa"/>
                  <w:vAlign w:val="center"/>
                </w:tcPr>
                <w:p w14:paraId="3176C42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分气缸</w:t>
                  </w:r>
                </w:p>
              </w:tc>
              <w:tc>
                <w:tcPr>
                  <w:tcW w:w="3508" w:type="dxa"/>
                  <w:vAlign w:val="center"/>
                </w:tcPr>
                <w:p w14:paraId="762CC90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DN600，L=3000mm</w:t>
                  </w:r>
                </w:p>
              </w:tc>
              <w:tc>
                <w:tcPr>
                  <w:tcW w:w="675" w:type="dxa"/>
                  <w:vAlign w:val="center"/>
                </w:tcPr>
                <w:p w14:paraId="3967969D">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500" w:type="dxa"/>
                  <w:vAlign w:val="center"/>
                </w:tcPr>
                <w:p w14:paraId="2682785D">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890" w:type="dxa"/>
                  <w:vAlign w:val="center"/>
                </w:tcPr>
                <w:p w14:paraId="2965DD9F">
                  <w:pPr>
                    <w:spacing w:line="240" w:lineRule="auto"/>
                    <w:jc w:val="center"/>
                    <w:rPr>
                      <w:rFonts w:hint="default" w:ascii="Times New Roman" w:hAnsi="Times New Roman" w:cs="Times New Roman"/>
                      <w:color w:val="auto"/>
                      <w:sz w:val="21"/>
                      <w:szCs w:val="21"/>
                    </w:rPr>
                  </w:pPr>
                </w:p>
              </w:tc>
            </w:tr>
            <w:tr w14:paraId="29EDA9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533" w:type="dxa"/>
                  <w:vAlign w:val="center"/>
                </w:tcPr>
                <w:p w14:paraId="252EED9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1284" w:type="dxa"/>
                  <w:vAlign w:val="center"/>
                </w:tcPr>
                <w:p w14:paraId="3482E0C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烟囱</w:t>
                  </w:r>
                </w:p>
              </w:tc>
              <w:tc>
                <w:tcPr>
                  <w:tcW w:w="3508" w:type="dxa"/>
                  <w:vAlign w:val="center"/>
                </w:tcPr>
                <w:p w14:paraId="526AA5C4">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w:t>
                  </w:r>
                  <w:r>
                    <w:rPr>
                      <w:rFonts w:hint="default" w:ascii="Times New Roman" w:hAnsi="Times New Roman" w:cs="Times New Roman"/>
                      <w:color w:val="auto"/>
                      <w:sz w:val="21"/>
                      <w:szCs w:val="21"/>
                      <w:lang w:val="en-US" w:eastAsia="zh-CN"/>
                    </w:rPr>
                    <w:t>12</w:t>
                  </w:r>
                  <w:r>
                    <w:rPr>
                      <w:rFonts w:hint="default" w:ascii="Times New Roman" w:hAnsi="Times New Roman" w:cs="Times New Roman"/>
                      <w:color w:val="auto"/>
                      <w:sz w:val="21"/>
                      <w:szCs w:val="21"/>
                    </w:rPr>
                    <w:t>m  Φ800</w:t>
                  </w:r>
                </w:p>
              </w:tc>
              <w:tc>
                <w:tcPr>
                  <w:tcW w:w="675" w:type="dxa"/>
                  <w:vAlign w:val="center"/>
                </w:tcPr>
                <w:p w14:paraId="701FFEA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500" w:type="dxa"/>
                  <w:vAlign w:val="center"/>
                </w:tcPr>
                <w:p w14:paraId="61F3AF4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890" w:type="dxa"/>
                  <w:vAlign w:val="center"/>
                </w:tcPr>
                <w:p w14:paraId="5AFE0E6B">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每个锅炉配备一根</w:t>
                  </w:r>
                </w:p>
              </w:tc>
            </w:tr>
            <w:tr w14:paraId="5776EEE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01CFA131">
                  <w:pPr>
                    <w:pStyle w:val="25"/>
                    <w:jc w:val="center"/>
                    <w:rPr>
                      <w:rFonts w:hint="default" w:ascii="Times New Roman" w:hAnsi="Times New Roman" w:cs="Times New Roman"/>
                      <w:color w:val="auto"/>
                    </w:rPr>
                  </w:pPr>
                  <w:r>
                    <w:rPr>
                      <w:rFonts w:hint="default" w:ascii="Times New Roman" w:hAnsi="Times New Roman" w:cs="Times New Roman"/>
                      <w:color w:val="auto"/>
                    </w:rPr>
                    <w:t>9</w:t>
                  </w:r>
                </w:p>
              </w:tc>
              <w:tc>
                <w:tcPr>
                  <w:tcW w:w="1284" w:type="dxa"/>
                  <w:vMerge w:val="restart"/>
                  <w:vAlign w:val="center"/>
                </w:tcPr>
                <w:p w14:paraId="4F27FDEB">
                  <w:pPr>
                    <w:pStyle w:val="25"/>
                    <w:jc w:val="center"/>
                    <w:rPr>
                      <w:rFonts w:hint="default" w:ascii="Times New Roman" w:hAnsi="Times New Roman" w:cs="Times New Roman"/>
                      <w:color w:val="auto"/>
                    </w:rPr>
                  </w:pPr>
                  <w:r>
                    <w:rPr>
                      <w:rFonts w:hint="default" w:ascii="Times New Roman" w:hAnsi="Times New Roman" w:cs="Times New Roman"/>
                      <w:color w:val="auto"/>
                    </w:rPr>
                    <w:t>轴流风机（防爆型）</w:t>
                  </w:r>
                </w:p>
                <w:p w14:paraId="0644EB4C">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带自垂防雨百叶及防虫网</w:t>
                  </w:r>
                </w:p>
              </w:tc>
              <w:tc>
                <w:tcPr>
                  <w:tcW w:w="3508" w:type="dxa"/>
                  <w:vAlign w:val="center"/>
                </w:tcPr>
                <w:p w14:paraId="7310956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JSF-450-Ex</w:t>
                  </w:r>
                </w:p>
              </w:tc>
              <w:tc>
                <w:tcPr>
                  <w:tcW w:w="675" w:type="dxa"/>
                  <w:vAlign w:val="center"/>
                </w:tcPr>
                <w:p w14:paraId="04E00F35">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台</w:t>
                  </w:r>
                </w:p>
              </w:tc>
              <w:tc>
                <w:tcPr>
                  <w:tcW w:w="500" w:type="dxa"/>
                  <w:vAlign w:val="center"/>
                </w:tcPr>
                <w:p w14:paraId="4C66555C">
                  <w:pPr>
                    <w:pStyle w:val="25"/>
                    <w:jc w:val="center"/>
                    <w:rPr>
                      <w:rFonts w:hint="default" w:ascii="Times New Roman" w:hAnsi="Times New Roman" w:cs="Times New Roman"/>
                      <w:color w:val="auto"/>
                    </w:rPr>
                  </w:pPr>
                  <w:r>
                    <w:rPr>
                      <w:rFonts w:hint="default" w:ascii="Times New Roman" w:hAnsi="Times New Roman" w:cs="Times New Roman"/>
                      <w:color w:val="auto"/>
                    </w:rPr>
                    <w:t>2</w:t>
                  </w:r>
                </w:p>
              </w:tc>
              <w:tc>
                <w:tcPr>
                  <w:tcW w:w="1890" w:type="dxa"/>
                  <w:vAlign w:val="center"/>
                </w:tcPr>
                <w:p w14:paraId="5D880F6D">
                  <w:pPr>
                    <w:pStyle w:val="25"/>
                    <w:jc w:val="center"/>
                    <w:rPr>
                      <w:rFonts w:hint="default" w:ascii="Times New Roman" w:hAnsi="Times New Roman" w:cs="Times New Roman"/>
                      <w:color w:val="auto"/>
                    </w:rPr>
                  </w:pPr>
                  <w:r>
                    <w:rPr>
                      <w:rFonts w:hint="default" w:ascii="Times New Roman" w:hAnsi="Times New Roman" w:cs="Times New Roman"/>
                      <w:color w:val="auto"/>
                    </w:rPr>
                    <w:t>编号P-1</w:t>
                  </w:r>
                </w:p>
                <w:p w14:paraId="09C898B0">
                  <w:pPr>
                    <w:pStyle w:val="25"/>
                    <w:jc w:val="center"/>
                    <w:rPr>
                      <w:rFonts w:hint="default" w:ascii="Times New Roman" w:hAnsi="Times New Roman" w:cs="Times New Roman"/>
                      <w:color w:val="auto"/>
                    </w:rPr>
                  </w:pPr>
                  <w:r>
                    <w:rPr>
                      <w:rFonts w:hint="default" w:ascii="Times New Roman" w:hAnsi="Times New Roman" w:cs="Times New Roman"/>
                      <w:color w:val="auto"/>
                    </w:rPr>
                    <w:t>（正常风机)</w:t>
                  </w:r>
                </w:p>
              </w:tc>
            </w:tr>
            <w:tr w14:paraId="7641A43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04558BB4">
                  <w:pPr>
                    <w:pStyle w:val="25"/>
                    <w:jc w:val="center"/>
                    <w:rPr>
                      <w:rFonts w:hint="default" w:ascii="Times New Roman" w:hAnsi="Times New Roman" w:cs="Times New Roman"/>
                      <w:color w:val="auto"/>
                    </w:rPr>
                  </w:pPr>
                </w:p>
              </w:tc>
              <w:tc>
                <w:tcPr>
                  <w:tcW w:w="1284" w:type="dxa"/>
                  <w:vMerge w:val="continue"/>
                  <w:vAlign w:val="center"/>
                </w:tcPr>
                <w:p w14:paraId="1D7B84A8">
                  <w:pPr>
                    <w:pStyle w:val="25"/>
                    <w:jc w:val="center"/>
                    <w:rPr>
                      <w:rFonts w:hint="default" w:ascii="Times New Roman" w:hAnsi="Times New Roman" w:cs="Times New Roman"/>
                      <w:color w:val="auto"/>
                      <w:kern w:val="0"/>
                    </w:rPr>
                  </w:pPr>
                </w:p>
              </w:tc>
              <w:tc>
                <w:tcPr>
                  <w:tcW w:w="3508" w:type="dxa"/>
                  <w:vAlign w:val="center"/>
                </w:tcPr>
                <w:p w14:paraId="0B35D33F">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风量Q=6552m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/h，风压P＝217Pa</w:t>
                  </w:r>
                </w:p>
              </w:tc>
              <w:tc>
                <w:tcPr>
                  <w:tcW w:w="675" w:type="dxa"/>
                  <w:vAlign w:val="center"/>
                </w:tcPr>
                <w:p w14:paraId="01F4C69C">
                  <w:pPr>
                    <w:pStyle w:val="25"/>
                    <w:jc w:val="center"/>
                    <w:rPr>
                      <w:rFonts w:hint="default" w:ascii="Times New Roman" w:hAnsi="Times New Roman" w:cs="Times New Roman"/>
                      <w:color w:val="auto"/>
                      <w:kern w:val="0"/>
                    </w:rPr>
                  </w:pPr>
                </w:p>
              </w:tc>
              <w:tc>
                <w:tcPr>
                  <w:tcW w:w="500" w:type="dxa"/>
                  <w:vAlign w:val="center"/>
                </w:tcPr>
                <w:p w14:paraId="18D29E18">
                  <w:pPr>
                    <w:pStyle w:val="25"/>
                    <w:jc w:val="center"/>
                    <w:rPr>
                      <w:rFonts w:hint="default" w:ascii="Times New Roman" w:hAnsi="Times New Roman" w:cs="Times New Roman"/>
                      <w:color w:val="auto"/>
                      <w:kern w:val="0"/>
                    </w:rPr>
                  </w:pPr>
                </w:p>
              </w:tc>
              <w:tc>
                <w:tcPr>
                  <w:tcW w:w="1890" w:type="dxa"/>
                  <w:vAlign w:val="center"/>
                </w:tcPr>
                <w:p w14:paraId="5C2B92DA">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~380V~0.75kW</w:t>
                  </w:r>
                </w:p>
              </w:tc>
            </w:tr>
            <w:tr w14:paraId="50B1691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75B27597">
                  <w:pPr>
                    <w:pStyle w:val="25"/>
                    <w:jc w:val="center"/>
                    <w:rPr>
                      <w:rFonts w:hint="default" w:ascii="Times New Roman" w:hAnsi="Times New Roman" w:cs="Times New Roman"/>
                      <w:color w:val="auto"/>
                    </w:rPr>
                  </w:pPr>
                </w:p>
              </w:tc>
              <w:tc>
                <w:tcPr>
                  <w:tcW w:w="1284" w:type="dxa"/>
                  <w:vMerge w:val="continue"/>
                  <w:vAlign w:val="center"/>
                </w:tcPr>
                <w:p w14:paraId="559402E7">
                  <w:pPr>
                    <w:pStyle w:val="25"/>
                    <w:jc w:val="center"/>
                    <w:rPr>
                      <w:rFonts w:hint="default" w:ascii="Times New Roman" w:hAnsi="Times New Roman" w:cs="Times New Roman"/>
                      <w:color w:val="auto"/>
                      <w:kern w:val="0"/>
                    </w:rPr>
                  </w:pPr>
                </w:p>
              </w:tc>
              <w:tc>
                <w:tcPr>
                  <w:tcW w:w="3508" w:type="dxa"/>
                  <w:vAlign w:val="center"/>
                </w:tcPr>
                <w:p w14:paraId="720E3D2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转速：1450r/min，重量：52kg</w:t>
                  </w:r>
                </w:p>
              </w:tc>
              <w:tc>
                <w:tcPr>
                  <w:tcW w:w="675" w:type="dxa"/>
                  <w:vAlign w:val="center"/>
                </w:tcPr>
                <w:p w14:paraId="118740A7">
                  <w:pPr>
                    <w:pStyle w:val="25"/>
                    <w:jc w:val="center"/>
                    <w:rPr>
                      <w:rFonts w:hint="default" w:ascii="Times New Roman" w:hAnsi="Times New Roman" w:cs="Times New Roman"/>
                      <w:color w:val="auto"/>
                      <w:kern w:val="0"/>
                    </w:rPr>
                  </w:pPr>
                </w:p>
              </w:tc>
              <w:tc>
                <w:tcPr>
                  <w:tcW w:w="500" w:type="dxa"/>
                  <w:vAlign w:val="center"/>
                </w:tcPr>
                <w:p w14:paraId="5786E420">
                  <w:pPr>
                    <w:pStyle w:val="25"/>
                    <w:jc w:val="center"/>
                    <w:rPr>
                      <w:rFonts w:hint="default" w:ascii="Times New Roman" w:hAnsi="Times New Roman" w:cs="Times New Roman"/>
                      <w:color w:val="auto"/>
                      <w:kern w:val="0"/>
                    </w:rPr>
                  </w:pPr>
                </w:p>
              </w:tc>
              <w:tc>
                <w:tcPr>
                  <w:tcW w:w="1890" w:type="dxa"/>
                  <w:vAlign w:val="center"/>
                </w:tcPr>
                <w:p w14:paraId="72C3CB79">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噪音&lt;70dB(A)</w:t>
                  </w:r>
                </w:p>
              </w:tc>
            </w:tr>
            <w:tr w14:paraId="41ABA95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6B59A164">
                  <w:pPr>
                    <w:pStyle w:val="25"/>
                    <w:jc w:val="center"/>
                    <w:rPr>
                      <w:rFonts w:hint="default" w:ascii="Times New Roman" w:hAnsi="Times New Roman" w:cs="Times New Roman"/>
                      <w:color w:val="auto"/>
                    </w:rPr>
                  </w:pPr>
                  <w:r>
                    <w:rPr>
                      <w:rFonts w:hint="default" w:ascii="Times New Roman" w:hAnsi="Times New Roman" w:cs="Times New Roman"/>
                      <w:color w:val="auto"/>
                    </w:rPr>
                    <w:t>10</w:t>
                  </w:r>
                </w:p>
              </w:tc>
              <w:tc>
                <w:tcPr>
                  <w:tcW w:w="1284" w:type="dxa"/>
                  <w:vMerge w:val="restart"/>
                  <w:vAlign w:val="center"/>
                </w:tcPr>
                <w:p w14:paraId="6AE29010">
                  <w:pPr>
                    <w:pStyle w:val="25"/>
                    <w:jc w:val="center"/>
                    <w:rPr>
                      <w:rFonts w:hint="default" w:ascii="Times New Roman" w:hAnsi="Times New Roman" w:cs="Times New Roman"/>
                      <w:color w:val="auto"/>
                    </w:rPr>
                  </w:pPr>
                  <w:r>
                    <w:rPr>
                      <w:rFonts w:hint="default" w:ascii="Times New Roman" w:hAnsi="Times New Roman" w:cs="Times New Roman"/>
                      <w:color w:val="auto"/>
                    </w:rPr>
                    <w:t>轴流风机（防爆型）</w:t>
                  </w:r>
                </w:p>
                <w:p w14:paraId="120F5023">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带自垂防雨百叶及防虫网</w:t>
                  </w:r>
                </w:p>
              </w:tc>
              <w:tc>
                <w:tcPr>
                  <w:tcW w:w="3508" w:type="dxa"/>
                  <w:vAlign w:val="center"/>
                </w:tcPr>
                <w:p w14:paraId="20BB420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JSF-450-Ex</w:t>
                  </w:r>
                </w:p>
              </w:tc>
              <w:tc>
                <w:tcPr>
                  <w:tcW w:w="675" w:type="dxa"/>
                  <w:vAlign w:val="center"/>
                </w:tcPr>
                <w:p w14:paraId="1F50C734">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台</w:t>
                  </w:r>
                </w:p>
              </w:tc>
              <w:tc>
                <w:tcPr>
                  <w:tcW w:w="500" w:type="dxa"/>
                  <w:vAlign w:val="center"/>
                </w:tcPr>
                <w:p w14:paraId="3108878C">
                  <w:pPr>
                    <w:pStyle w:val="25"/>
                    <w:jc w:val="center"/>
                    <w:rPr>
                      <w:rFonts w:hint="default" w:ascii="Times New Roman" w:hAnsi="Times New Roman" w:cs="Times New Roman"/>
                      <w:color w:val="auto"/>
                    </w:rPr>
                  </w:pPr>
                  <w:r>
                    <w:rPr>
                      <w:rFonts w:hint="default" w:ascii="Times New Roman" w:hAnsi="Times New Roman" w:cs="Times New Roman"/>
                      <w:color w:val="auto"/>
                    </w:rPr>
                    <w:t>2</w:t>
                  </w:r>
                </w:p>
              </w:tc>
              <w:tc>
                <w:tcPr>
                  <w:tcW w:w="1890" w:type="dxa"/>
                  <w:vAlign w:val="center"/>
                </w:tcPr>
                <w:p w14:paraId="515A62C1">
                  <w:pPr>
                    <w:pStyle w:val="25"/>
                    <w:jc w:val="center"/>
                    <w:rPr>
                      <w:rFonts w:hint="default" w:ascii="Times New Roman" w:hAnsi="Times New Roman" w:cs="Times New Roman"/>
                      <w:color w:val="auto"/>
                    </w:rPr>
                  </w:pPr>
                  <w:r>
                    <w:rPr>
                      <w:rFonts w:hint="default" w:ascii="Times New Roman" w:hAnsi="Times New Roman" w:cs="Times New Roman"/>
                      <w:color w:val="auto"/>
                    </w:rPr>
                    <w:t>编号P-2</w:t>
                  </w:r>
                </w:p>
                <w:p w14:paraId="35C87764">
                  <w:pPr>
                    <w:pStyle w:val="25"/>
                    <w:jc w:val="center"/>
                    <w:rPr>
                      <w:rFonts w:hint="default" w:ascii="Times New Roman" w:hAnsi="Times New Roman" w:cs="Times New Roman"/>
                      <w:color w:val="auto"/>
                    </w:rPr>
                  </w:pPr>
                  <w:r>
                    <w:rPr>
                      <w:rFonts w:hint="default" w:ascii="Times New Roman" w:hAnsi="Times New Roman" w:cs="Times New Roman"/>
                      <w:color w:val="auto"/>
                    </w:rPr>
                    <w:t>（事故风机）</w:t>
                  </w:r>
                </w:p>
              </w:tc>
            </w:tr>
            <w:tr w14:paraId="46C2B46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09F21769">
                  <w:pPr>
                    <w:pStyle w:val="25"/>
                    <w:jc w:val="center"/>
                    <w:rPr>
                      <w:rFonts w:hint="default" w:ascii="Times New Roman" w:hAnsi="Times New Roman" w:cs="Times New Roman"/>
                      <w:color w:val="auto"/>
                    </w:rPr>
                  </w:pPr>
                </w:p>
              </w:tc>
              <w:tc>
                <w:tcPr>
                  <w:tcW w:w="1284" w:type="dxa"/>
                  <w:vMerge w:val="continue"/>
                  <w:vAlign w:val="center"/>
                </w:tcPr>
                <w:p w14:paraId="50AB764D">
                  <w:pPr>
                    <w:pStyle w:val="25"/>
                    <w:jc w:val="center"/>
                    <w:rPr>
                      <w:rFonts w:hint="default" w:ascii="Times New Roman" w:hAnsi="Times New Roman" w:cs="Times New Roman"/>
                      <w:color w:val="auto"/>
                      <w:kern w:val="0"/>
                    </w:rPr>
                  </w:pPr>
                </w:p>
              </w:tc>
              <w:tc>
                <w:tcPr>
                  <w:tcW w:w="3508" w:type="dxa"/>
                  <w:vAlign w:val="center"/>
                </w:tcPr>
                <w:p w14:paraId="5625B7F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风量Q=6552m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/h，风压P＝217Pa</w:t>
                  </w:r>
                </w:p>
              </w:tc>
              <w:tc>
                <w:tcPr>
                  <w:tcW w:w="675" w:type="dxa"/>
                  <w:vAlign w:val="center"/>
                </w:tcPr>
                <w:p w14:paraId="55B12A15">
                  <w:pPr>
                    <w:pStyle w:val="25"/>
                    <w:jc w:val="center"/>
                    <w:rPr>
                      <w:rFonts w:hint="default" w:ascii="Times New Roman" w:hAnsi="Times New Roman" w:cs="Times New Roman"/>
                      <w:color w:val="auto"/>
                      <w:kern w:val="0"/>
                    </w:rPr>
                  </w:pPr>
                </w:p>
              </w:tc>
              <w:tc>
                <w:tcPr>
                  <w:tcW w:w="500" w:type="dxa"/>
                  <w:vAlign w:val="center"/>
                </w:tcPr>
                <w:p w14:paraId="18680C0E">
                  <w:pPr>
                    <w:pStyle w:val="25"/>
                    <w:jc w:val="center"/>
                    <w:rPr>
                      <w:rFonts w:hint="default" w:ascii="Times New Roman" w:hAnsi="Times New Roman" w:cs="Times New Roman"/>
                      <w:color w:val="auto"/>
                      <w:kern w:val="0"/>
                    </w:rPr>
                  </w:pPr>
                </w:p>
              </w:tc>
              <w:tc>
                <w:tcPr>
                  <w:tcW w:w="1890" w:type="dxa"/>
                  <w:vAlign w:val="center"/>
                </w:tcPr>
                <w:p w14:paraId="2F20D9F8">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~380V~0.75kW</w:t>
                  </w:r>
                </w:p>
              </w:tc>
            </w:tr>
            <w:tr w14:paraId="21533C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5330CA36">
                  <w:pPr>
                    <w:pStyle w:val="25"/>
                    <w:jc w:val="center"/>
                    <w:rPr>
                      <w:rFonts w:hint="default" w:ascii="Times New Roman" w:hAnsi="Times New Roman" w:cs="Times New Roman"/>
                      <w:color w:val="auto"/>
                    </w:rPr>
                  </w:pPr>
                </w:p>
              </w:tc>
              <w:tc>
                <w:tcPr>
                  <w:tcW w:w="1284" w:type="dxa"/>
                  <w:vMerge w:val="continue"/>
                  <w:vAlign w:val="center"/>
                </w:tcPr>
                <w:p w14:paraId="7BB409C3">
                  <w:pPr>
                    <w:pStyle w:val="25"/>
                    <w:jc w:val="center"/>
                    <w:rPr>
                      <w:rFonts w:hint="default" w:ascii="Times New Roman" w:hAnsi="Times New Roman" w:cs="Times New Roman"/>
                      <w:color w:val="auto"/>
                      <w:kern w:val="0"/>
                    </w:rPr>
                  </w:pPr>
                </w:p>
              </w:tc>
              <w:tc>
                <w:tcPr>
                  <w:tcW w:w="3508" w:type="dxa"/>
                  <w:vAlign w:val="center"/>
                </w:tcPr>
                <w:p w14:paraId="0879835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转速：1450r/min，重量：52kg</w:t>
                  </w:r>
                </w:p>
              </w:tc>
              <w:tc>
                <w:tcPr>
                  <w:tcW w:w="675" w:type="dxa"/>
                  <w:vAlign w:val="center"/>
                </w:tcPr>
                <w:p w14:paraId="18E12CE4">
                  <w:pPr>
                    <w:pStyle w:val="25"/>
                    <w:jc w:val="center"/>
                    <w:rPr>
                      <w:rFonts w:hint="default" w:ascii="Times New Roman" w:hAnsi="Times New Roman" w:cs="Times New Roman"/>
                      <w:color w:val="auto"/>
                      <w:kern w:val="0"/>
                    </w:rPr>
                  </w:pPr>
                </w:p>
              </w:tc>
              <w:tc>
                <w:tcPr>
                  <w:tcW w:w="500" w:type="dxa"/>
                  <w:vAlign w:val="center"/>
                </w:tcPr>
                <w:p w14:paraId="54E9577C">
                  <w:pPr>
                    <w:pStyle w:val="25"/>
                    <w:jc w:val="center"/>
                    <w:rPr>
                      <w:rFonts w:hint="default" w:ascii="Times New Roman" w:hAnsi="Times New Roman" w:cs="Times New Roman"/>
                      <w:color w:val="auto"/>
                    </w:rPr>
                  </w:pPr>
                </w:p>
              </w:tc>
              <w:tc>
                <w:tcPr>
                  <w:tcW w:w="1890" w:type="dxa"/>
                  <w:vAlign w:val="center"/>
                </w:tcPr>
                <w:p w14:paraId="15EF2A34">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噪音&lt;70dB(A)</w:t>
                  </w:r>
                </w:p>
              </w:tc>
            </w:tr>
            <w:tr w14:paraId="0C968B3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4674484D">
                  <w:pPr>
                    <w:pStyle w:val="25"/>
                    <w:jc w:val="center"/>
                    <w:rPr>
                      <w:rFonts w:hint="default" w:ascii="Times New Roman" w:hAnsi="Times New Roman" w:cs="Times New Roman"/>
                      <w:color w:val="auto"/>
                    </w:rPr>
                  </w:pPr>
                  <w:r>
                    <w:rPr>
                      <w:rFonts w:hint="default" w:ascii="Times New Roman" w:hAnsi="Times New Roman" w:cs="Times New Roman"/>
                      <w:color w:val="auto"/>
                    </w:rPr>
                    <w:t>11</w:t>
                  </w:r>
                </w:p>
              </w:tc>
              <w:tc>
                <w:tcPr>
                  <w:tcW w:w="1284" w:type="dxa"/>
                  <w:vMerge w:val="restart"/>
                  <w:vAlign w:val="center"/>
                </w:tcPr>
                <w:p w14:paraId="3AB49A2F">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轴流风机（防腐型）</w:t>
                  </w:r>
                </w:p>
                <w:p w14:paraId="2440EFFC">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带自垂防雨百叶及防虫</w:t>
                  </w:r>
                </w:p>
              </w:tc>
              <w:tc>
                <w:tcPr>
                  <w:tcW w:w="3508" w:type="dxa"/>
                  <w:vAlign w:val="center"/>
                </w:tcPr>
                <w:p w14:paraId="21B25315">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JSF-355-F</w:t>
                  </w:r>
                </w:p>
              </w:tc>
              <w:tc>
                <w:tcPr>
                  <w:tcW w:w="675" w:type="dxa"/>
                  <w:vAlign w:val="center"/>
                </w:tcPr>
                <w:p w14:paraId="153B8435">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台</w:t>
                  </w:r>
                </w:p>
              </w:tc>
              <w:tc>
                <w:tcPr>
                  <w:tcW w:w="500" w:type="dxa"/>
                  <w:vAlign w:val="center"/>
                </w:tcPr>
                <w:p w14:paraId="5CF4E814">
                  <w:pPr>
                    <w:pStyle w:val="25"/>
                    <w:jc w:val="center"/>
                    <w:rPr>
                      <w:rFonts w:hint="default" w:ascii="Times New Roman" w:hAnsi="Times New Roman" w:cs="Times New Roman"/>
                      <w:color w:val="auto"/>
                    </w:rPr>
                  </w:pPr>
                  <w:r>
                    <w:rPr>
                      <w:rFonts w:hint="default" w:ascii="Times New Roman" w:hAnsi="Times New Roman" w:cs="Times New Roman"/>
                      <w:color w:val="auto"/>
                    </w:rPr>
                    <w:t>1</w:t>
                  </w:r>
                </w:p>
              </w:tc>
              <w:tc>
                <w:tcPr>
                  <w:tcW w:w="1890" w:type="dxa"/>
                  <w:vAlign w:val="center"/>
                </w:tcPr>
                <w:p w14:paraId="1D62B3BB">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编号P-3</w:t>
                  </w:r>
                </w:p>
                <w:p w14:paraId="5DA4D0C6">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（用于配电室）</w:t>
                  </w:r>
                </w:p>
              </w:tc>
            </w:tr>
            <w:tr w14:paraId="21EB3CC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3E46B388">
                  <w:pPr>
                    <w:pStyle w:val="25"/>
                    <w:jc w:val="center"/>
                    <w:rPr>
                      <w:rFonts w:hint="default" w:ascii="Times New Roman" w:hAnsi="Times New Roman" w:cs="Times New Roman"/>
                      <w:color w:val="auto"/>
                    </w:rPr>
                  </w:pPr>
                </w:p>
              </w:tc>
              <w:tc>
                <w:tcPr>
                  <w:tcW w:w="1284" w:type="dxa"/>
                  <w:vMerge w:val="continue"/>
                  <w:vAlign w:val="center"/>
                </w:tcPr>
                <w:p w14:paraId="051D6FD2">
                  <w:pPr>
                    <w:pStyle w:val="25"/>
                    <w:jc w:val="center"/>
                    <w:rPr>
                      <w:rFonts w:hint="default" w:ascii="Times New Roman" w:hAnsi="Times New Roman" w:cs="Times New Roman"/>
                      <w:color w:val="auto"/>
                      <w:kern w:val="0"/>
                    </w:rPr>
                  </w:pPr>
                </w:p>
              </w:tc>
              <w:tc>
                <w:tcPr>
                  <w:tcW w:w="3508" w:type="dxa"/>
                  <w:vAlign w:val="center"/>
                </w:tcPr>
                <w:p w14:paraId="1373686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风量Q=2330m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/h，风压P＝136Pa</w:t>
                  </w:r>
                </w:p>
              </w:tc>
              <w:tc>
                <w:tcPr>
                  <w:tcW w:w="675" w:type="dxa"/>
                  <w:vAlign w:val="center"/>
                </w:tcPr>
                <w:p w14:paraId="208924E7">
                  <w:pPr>
                    <w:pStyle w:val="25"/>
                    <w:jc w:val="center"/>
                    <w:rPr>
                      <w:rFonts w:hint="default" w:ascii="Times New Roman" w:hAnsi="Times New Roman" w:cs="Times New Roman"/>
                      <w:color w:val="auto"/>
                      <w:kern w:val="0"/>
                    </w:rPr>
                  </w:pPr>
                </w:p>
              </w:tc>
              <w:tc>
                <w:tcPr>
                  <w:tcW w:w="500" w:type="dxa"/>
                  <w:vAlign w:val="center"/>
                </w:tcPr>
                <w:p w14:paraId="57BE85AF">
                  <w:pPr>
                    <w:pStyle w:val="25"/>
                    <w:jc w:val="center"/>
                    <w:rPr>
                      <w:rFonts w:hint="default" w:ascii="Times New Roman" w:hAnsi="Times New Roman" w:cs="Times New Roman"/>
                      <w:color w:val="auto"/>
                    </w:rPr>
                  </w:pPr>
                </w:p>
              </w:tc>
              <w:tc>
                <w:tcPr>
                  <w:tcW w:w="1890" w:type="dxa"/>
                  <w:vAlign w:val="center"/>
                </w:tcPr>
                <w:p w14:paraId="195F5343">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~380V~0.18kW</w:t>
                  </w:r>
                </w:p>
              </w:tc>
            </w:tr>
            <w:tr w14:paraId="7BE2711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33" w:type="dxa"/>
                  <w:vMerge w:val="continue"/>
                  <w:vAlign w:val="center"/>
                </w:tcPr>
                <w:p w14:paraId="24D4270F">
                  <w:pPr>
                    <w:pStyle w:val="25"/>
                    <w:jc w:val="center"/>
                    <w:rPr>
                      <w:rFonts w:hint="default" w:ascii="Times New Roman" w:hAnsi="Times New Roman" w:cs="Times New Roman"/>
                      <w:color w:val="auto"/>
                    </w:rPr>
                  </w:pPr>
                </w:p>
              </w:tc>
              <w:tc>
                <w:tcPr>
                  <w:tcW w:w="1284" w:type="dxa"/>
                  <w:vMerge w:val="continue"/>
                  <w:vAlign w:val="center"/>
                </w:tcPr>
                <w:p w14:paraId="4BA5C4FF">
                  <w:pPr>
                    <w:pStyle w:val="25"/>
                    <w:jc w:val="center"/>
                    <w:rPr>
                      <w:rFonts w:hint="default" w:ascii="Times New Roman" w:hAnsi="Times New Roman" w:cs="Times New Roman"/>
                      <w:color w:val="auto"/>
                      <w:kern w:val="0"/>
                    </w:rPr>
                  </w:pPr>
                </w:p>
              </w:tc>
              <w:tc>
                <w:tcPr>
                  <w:tcW w:w="3508" w:type="dxa"/>
                  <w:vAlign w:val="center"/>
                </w:tcPr>
                <w:p w14:paraId="3C025197">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转速：1450r/min，重量：23kg</w:t>
                  </w:r>
                </w:p>
              </w:tc>
              <w:tc>
                <w:tcPr>
                  <w:tcW w:w="675" w:type="dxa"/>
                  <w:vAlign w:val="center"/>
                </w:tcPr>
                <w:p w14:paraId="3D3383B0">
                  <w:pPr>
                    <w:pStyle w:val="25"/>
                    <w:jc w:val="center"/>
                    <w:rPr>
                      <w:rFonts w:hint="default" w:ascii="Times New Roman" w:hAnsi="Times New Roman" w:cs="Times New Roman"/>
                      <w:color w:val="auto"/>
                      <w:kern w:val="0"/>
                    </w:rPr>
                  </w:pPr>
                </w:p>
              </w:tc>
              <w:tc>
                <w:tcPr>
                  <w:tcW w:w="500" w:type="dxa"/>
                  <w:vAlign w:val="center"/>
                </w:tcPr>
                <w:p w14:paraId="5CBEEE6D">
                  <w:pPr>
                    <w:pStyle w:val="25"/>
                    <w:jc w:val="center"/>
                    <w:rPr>
                      <w:rFonts w:hint="default" w:ascii="Times New Roman" w:hAnsi="Times New Roman" w:cs="Times New Roman"/>
                      <w:color w:val="auto"/>
                      <w:kern w:val="0"/>
                    </w:rPr>
                  </w:pPr>
                </w:p>
              </w:tc>
              <w:tc>
                <w:tcPr>
                  <w:tcW w:w="1890" w:type="dxa"/>
                  <w:vAlign w:val="center"/>
                </w:tcPr>
                <w:p w14:paraId="55030E25">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噪音&lt;62dB(A)</w:t>
                  </w:r>
                </w:p>
              </w:tc>
            </w:tr>
            <w:tr w14:paraId="0568109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7E577A4A">
                  <w:pPr>
                    <w:pStyle w:val="25"/>
                    <w:jc w:val="center"/>
                    <w:rPr>
                      <w:rFonts w:hint="default" w:ascii="Times New Roman" w:hAnsi="Times New Roman" w:cs="Times New Roman"/>
                      <w:color w:val="auto"/>
                    </w:rPr>
                  </w:pPr>
                  <w:r>
                    <w:rPr>
                      <w:rFonts w:hint="default" w:ascii="Times New Roman" w:hAnsi="Times New Roman" w:cs="Times New Roman"/>
                      <w:color w:val="auto"/>
                    </w:rPr>
                    <w:t>12</w:t>
                  </w:r>
                </w:p>
              </w:tc>
              <w:tc>
                <w:tcPr>
                  <w:tcW w:w="1284" w:type="dxa"/>
                  <w:vMerge w:val="restart"/>
                  <w:vAlign w:val="center"/>
                </w:tcPr>
                <w:p w14:paraId="133DC69C">
                  <w:pPr>
                    <w:pStyle w:val="25"/>
                    <w:jc w:val="center"/>
                    <w:rPr>
                      <w:rFonts w:hint="default" w:ascii="Times New Roman" w:hAnsi="Times New Roman" w:cs="Times New Roman"/>
                      <w:color w:val="auto"/>
                    </w:rPr>
                  </w:pPr>
                  <w:r>
                    <w:rPr>
                      <w:rFonts w:hint="default" w:ascii="Times New Roman" w:hAnsi="Times New Roman" w:cs="Times New Roman"/>
                      <w:color w:val="auto"/>
                    </w:rPr>
                    <w:t>轴流风机（防爆型）</w:t>
                  </w:r>
                </w:p>
                <w:p w14:paraId="05161121">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自带固定式防雨百叶</w:t>
                  </w:r>
                </w:p>
              </w:tc>
              <w:tc>
                <w:tcPr>
                  <w:tcW w:w="3508" w:type="dxa"/>
                  <w:vAlign w:val="center"/>
                </w:tcPr>
                <w:p w14:paraId="5B6A5DA9">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JSF-450-Ex</w:t>
                  </w:r>
                </w:p>
              </w:tc>
              <w:tc>
                <w:tcPr>
                  <w:tcW w:w="675" w:type="dxa"/>
                  <w:vAlign w:val="center"/>
                </w:tcPr>
                <w:p w14:paraId="310AC2E9">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台</w:t>
                  </w:r>
                </w:p>
              </w:tc>
              <w:tc>
                <w:tcPr>
                  <w:tcW w:w="500" w:type="dxa"/>
                  <w:vAlign w:val="center"/>
                </w:tcPr>
                <w:p w14:paraId="54D8A947">
                  <w:pPr>
                    <w:pStyle w:val="25"/>
                    <w:jc w:val="center"/>
                    <w:rPr>
                      <w:rFonts w:hint="default" w:ascii="Times New Roman" w:hAnsi="Times New Roman" w:cs="Times New Roman"/>
                      <w:color w:val="auto"/>
                    </w:rPr>
                  </w:pPr>
                  <w:r>
                    <w:rPr>
                      <w:rFonts w:hint="default" w:ascii="Times New Roman" w:hAnsi="Times New Roman" w:cs="Times New Roman"/>
                      <w:color w:val="auto"/>
                    </w:rPr>
                    <w:t>1</w:t>
                  </w:r>
                </w:p>
              </w:tc>
              <w:tc>
                <w:tcPr>
                  <w:tcW w:w="1890" w:type="dxa"/>
                  <w:vAlign w:val="center"/>
                </w:tcPr>
                <w:p w14:paraId="202872E3">
                  <w:pPr>
                    <w:pStyle w:val="25"/>
                    <w:jc w:val="center"/>
                    <w:rPr>
                      <w:rFonts w:hint="default" w:ascii="Times New Roman" w:hAnsi="Times New Roman" w:cs="Times New Roman"/>
                      <w:color w:val="auto"/>
                    </w:rPr>
                  </w:pPr>
                  <w:r>
                    <w:rPr>
                      <w:rFonts w:hint="default" w:ascii="Times New Roman" w:hAnsi="Times New Roman" w:cs="Times New Roman"/>
                      <w:color w:val="auto"/>
                    </w:rPr>
                    <w:t>编号J-1（用于锅炉间送风）</w:t>
                  </w:r>
                </w:p>
              </w:tc>
            </w:tr>
            <w:tr w14:paraId="408D161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27DF041C">
                  <w:pPr>
                    <w:pStyle w:val="25"/>
                    <w:jc w:val="center"/>
                    <w:rPr>
                      <w:rFonts w:hint="default" w:ascii="Times New Roman" w:hAnsi="Times New Roman" w:cs="Times New Roman"/>
                      <w:color w:val="auto"/>
                    </w:rPr>
                  </w:pPr>
                </w:p>
              </w:tc>
              <w:tc>
                <w:tcPr>
                  <w:tcW w:w="1284" w:type="dxa"/>
                  <w:vMerge w:val="continue"/>
                  <w:vAlign w:val="center"/>
                </w:tcPr>
                <w:p w14:paraId="58AD02B0">
                  <w:pPr>
                    <w:pStyle w:val="25"/>
                    <w:jc w:val="center"/>
                    <w:rPr>
                      <w:rFonts w:hint="default" w:ascii="Times New Roman" w:hAnsi="Times New Roman" w:cs="Times New Roman"/>
                      <w:color w:val="auto"/>
                      <w:kern w:val="0"/>
                    </w:rPr>
                  </w:pPr>
                </w:p>
              </w:tc>
              <w:tc>
                <w:tcPr>
                  <w:tcW w:w="3508" w:type="dxa"/>
                  <w:vAlign w:val="center"/>
                </w:tcPr>
                <w:p w14:paraId="3E49DC1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风量Q=5908m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/h，风压P＝217Pa</w:t>
                  </w:r>
                </w:p>
              </w:tc>
              <w:tc>
                <w:tcPr>
                  <w:tcW w:w="675" w:type="dxa"/>
                  <w:vAlign w:val="center"/>
                </w:tcPr>
                <w:p w14:paraId="19661E44">
                  <w:pPr>
                    <w:pStyle w:val="25"/>
                    <w:jc w:val="center"/>
                    <w:rPr>
                      <w:rFonts w:hint="default" w:ascii="Times New Roman" w:hAnsi="Times New Roman" w:cs="Times New Roman"/>
                      <w:color w:val="auto"/>
                      <w:kern w:val="0"/>
                    </w:rPr>
                  </w:pPr>
                </w:p>
              </w:tc>
              <w:tc>
                <w:tcPr>
                  <w:tcW w:w="500" w:type="dxa"/>
                  <w:vAlign w:val="center"/>
                </w:tcPr>
                <w:p w14:paraId="3F74C9F0">
                  <w:pPr>
                    <w:pStyle w:val="25"/>
                    <w:jc w:val="center"/>
                    <w:rPr>
                      <w:rFonts w:hint="default" w:ascii="Times New Roman" w:hAnsi="Times New Roman" w:cs="Times New Roman"/>
                      <w:color w:val="auto"/>
                      <w:kern w:val="0"/>
                    </w:rPr>
                  </w:pPr>
                </w:p>
              </w:tc>
              <w:tc>
                <w:tcPr>
                  <w:tcW w:w="1890" w:type="dxa"/>
                  <w:vAlign w:val="center"/>
                </w:tcPr>
                <w:p w14:paraId="211CC45E">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~380V~0.55kW</w:t>
                  </w:r>
                </w:p>
              </w:tc>
            </w:tr>
            <w:tr w14:paraId="234EFB0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72D3E511">
                  <w:pPr>
                    <w:pStyle w:val="25"/>
                    <w:jc w:val="center"/>
                    <w:rPr>
                      <w:rFonts w:hint="default" w:ascii="Times New Roman" w:hAnsi="Times New Roman" w:cs="Times New Roman"/>
                      <w:color w:val="auto"/>
                    </w:rPr>
                  </w:pPr>
                </w:p>
              </w:tc>
              <w:tc>
                <w:tcPr>
                  <w:tcW w:w="1284" w:type="dxa"/>
                  <w:vMerge w:val="continue"/>
                  <w:vAlign w:val="center"/>
                </w:tcPr>
                <w:p w14:paraId="5445E9BE">
                  <w:pPr>
                    <w:pStyle w:val="25"/>
                    <w:jc w:val="center"/>
                    <w:rPr>
                      <w:rFonts w:hint="default" w:ascii="Times New Roman" w:hAnsi="Times New Roman" w:cs="Times New Roman"/>
                      <w:color w:val="auto"/>
                      <w:kern w:val="0"/>
                    </w:rPr>
                  </w:pPr>
                </w:p>
              </w:tc>
              <w:tc>
                <w:tcPr>
                  <w:tcW w:w="3508" w:type="dxa"/>
                  <w:vAlign w:val="center"/>
                </w:tcPr>
                <w:p w14:paraId="146E13B6">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转速：1450r/min，重量：50kg</w:t>
                  </w:r>
                </w:p>
              </w:tc>
              <w:tc>
                <w:tcPr>
                  <w:tcW w:w="675" w:type="dxa"/>
                  <w:vAlign w:val="center"/>
                </w:tcPr>
                <w:p w14:paraId="7607D591">
                  <w:pPr>
                    <w:pStyle w:val="25"/>
                    <w:jc w:val="center"/>
                    <w:rPr>
                      <w:rFonts w:hint="default" w:ascii="Times New Roman" w:hAnsi="Times New Roman" w:cs="Times New Roman"/>
                      <w:color w:val="auto"/>
                      <w:kern w:val="0"/>
                    </w:rPr>
                  </w:pPr>
                </w:p>
              </w:tc>
              <w:tc>
                <w:tcPr>
                  <w:tcW w:w="500" w:type="dxa"/>
                  <w:vAlign w:val="center"/>
                </w:tcPr>
                <w:p w14:paraId="15F35F0A">
                  <w:pPr>
                    <w:pStyle w:val="25"/>
                    <w:jc w:val="center"/>
                    <w:rPr>
                      <w:rFonts w:hint="default" w:ascii="Times New Roman" w:hAnsi="Times New Roman" w:cs="Times New Roman"/>
                      <w:color w:val="auto"/>
                    </w:rPr>
                  </w:pPr>
                </w:p>
              </w:tc>
              <w:tc>
                <w:tcPr>
                  <w:tcW w:w="1890" w:type="dxa"/>
                  <w:vAlign w:val="center"/>
                </w:tcPr>
                <w:p w14:paraId="76C3D2A8">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噪音&lt;70dB(A)</w:t>
                  </w:r>
                </w:p>
              </w:tc>
            </w:tr>
            <w:tr w14:paraId="017BB2C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restart"/>
                  <w:vAlign w:val="center"/>
                </w:tcPr>
                <w:p w14:paraId="61B58D6E">
                  <w:pPr>
                    <w:pStyle w:val="25"/>
                    <w:jc w:val="center"/>
                    <w:rPr>
                      <w:rFonts w:hint="default" w:ascii="Times New Roman" w:hAnsi="Times New Roman" w:cs="Times New Roman"/>
                      <w:color w:val="auto"/>
                    </w:rPr>
                  </w:pPr>
                  <w:r>
                    <w:rPr>
                      <w:rFonts w:hint="default" w:ascii="Times New Roman" w:hAnsi="Times New Roman" w:cs="Times New Roman"/>
                      <w:color w:val="auto"/>
                    </w:rPr>
                    <w:t>13</w:t>
                  </w:r>
                </w:p>
              </w:tc>
              <w:tc>
                <w:tcPr>
                  <w:tcW w:w="1284" w:type="dxa"/>
                  <w:vAlign w:val="center"/>
                </w:tcPr>
                <w:p w14:paraId="7D13C008">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空调（柜机）</w:t>
                  </w:r>
                </w:p>
              </w:tc>
              <w:tc>
                <w:tcPr>
                  <w:tcW w:w="3508" w:type="dxa"/>
                  <w:vAlign w:val="center"/>
                </w:tcPr>
                <w:p w14:paraId="32FF7913">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制冷量 6.0kW</w:t>
                  </w:r>
                </w:p>
              </w:tc>
              <w:tc>
                <w:tcPr>
                  <w:tcW w:w="675" w:type="dxa"/>
                  <w:vAlign w:val="center"/>
                </w:tcPr>
                <w:p w14:paraId="018217AB">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台</w:t>
                  </w:r>
                </w:p>
              </w:tc>
              <w:tc>
                <w:tcPr>
                  <w:tcW w:w="500" w:type="dxa"/>
                  <w:vAlign w:val="center"/>
                </w:tcPr>
                <w:p w14:paraId="2AFF3577">
                  <w:pPr>
                    <w:pStyle w:val="25"/>
                    <w:jc w:val="center"/>
                    <w:rPr>
                      <w:rFonts w:hint="default" w:ascii="Times New Roman" w:hAnsi="Times New Roman" w:cs="Times New Roman"/>
                      <w:color w:val="auto"/>
                    </w:rPr>
                  </w:pPr>
                  <w:r>
                    <w:rPr>
                      <w:rFonts w:hint="default" w:ascii="Times New Roman" w:hAnsi="Times New Roman" w:cs="Times New Roman"/>
                      <w:color w:val="auto"/>
                    </w:rPr>
                    <w:t>1</w:t>
                  </w:r>
                </w:p>
              </w:tc>
              <w:tc>
                <w:tcPr>
                  <w:tcW w:w="1890" w:type="dxa"/>
                  <w:vAlign w:val="center"/>
                </w:tcPr>
                <w:p w14:paraId="7382D2F1">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(编号K-1)</w:t>
                  </w:r>
                </w:p>
                <w:p w14:paraId="43FF29AC">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~220V~2.00KW</w:t>
                  </w:r>
                </w:p>
              </w:tc>
            </w:tr>
            <w:tr w14:paraId="5342888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dxa"/>
                  <w:vMerge w:val="continue"/>
                  <w:vAlign w:val="center"/>
                </w:tcPr>
                <w:p w14:paraId="39C3B8E4">
                  <w:pPr>
                    <w:pStyle w:val="25"/>
                    <w:jc w:val="center"/>
                    <w:rPr>
                      <w:rFonts w:hint="default" w:ascii="Times New Roman" w:hAnsi="Times New Roman" w:cs="Times New Roman"/>
                      <w:color w:val="auto"/>
                    </w:rPr>
                  </w:pPr>
                </w:p>
              </w:tc>
              <w:tc>
                <w:tcPr>
                  <w:tcW w:w="1284" w:type="dxa"/>
                  <w:vAlign w:val="center"/>
                </w:tcPr>
                <w:p w14:paraId="643BCAD0">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（用于鼓风机房）</w:t>
                  </w:r>
                </w:p>
              </w:tc>
              <w:tc>
                <w:tcPr>
                  <w:tcW w:w="3508" w:type="dxa"/>
                  <w:vAlign w:val="center"/>
                </w:tcPr>
                <w:p w14:paraId="2D0F1ADA">
                  <w:pPr>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能效比(EER)制冷为3.28</w:t>
                  </w:r>
                </w:p>
              </w:tc>
              <w:tc>
                <w:tcPr>
                  <w:tcW w:w="675" w:type="dxa"/>
                  <w:vAlign w:val="center"/>
                </w:tcPr>
                <w:p w14:paraId="520BAA82">
                  <w:pPr>
                    <w:pStyle w:val="25"/>
                    <w:jc w:val="center"/>
                    <w:rPr>
                      <w:rFonts w:hint="default" w:ascii="Times New Roman" w:hAnsi="Times New Roman" w:cs="Times New Roman"/>
                      <w:color w:val="auto"/>
                      <w:kern w:val="0"/>
                    </w:rPr>
                  </w:pPr>
                </w:p>
              </w:tc>
              <w:tc>
                <w:tcPr>
                  <w:tcW w:w="500" w:type="dxa"/>
                  <w:vAlign w:val="center"/>
                </w:tcPr>
                <w:p w14:paraId="46CC522A">
                  <w:pPr>
                    <w:pStyle w:val="25"/>
                    <w:jc w:val="center"/>
                    <w:rPr>
                      <w:rFonts w:hint="default" w:ascii="Times New Roman" w:hAnsi="Times New Roman" w:cs="Times New Roman"/>
                      <w:color w:val="auto"/>
                    </w:rPr>
                  </w:pPr>
                </w:p>
              </w:tc>
              <w:tc>
                <w:tcPr>
                  <w:tcW w:w="1890" w:type="dxa"/>
                  <w:vAlign w:val="center"/>
                </w:tcPr>
                <w:p w14:paraId="72D104BD">
                  <w:pPr>
                    <w:pStyle w:val="25"/>
                    <w:jc w:val="center"/>
                    <w:rPr>
                      <w:rFonts w:hint="default" w:ascii="Times New Roman" w:hAnsi="Times New Roman" w:cs="Times New Roman"/>
                      <w:color w:val="auto"/>
                      <w:kern w:val="0"/>
                    </w:rPr>
                  </w:pPr>
                  <w:r>
                    <w:rPr>
                      <w:rFonts w:hint="default" w:ascii="Times New Roman" w:hAnsi="Times New Roman" w:cs="Times New Roman"/>
                      <w:color w:val="auto"/>
                      <w:kern w:val="0"/>
                    </w:rPr>
                    <w:t>能效等级为2级</w:t>
                  </w:r>
                </w:p>
              </w:tc>
            </w:tr>
          </w:tbl>
          <w:p w14:paraId="638F34BF">
            <w:pPr>
              <w:adjustRightInd w:val="0"/>
              <w:snapToGrid w:val="0"/>
              <w:ind w:firstLine="482" w:firstLineChars="200"/>
              <w:rPr>
                <w:b/>
                <w:color w:val="auto"/>
                <w:szCs w:val="21"/>
              </w:rPr>
            </w:pPr>
            <w:r>
              <w:rPr>
                <w:rFonts w:hint="eastAsia"/>
                <w:b/>
                <w:color w:val="auto"/>
                <w:szCs w:val="21"/>
              </w:rPr>
              <w:t>4、原辅材料及能源动力消耗</w:t>
            </w:r>
          </w:p>
          <w:p w14:paraId="548864C8">
            <w:pPr>
              <w:adjustRightInd w:val="0"/>
              <w:snapToGrid w:val="0"/>
              <w:ind w:firstLine="480" w:firstLineChars="200"/>
              <w:rPr>
                <w:color w:val="auto"/>
              </w:rPr>
            </w:pPr>
            <w:r>
              <w:rPr>
                <w:color w:val="auto"/>
              </w:rPr>
              <w:t>本项目天然气来源于园区天然气管网提供，管道接入</w:t>
            </w:r>
            <w:r>
              <w:rPr>
                <w:rFonts w:hint="eastAsia"/>
                <w:color w:val="auto"/>
              </w:rPr>
              <w:t>，</w:t>
            </w:r>
            <w:r>
              <w:rPr>
                <w:color w:val="auto"/>
              </w:rPr>
              <w:t>单台锅炉设计燃气消耗量为</w:t>
            </w:r>
            <w:r>
              <w:rPr>
                <w:rFonts w:hint="eastAsia"/>
                <w:color w:val="auto"/>
              </w:rPr>
              <w:t>950</w:t>
            </w:r>
            <w:r>
              <w:rPr>
                <w:color w:val="auto"/>
              </w:rPr>
              <w:t>Nm</w:t>
            </w:r>
            <w:r>
              <w:rPr>
                <w:color w:val="auto"/>
                <w:vertAlign w:val="superscript"/>
              </w:rPr>
              <w:t>3</w:t>
            </w:r>
            <w:r>
              <w:rPr>
                <w:color w:val="auto"/>
              </w:rPr>
              <w:t>/h</w:t>
            </w:r>
            <w:r>
              <w:rPr>
                <w:rFonts w:hint="eastAsia"/>
                <w:color w:val="auto"/>
              </w:rPr>
              <w:t>（8322000</w:t>
            </w:r>
            <w:r>
              <w:rPr>
                <w:color w:val="auto"/>
              </w:rPr>
              <w:t>Nm</w:t>
            </w:r>
            <w:r>
              <w:rPr>
                <w:color w:val="auto"/>
                <w:vertAlign w:val="superscript"/>
              </w:rPr>
              <w:t>3</w:t>
            </w:r>
            <w:r>
              <w:rPr>
                <w:color w:val="auto"/>
              </w:rPr>
              <w:t>/</w:t>
            </w:r>
            <w:r>
              <w:rPr>
                <w:rFonts w:hint="eastAsia"/>
                <w:color w:val="auto"/>
              </w:rPr>
              <w:t>a）</w:t>
            </w:r>
            <w:r>
              <w:rPr>
                <w:color w:val="auto"/>
              </w:rPr>
              <w:t>。</w:t>
            </w:r>
          </w:p>
          <w:p w14:paraId="3B9D3E9D">
            <w:pPr>
              <w:adjustRightInd w:val="0"/>
              <w:snapToGrid w:val="0"/>
              <w:ind w:firstLine="480" w:firstLineChars="200"/>
              <w:rPr>
                <w:color w:val="auto"/>
              </w:rPr>
            </w:pPr>
            <w:r>
              <w:rPr>
                <w:color w:val="auto"/>
              </w:rPr>
              <w:t>根据建设单位提供资料，燃</w:t>
            </w:r>
            <w:r>
              <w:rPr>
                <w:rFonts w:hint="eastAsia"/>
                <w:color w:val="auto"/>
              </w:rPr>
              <w:t>天然气</w:t>
            </w:r>
            <w:r>
              <w:rPr>
                <w:color w:val="auto"/>
              </w:rPr>
              <w:t>蒸汽锅炉1用1备，</w:t>
            </w:r>
            <w:r>
              <w:rPr>
                <w:rFonts w:hint="eastAsia"/>
                <w:color w:val="auto"/>
                <w:lang w:val="en-US" w:eastAsia="zh-CN"/>
              </w:rPr>
              <w:t>本次变更后</w:t>
            </w:r>
            <w:r>
              <w:rPr>
                <w:color w:val="auto"/>
              </w:rPr>
              <w:t>年运行</w:t>
            </w:r>
            <w:r>
              <w:rPr>
                <w:rFonts w:hint="eastAsia"/>
                <w:color w:val="auto"/>
              </w:rPr>
              <w:t>365</w:t>
            </w:r>
            <w:r>
              <w:rPr>
                <w:color w:val="auto"/>
              </w:rPr>
              <w:t>天，每天运行</w:t>
            </w:r>
            <w:r>
              <w:rPr>
                <w:rFonts w:hint="eastAsia"/>
                <w:color w:val="auto"/>
              </w:rPr>
              <w:t>24</w:t>
            </w:r>
            <w:r>
              <w:rPr>
                <w:color w:val="auto"/>
              </w:rPr>
              <w:t>小时</w:t>
            </w:r>
            <w:r>
              <w:rPr>
                <w:rFonts w:hint="eastAsia"/>
                <w:color w:val="auto"/>
              </w:rPr>
              <w:t>，</w:t>
            </w:r>
            <w:r>
              <w:rPr>
                <w:color w:val="auto"/>
              </w:rPr>
              <w:t>年运行时长8760小时。原辅材料及能源动力消耗见表2-</w:t>
            </w:r>
            <w:r>
              <w:rPr>
                <w:rFonts w:hint="eastAsia"/>
                <w:color w:val="auto"/>
              </w:rPr>
              <w:t>3</w:t>
            </w:r>
            <w:r>
              <w:rPr>
                <w:color w:val="auto"/>
              </w:rPr>
              <w:t>。</w:t>
            </w:r>
          </w:p>
          <w:p w14:paraId="0838B481">
            <w:pPr>
              <w:pStyle w:val="52"/>
              <w:rPr>
                <w:color w:val="auto"/>
              </w:rPr>
            </w:pPr>
            <w:r>
              <w:rPr>
                <w:color w:val="auto"/>
              </w:rPr>
              <w:t>表</w:t>
            </w:r>
            <w:r>
              <w:rPr>
                <w:rFonts w:hint="eastAsia"/>
                <w:color w:val="auto"/>
              </w:rPr>
              <w:t>2-3</w:t>
            </w:r>
            <w:r>
              <w:rPr>
                <w:color w:val="auto"/>
              </w:rPr>
              <w:t xml:space="preserve">  主要设备一览表</w:t>
            </w:r>
          </w:p>
          <w:tbl>
            <w:tblPr>
              <w:tblStyle w:val="5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096"/>
              <w:gridCol w:w="1569"/>
              <w:gridCol w:w="3991"/>
              <w:gridCol w:w="859"/>
            </w:tblGrid>
            <w:tr w14:paraId="48208CA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14:paraId="2AB32F64">
                  <w:pPr>
                    <w:pStyle w:val="25"/>
                    <w:jc w:val="center"/>
                    <w:rPr>
                      <w:b/>
                      <w:color w:val="auto"/>
                    </w:rPr>
                  </w:pPr>
                  <w:r>
                    <w:rPr>
                      <w:rFonts w:hint="eastAsia"/>
                      <w:b/>
                      <w:color w:val="auto"/>
                    </w:rPr>
                    <w:t>序号</w:t>
                  </w:r>
                </w:p>
              </w:tc>
              <w:tc>
                <w:tcPr>
                  <w:tcW w:w="653" w:type="pct"/>
                  <w:vAlign w:val="center"/>
                </w:tcPr>
                <w:p w14:paraId="22109D08">
                  <w:pPr>
                    <w:pStyle w:val="25"/>
                    <w:jc w:val="center"/>
                    <w:rPr>
                      <w:rFonts w:cs="宋体"/>
                      <w:b/>
                      <w:color w:val="auto"/>
                      <w:kern w:val="0"/>
                    </w:rPr>
                  </w:pPr>
                  <w:r>
                    <w:rPr>
                      <w:rFonts w:hint="eastAsia" w:cs="宋体"/>
                      <w:b/>
                      <w:color w:val="auto"/>
                      <w:kern w:val="0"/>
                    </w:rPr>
                    <w:t>种类</w:t>
                  </w:r>
                </w:p>
              </w:tc>
              <w:tc>
                <w:tcPr>
                  <w:tcW w:w="935" w:type="pct"/>
                  <w:vAlign w:val="center"/>
                </w:tcPr>
                <w:p w14:paraId="332B9A9A">
                  <w:pPr>
                    <w:pStyle w:val="25"/>
                    <w:jc w:val="center"/>
                    <w:rPr>
                      <w:rFonts w:cs="宋体"/>
                      <w:b/>
                      <w:color w:val="auto"/>
                      <w:kern w:val="0"/>
                    </w:rPr>
                  </w:pPr>
                  <w:r>
                    <w:rPr>
                      <w:rFonts w:hint="eastAsia" w:cs="宋体"/>
                      <w:b/>
                      <w:color w:val="auto"/>
                      <w:kern w:val="0"/>
                    </w:rPr>
                    <w:t>能量消耗</w:t>
                  </w:r>
                </w:p>
              </w:tc>
              <w:tc>
                <w:tcPr>
                  <w:tcW w:w="2379" w:type="pct"/>
                  <w:vAlign w:val="center"/>
                </w:tcPr>
                <w:p w14:paraId="65A24AC4">
                  <w:pPr>
                    <w:pStyle w:val="25"/>
                    <w:jc w:val="center"/>
                    <w:rPr>
                      <w:rFonts w:cs="宋体"/>
                      <w:b/>
                      <w:color w:val="auto"/>
                      <w:kern w:val="0"/>
                    </w:rPr>
                  </w:pPr>
                  <w:r>
                    <w:rPr>
                      <w:rFonts w:hint="eastAsia" w:cs="宋体"/>
                      <w:b/>
                      <w:color w:val="auto"/>
                      <w:kern w:val="0"/>
                    </w:rPr>
                    <w:t>来源</w:t>
                  </w:r>
                </w:p>
              </w:tc>
              <w:tc>
                <w:tcPr>
                  <w:tcW w:w="512" w:type="pct"/>
                  <w:vAlign w:val="center"/>
                </w:tcPr>
                <w:p w14:paraId="09D43F55">
                  <w:pPr>
                    <w:pStyle w:val="25"/>
                    <w:jc w:val="center"/>
                    <w:rPr>
                      <w:rFonts w:cs="宋体"/>
                      <w:b/>
                      <w:color w:val="auto"/>
                      <w:kern w:val="0"/>
                    </w:rPr>
                  </w:pPr>
                  <w:r>
                    <w:rPr>
                      <w:rFonts w:hint="eastAsia" w:cs="宋体"/>
                      <w:b/>
                      <w:color w:val="auto"/>
                      <w:kern w:val="0"/>
                    </w:rPr>
                    <w:t>备注</w:t>
                  </w:r>
                </w:p>
              </w:tc>
            </w:tr>
            <w:tr w14:paraId="175325A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19" w:type="pct"/>
                  <w:vAlign w:val="center"/>
                </w:tcPr>
                <w:p w14:paraId="217AD6EF">
                  <w:pPr>
                    <w:spacing w:line="240" w:lineRule="auto"/>
                    <w:jc w:val="center"/>
                    <w:rPr>
                      <w:color w:val="auto"/>
                      <w:sz w:val="21"/>
                      <w:szCs w:val="21"/>
                    </w:rPr>
                  </w:pPr>
                  <w:r>
                    <w:rPr>
                      <w:color w:val="auto"/>
                      <w:sz w:val="21"/>
                      <w:szCs w:val="21"/>
                    </w:rPr>
                    <w:t>1</w:t>
                  </w:r>
                </w:p>
              </w:tc>
              <w:tc>
                <w:tcPr>
                  <w:tcW w:w="653" w:type="pct"/>
                  <w:vAlign w:val="center"/>
                </w:tcPr>
                <w:p w14:paraId="7A785EA1">
                  <w:pPr>
                    <w:spacing w:line="240" w:lineRule="auto"/>
                    <w:jc w:val="center"/>
                    <w:rPr>
                      <w:color w:val="auto"/>
                      <w:sz w:val="21"/>
                      <w:szCs w:val="21"/>
                    </w:rPr>
                  </w:pPr>
                  <w:r>
                    <w:rPr>
                      <w:color w:val="auto"/>
                      <w:sz w:val="21"/>
                      <w:szCs w:val="21"/>
                    </w:rPr>
                    <w:t>新鲜水</w:t>
                  </w:r>
                </w:p>
              </w:tc>
              <w:tc>
                <w:tcPr>
                  <w:tcW w:w="935" w:type="pct"/>
                  <w:vAlign w:val="center"/>
                </w:tcPr>
                <w:p w14:paraId="2869C731">
                  <w:pPr>
                    <w:spacing w:line="240" w:lineRule="auto"/>
                    <w:jc w:val="center"/>
                    <w:rPr>
                      <w:color w:val="auto"/>
                      <w:sz w:val="21"/>
                      <w:szCs w:val="21"/>
                    </w:rPr>
                  </w:pPr>
                  <w:r>
                    <w:rPr>
                      <w:rFonts w:hint="eastAsia"/>
                      <w:color w:val="auto"/>
                      <w:sz w:val="21"/>
                      <w:szCs w:val="21"/>
                      <w:lang w:val="en-US" w:eastAsia="zh-CN"/>
                    </w:rPr>
                    <w:t>30274.56</w:t>
                  </w:r>
                  <w:r>
                    <w:rPr>
                      <w:color w:val="auto"/>
                      <w:sz w:val="21"/>
                      <w:szCs w:val="21"/>
                    </w:rPr>
                    <w:t>m³/a</w:t>
                  </w:r>
                </w:p>
              </w:tc>
              <w:tc>
                <w:tcPr>
                  <w:tcW w:w="2379" w:type="pct"/>
                  <w:vAlign w:val="center"/>
                </w:tcPr>
                <w:p w14:paraId="48D63196">
                  <w:pPr>
                    <w:spacing w:line="240" w:lineRule="auto"/>
                    <w:jc w:val="center"/>
                    <w:rPr>
                      <w:color w:val="auto"/>
                      <w:sz w:val="21"/>
                      <w:szCs w:val="21"/>
                    </w:rPr>
                  </w:pPr>
                  <w:r>
                    <w:rPr>
                      <w:rFonts w:hint="eastAsia"/>
                      <w:color w:val="auto"/>
                      <w:sz w:val="21"/>
                      <w:szCs w:val="21"/>
                      <w:lang w:val="en-US" w:eastAsia="zh-CN"/>
                    </w:rPr>
                    <w:t>园区污水处理厂</w:t>
                  </w:r>
                  <w:r>
                    <w:rPr>
                      <w:rFonts w:hint="eastAsia"/>
                      <w:color w:val="auto"/>
                      <w:sz w:val="21"/>
                      <w:szCs w:val="21"/>
                    </w:rPr>
                    <w:t>隆基废水处理系统中水</w:t>
                  </w:r>
                </w:p>
              </w:tc>
              <w:tc>
                <w:tcPr>
                  <w:tcW w:w="512" w:type="pct"/>
                  <w:vAlign w:val="center"/>
                </w:tcPr>
                <w:p w14:paraId="5CE7AB94">
                  <w:pPr>
                    <w:spacing w:line="240" w:lineRule="auto"/>
                    <w:jc w:val="center"/>
                    <w:rPr>
                      <w:color w:val="auto"/>
                      <w:sz w:val="21"/>
                      <w:szCs w:val="21"/>
                    </w:rPr>
                  </w:pPr>
                  <w:r>
                    <w:rPr>
                      <w:rFonts w:hint="eastAsia"/>
                      <w:color w:val="auto"/>
                      <w:sz w:val="21"/>
                      <w:szCs w:val="21"/>
                    </w:rPr>
                    <w:t>/</w:t>
                  </w:r>
                </w:p>
              </w:tc>
            </w:tr>
            <w:tr w14:paraId="57DA87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14:paraId="74A773CB">
                  <w:pPr>
                    <w:spacing w:line="240" w:lineRule="auto"/>
                    <w:jc w:val="center"/>
                    <w:rPr>
                      <w:color w:val="auto"/>
                      <w:sz w:val="21"/>
                      <w:szCs w:val="21"/>
                    </w:rPr>
                  </w:pPr>
                  <w:r>
                    <w:rPr>
                      <w:color w:val="auto"/>
                      <w:sz w:val="21"/>
                      <w:szCs w:val="21"/>
                    </w:rPr>
                    <w:t>2</w:t>
                  </w:r>
                </w:p>
              </w:tc>
              <w:tc>
                <w:tcPr>
                  <w:tcW w:w="653" w:type="pct"/>
                  <w:vAlign w:val="center"/>
                </w:tcPr>
                <w:p w14:paraId="5A5F2D5D">
                  <w:pPr>
                    <w:spacing w:line="240" w:lineRule="auto"/>
                    <w:jc w:val="center"/>
                    <w:rPr>
                      <w:color w:val="auto"/>
                      <w:sz w:val="21"/>
                      <w:szCs w:val="21"/>
                    </w:rPr>
                  </w:pPr>
                  <w:r>
                    <w:rPr>
                      <w:color w:val="auto"/>
                      <w:sz w:val="21"/>
                      <w:szCs w:val="21"/>
                    </w:rPr>
                    <w:t>电</w:t>
                  </w:r>
                </w:p>
              </w:tc>
              <w:tc>
                <w:tcPr>
                  <w:tcW w:w="935" w:type="pct"/>
                  <w:vAlign w:val="center"/>
                </w:tcPr>
                <w:p w14:paraId="2E01F1CE">
                  <w:pPr>
                    <w:spacing w:line="240" w:lineRule="auto"/>
                    <w:jc w:val="center"/>
                    <w:rPr>
                      <w:color w:val="auto"/>
                      <w:sz w:val="21"/>
                      <w:szCs w:val="21"/>
                    </w:rPr>
                  </w:pPr>
                  <w:r>
                    <w:rPr>
                      <w:rFonts w:hint="eastAsia"/>
                      <w:color w:val="auto"/>
                      <w:sz w:val="21"/>
                      <w:szCs w:val="21"/>
                    </w:rPr>
                    <w:t>300</w:t>
                  </w:r>
                  <w:r>
                    <w:rPr>
                      <w:color w:val="auto"/>
                      <w:sz w:val="21"/>
                      <w:szCs w:val="21"/>
                    </w:rPr>
                    <w:t>kW·</w:t>
                  </w:r>
                  <w:r>
                    <w:rPr>
                      <w:rFonts w:hint="eastAsia"/>
                      <w:color w:val="auto"/>
                      <w:sz w:val="21"/>
                      <w:szCs w:val="21"/>
                    </w:rPr>
                    <w:t>d</w:t>
                  </w:r>
                </w:p>
              </w:tc>
              <w:tc>
                <w:tcPr>
                  <w:tcW w:w="2379" w:type="pct"/>
                  <w:vAlign w:val="center"/>
                </w:tcPr>
                <w:p w14:paraId="2A6C8501">
                  <w:pPr>
                    <w:spacing w:line="240" w:lineRule="auto"/>
                    <w:jc w:val="center"/>
                    <w:rPr>
                      <w:color w:val="auto"/>
                      <w:sz w:val="21"/>
                      <w:szCs w:val="21"/>
                    </w:rPr>
                  </w:pPr>
                  <w:r>
                    <w:rPr>
                      <w:color w:val="auto"/>
                      <w:sz w:val="21"/>
                      <w:szCs w:val="21"/>
                    </w:rPr>
                    <w:t>园区供电</w:t>
                  </w:r>
                </w:p>
              </w:tc>
              <w:tc>
                <w:tcPr>
                  <w:tcW w:w="512" w:type="pct"/>
                  <w:vAlign w:val="center"/>
                </w:tcPr>
                <w:p w14:paraId="15B658A8">
                  <w:pPr>
                    <w:spacing w:line="240" w:lineRule="auto"/>
                    <w:jc w:val="center"/>
                    <w:rPr>
                      <w:color w:val="auto"/>
                      <w:sz w:val="21"/>
                      <w:szCs w:val="21"/>
                    </w:rPr>
                  </w:pPr>
                  <w:r>
                    <w:rPr>
                      <w:rFonts w:hint="eastAsia"/>
                      <w:color w:val="auto"/>
                      <w:sz w:val="21"/>
                      <w:szCs w:val="21"/>
                    </w:rPr>
                    <w:t>/</w:t>
                  </w:r>
                </w:p>
              </w:tc>
            </w:tr>
            <w:tr w14:paraId="17BE7C2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14:paraId="0E294DD8">
                  <w:pPr>
                    <w:spacing w:line="240" w:lineRule="auto"/>
                    <w:jc w:val="center"/>
                    <w:rPr>
                      <w:color w:val="auto"/>
                      <w:sz w:val="21"/>
                      <w:szCs w:val="21"/>
                    </w:rPr>
                  </w:pPr>
                  <w:r>
                    <w:rPr>
                      <w:color w:val="auto"/>
                      <w:sz w:val="21"/>
                      <w:szCs w:val="21"/>
                    </w:rPr>
                    <w:t>3</w:t>
                  </w:r>
                </w:p>
              </w:tc>
              <w:tc>
                <w:tcPr>
                  <w:tcW w:w="653" w:type="pct"/>
                  <w:vAlign w:val="center"/>
                </w:tcPr>
                <w:p w14:paraId="045B8300">
                  <w:pPr>
                    <w:spacing w:line="240" w:lineRule="auto"/>
                    <w:jc w:val="center"/>
                    <w:rPr>
                      <w:color w:val="auto"/>
                      <w:sz w:val="21"/>
                      <w:szCs w:val="21"/>
                    </w:rPr>
                  </w:pPr>
                  <w:r>
                    <w:rPr>
                      <w:color w:val="auto"/>
                      <w:sz w:val="21"/>
                      <w:szCs w:val="21"/>
                    </w:rPr>
                    <w:t>天然气</w:t>
                  </w:r>
                </w:p>
              </w:tc>
              <w:tc>
                <w:tcPr>
                  <w:tcW w:w="935" w:type="pct"/>
                  <w:vAlign w:val="center"/>
                </w:tcPr>
                <w:p w14:paraId="11EB269D">
                  <w:pPr>
                    <w:spacing w:line="240" w:lineRule="auto"/>
                    <w:jc w:val="center"/>
                    <w:rPr>
                      <w:color w:val="auto"/>
                      <w:sz w:val="21"/>
                      <w:szCs w:val="21"/>
                    </w:rPr>
                  </w:pPr>
                  <w:r>
                    <w:rPr>
                      <w:color w:val="auto"/>
                      <w:sz w:val="21"/>
                      <w:szCs w:val="21"/>
                    </w:rPr>
                    <w:t>8322000Nm³/a</w:t>
                  </w:r>
                </w:p>
              </w:tc>
              <w:tc>
                <w:tcPr>
                  <w:tcW w:w="2379" w:type="pct"/>
                  <w:vAlign w:val="center"/>
                </w:tcPr>
                <w:p w14:paraId="6C33C72E">
                  <w:pPr>
                    <w:spacing w:line="240" w:lineRule="auto"/>
                    <w:jc w:val="center"/>
                    <w:rPr>
                      <w:color w:val="auto"/>
                      <w:sz w:val="21"/>
                      <w:szCs w:val="21"/>
                    </w:rPr>
                  </w:pPr>
                  <w:r>
                    <w:rPr>
                      <w:color w:val="auto"/>
                      <w:sz w:val="21"/>
                      <w:szCs w:val="21"/>
                    </w:rPr>
                    <w:t>消耗天然气由园区天然气管网提供，管道接入，园区使用的天然气由圣圆能源集团天然气有限公司供给</w:t>
                  </w:r>
                </w:p>
              </w:tc>
              <w:tc>
                <w:tcPr>
                  <w:tcW w:w="512" w:type="pct"/>
                  <w:vAlign w:val="center"/>
                </w:tcPr>
                <w:p w14:paraId="0E56C474">
                  <w:pPr>
                    <w:spacing w:line="240" w:lineRule="auto"/>
                    <w:jc w:val="center"/>
                    <w:rPr>
                      <w:color w:val="auto"/>
                      <w:sz w:val="21"/>
                      <w:szCs w:val="21"/>
                    </w:rPr>
                  </w:pPr>
                  <w:r>
                    <w:rPr>
                      <w:rFonts w:hint="eastAsia"/>
                      <w:color w:val="auto"/>
                      <w:sz w:val="21"/>
                      <w:szCs w:val="21"/>
                    </w:rPr>
                    <w:t>/</w:t>
                  </w:r>
                </w:p>
              </w:tc>
            </w:tr>
          </w:tbl>
          <w:p w14:paraId="10B9F3A4">
            <w:pPr>
              <w:adjustRightInd w:val="0"/>
              <w:snapToGrid w:val="0"/>
              <w:ind w:firstLine="482" w:firstLineChars="200"/>
              <w:rPr>
                <w:b/>
                <w:color w:val="auto"/>
                <w:szCs w:val="21"/>
              </w:rPr>
            </w:pPr>
            <w:r>
              <w:rPr>
                <w:rFonts w:hint="eastAsia"/>
                <w:b/>
                <w:color w:val="auto"/>
                <w:szCs w:val="21"/>
              </w:rPr>
              <w:t>5、天然气成分</w:t>
            </w:r>
          </w:p>
          <w:p w14:paraId="4755C6BA">
            <w:pPr>
              <w:pStyle w:val="24"/>
              <w:ind w:firstLine="480"/>
              <w:jc w:val="left"/>
              <w:rPr>
                <w:color w:val="auto"/>
              </w:rPr>
            </w:pPr>
            <w:r>
              <w:rPr>
                <w:color w:val="auto"/>
              </w:rPr>
              <w:t>本项目设计采用2台型号WNS12-1.25-Y.Q规模12t/h的燃气锅炉，1备1用，运行天数为365d。项目2台燃气锅炉均配备低氮燃烧器，本项目使用的天然气由</w:t>
            </w:r>
            <w:bookmarkStart w:id="10" w:name="OLE_LINK12"/>
            <w:r>
              <w:rPr>
                <w:color w:val="auto"/>
              </w:rPr>
              <w:t>内蒙古圣圆鑫星能源开发有限公司</w:t>
            </w:r>
            <w:bookmarkEnd w:id="10"/>
            <w:r>
              <w:rPr>
                <w:color w:val="auto"/>
              </w:rPr>
              <w:t>提供，其提供的天然气气质符合国家标准《天然气》（GB17820-201</w:t>
            </w:r>
            <w:r>
              <w:rPr>
                <w:rFonts w:hint="eastAsia"/>
                <w:color w:val="auto"/>
                <w:lang w:val="en-US" w:eastAsia="zh-CN"/>
              </w:rPr>
              <w:t>8</w:t>
            </w:r>
            <w:r>
              <w:rPr>
                <w:color w:val="auto"/>
              </w:rPr>
              <w:t>）Ⅰ类天然气标准。本项目天然气主要成分</w:t>
            </w:r>
            <w:r>
              <w:rPr>
                <w:rFonts w:hint="eastAsia"/>
                <w:color w:val="auto"/>
                <w:lang w:val="en-US" w:eastAsia="zh-CN"/>
              </w:rPr>
              <w:t>分析</w:t>
            </w:r>
            <w:r>
              <w:rPr>
                <w:color w:val="auto"/>
              </w:rPr>
              <w:t>见下</w:t>
            </w:r>
            <w:r>
              <w:rPr>
                <w:rFonts w:hint="eastAsia"/>
                <w:color w:val="auto"/>
              </w:rPr>
              <w:t>表</w:t>
            </w:r>
            <w:r>
              <w:rPr>
                <w:color w:val="auto"/>
              </w:rPr>
              <w:t>。</w:t>
            </w:r>
          </w:p>
          <w:p w14:paraId="48520741">
            <w:pPr>
              <w:pStyle w:val="52"/>
              <w:rPr>
                <w:rFonts w:hint="eastAsia" w:eastAsia="黑体"/>
                <w:color w:val="auto"/>
                <w:lang w:val="en-US" w:eastAsia="zh-CN"/>
              </w:rPr>
            </w:pPr>
            <w:r>
              <w:rPr>
                <w:color w:val="auto"/>
              </w:rPr>
              <w:t>表</w:t>
            </w:r>
            <w:r>
              <w:rPr>
                <w:rFonts w:hint="eastAsia"/>
                <w:color w:val="auto"/>
              </w:rPr>
              <w:t>2-4</w:t>
            </w:r>
            <w:r>
              <w:rPr>
                <w:color w:val="auto"/>
              </w:rPr>
              <w:t xml:space="preserve">  </w:t>
            </w:r>
            <w:r>
              <w:rPr>
                <w:rFonts w:hint="eastAsia"/>
                <w:color w:val="auto"/>
              </w:rPr>
              <w:t>项目天然气主要成分分析</w:t>
            </w:r>
            <w:r>
              <w:rPr>
                <w:rFonts w:hint="eastAsia"/>
                <w:color w:val="auto"/>
                <w:lang w:val="en-US" w:eastAsia="zh-CN"/>
              </w:rPr>
              <w:t>表</w:t>
            </w:r>
          </w:p>
          <w:tbl>
            <w:tblPr>
              <w:tblStyle w:val="5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3181"/>
              <w:gridCol w:w="3722"/>
            </w:tblGrid>
            <w:tr w14:paraId="17256BE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pct"/>
                  <w:vAlign w:val="center"/>
                </w:tcPr>
                <w:p w14:paraId="174A0A4D">
                  <w:pPr>
                    <w:pStyle w:val="25"/>
                    <w:jc w:val="center"/>
                    <w:rPr>
                      <w:b/>
                      <w:color w:val="auto"/>
                    </w:rPr>
                  </w:pPr>
                  <w:r>
                    <w:rPr>
                      <w:rFonts w:hint="eastAsia"/>
                      <w:b/>
                      <w:color w:val="auto"/>
                    </w:rPr>
                    <w:t>序号</w:t>
                  </w:r>
                </w:p>
              </w:tc>
              <w:tc>
                <w:tcPr>
                  <w:tcW w:w="1896" w:type="pct"/>
                  <w:vAlign w:val="center"/>
                </w:tcPr>
                <w:p w14:paraId="44CC74B5">
                  <w:pPr>
                    <w:pStyle w:val="25"/>
                    <w:jc w:val="center"/>
                    <w:rPr>
                      <w:rFonts w:cs="宋体"/>
                      <w:b/>
                      <w:color w:val="auto"/>
                      <w:kern w:val="0"/>
                    </w:rPr>
                  </w:pPr>
                  <w:r>
                    <w:rPr>
                      <w:rFonts w:hint="eastAsia" w:cs="宋体"/>
                      <w:b/>
                      <w:color w:val="auto"/>
                      <w:kern w:val="0"/>
                    </w:rPr>
                    <w:t>种类</w:t>
                  </w:r>
                </w:p>
              </w:tc>
              <w:tc>
                <w:tcPr>
                  <w:tcW w:w="2218" w:type="pct"/>
                  <w:vAlign w:val="center"/>
                </w:tcPr>
                <w:p w14:paraId="35F5001C">
                  <w:pPr>
                    <w:pStyle w:val="25"/>
                    <w:jc w:val="center"/>
                    <w:rPr>
                      <w:rFonts w:hint="eastAsia" w:eastAsia="宋体" w:cs="宋体"/>
                      <w:b/>
                      <w:color w:val="auto"/>
                      <w:kern w:val="0"/>
                      <w:lang w:eastAsia="zh-CN"/>
                    </w:rPr>
                  </w:pPr>
                  <w:r>
                    <w:rPr>
                      <w:rFonts w:hint="eastAsia" w:cs="宋体"/>
                      <w:b/>
                      <w:color w:val="auto"/>
                      <w:kern w:val="0"/>
                      <w:lang w:val="en-US" w:eastAsia="zh-CN"/>
                    </w:rPr>
                    <w:t>一类</w:t>
                  </w:r>
                </w:p>
              </w:tc>
            </w:tr>
            <w:tr w14:paraId="61AB470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84" w:type="pct"/>
                  <w:vAlign w:val="center"/>
                </w:tcPr>
                <w:p w14:paraId="6B2CCF48">
                  <w:pPr>
                    <w:spacing w:line="240" w:lineRule="auto"/>
                    <w:jc w:val="center"/>
                    <w:rPr>
                      <w:color w:val="auto"/>
                      <w:sz w:val="21"/>
                      <w:szCs w:val="21"/>
                    </w:rPr>
                  </w:pPr>
                  <w:r>
                    <w:rPr>
                      <w:color w:val="auto"/>
                      <w:sz w:val="21"/>
                      <w:szCs w:val="21"/>
                    </w:rPr>
                    <w:t>1</w:t>
                  </w:r>
                </w:p>
              </w:tc>
              <w:tc>
                <w:tcPr>
                  <w:tcW w:w="1896" w:type="pct"/>
                  <w:vAlign w:val="center"/>
                </w:tcPr>
                <w:p w14:paraId="4DD3D3CE">
                  <w:pPr>
                    <w:spacing w:line="240" w:lineRule="auto"/>
                    <w:jc w:val="center"/>
                    <w:rPr>
                      <w:rFonts w:hint="default" w:eastAsia="宋体"/>
                      <w:color w:val="auto"/>
                      <w:sz w:val="21"/>
                      <w:szCs w:val="21"/>
                      <w:lang w:val="en-US" w:eastAsia="zh-CN"/>
                    </w:rPr>
                  </w:pPr>
                  <w:r>
                    <w:rPr>
                      <w:rFonts w:hint="eastAsia"/>
                      <w:color w:val="auto"/>
                      <w:sz w:val="21"/>
                      <w:szCs w:val="21"/>
                      <w:lang w:val="en-US" w:eastAsia="zh-CN"/>
                    </w:rPr>
                    <w:t>高位发热量/（MJ/m</w:t>
                  </w:r>
                  <w:r>
                    <w:rPr>
                      <w:rFonts w:hint="eastAsia"/>
                      <w:color w:val="auto"/>
                      <w:sz w:val="21"/>
                      <w:szCs w:val="21"/>
                      <w:vertAlign w:val="superscript"/>
                      <w:lang w:val="en-US" w:eastAsia="zh-CN"/>
                    </w:rPr>
                    <w:t>3</w:t>
                  </w:r>
                  <w:r>
                    <w:rPr>
                      <w:rFonts w:hint="eastAsia"/>
                      <w:color w:val="auto"/>
                      <w:sz w:val="21"/>
                      <w:szCs w:val="21"/>
                      <w:lang w:val="en-US" w:eastAsia="zh-CN"/>
                    </w:rPr>
                    <w:t>）</w:t>
                  </w:r>
                </w:p>
              </w:tc>
              <w:tc>
                <w:tcPr>
                  <w:tcW w:w="2218" w:type="pct"/>
                  <w:vAlign w:val="center"/>
                </w:tcPr>
                <w:p w14:paraId="78425A54">
                  <w:pPr>
                    <w:spacing w:line="240" w:lineRule="auto"/>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≥34.0</w:t>
                  </w:r>
                </w:p>
              </w:tc>
            </w:tr>
            <w:tr w14:paraId="599ADC6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4" w:type="pct"/>
                  <w:vAlign w:val="center"/>
                </w:tcPr>
                <w:p w14:paraId="67AF4FAE">
                  <w:pPr>
                    <w:spacing w:line="240" w:lineRule="auto"/>
                    <w:jc w:val="center"/>
                    <w:rPr>
                      <w:color w:val="auto"/>
                      <w:sz w:val="21"/>
                      <w:szCs w:val="21"/>
                    </w:rPr>
                  </w:pPr>
                  <w:r>
                    <w:rPr>
                      <w:color w:val="auto"/>
                      <w:sz w:val="21"/>
                      <w:szCs w:val="21"/>
                    </w:rPr>
                    <w:t>2</w:t>
                  </w:r>
                </w:p>
              </w:tc>
              <w:tc>
                <w:tcPr>
                  <w:tcW w:w="1896" w:type="pct"/>
                  <w:vAlign w:val="center"/>
                </w:tcPr>
                <w:p w14:paraId="424D60DE">
                  <w:pPr>
                    <w:spacing w:line="240" w:lineRule="auto"/>
                    <w:jc w:val="center"/>
                    <w:rPr>
                      <w:rFonts w:hint="default" w:eastAsia="宋体"/>
                      <w:color w:val="auto"/>
                      <w:sz w:val="21"/>
                      <w:szCs w:val="21"/>
                      <w:lang w:val="en-US" w:eastAsia="zh-CN"/>
                    </w:rPr>
                  </w:pPr>
                  <w:r>
                    <w:rPr>
                      <w:rFonts w:hint="eastAsia"/>
                      <w:color w:val="auto"/>
                      <w:sz w:val="21"/>
                      <w:szCs w:val="21"/>
                      <w:lang w:val="en-US" w:eastAsia="zh-CN"/>
                    </w:rPr>
                    <w:t>总硫（mg/m</w:t>
                  </w:r>
                  <w:r>
                    <w:rPr>
                      <w:rFonts w:hint="eastAsia"/>
                      <w:color w:val="auto"/>
                      <w:sz w:val="21"/>
                      <w:szCs w:val="21"/>
                      <w:vertAlign w:val="superscript"/>
                      <w:lang w:val="en-US" w:eastAsia="zh-CN"/>
                    </w:rPr>
                    <w:t>3</w:t>
                  </w:r>
                  <w:r>
                    <w:rPr>
                      <w:rFonts w:hint="eastAsia"/>
                      <w:color w:val="auto"/>
                      <w:sz w:val="21"/>
                      <w:szCs w:val="21"/>
                      <w:lang w:val="en-US" w:eastAsia="zh-CN"/>
                    </w:rPr>
                    <w:t>）</w:t>
                  </w:r>
                </w:p>
              </w:tc>
              <w:tc>
                <w:tcPr>
                  <w:tcW w:w="2218" w:type="pct"/>
                  <w:vAlign w:val="center"/>
                </w:tcPr>
                <w:p w14:paraId="1B0DBBEC">
                  <w:pPr>
                    <w:spacing w:line="240" w:lineRule="auto"/>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≤20</w:t>
                  </w:r>
                </w:p>
              </w:tc>
            </w:tr>
            <w:tr w14:paraId="18C402E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4" w:type="pct"/>
                  <w:vAlign w:val="center"/>
                </w:tcPr>
                <w:p w14:paraId="48F37176">
                  <w:pPr>
                    <w:spacing w:line="240" w:lineRule="auto"/>
                    <w:jc w:val="center"/>
                    <w:rPr>
                      <w:color w:val="auto"/>
                      <w:sz w:val="21"/>
                      <w:szCs w:val="21"/>
                    </w:rPr>
                  </w:pPr>
                  <w:r>
                    <w:rPr>
                      <w:color w:val="auto"/>
                      <w:sz w:val="21"/>
                      <w:szCs w:val="21"/>
                    </w:rPr>
                    <w:t>3</w:t>
                  </w:r>
                </w:p>
              </w:tc>
              <w:tc>
                <w:tcPr>
                  <w:tcW w:w="1896" w:type="pct"/>
                  <w:vAlign w:val="center"/>
                </w:tcPr>
                <w:p w14:paraId="5D39DCFB">
                  <w:pPr>
                    <w:spacing w:line="240" w:lineRule="auto"/>
                    <w:jc w:val="center"/>
                    <w:rPr>
                      <w:rFonts w:hint="eastAsia" w:eastAsia="宋体"/>
                      <w:color w:val="auto"/>
                      <w:sz w:val="21"/>
                      <w:szCs w:val="21"/>
                      <w:lang w:val="en-US" w:eastAsia="zh-CN"/>
                    </w:rPr>
                  </w:pPr>
                  <w:r>
                    <w:rPr>
                      <w:rFonts w:hint="eastAsia"/>
                      <w:color w:val="auto"/>
                      <w:sz w:val="21"/>
                      <w:szCs w:val="21"/>
                      <w:lang w:val="en-US" w:eastAsia="zh-CN"/>
                    </w:rPr>
                    <w:t>硫化氢（mg/m</w:t>
                  </w:r>
                  <w:r>
                    <w:rPr>
                      <w:rFonts w:hint="eastAsia"/>
                      <w:color w:val="auto"/>
                      <w:sz w:val="21"/>
                      <w:szCs w:val="21"/>
                      <w:vertAlign w:val="superscript"/>
                      <w:lang w:val="en-US" w:eastAsia="zh-CN"/>
                    </w:rPr>
                    <w:t>3</w:t>
                  </w:r>
                  <w:r>
                    <w:rPr>
                      <w:rFonts w:hint="eastAsia"/>
                      <w:color w:val="auto"/>
                      <w:sz w:val="21"/>
                      <w:szCs w:val="21"/>
                      <w:lang w:val="en-US" w:eastAsia="zh-CN"/>
                    </w:rPr>
                    <w:t>）</w:t>
                  </w:r>
                </w:p>
              </w:tc>
              <w:tc>
                <w:tcPr>
                  <w:tcW w:w="2218" w:type="pct"/>
                  <w:vAlign w:val="center"/>
                </w:tcPr>
                <w:p w14:paraId="423A6420">
                  <w:pPr>
                    <w:spacing w:line="240" w:lineRule="auto"/>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r>
            <w:tr w14:paraId="5DAFC50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4" w:type="pct"/>
                  <w:vAlign w:val="center"/>
                </w:tcPr>
                <w:p w14:paraId="0F3E02A6">
                  <w:pPr>
                    <w:spacing w:line="240" w:lineRule="auto"/>
                    <w:jc w:val="center"/>
                    <w:rPr>
                      <w:color w:val="auto"/>
                      <w:sz w:val="21"/>
                      <w:szCs w:val="21"/>
                    </w:rPr>
                  </w:pPr>
                  <w:r>
                    <w:rPr>
                      <w:color w:val="auto"/>
                      <w:sz w:val="21"/>
                      <w:szCs w:val="21"/>
                    </w:rPr>
                    <w:t>4</w:t>
                  </w:r>
                </w:p>
              </w:tc>
              <w:tc>
                <w:tcPr>
                  <w:tcW w:w="1896" w:type="pct"/>
                  <w:vAlign w:val="center"/>
                </w:tcPr>
                <w:p w14:paraId="2467AE97">
                  <w:pPr>
                    <w:spacing w:line="240" w:lineRule="auto"/>
                    <w:jc w:val="center"/>
                    <w:rPr>
                      <w:rFonts w:hint="default" w:eastAsia="宋体"/>
                      <w:color w:val="auto"/>
                      <w:lang w:val="en-US" w:eastAsia="zh-CN"/>
                    </w:rPr>
                  </w:pPr>
                  <w:r>
                    <w:rPr>
                      <w:rFonts w:hint="eastAsia" w:ascii="Times New Roman" w:hAnsi="Times New Roman" w:cs="Times New Roman"/>
                      <w:color w:val="auto"/>
                      <w:sz w:val="21"/>
                      <w:szCs w:val="21"/>
                      <w:lang w:val="en-US" w:eastAsia="zh-CN"/>
                    </w:rPr>
                    <w:t>二氧化碳摩尔分数/%</w:t>
                  </w:r>
                </w:p>
              </w:tc>
              <w:tc>
                <w:tcPr>
                  <w:tcW w:w="2218" w:type="pct"/>
                  <w:vAlign w:val="center"/>
                </w:tcPr>
                <w:p w14:paraId="116BA1EC">
                  <w:pPr>
                    <w:spacing w:line="240" w:lineRule="auto"/>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w:t>
                  </w:r>
                </w:p>
              </w:tc>
            </w:tr>
          </w:tbl>
          <w:p w14:paraId="0405CBA5">
            <w:pPr>
              <w:adjustRightInd w:val="0"/>
              <w:snapToGrid w:val="0"/>
              <w:ind w:firstLine="482" w:firstLineChars="200"/>
              <w:rPr>
                <w:b/>
                <w:color w:val="auto"/>
                <w:szCs w:val="21"/>
              </w:rPr>
            </w:pPr>
            <w:r>
              <w:rPr>
                <w:rFonts w:hint="eastAsia"/>
                <w:b/>
                <w:color w:val="auto"/>
                <w:szCs w:val="21"/>
              </w:rPr>
              <w:t>6、</w:t>
            </w:r>
            <w:r>
              <w:rPr>
                <w:b/>
                <w:color w:val="auto"/>
                <w:szCs w:val="21"/>
              </w:rPr>
              <w:t>公用工程</w:t>
            </w:r>
          </w:p>
          <w:p w14:paraId="13EB6A08">
            <w:pPr>
              <w:adjustRightInd w:val="0"/>
              <w:snapToGrid w:val="0"/>
              <w:ind w:firstLine="480" w:firstLineChars="200"/>
              <w:rPr>
                <w:bCs/>
                <w:color w:val="auto"/>
                <w:szCs w:val="21"/>
              </w:rPr>
            </w:pPr>
            <w:r>
              <w:rPr>
                <w:bCs/>
                <w:color w:val="auto"/>
                <w:szCs w:val="21"/>
              </w:rPr>
              <w:t>（1）给水</w:t>
            </w:r>
          </w:p>
          <w:p w14:paraId="57E09A63">
            <w:pPr>
              <w:adjustRightInd w:val="0"/>
              <w:snapToGrid w:val="0"/>
              <w:ind w:firstLine="480" w:firstLineChars="200"/>
              <w:rPr>
                <w:color w:val="auto"/>
              </w:rPr>
            </w:pPr>
            <w:r>
              <w:rPr>
                <w:rFonts w:hint="eastAsia"/>
                <w:color w:val="auto"/>
              </w:rPr>
              <w:t>项目无新增工作人员，无新增生活用水。项目现状</w:t>
            </w:r>
            <w:r>
              <w:rPr>
                <w:color w:val="auto"/>
              </w:rPr>
              <w:t>用水来自隆基废水处理系统中水</w:t>
            </w:r>
            <w:r>
              <w:rPr>
                <w:rFonts w:hint="eastAsia"/>
                <w:color w:val="auto"/>
              </w:rPr>
              <w:t>，主要为锅炉软水制备用水。</w:t>
            </w:r>
          </w:p>
          <w:p w14:paraId="4C069F16">
            <w:pPr>
              <w:adjustRightInd w:val="0"/>
              <w:snapToGrid w:val="0"/>
              <w:ind w:firstLine="480" w:firstLineChars="200"/>
              <w:rPr>
                <w:color w:val="auto"/>
              </w:rPr>
            </w:pPr>
            <w:r>
              <w:rPr>
                <w:rFonts w:hint="eastAsia"/>
                <w:color w:val="auto"/>
              </w:rPr>
              <w:t>1）生活用水</w:t>
            </w:r>
          </w:p>
          <w:p w14:paraId="7EEA4140">
            <w:pPr>
              <w:adjustRightInd w:val="0"/>
              <w:snapToGrid w:val="0"/>
              <w:ind w:firstLine="480" w:firstLineChars="200"/>
              <w:rPr>
                <w:color w:val="auto"/>
                <w:szCs w:val="21"/>
              </w:rPr>
            </w:pPr>
            <w:r>
              <w:rPr>
                <w:rFonts w:hint="eastAsia"/>
                <w:color w:val="auto"/>
              </w:rPr>
              <w:t>本项目员工为废水处理厂现有员工，不新增定员，</w:t>
            </w:r>
            <w:r>
              <w:rPr>
                <w:rFonts w:hint="eastAsia"/>
                <w:color w:val="auto"/>
                <w:szCs w:val="21"/>
              </w:rPr>
              <w:t>因此</w:t>
            </w:r>
            <w:r>
              <w:rPr>
                <w:rFonts w:hint="eastAsia"/>
                <w:color w:val="auto"/>
                <w:szCs w:val="21"/>
                <w:lang w:val="en-US" w:eastAsia="zh-CN"/>
              </w:rPr>
              <w:t>本次评价</w:t>
            </w:r>
            <w:r>
              <w:rPr>
                <w:rFonts w:hint="eastAsia"/>
                <w:color w:val="auto"/>
                <w:szCs w:val="21"/>
              </w:rPr>
              <w:t>不考虑生活用水水量。</w:t>
            </w:r>
          </w:p>
          <w:p w14:paraId="35F53A05">
            <w:pPr>
              <w:adjustRightInd w:val="0"/>
              <w:snapToGrid w:val="0"/>
              <w:ind w:firstLine="480" w:firstLineChars="200"/>
              <w:rPr>
                <w:color w:val="auto"/>
                <w:szCs w:val="21"/>
              </w:rPr>
            </w:pPr>
            <w:r>
              <w:rPr>
                <w:rFonts w:hint="eastAsia"/>
                <w:color w:val="auto"/>
                <w:szCs w:val="21"/>
              </w:rPr>
              <w:t>2）生产用水</w:t>
            </w:r>
          </w:p>
          <w:p w14:paraId="63E2B317">
            <w:pPr>
              <w:ind w:firstLine="480" w:firstLineChars="200"/>
              <w:rPr>
                <w:color w:val="auto"/>
              </w:rPr>
            </w:pPr>
            <w:r>
              <w:rPr>
                <w:rFonts w:hint="eastAsia"/>
                <w:color w:val="auto"/>
              </w:rPr>
              <w:t>①燃气锅炉补水</w:t>
            </w:r>
          </w:p>
          <w:p w14:paraId="4F1A5EC3">
            <w:pPr>
              <w:ind w:firstLine="480" w:firstLineChars="200"/>
              <w:rPr>
                <w:rFonts w:hint="eastAsia" w:eastAsia="宋体"/>
                <w:color w:val="auto"/>
                <w:szCs w:val="21"/>
                <w:lang w:eastAsia="zh-CN"/>
              </w:rPr>
            </w:pPr>
            <w:r>
              <w:rPr>
                <w:rFonts w:hint="eastAsia"/>
                <w:color w:val="auto"/>
              </w:rPr>
              <w:t>本项目建设有2台12t/h燃气蒸汽锅炉，一用一备，用于废水处理厂浓水处理工段提供蒸汽。</w:t>
            </w:r>
          </w:p>
          <w:p w14:paraId="006164A2">
            <w:pPr>
              <w:ind w:firstLine="480" w:firstLineChars="200"/>
              <w:rPr>
                <w:color w:val="auto"/>
              </w:rPr>
            </w:pPr>
            <w:r>
              <w:rPr>
                <w:color w:val="auto"/>
                <w:szCs w:val="21"/>
              </w:rPr>
              <w:t>锅炉需要定期排污，</w:t>
            </w:r>
            <w:r>
              <w:rPr>
                <w:rFonts w:hint="eastAsia"/>
                <w:color w:val="auto"/>
              </w:rPr>
              <w:t>锅炉排污水量按蒸发量的</w:t>
            </w:r>
            <w:r>
              <w:rPr>
                <w:rFonts w:hint="eastAsia"/>
                <w:color w:val="auto"/>
                <w:lang w:val="en-US" w:eastAsia="zh-CN"/>
              </w:rPr>
              <w:t>1.5</w:t>
            </w:r>
            <w:r>
              <w:rPr>
                <w:rFonts w:hint="eastAsia"/>
                <w:color w:val="auto"/>
              </w:rPr>
              <w:t>%计，即</w:t>
            </w:r>
            <w:r>
              <w:rPr>
                <w:rFonts w:hint="eastAsia"/>
                <w:color w:val="auto"/>
                <w:lang w:val="en-US" w:eastAsia="zh-CN"/>
              </w:rPr>
              <w:t>0.18</w:t>
            </w:r>
            <w:r>
              <w:rPr>
                <w:color w:val="auto"/>
                <w:szCs w:val="21"/>
              </w:rPr>
              <w:t>m³/</w:t>
            </w:r>
            <w:r>
              <w:rPr>
                <w:rFonts w:hint="eastAsia"/>
                <w:color w:val="auto"/>
                <w:szCs w:val="21"/>
              </w:rPr>
              <w:t>h（</w:t>
            </w:r>
            <w:r>
              <w:rPr>
                <w:rFonts w:hint="eastAsia"/>
                <w:color w:val="auto"/>
                <w:szCs w:val="21"/>
                <w:lang w:val="en-US" w:eastAsia="zh-CN"/>
              </w:rPr>
              <w:t>4.32</w:t>
            </w:r>
            <w:r>
              <w:rPr>
                <w:color w:val="auto"/>
                <w:szCs w:val="21"/>
              </w:rPr>
              <w:t>m³/</w:t>
            </w:r>
            <w:r>
              <w:rPr>
                <w:rFonts w:hint="eastAsia"/>
                <w:color w:val="auto"/>
                <w:szCs w:val="21"/>
              </w:rPr>
              <w:t>d，</w:t>
            </w:r>
            <w:r>
              <w:rPr>
                <w:rFonts w:hint="eastAsia"/>
                <w:color w:val="auto"/>
                <w:szCs w:val="21"/>
                <w:lang w:val="en-US" w:eastAsia="zh-CN"/>
              </w:rPr>
              <w:t>1576.8</w:t>
            </w:r>
            <w:r>
              <w:rPr>
                <w:color w:val="auto"/>
                <w:szCs w:val="21"/>
              </w:rPr>
              <w:t>m³/</w:t>
            </w:r>
            <w:r>
              <w:rPr>
                <w:rFonts w:hint="eastAsia"/>
                <w:color w:val="auto"/>
                <w:szCs w:val="21"/>
              </w:rPr>
              <w:t>a）</w:t>
            </w:r>
            <w:r>
              <w:rPr>
                <w:color w:val="auto"/>
              </w:rPr>
              <w:t>。</w:t>
            </w:r>
          </w:p>
          <w:p w14:paraId="148EF940">
            <w:pPr>
              <w:ind w:firstLine="480" w:firstLineChars="200"/>
              <w:rPr>
                <w:rFonts w:hint="eastAsia"/>
                <w:color w:val="auto"/>
                <w:szCs w:val="21"/>
                <w:lang w:val="en-US" w:eastAsia="zh-CN"/>
              </w:rPr>
            </w:pPr>
            <w:r>
              <w:rPr>
                <w:rFonts w:hint="eastAsia"/>
                <w:color w:val="auto"/>
                <w:szCs w:val="21"/>
                <w:lang w:val="en-US" w:eastAsia="zh-CN"/>
              </w:rPr>
              <w:t>锅炉汽水损耗量约为蒸发量的2.3%，即0.276</w:t>
            </w:r>
            <w:r>
              <w:rPr>
                <w:color w:val="auto"/>
                <w:szCs w:val="21"/>
              </w:rPr>
              <w:t>m³/</w:t>
            </w:r>
            <w:r>
              <w:rPr>
                <w:rFonts w:hint="eastAsia"/>
                <w:color w:val="auto"/>
                <w:szCs w:val="21"/>
              </w:rPr>
              <w:t>h</w:t>
            </w:r>
            <w:r>
              <w:rPr>
                <w:rFonts w:hint="eastAsia"/>
                <w:color w:val="auto"/>
                <w:szCs w:val="21"/>
                <w:lang w:val="en-US" w:eastAsia="zh-CN"/>
              </w:rPr>
              <w:t>（6.624</w:t>
            </w:r>
            <w:r>
              <w:rPr>
                <w:color w:val="auto"/>
                <w:szCs w:val="21"/>
              </w:rPr>
              <w:t>m³/</w:t>
            </w:r>
            <w:r>
              <w:rPr>
                <w:rFonts w:hint="eastAsia"/>
                <w:color w:val="auto"/>
                <w:szCs w:val="21"/>
              </w:rPr>
              <w:t>d，</w:t>
            </w:r>
            <w:r>
              <w:rPr>
                <w:rFonts w:hint="eastAsia"/>
                <w:color w:val="auto"/>
                <w:szCs w:val="21"/>
                <w:lang w:val="en-US" w:eastAsia="zh-CN"/>
              </w:rPr>
              <w:t>2417.76</w:t>
            </w:r>
            <w:r>
              <w:rPr>
                <w:color w:val="auto"/>
                <w:szCs w:val="21"/>
              </w:rPr>
              <w:t>m³/</w:t>
            </w:r>
            <w:r>
              <w:rPr>
                <w:rFonts w:hint="eastAsia"/>
                <w:color w:val="auto"/>
                <w:szCs w:val="21"/>
              </w:rPr>
              <w:t>a</w:t>
            </w:r>
            <w:r>
              <w:rPr>
                <w:rFonts w:hint="eastAsia"/>
                <w:color w:val="auto"/>
                <w:szCs w:val="21"/>
                <w:lang w:val="en-US" w:eastAsia="zh-CN"/>
              </w:rPr>
              <w:t>）</w:t>
            </w:r>
            <w:r>
              <w:rPr>
                <w:rFonts w:hint="eastAsia"/>
                <w:color w:val="auto"/>
                <w:szCs w:val="21"/>
              </w:rPr>
              <w:t>。</w:t>
            </w:r>
          </w:p>
          <w:p w14:paraId="6A4EFF98">
            <w:pPr>
              <w:ind w:firstLine="480" w:firstLineChars="200"/>
              <w:rPr>
                <w:rFonts w:hint="eastAsia" w:eastAsia="宋体"/>
                <w:color w:val="auto"/>
                <w:lang w:eastAsia="zh-CN"/>
              </w:rPr>
            </w:pPr>
            <w:r>
              <w:rPr>
                <w:rFonts w:hint="eastAsia"/>
                <w:color w:val="auto"/>
                <w:szCs w:val="21"/>
                <w:lang w:val="en-US" w:eastAsia="zh-CN"/>
              </w:rPr>
              <w:t>蒸汽冷凝水量为11.544</w:t>
            </w:r>
            <w:r>
              <w:rPr>
                <w:color w:val="auto"/>
                <w:szCs w:val="21"/>
              </w:rPr>
              <w:t>m³/</w:t>
            </w:r>
            <w:r>
              <w:rPr>
                <w:rFonts w:hint="eastAsia"/>
                <w:color w:val="auto"/>
                <w:szCs w:val="21"/>
              </w:rPr>
              <w:t>h</w:t>
            </w:r>
            <w:r>
              <w:rPr>
                <w:rFonts w:hint="eastAsia"/>
                <w:color w:val="auto"/>
                <w:szCs w:val="21"/>
                <w:lang w:val="en-US" w:eastAsia="zh-CN"/>
              </w:rPr>
              <w:t>（277.056</w:t>
            </w:r>
            <w:r>
              <w:rPr>
                <w:color w:val="auto"/>
                <w:szCs w:val="21"/>
              </w:rPr>
              <w:t>m³/</w:t>
            </w:r>
            <w:r>
              <w:rPr>
                <w:rFonts w:hint="eastAsia"/>
                <w:color w:val="auto"/>
                <w:szCs w:val="21"/>
              </w:rPr>
              <w:t>d，</w:t>
            </w:r>
            <w:r>
              <w:rPr>
                <w:rFonts w:hint="eastAsia"/>
                <w:color w:val="auto"/>
                <w:szCs w:val="21"/>
                <w:lang w:val="en-US" w:eastAsia="zh-CN"/>
              </w:rPr>
              <w:t>101125.44</w:t>
            </w:r>
            <w:r>
              <w:rPr>
                <w:color w:val="auto"/>
                <w:szCs w:val="21"/>
              </w:rPr>
              <w:t>m³/</w:t>
            </w:r>
            <w:r>
              <w:rPr>
                <w:rFonts w:hint="eastAsia"/>
                <w:color w:val="auto"/>
                <w:szCs w:val="21"/>
              </w:rPr>
              <w:t>a</w:t>
            </w:r>
            <w:r>
              <w:rPr>
                <w:rFonts w:hint="eastAsia"/>
                <w:color w:val="auto"/>
                <w:szCs w:val="21"/>
                <w:lang w:val="en-US" w:eastAsia="zh-CN"/>
              </w:rPr>
              <w:t>），返回锅炉房</w:t>
            </w:r>
            <w:r>
              <w:rPr>
                <w:rFonts w:hint="eastAsia"/>
                <w:color w:val="auto"/>
                <w:szCs w:val="21"/>
                <w:lang w:eastAsia="zh-CN"/>
              </w:rPr>
              <w:t>。</w:t>
            </w:r>
          </w:p>
          <w:p w14:paraId="33FFD261">
            <w:pPr>
              <w:ind w:firstLine="480" w:firstLineChars="200"/>
              <w:rPr>
                <w:color w:val="auto"/>
                <w:szCs w:val="21"/>
              </w:rPr>
            </w:pPr>
            <w:r>
              <w:rPr>
                <w:color w:val="auto"/>
              </w:rPr>
              <w:t>锅炉补水量为锅炉</w:t>
            </w:r>
            <w:r>
              <w:rPr>
                <w:rFonts w:hint="eastAsia"/>
                <w:color w:val="auto"/>
                <w:lang w:val="en-US" w:eastAsia="zh-CN"/>
              </w:rPr>
              <w:t>汽水损耗</w:t>
            </w:r>
            <w:r>
              <w:rPr>
                <w:rFonts w:hint="eastAsia"/>
                <w:color w:val="auto"/>
              </w:rPr>
              <w:t>量</w:t>
            </w:r>
            <w:r>
              <w:rPr>
                <w:color w:val="auto"/>
              </w:rPr>
              <w:t>和锅炉定期排污水量之和为</w:t>
            </w:r>
            <w:r>
              <w:rPr>
                <w:rFonts w:hint="eastAsia"/>
                <w:color w:val="auto"/>
                <w:lang w:val="en-US" w:eastAsia="zh-CN"/>
              </w:rPr>
              <w:t>0.456</w:t>
            </w:r>
            <w:r>
              <w:rPr>
                <w:color w:val="auto"/>
              </w:rPr>
              <w:t>m</w:t>
            </w:r>
            <w:r>
              <w:rPr>
                <w:color w:val="auto"/>
                <w:vertAlign w:val="superscript"/>
              </w:rPr>
              <w:t>3</w:t>
            </w:r>
            <w:r>
              <w:rPr>
                <w:color w:val="auto"/>
              </w:rPr>
              <w:t>/</w:t>
            </w:r>
            <w:r>
              <w:rPr>
                <w:rFonts w:hint="eastAsia"/>
                <w:color w:val="auto"/>
              </w:rPr>
              <w:t>h，</w:t>
            </w:r>
            <w:r>
              <w:rPr>
                <w:color w:val="auto"/>
                <w:szCs w:val="21"/>
              </w:rPr>
              <w:t>则锅炉使用</w:t>
            </w:r>
            <w:r>
              <w:rPr>
                <w:rFonts w:hint="eastAsia"/>
                <w:color w:val="auto"/>
                <w:szCs w:val="21"/>
                <w:lang w:val="en-US" w:eastAsia="zh-CN"/>
              </w:rPr>
              <w:t>补水</w:t>
            </w:r>
            <w:r>
              <w:rPr>
                <w:color w:val="auto"/>
                <w:szCs w:val="21"/>
              </w:rPr>
              <w:t>量</w:t>
            </w:r>
            <w:r>
              <w:rPr>
                <w:rFonts w:hint="eastAsia"/>
                <w:color w:val="auto"/>
                <w:szCs w:val="21"/>
                <w:lang w:eastAsia="zh-CN"/>
              </w:rPr>
              <w:t>为</w:t>
            </w:r>
            <w:r>
              <w:rPr>
                <w:rFonts w:hint="eastAsia"/>
                <w:color w:val="auto"/>
                <w:szCs w:val="21"/>
                <w:lang w:val="en-US" w:eastAsia="zh-CN"/>
              </w:rPr>
              <w:t>10.944</w:t>
            </w:r>
            <w:r>
              <w:rPr>
                <w:color w:val="auto"/>
                <w:szCs w:val="21"/>
              </w:rPr>
              <w:t>m³/d</w:t>
            </w:r>
            <w:r>
              <w:rPr>
                <w:rFonts w:hint="eastAsia"/>
                <w:color w:val="auto"/>
                <w:szCs w:val="21"/>
              </w:rPr>
              <w:t>（</w:t>
            </w:r>
            <w:r>
              <w:rPr>
                <w:rFonts w:hint="eastAsia"/>
                <w:color w:val="auto"/>
                <w:szCs w:val="21"/>
                <w:lang w:val="en-US" w:eastAsia="zh-CN"/>
              </w:rPr>
              <w:t>3994.56</w:t>
            </w:r>
            <w:r>
              <w:rPr>
                <w:rFonts w:hint="eastAsia"/>
                <w:color w:val="auto"/>
                <w:szCs w:val="21"/>
              </w:rPr>
              <w:t>m³/a）</w:t>
            </w:r>
            <w:r>
              <w:rPr>
                <w:rFonts w:hint="eastAsia"/>
                <w:color w:val="auto"/>
                <w:szCs w:val="21"/>
                <w:lang w:eastAsia="zh-CN"/>
              </w:rPr>
              <w:t>，</w:t>
            </w:r>
            <w:r>
              <w:rPr>
                <w:rFonts w:hint="eastAsia"/>
                <w:color w:val="auto"/>
                <w:szCs w:val="21"/>
                <w:lang w:val="en-US" w:eastAsia="zh-CN"/>
              </w:rPr>
              <w:t>补充水为软水，</w:t>
            </w:r>
            <w:r>
              <w:rPr>
                <w:rFonts w:hint="eastAsia"/>
                <w:color w:val="auto"/>
                <w:szCs w:val="21"/>
                <w:lang w:eastAsia="zh-CN"/>
              </w:rPr>
              <w:t>来自配套建设的软水制备间</w:t>
            </w:r>
            <w:r>
              <w:rPr>
                <w:color w:val="auto"/>
                <w:szCs w:val="21"/>
              </w:rPr>
              <w:t>。</w:t>
            </w:r>
          </w:p>
          <w:p w14:paraId="61980FD6">
            <w:pPr>
              <w:ind w:firstLine="480" w:firstLineChars="200"/>
              <w:rPr>
                <w:color w:val="auto"/>
                <w:szCs w:val="21"/>
              </w:rPr>
            </w:pPr>
            <w:r>
              <w:rPr>
                <w:rFonts w:hint="eastAsia"/>
                <w:color w:val="auto"/>
                <w:szCs w:val="21"/>
              </w:rPr>
              <w:t>②燃气锅炉软水制备用水</w:t>
            </w:r>
          </w:p>
          <w:p w14:paraId="7B9C9753">
            <w:pPr>
              <w:ind w:firstLine="480" w:firstLineChars="200"/>
              <w:rPr>
                <w:rFonts w:hint="eastAsia" w:eastAsia="宋体"/>
                <w:color w:val="auto"/>
                <w:kern w:val="0"/>
                <w:lang w:val="en-US" w:eastAsia="zh-CN" w:bidi="ar"/>
              </w:rPr>
            </w:pPr>
            <w:r>
              <w:rPr>
                <w:rFonts w:hint="eastAsia"/>
                <w:color w:val="auto"/>
                <w:lang w:val="en-US" w:eastAsia="zh-CN"/>
              </w:rPr>
              <w:t>软水制备间配置</w:t>
            </w:r>
            <w:r>
              <w:rPr>
                <w:color w:val="auto"/>
              </w:rPr>
              <w:t>1台全自动</w:t>
            </w:r>
            <w:r>
              <w:rPr>
                <w:rFonts w:hint="eastAsia"/>
                <w:color w:val="auto"/>
                <w:lang w:val="en-US" w:eastAsia="zh-CN"/>
              </w:rPr>
              <w:t>软水器</w:t>
            </w:r>
            <w:r>
              <w:rPr>
                <w:color w:val="auto"/>
              </w:rPr>
              <w:t>，</w:t>
            </w:r>
            <w:r>
              <w:rPr>
                <w:rFonts w:hint="eastAsia"/>
                <w:color w:val="auto"/>
                <w:lang w:val="en-US" w:eastAsia="zh-CN"/>
              </w:rPr>
              <w:t>设计软水制备能力为</w:t>
            </w:r>
            <w:r>
              <w:rPr>
                <w:rFonts w:hint="eastAsia"/>
                <w:color w:val="auto"/>
                <w:kern w:val="0"/>
                <w:lang w:bidi="ar"/>
              </w:rPr>
              <w:t>15</w:t>
            </w:r>
            <w:r>
              <w:rPr>
                <w:color w:val="auto"/>
                <w:kern w:val="0"/>
                <w:lang w:bidi="ar"/>
              </w:rPr>
              <w:t>m³/</w:t>
            </w:r>
            <w:r>
              <w:rPr>
                <w:rFonts w:hint="eastAsia"/>
                <w:color w:val="auto"/>
                <w:kern w:val="0"/>
                <w:lang w:bidi="ar"/>
              </w:rPr>
              <w:t>h</w:t>
            </w:r>
            <w:r>
              <w:rPr>
                <w:rFonts w:hint="eastAsia"/>
                <w:color w:val="auto"/>
                <w:kern w:val="0"/>
                <w:lang w:eastAsia="zh-CN" w:bidi="ar"/>
              </w:rPr>
              <w:t>，</w:t>
            </w:r>
            <w:r>
              <w:rPr>
                <w:rFonts w:hint="eastAsia"/>
                <w:color w:val="auto"/>
                <w:lang w:val="en-US" w:eastAsia="zh-CN"/>
              </w:rPr>
              <w:t>软水</w:t>
            </w:r>
            <w:r>
              <w:rPr>
                <w:color w:val="auto"/>
                <w:kern w:val="0"/>
                <w:lang w:bidi="ar"/>
              </w:rPr>
              <w:t>的产率为80%</w:t>
            </w:r>
            <w:r>
              <w:rPr>
                <w:rFonts w:hint="eastAsia"/>
                <w:color w:val="auto"/>
                <w:kern w:val="0"/>
                <w:lang w:eastAsia="zh-CN" w:bidi="ar"/>
              </w:rPr>
              <w:t>。</w:t>
            </w:r>
            <w:r>
              <w:rPr>
                <w:rFonts w:hint="eastAsia"/>
                <w:color w:val="auto"/>
                <w:kern w:val="0"/>
                <w:lang w:val="en-US" w:eastAsia="zh-CN" w:bidi="ar"/>
              </w:rPr>
              <w:t>锅炉软水用水量为</w:t>
            </w:r>
            <w:r>
              <w:rPr>
                <w:rFonts w:hint="eastAsia"/>
                <w:color w:val="auto"/>
                <w:sz w:val="24"/>
                <w:szCs w:val="24"/>
                <w:lang w:val="en-US" w:eastAsia="zh-CN"/>
              </w:rPr>
              <w:t>10.944</w:t>
            </w:r>
            <w:r>
              <w:rPr>
                <w:color w:val="auto"/>
                <w:sz w:val="24"/>
                <w:szCs w:val="24"/>
              </w:rPr>
              <w:t>m³/d</w:t>
            </w:r>
            <w:r>
              <w:rPr>
                <w:rFonts w:hint="eastAsia"/>
                <w:color w:val="auto"/>
                <w:sz w:val="24"/>
                <w:szCs w:val="24"/>
              </w:rPr>
              <w:t>（</w:t>
            </w:r>
            <w:r>
              <w:rPr>
                <w:rFonts w:hint="eastAsia"/>
                <w:color w:val="auto"/>
                <w:sz w:val="24"/>
                <w:szCs w:val="24"/>
                <w:lang w:val="en-US" w:eastAsia="zh-CN"/>
              </w:rPr>
              <w:t>3994.56</w:t>
            </w:r>
            <w:r>
              <w:rPr>
                <w:rFonts w:hint="eastAsia"/>
                <w:color w:val="auto"/>
                <w:sz w:val="24"/>
                <w:szCs w:val="24"/>
              </w:rPr>
              <w:t>m³/a）</w:t>
            </w:r>
            <w:r>
              <w:rPr>
                <w:rFonts w:hint="eastAsia"/>
                <w:color w:val="auto"/>
                <w:sz w:val="24"/>
                <w:szCs w:val="24"/>
                <w:lang w:eastAsia="zh-CN"/>
              </w:rPr>
              <w:t>，</w:t>
            </w:r>
            <w:r>
              <w:rPr>
                <w:rFonts w:hint="eastAsia"/>
                <w:color w:val="auto"/>
                <w:sz w:val="24"/>
                <w:szCs w:val="24"/>
                <w:lang w:val="en-US" w:eastAsia="zh-CN"/>
              </w:rPr>
              <w:t>原水（来自污水处理厂</w:t>
            </w:r>
            <w:r>
              <w:rPr>
                <w:rFonts w:hint="eastAsia"/>
                <w:color w:val="auto"/>
                <w:sz w:val="24"/>
                <w:szCs w:val="24"/>
              </w:rPr>
              <w:t>隆基废水处理系统中水</w:t>
            </w:r>
            <w:r>
              <w:rPr>
                <w:rFonts w:hint="eastAsia"/>
                <w:color w:val="auto"/>
                <w:sz w:val="24"/>
                <w:szCs w:val="24"/>
                <w:lang w:val="en-US" w:eastAsia="zh-CN"/>
              </w:rPr>
              <w:t>）使用量为13.68</w:t>
            </w:r>
            <w:r>
              <w:rPr>
                <w:color w:val="auto"/>
                <w:sz w:val="24"/>
                <w:szCs w:val="24"/>
              </w:rPr>
              <w:t>m³/d</w:t>
            </w:r>
            <w:r>
              <w:rPr>
                <w:rFonts w:hint="eastAsia"/>
                <w:color w:val="auto"/>
                <w:sz w:val="24"/>
                <w:szCs w:val="24"/>
              </w:rPr>
              <w:t>（</w:t>
            </w:r>
            <w:r>
              <w:rPr>
                <w:rFonts w:hint="eastAsia"/>
                <w:color w:val="auto"/>
                <w:sz w:val="24"/>
                <w:szCs w:val="24"/>
                <w:lang w:val="en-US" w:eastAsia="zh-CN"/>
              </w:rPr>
              <w:t>4993.2</w:t>
            </w:r>
            <w:r>
              <w:rPr>
                <w:rFonts w:hint="eastAsia"/>
                <w:color w:val="auto"/>
                <w:sz w:val="24"/>
                <w:szCs w:val="24"/>
              </w:rPr>
              <w:t>m³/a）</w:t>
            </w:r>
            <w:r>
              <w:rPr>
                <w:rFonts w:hint="eastAsia"/>
                <w:color w:val="auto"/>
                <w:sz w:val="24"/>
                <w:szCs w:val="24"/>
                <w:lang w:eastAsia="zh-CN"/>
              </w:rPr>
              <w:t>，</w:t>
            </w:r>
            <w:r>
              <w:rPr>
                <w:rFonts w:hint="eastAsia"/>
                <w:color w:val="auto"/>
                <w:sz w:val="24"/>
                <w:szCs w:val="24"/>
                <w:lang w:val="en-US" w:eastAsia="zh-CN"/>
              </w:rPr>
              <w:t>排污量为2.736</w:t>
            </w:r>
            <w:r>
              <w:rPr>
                <w:color w:val="auto"/>
                <w:sz w:val="24"/>
                <w:szCs w:val="24"/>
              </w:rPr>
              <w:t>m³/d</w:t>
            </w:r>
            <w:r>
              <w:rPr>
                <w:rFonts w:hint="eastAsia"/>
                <w:color w:val="auto"/>
                <w:sz w:val="24"/>
                <w:szCs w:val="24"/>
              </w:rPr>
              <w:t>（</w:t>
            </w:r>
            <w:r>
              <w:rPr>
                <w:rFonts w:hint="eastAsia"/>
                <w:color w:val="auto"/>
                <w:sz w:val="24"/>
                <w:szCs w:val="24"/>
                <w:lang w:val="en-US" w:eastAsia="zh-CN"/>
              </w:rPr>
              <w:t>998.64</w:t>
            </w:r>
            <w:r>
              <w:rPr>
                <w:rFonts w:hint="eastAsia"/>
                <w:color w:val="auto"/>
                <w:sz w:val="24"/>
                <w:szCs w:val="24"/>
              </w:rPr>
              <w:t>m³/a）</w:t>
            </w:r>
            <w:r>
              <w:rPr>
                <w:rFonts w:hint="eastAsia"/>
                <w:color w:val="auto"/>
                <w:sz w:val="24"/>
                <w:szCs w:val="24"/>
                <w:lang w:eastAsia="zh-CN"/>
              </w:rPr>
              <w:t>。</w:t>
            </w:r>
          </w:p>
          <w:p w14:paraId="4B0EE780">
            <w:pPr>
              <w:spacing w:line="360" w:lineRule="auto"/>
              <w:ind w:firstLine="480" w:firstLineChars="200"/>
              <w:rPr>
                <w:rFonts w:hint="eastAsia" w:ascii="Times New Roman" w:hAnsi="Times New Roman" w:cs="Times New Roman"/>
                <w:color w:val="auto"/>
                <w:kern w:val="0"/>
                <w:sz w:val="24"/>
                <w:szCs w:val="24"/>
              </w:rPr>
            </w:pPr>
            <w:r>
              <w:rPr>
                <w:rFonts w:hint="eastAsia"/>
                <w:color w:val="auto"/>
                <w:lang w:val="en-US" w:eastAsia="zh-CN"/>
              </w:rPr>
              <w:t>软水制备间全自动软水器采用一级阳离子交换树脂+一级阴离子交换树脂制备工艺，制备原理如下：</w:t>
            </w:r>
            <w:r>
              <w:rPr>
                <w:rFonts w:hint="eastAsia" w:ascii="Times New Roman" w:hAnsi="Times New Roman" w:cs="Times New Roman"/>
                <w:color w:val="auto"/>
                <w:kern w:val="0"/>
                <w:sz w:val="24"/>
                <w:szCs w:val="24"/>
              </w:rPr>
              <w:t>阳离子交换树脂含有可交换的钠离子，当硬水通过树脂层时，水中的钙离子、镁离子等硬度离子与树脂上的钠离子发生交换反应，钙、镁离子被吸附到树脂上，而钠离子进入水中，从而降低水的硬度。当树脂吸附的钙、镁离子达到饱和后，需要进行再生。再生时，使用一定浓度的氯化钠溶液通过树脂层，溶液中的钠离子将树脂上吸附的钙、镁离子置换下来，使树脂恢复交换能力。阴离子交换树脂含有可交换的氢氧根离子，当水通过阴离子交换树脂时，水中的阴离子（如碳酸氢根离子、硫酸根离子、氯离子等）与树脂上的氢氧根离子发生交换反应，这些阴离子被吸附到树脂上，而氢氧根离子进入水中。阴离子交换树脂的再生通常使用氢氧化钠溶液，溶液中的氢氧根离子将树脂上吸附的阴离子置换下来，使树脂恢复交换能力。</w:t>
            </w:r>
          </w:p>
          <w:p w14:paraId="254248F5">
            <w:pPr>
              <w:ind w:firstLine="480" w:firstLineChars="200"/>
              <w:rPr>
                <w:color w:val="auto"/>
              </w:rPr>
            </w:pPr>
            <w:r>
              <w:rPr>
                <w:rFonts w:hint="eastAsia"/>
                <w:color w:val="auto"/>
              </w:rPr>
              <w:t>厂区现已建成软水制备系统并投入运行，</w:t>
            </w:r>
            <w:r>
              <w:rPr>
                <w:rFonts w:hint="eastAsia"/>
                <w:color w:val="auto"/>
                <w:lang w:val="en-US" w:eastAsia="zh-CN"/>
              </w:rPr>
              <w:t>变更后</w:t>
            </w:r>
            <w:r>
              <w:rPr>
                <w:rFonts w:hint="eastAsia"/>
                <w:color w:val="auto"/>
              </w:rPr>
              <w:t>本工程生产用水来源为隆基废水处理系统中水，</w:t>
            </w:r>
            <w:r>
              <w:rPr>
                <w:rFonts w:hint="eastAsia"/>
                <w:color w:val="auto"/>
                <w:lang w:val="en-US" w:eastAsia="zh-CN"/>
              </w:rPr>
              <w:t>为满足用水来源水质的变化，全自动软水器新增加一级阴离子交换树脂装置，对中水中的阴离子进行去除，以满足锅炉用水水质要求</w:t>
            </w:r>
            <w:r>
              <w:rPr>
                <w:rFonts w:hint="eastAsia"/>
                <w:color w:val="auto"/>
              </w:rPr>
              <w:t>。</w:t>
            </w:r>
          </w:p>
          <w:p w14:paraId="693259A9">
            <w:pPr>
              <w:ind w:firstLine="480" w:firstLineChars="200"/>
              <w:rPr>
                <w:color w:val="auto"/>
              </w:rPr>
            </w:pPr>
            <w:r>
              <w:rPr>
                <w:color w:val="auto"/>
              </w:rPr>
              <w:t>（2）排水</w:t>
            </w:r>
          </w:p>
          <w:p w14:paraId="10C44604">
            <w:pPr>
              <w:ind w:firstLine="480" w:firstLineChars="200"/>
              <w:rPr>
                <w:color w:val="auto"/>
              </w:rPr>
            </w:pPr>
            <w:bookmarkStart w:id="11" w:name="_Hlk102745702"/>
            <w:bookmarkStart w:id="12" w:name="_Hlk100935491"/>
            <w:r>
              <w:rPr>
                <w:rFonts w:hint="eastAsia"/>
                <w:color w:val="auto"/>
              </w:rPr>
              <w:t>本项目锅炉排污废水、软水制备排污废水均排入</w:t>
            </w:r>
            <w:bookmarkEnd w:id="11"/>
            <w:r>
              <w:rPr>
                <w:color w:val="auto"/>
              </w:rPr>
              <w:t>隆基废水处理系统</w:t>
            </w:r>
            <w:r>
              <w:rPr>
                <w:rFonts w:hint="eastAsia"/>
                <w:color w:val="auto"/>
              </w:rPr>
              <w:t>。</w:t>
            </w:r>
          </w:p>
          <w:p w14:paraId="11E8C9D8">
            <w:pPr>
              <w:ind w:firstLine="480"/>
              <w:rPr>
                <w:color w:val="auto"/>
              </w:rPr>
            </w:pPr>
            <w:r>
              <w:rPr>
                <w:rFonts w:hint="eastAsia"/>
                <w:color w:val="auto"/>
              </w:rPr>
              <w:t>①锅炉排污废水</w:t>
            </w:r>
          </w:p>
          <w:p w14:paraId="6DF7DB7A">
            <w:pPr>
              <w:ind w:firstLine="480" w:firstLineChars="200"/>
              <w:rPr>
                <w:color w:val="auto"/>
              </w:rPr>
            </w:pPr>
            <w:r>
              <w:rPr>
                <w:rFonts w:hint="eastAsia"/>
                <w:color w:val="auto"/>
              </w:rPr>
              <w:t>锅炉需要定期排污，排水量为</w:t>
            </w:r>
            <w:r>
              <w:rPr>
                <w:rFonts w:hint="eastAsia"/>
                <w:color w:val="auto"/>
                <w:szCs w:val="21"/>
                <w:lang w:val="en-US" w:eastAsia="zh-CN"/>
              </w:rPr>
              <w:t>4.32</w:t>
            </w:r>
            <w:r>
              <w:rPr>
                <w:color w:val="auto"/>
                <w:szCs w:val="21"/>
              </w:rPr>
              <w:t>m³/</w:t>
            </w:r>
            <w:r>
              <w:rPr>
                <w:rFonts w:hint="eastAsia"/>
                <w:color w:val="auto"/>
                <w:szCs w:val="21"/>
              </w:rPr>
              <w:t>d（</w:t>
            </w:r>
            <w:r>
              <w:rPr>
                <w:rFonts w:hint="eastAsia"/>
                <w:color w:val="auto"/>
                <w:szCs w:val="21"/>
                <w:lang w:val="en-US" w:eastAsia="zh-CN"/>
              </w:rPr>
              <w:t>1576.8</w:t>
            </w:r>
            <w:r>
              <w:rPr>
                <w:color w:val="auto"/>
                <w:szCs w:val="21"/>
              </w:rPr>
              <w:t>m³/</w:t>
            </w:r>
            <w:r>
              <w:rPr>
                <w:rFonts w:hint="eastAsia"/>
                <w:color w:val="auto"/>
                <w:szCs w:val="21"/>
              </w:rPr>
              <w:t>a）</w:t>
            </w:r>
            <w:r>
              <w:rPr>
                <w:rFonts w:hint="eastAsia"/>
                <w:color w:val="auto"/>
              </w:rPr>
              <w:t>。锅炉排污废水经管道排入</w:t>
            </w:r>
            <w:bookmarkStart w:id="13" w:name="OLE_LINK4"/>
            <w:r>
              <w:rPr>
                <w:color w:val="auto"/>
              </w:rPr>
              <w:t>隆基废水处理系统</w:t>
            </w:r>
            <w:bookmarkEnd w:id="13"/>
            <w:r>
              <w:rPr>
                <w:rFonts w:hint="eastAsia"/>
                <w:color w:val="auto"/>
              </w:rPr>
              <w:t>，后</w:t>
            </w:r>
            <w:r>
              <w:rPr>
                <w:rFonts w:hint="eastAsia"/>
                <w:color w:val="auto"/>
                <w:lang w:val="en-US" w:eastAsia="zh-CN"/>
              </w:rPr>
              <w:t>回用于</w:t>
            </w:r>
            <w:r>
              <w:rPr>
                <w:rFonts w:hint="eastAsia"/>
                <w:color w:val="auto"/>
              </w:rPr>
              <w:t>隆基</w:t>
            </w:r>
            <w:r>
              <w:rPr>
                <w:rFonts w:hint="eastAsia"/>
                <w:color w:val="auto"/>
                <w:lang w:val="en-US" w:eastAsia="zh-CN"/>
              </w:rPr>
              <w:t>生产用水</w:t>
            </w:r>
            <w:r>
              <w:rPr>
                <w:rFonts w:hint="eastAsia"/>
                <w:color w:val="auto"/>
              </w:rPr>
              <w:t>，不外排。</w:t>
            </w:r>
          </w:p>
          <w:p w14:paraId="3481F1EE">
            <w:pPr>
              <w:ind w:firstLine="480" w:firstLineChars="200"/>
              <w:rPr>
                <w:color w:val="auto"/>
              </w:rPr>
            </w:pPr>
            <w:r>
              <w:rPr>
                <w:rFonts w:hint="eastAsia"/>
                <w:color w:val="auto"/>
              </w:rPr>
              <w:t>②软水制备废水</w:t>
            </w:r>
          </w:p>
          <w:p w14:paraId="177C6779">
            <w:pPr>
              <w:ind w:firstLine="480" w:firstLineChars="200"/>
              <w:rPr>
                <w:rFonts w:hint="eastAsia"/>
                <w:color w:val="auto"/>
              </w:rPr>
            </w:pPr>
            <w:r>
              <w:rPr>
                <w:color w:val="auto"/>
              </w:rPr>
              <w:t>本项目软水制备</w:t>
            </w:r>
            <w:r>
              <w:rPr>
                <w:rFonts w:hint="eastAsia"/>
                <w:color w:val="auto"/>
                <w:lang w:val="en-US" w:eastAsia="zh-CN"/>
              </w:rPr>
              <w:t>出水</w:t>
            </w:r>
            <w:r>
              <w:rPr>
                <w:color w:val="auto"/>
              </w:rPr>
              <w:t>率80%，</w:t>
            </w:r>
            <w:r>
              <w:rPr>
                <w:rFonts w:hint="eastAsia"/>
                <w:color w:val="auto"/>
                <w:lang w:val="en-US" w:eastAsia="zh-CN"/>
              </w:rPr>
              <w:t>排污率为20%</w:t>
            </w:r>
            <w:r>
              <w:rPr>
                <w:color w:val="auto"/>
              </w:rPr>
              <w:t>，</w:t>
            </w:r>
            <w:r>
              <w:rPr>
                <w:rFonts w:hint="eastAsia"/>
                <w:color w:val="auto"/>
                <w:kern w:val="0"/>
                <w:lang w:val="en-US" w:eastAsia="zh-CN" w:bidi="ar"/>
              </w:rPr>
              <w:t>锅炉软水用水量为</w:t>
            </w:r>
            <w:r>
              <w:rPr>
                <w:rFonts w:hint="eastAsia"/>
                <w:color w:val="auto"/>
                <w:sz w:val="24"/>
                <w:szCs w:val="24"/>
                <w:lang w:val="en-US" w:eastAsia="zh-CN"/>
              </w:rPr>
              <w:t>10.944</w:t>
            </w:r>
            <w:r>
              <w:rPr>
                <w:color w:val="auto"/>
                <w:sz w:val="24"/>
                <w:szCs w:val="24"/>
              </w:rPr>
              <w:t>m³/d</w:t>
            </w:r>
            <w:r>
              <w:rPr>
                <w:rFonts w:hint="eastAsia"/>
                <w:color w:val="auto"/>
                <w:sz w:val="24"/>
                <w:szCs w:val="24"/>
              </w:rPr>
              <w:t>（</w:t>
            </w:r>
            <w:r>
              <w:rPr>
                <w:rFonts w:hint="eastAsia"/>
                <w:color w:val="auto"/>
                <w:sz w:val="24"/>
                <w:szCs w:val="24"/>
                <w:lang w:val="en-US" w:eastAsia="zh-CN"/>
              </w:rPr>
              <w:t>3994.56</w:t>
            </w:r>
            <w:r>
              <w:rPr>
                <w:rFonts w:hint="eastAsia"/>
                <w:color w:val="auto"/>
                <w:sz w:val="24"/>
                <w:szCs w:val="24"/>
              </w:rPr>
              <w:t>m³/a）</w:t>
            </w:r>
            <w:r>
              <w:rPr>
                <w:rFonts w:hint="eastAsia"/>
                <w:color w:val="auto"/>
                <w:sz w:val="24"/>
                <w:szCs w:val="24"/>
                <w:lang w:eastAsia="zh-CN"/>
              </w:rPr>
              <w:t>，</w:t>
            </w:r>
            <w:r>
              <w:rPr>
                <w:rFonts w:hint="eastAsia"/>
                <w:color w:val="auto"/>
                <w:sz w:val="24"/>
                <w:szCs w:val="24"/>
                <w:lang w:val="en-US" w:eastAsia="zh-CN"/>
              </w:rPr>
              <w:t>原水（来自污水处理厂</w:t>
            </w:r>
            <w:r>
              <w:rPr>
                <w:rFonts w:hint="eastAsia"/>
                <w:color w:val="auto"/>
                <w:sz w:val="24"/>
                <w:szCs w:val="24"/>
              </w:rPr>
              <w:t>隆基废水处理系统中水</w:t>
            </w:r>
            <w:r>
              <w:rPr>
                <w:rFonts w:hint="eastAsia"/>
                <w:color w:val="auto"/>
                <w:sz w:val="24"/>
                <w:szCs w:val="24"/>
                <w:lang w:val="en-US" w:eastAsia="zh-CN"/>
              </w:rPr>
              <w:t>）使用量为13.68</w:t>
            </w:r>
            <w:r>
              <w:rPr>
                <w:color w:val="auto"/>
                <w:sz w:val="24"/>
                <w:szCs w:val="24"/>
              </w:rPr>
              <w:t>m³/d</w:t>
            </w:r>
            <w:r>
              <w:rPr>
                <w:rFonts w:hint="eastAsia"/>
                <w:color w:val="auto"/>
                <w:sz w:val="24"/>
                <w:szCs w:val="24"/>
              </w:rPr>
              <w:t>（</w:t>
            </w:r>
            <w:r>
              <w:rPr>
                <w:rFonts w:hint="eastAsia"/>
                <w:color w:val="auto"/>
                <w:sz w:val="24"/>
                <w:szCs w:val="24"/>
                <w:lang w:val="en-US" w:eastAsia="zh-CN"/>
              </w:rPr>
              <w:t>4993.2</w:t>
            </w:r>
            <w:r>
              <w:rPr>
                <w:rFonts w:hint="eastAsia"/>
                <w:color w:val="auto"/>
                <w:sz w:val="24"/>
                <w:szCs w:val="24"/>
              </w:rPr>
              <w:t>m³/a）</w:t>
            </w:r>
            <w:r>
              <w:rPr>
                <w:rFonts w:hint="eastAsia"/>
                <w:color w:val="auto"/>
                <w:sz w:val="24"/>
                <w:szCs w:val="24"/>
                <w:lang w:eastAsia="zh-CN"/>
              </w:rPr>
              <w:t>，</w:t>
            </w:r>
            <w:r>
              <w:rPr>
                <w:rFonts w:hint="eastAsia"/>
                <w:color w:val="auto"/>
                <w:sz w:val="24"/>
                <w:szCs w:val="24"/>
                <w:lang w:val="en-US" w:eastAsia="zh-CN"/>
              </w:rPr>
              <w:t>排污量为2.736</w:t>
            </w:r>
            <w:r>
              <w:rPr>
                <w:color w:val="auto"/>
                <w:sz w:val="24"/>
                <w:szCs w:val="24"/>
              </w:rPr>
              <w:t>m³/d</w:t>
            </w:r>
            <w:r>
              <w:rPr>
                <w:rFonts w:hint="eastAsia"/>
                <w:color w:val="auto"/>
                <w:sz w:val="24"/>
                <w:szCs w:val="24"/>
              </w:rPr>
              <w:t>（</w:t>
            </w:r>
            <w:r>
              <w:rPr>
                <w:rFonts w:hint="eastAsia"/>
                <w:color w:val="auto"/>
                <w:sz w:val="24"/>
                <w:szCs w:val="24"/>
                <w:lang w:val="en-US" w:eastAsia="zh-CN"/>
              </w:rPr>
              <w:t>998.64</w:t>
            </w:r>
            <w:r>
              <w:rPr>
                <w:rFonts w:hint="eastAsia"/>
                <w:color w:val="auto"/>
                <w:sz w:val="24"/>
                <w:szCs w:val="24"/>
              </w:rPr>
              <w:t>m³/a）</w:t>
            </w:r>
            <w:r>
              <w:rPr>
                <w:rFonts w:hint="eastAsia"/>
                <w:color w:val="auto"/>
                <w:lang w:eastAsia="zh-CN"/>
              </w:rPr>
              <w:t>。</w:t>
            </w:r>
            <w:r>
              <w:rPr>
                <w:color w:val="auto"/>
              </w:rPr>
              <w:t>软水制备设备排污废水经管道排入</w:t>
            </w:r>
            <w:r>
              <w:rPr>
                <w:rFonts w:hint="eastAsia"/>
                <w:color w:val="auto"/>
              </w:rPr>
              <w:t>本公司废水处理厂</w:t>
            </w:r>
            <w:r>
              <w:rPr>
                <w:color w:val="auto"/>
              </w:rPr>
              <w:t>隆基废水处理系统</w:t>
            </w:r>
            <w:r>
              <w:rPr>
                <w:rFonts w:hint="eastAsia"/>
                <w:color w:val="auto"/>
              </w:rPr>
              <w:t>，后</w:t>
            </w:r>
            <w:r>
              <w:rPr>
                <w:rFonts w:hint="eastAsia"/>
                <w:color w:val="auto"/>
                <w:lang w:val="en-US" w:eastAsia="zh-CN"/>
              </w:rPr>
              <w:t>回用于</w:t>
            </w:r>
            <w:r>
              <w:rPr>
                <w:rFonts w:hint="eastAsia"/>
                <w:color w:val="auto"/>
              </w:rPr>
              <w:t>隆基</w:t>
            </w:r>
            <w:r>
              <w:rPr>
                <w:rFonts w:hint="eastAsia"/>
                <w:color w:val="auto"/>
                <w:lang w:val="en-US" w:eastAsia="zh-CN"/>
              </w:rPr>
              <w:t>生产用水</w:t>
            </w:r>
            <w:r>
              <w:rPr>
                <w:rFonts w:hint="eastAsia"/>
                <w:color w:val="auto"/>
              </w:rPr>
              <w:t>，不外排。</w:t>
            </w:r>
          </w:p>
          <w:p w14:paraId="642D50A9">
            <w:pPr>
              <w:ind w:firstLine="480" w:firstLineChars="200"/>
              <w:rPr>
                <w:rFonts w:hint="eastAsia"/>
                <w:color w:val="auto"/>
              </w:rPr>
            </w:pPr>
            <w:r>
              <w:rPr>
                <w:rFonts w:hint="eastAsia"/>
                <w:color w:val="auto"/>
                <w:lang w:val="en-US" w:eastAsia="zh-CN"/>
              </w:rPr>
              <w:t>综上所述，本项目废水排放量为7.056</w:t>
            </w:r>
            <w:r>
              <w:rPr>
                <w:color w:val="auto"/>
                <w:kern w:val="0"/>
                <w:lang w:bidi="ar"/>
              </w:rPr>
              <w:t>m³/</w:t>
            </w:r>
            <w:r>
              <w:rPr>
                <w:rFonts w:hint="eastAsia"/>
                <w:color w:val="auto"/>
                <w:kern w:val="0"/>
                <w:lang w:val="en-US" w:eastAsia="zh-CN" w:bidi="ar"/>
              </w:rPr>
              <w:t>d</w:t>
            </w:r>
            <w:r>
              <w:rPr>
                <w:rFonts w:hint="eastAsia"/>
                <w:color w:val="auto"/>
                <w:kern w:val="0"/>
                <w:lang w:eastAsia="zh-CN" w:bidi="ar"/>
              </w:rPr>
              <w:t>（</w:t>
            </w:r>
            <w:r>
              <w:rPr>
                <w:rFonts w:hint="eastAsia"/>
                <w:color w:val="auto"/>
                <w:lang w:val="en-US" w:eastAsia="zh-CN"/>
              </w:rPr>
              <w:t>2575.44</w:t>
            </w:r>
            <w:r>
              <w:rPr>
                <w:color w:val="auto"/>
              </w:rPr>
              <w:t>m³/</w:t>
            </w:r>
            <w:r>
              <w:rPr>
                <w:rFonts w:hint="eastAsia"/>
                <w:color w:val="auto"/>
              </w:rPr>
              <w:t>a</w:t>
            </w:r>
            <w:r>
              <w:rPr>
                <w:rFonts w:hint="eastAsia"/>
                <w:color w:val="auto"/>
                <w:kern w:val="0"/>
                <w:lang w:eastAsia="zh-CN" w:bidi="ar"/>
              </w:rPr>
              <w:t>），</w:t>
            </w:r>
            <w:r>
              <w:rPr>
                <w:color w:val="auto"/>
              </w:rPr>
              <w:t>经过管道排入</w:t>
            </w:r>
            <w:r>
              <w:rPr>
                <w:rFonts w:hint="eastAsia"/>
                <w:color w:val="auto"/>
              </w:rPr>
              <w:t>本公司废水处理厂</w:t>
            </w:r>
            <w:r>
              <w:rPr>
                <w:color w:val="auto"/>
              </w:rPr>
              <w:t>隆基废水处理系统</w:t>
            </w:r>
            <w:r>
              <w:rPr>
                <w:rFonts w:hint="eastAsia"/>
                <w:color w:val="auto"/>
              </w:rPr>
              <w:t>，后</w:t>
            </w:r>
            <w:r>
              <w:rPr>
                <w:rFonts w:hint="eastAsia"/>
                <w:color w:val="auto"/>
                <w:lang w:val="en-US" w:eastAsia="zh-CN"/>
              </w:rPr>
              <w:t>回用于</w:t>
            </w:r>
            <w:r>
              <w:rPr>
                <w:rFonts w:hint="eastAsia"/>
                <w:color w:val="auto"/>
              </w:rPr>
              <w:t>隆基</w:t>
            </w:r>
            <w:r>
              <w:rPr>
                <w:rFonts w:hint="eastAsia"/>
                <w:color w:val="auto"/>
                <w:lang w:val="en-US" w:eastAsia="zh-CN"/>
              </w:rPr>
              <w:t>生产用水</w:t>
            </w:r>
            <w:r>
              <w:rPr>
                <w:rFonts w:hint="eastAsia"/>
                <w:color w:val="auto"/>
              </w:rPr>
              <w:t>，不外排。</w:t>
            </w:r>
          </w:p>
          <w:p w14:paraId="34FE7A87">
            <w:pPr>
              <w:pStyle w:val="52"/>
              <w:rPr>
                <w:rFonts w:hint="eastAsia" w:eastAsia="黑体"/>
                <w:color w:val="auto"/>
                <w:lang w:eastAsia="zh-CN"/>
              </w:rPr>
            </w:pPr>
            <w:r>
              <w:rPr>
                <w:color w:val="auto"/>
              </w:rPr>
              <w:t>表</w:t>
            </w:r>
            <w:r>
              <w:rPr>
                <w:rFonts w:hint="eastAsia"/>
                <w:color w:val="auto"/>
              </w:rPr>
              <w:t>2-5</w:t>
            </w:r>
            <w:r>
              <w:rPr>
                <w:rFonts w:hint="eastAsia" w:eastAsia="宋体"/>
                <w:color w:val="auto"/>
              </w:rPr>
              <w:t xml:space="preserve"> </w:t>
            </w:r>
            <w:r>
              <w:rPr>
                <w:color w:val="auto"/>
              </w:rPr>
              <w:t xml:space="preserve"> 本项目用排水情况一览表</w:t>
            </w:r>
            <w:r>
              <w:rPr>
                <w:rFonts w:hint="eastAsia"/>
                <w:color w:val="auto"/>
                <w:lang w:eastAsia="zh-CN"/>
              </w:rPr>
              <w:t>（</w:t>
            </w:r>
            <w:r>
              <w:rPr>
                <w:color w:val="auto"/>
                <w:lang w:bidi="ar"/>
              </w:rPr>
              <w:t>m</w:t>
            </w:r>
            <w:r>
              <w:rPr>
                <w:color w:val="auto"/>
                <w:vertAlign w:val="superscript"/>
                <w:lang w:bidi="ar"/>
              </w:rPr>
              <w:t>3</w:t>
            </w:r>
            <w:r>
              <w:rPr>
                <w:color w:val="auto"/>
                <w:lang w:bidi="ar"/>
              </w:rPr>
              <w:t>/d</w:t>
            </w:r>
            <w:r>
              <w:rPr>
                <w:rFonts w:hint="eastAsia"/>
                <w:color w:val="auto"/>
                <w:lang w:eastAsia="zh-CN"/>
              </w:rPr>
              <w:t>）</w:t>
            </w:r>
          </w:p>
          <w:tbl>
            <w:tblPr>
              <w:tblStyle w:val="68"/>
              <w:tblW w:w="5000"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1166"/>
              <w:gridCol w:w="689"/>
              <w:gridCol w:w="972"/>
              <w:gridCol w:w="812"/>
              <w:gridCol w:w="1017"/>
              <w:gridCol w:w="1194"/>
              <w:gridCol w:w="1038"/>
              <w:gridCol w:w="978"/>
            </w:tblGrid>
            <w:tr w14:paraId="4FF803E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2" w:type="pct"/>
                  <w:tcBorders>
                    <w:tl2br w:val="nil"/>
                    <w:tr2bl w:val="nil"/>
                  </w:tcBorders>
                  <w:vAlign w:val="center"/>
                </w:tcPr>
                <w:p w14:paraId="1552E12E">
                  <w:pPr>
                    <w:pStyle w:val="59"/>
                    <w:jc w:val="center"/>
                    <w:rPr>
                      <w:color w:val="auto"/>
                    </w:rPr>
                  </w:pPr>
                  <w:r>
                    <w:rPr>
                      <w:color w:val="auto"/>
                      <w:lang w:bidi="ar"/>
                    </w:rPr>
                    <w:t>序号</w:t>
                  </w:r>
                </w:p>
              </w:tc>
              <w:tc>
                <w:tcPr>
                  <w:tcW w:w="695" w:type="pct"/>
                  <w:tcBorders>
                    <w:tl2br w:val="nil"/>
                    <w:tr2bl w:val="nil"/>
                  </w:tcBorders>
                  <w:vAlign w:val="center"/>
                </w:tcPr>
                <w:p w14:paraId="13B626C3">
                  <w:pPr>
                    <w:pStyle w:val="59"/>
                    <w:jc w:val="center"/>
                    <w:rPr>
                      <w:color w:val="auto"/>
                    </w:rPr>
                  </w:pPr>
                  <w:r>
                    <w:rPr>
                      <w:color w:val="auto"/>
                      <w:lang w:bidi="ar"/>
                    </w:rPr>
                    <w:t>类别</w:t>
                  </w:r>
                </w:p>
              </w:tc>
              <w:tc>
                <w:tcPr>
                  <w:tcW w:w="407" w:type="pct"/>
                  <w:tcBorders>
                    <w:tl2br w:val="nil"/>
                    <w:tr2bl w:val="nil"/>
                  </w:tcBorders>
                  <w:vAlign w:val="center"/>
                </w:tcPr>
                <w:p w14:paraId="7FD9FFD6">
                  <w:pPr>
                    <w:pStyle w:val="59"/>
                    <w:jc w:val="center"/>
                    <w:rPr>
                      <w:rFonts w:hint="eastAsia" w:eastAsia="宋体"/>
                      <w:color w:val="auto"/>
                      <w:lang w:val="en-US" w:eastAsia="zh-CN" w:bidi="ar"/>
                    </w:rPr>
                  </w:pPr>
                  <w:r>
                    <w:rPr>
                      <w:rFonts w:hint="eastAsia"/>
                      <w:color w:val="auto"/>
                      <w:lang w:val="en-US" w:eastAsia="zh-CN" w:bidi="ar"/>
                    </w:rPr>
                    <w:t>原水量</w:t>
                  </w:r>
                </w:p>
              </w:tc>
              <w:tc>
                <w:tcPr>
                  <w:tcW w:w="579" w:type="pct"/>
                  <w:tcBorders>
                    <w:tl2br w:val="nil"/>
                    <w:tr2bl w:val="nil"/>
                  </w:tcBorders>
                  <w:vAlign w:val="center"/>
                </w:tcPr>
                <w:p w14:paraId="6524FB7F">
                  <w:pPr>
                    <w:pStyle w:val="59"/>
                    <w:jc w:val="center"/>
                    <w:rPr>
                      <w:color w:val="auto"/>
                    </w:rPr>
                  </w:pPr>
                  <w:r>
                    <w:rPr>
                      <w:rFonts w:hint="eastAsia"/>
                      <w:color w:val="auto"/>
                      <w:lang w:val="en-US" w:eastAsia="zh-CN" w:bidi="ar"/>
                    </w:rPr>
                    <w:t>循环水量</w:t>
                  </w:r>
                </w:p>
              </w:tc>
              <w:tc>
                <w:tcPr>
                  <w:tcW w:w="484" w:type="pct"/>
                  <w:tcBorders>
                    <w:tl2br w:val="nil"/>
                    <w:tr2bl w:val="nil"/>
                  </w:tcBorders>
                  <w:vAlign w:val="center"/>
                </w:tcPr>
                <w:p w14:paraId="11BA0441">
                  <w:pPr>
                    <w:pStyle w:val="59"/>
                    <w:jc w:val="center"/>
                    <w:rPr>
                      <w:rFonts w:hint="eastAsia" w:eastAsia="宋体"/>
                      <w:color w:val="auto"/>
                      <w:lang w:val="en-US" w:eastAsia="zh-CN" w:bidi="ar"/>
                    </w:rPr>
                  </w:pPr>
                  <w:r>
                    <w:rPr>
                      <w:rFonts w:hint="eastAsia"/>
                      <w:color w:val="auto"/>
                      <w:lang w:val="en-US" w:eastAsia="zh-CN" w:bidi="ar"/>
                    </w:rPr>
                    <w:t>软水补水量</w:t>
                  </w:r>
                </w:p>
              </w:tc>
              <w:tc>
                <w:tcPr>
                  <w:tcW w:w="606" w:type="pct"/>
                  <w:tcBorders>
                    <w:tl2br w:val="nil"/>
                    <w:tr2bl w:val="nil"/>
                  </w:tcBorders>
                  <w:vAlign w:val="center"/>
                </w:tcPr>
                <w:p w14:paraId="307D8A97">
                  <w:pPr>
                    <w:pStyle w:val="59"/>
                    <w:jc w:val="center"/>
                    <w:rPr>
                      <w:color w:val="auto"/>
                      <w:lang w:bidi="ar"/>
                    </w:rPr>
                  </w:pPr>
                  <w:r>
                    <w:rPr>
                      <w:color w:val="auto"/>
                      <w:lang w:bidi="ar"/>
                    </w:rPr>
                    <w:t>排污</w:t>
                  </w:r>
                </w:p>
                <w:p w14:paraId="2C693C3F">
                  <w:pPr>
                    <w:pStyle w:val="59"/>
                    <w:jc w:val="center"/>
                    <w:rPr>
                      <w:color w:val="auto"/>
                    </w:rPr>
                  </w:pPr>
                  <w:r>
                    <w:rPr>
                      <w:color w:val="auto"/>
                      <w:lang w:bidi="ar"/>
                    </w:rPr>
                    <w:t>系数（%）</w:t>
                  </w:r>
                </w:p>
              </w:tc>
              <w:tc>
                <w:tcPr>
                  <w:tcW w:w="711" w:type="pct"/>
                  <w:tcBorders>
                    <w:tl2br w:val="nil"/>
                    <w:tr2bl w:val="nil"/>
                  </w:tcBorders>
                  <w:vAlign w:val="center"/>
                </w:tcPr>
                <w:p w14:paraId="2C0FF96F">
                  <w:pPr>
                    <w:pStyle w:val="59"/>
                    <w:jc w:val="center"/>
                    <w:rPr>
                      <w:color w:val="auto"/>
                    </w:rPr>
                  </w:pPr>
                  <w:r>
                    <w:rPr>
                      <w:rFonts w:hint="eastAsia"/>
                      <w:color w:val="auto"/>
                      <w:lang w:val="en-US" w:eastAsia="zh-CN" w:bidi="ar"/>
                    </w:rPr>
                    <w:t>软水制备废水</w:t>
                  </w:r>
                  <w:r>
                    <w:rPr>
                      <w:color w:val="auto"/>
                      <w:lang w:bidi="ar"/>
                    </w:rPr>
                    <w:t>排放量</w:t>
                  </w:r>
                </w:p>
              </w:tc>
              <w:tc>
                <w:tcPr>
                  <w:tcW w:w="618" w:type="pct"/>
                  <w:tcBorders>
                    <w:tl2br w:val="nil"/>
                    <w:tr2bl w:val="nil"/>
                  </w:tcBorders>
                  <w:vAlign w:val="center"/>
                </w:tcPr>
                <w:p w14:paraId="297C5D7E">
                  <w:pPr>
                    <w:pStyle w:val="59"/>
                    <w:jc w:val="center"/>
                    <w:rPr>
                      <w:rFonts w:hint="default" w:eastAsia="宋体"/>
                      <w:color w:val="auto"/>
                      <w:lang w:val="en-US" w:eastAsia="zh-CN" w:bidi="ar"/>
                    </w:rPr>
                  </w:pPr>
                  <w:r>
                    <w:rPr>
                      <w:rFonts w:hint="eastAsia"/>
                      <w:color w:val="auto"/>
                      <w:lang w:val="en-US" w:eastAsia="zh-CN" w:bidi="ar"/>
                    </w:rPr>
                    <w:t>锅炉污水排放量</w:t>
                  </w:r>
                </w:p>
              </w:tc>
              <w:tc>
                <w:tcPr>
                  <w:tcW w:w="582" w:type="pct"/>
                  <w:tcBorders>
                    <w:tl2br w:val="nil"/>
                    <w:tr2bl w:val="nil"/>
                  </w:tcBorders>
                  <w:vAlign w:val="center"/>
                </w:tcPr>
                <w:p w14:paraId="1C059833">
                  <w:pPr>
                    <w:pStyle w:val="59"/>
                    <w:jc w:val="center"/>
                    <w:rPr>
                      <w:rFonts w:hint="eastAsia" w:eastAsia="宋体"/>
                      <w:color w:val="auto"/>
                      <w:lang w:val="en-US" w:eastAsia="zh-CN" w:bidi="ar"/>
                    </w:rPr>
                  </w:pPr>
                  <w:r>
                    <w:rPr>
                      <w:rFonts w:hint="eastAsia"/>
                      <w:color w:val="auto"/>
                      <w:lang w:val="en-US" w:eastAsia="zh-CN" w:bidi="ar"/>
                    </w:rPr>
                    <w:t>汽水损耗量</w:t>
                  </w:r>
                </w:p>
              </w:tc>
            </w:tr>
            <w:tr w14:paraId="243D0B2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12" w:type="pct"/>
                  <w:tcBorders>
                    <w:tl2br w:val="nil"/>
                    <w:tr2bl w:val="nil"/>
                  </w:tcBorders>
                  <w:vAlign w:val="center"/>
                </w:tcPr>
                <w:p w14:paraId="767A8E11">
                  <w:pPr>
                    <w:pStyle w:val="59"/>
                    <w:jc w:val="center"/>
                    <w:rPr>
                      <w:color w:val="auto"/>
                    </w:rPr>
                  </w:pPr>
                  <w:r>
                    <w:rPr>
                      <w:rFonts w:hint="eastAsia"/>
                      <w:color w:val="auto"/>
                    </w:rPr>
                    <w:t>1</w:t>
                  </w:r>
                </w:p>
              </w:tc>
              <w:tc>
                <w:tcPr>
                  <w:tcW w:w="695" w:type="pct"/>
                  <w:tcBorders>
                    <w:tl2br w:val="nil"/>
                    <w:tr2bl w:val="nil"/>
                  </w:tcBorders>
                  <w:vAlign w:val="center"/>
                </w:tcPr>
                <w:p w14:paraId="1BBA74F2">
                  <w:pPr>
                    <w:pStyle w:val="59"/>
                    <w:jc w:val="center"/>
                    <w:rPr>
                      <w:color w:val="auto"/>
                      <w:lang w:bidi="ar"/>
                    </w:rPr>
                  </w:pPr>
                  <w:r>
                    <w:rPr>
                      <w:color w:val="auto"/>
                      <w:lang w:bidi="ar"/>
                    </w:rPr>
                    <w:t>锅炉软水制备</w:t>
                  </w:r>
                  <w:r>
                    <w:rPr>
                      <w:rFonts w:hint="eastAsia"/>
                      <w:color w:val="auto"/>
                      <w:lang w:bidi="ar"/>
                    </w:rPr>
                    <w:t>系统</w:t>
                  </w:r>
                </w:p>
              </w:tc>
              <w:tc>
                <w:tcPr>
                  <w:tcW w:w="407" w:type="pct"/>
                  <w:tcBorders>
                    <w:tl2br w:val="nil"/>
                    <w:tr2bl w:val="nil"/>
                  </w:tcBorders>
                  <w:vAlign w:val="center"/>
                </w:tcPr>
                <w:p w14:paraId="0108F047">
                  <w:pPr>
                    <w:pStyle w:val="59"/>
                    <w:jc w:val="center"/>
                    <w:rPr>
                      <w:rFonts w:hint="default" w:eastAsia="宋体"/>
                      <w:color w:val="auto"/>
                      <w:lang w:val="en-US" w:eastAsia="zh-CN" w:bidi="ar"/>
                    </w:rPr>
                  </w:pPr>
                  <w:r>
                    <w:rPr>
                      <w:rFonts w:hint="eastAsia"/>
                      <w:color w:val="auto"/>
                      <w:lang w:val="en-US" w:eastAsia="zh-CN" w:bidi="ar"/>
                    </w:rPr>
                    <w:t>13.68</w:t>
                  </w:r>
                </w:p>
              </w:tc>
              <w:tc>
                <w:tcPr>
                  <w:tcW w:w="579" w:type="pct"/>
                  <w:tcBorders>
                    <w:tl2br w:val="nil"/>
                    <w:tr2bl w:val="nil"/>
                  </w:tcBorders>
                  <w:vAlign w:val="center"/>
                </w:tcPr>
                <w:p w14:paraId="6D41A248">
                  <w:pPr>
                    <w:pStyle w:val="59"/>
                    <w:jc w:val="center"/>
                    <w:rPr>
                      <w:rFonts w:hint="default" w:eastAsia="宋体"/>
                      <w:color w:val="auto"/>
                      <w:lang w:val="en-US" w:eastAsia="zh-CN" w:bidi="ar"/>
                    </w:rPr>
                  </w:pPr>
                  <w:r>
                    <w:rPr>
                      <w:rFonts w:hint="eastAsia"/>
                      <w:color w:val="auto"/>
                      <w:lang w:val="en-US" w:eastAsia="zh-CN" w:bidi="ar"/>
                    </w:rPr>
                    <w:t>277.056</w:t>
                  </w:r>
                </w:p>
              </w:tc>
              <w:tc>
                <w:tcPr>
                  <w:tcW w:w="484" w:type="pct"/>
                  <w:tcBorders>
                    <w:tl2br w:val="nil"/>
                    <w:tr2bl w:val="nil"/>
                  </w:tcBorders>
                  <w:vAlign w:val="center"/>
                </w:tcPr>
                <w:p w14:paraId="6AF90C39">
                  <w:pPr>
                    <w:pStyle w:val="59"/>
                    <w:jc w:val="center"/>
                    <w:rPr>
                      <w:rFonts w:hint="default" w:eastAsia="宋体"/>
                      <w:color w:val="auto"/>
                      <w:lang w:val="en-US" w:eastAsia="zh-CN" w:bidi="ar"/>
                    </w:rPr>
                  </w:pPr>
                  <w:bookmarkStart w:id="14" w:name="OLE_LINK1"/>
                  <w:r>
                    <w:rPr>
                      <w:rFonts w:hint="eastAsia"/>
                      <w:color w:val="auto"/>
                      <w:lang w:val="en-US" w:eastAsia="zh-CN" w:bidi="ar"/>
                    </w:rPr>
                    <w:t>10.944</w:t>
                  </w:r>
                </w:p>
                <w:bookmarkEnd w:id="14"/>
              </w:tc>
              <w:tc>
                <w:tcPr>
                  <w:tcW w:w="606" w:type="pct"/>
                  <w:tcBorders>
                    <w:tl2br w:val="nil"/>
                    <w:tr2bl w:val="nil"/>
                  </w:tcBorders>
                  <w:vAlign w:val="center"/>
                </w:tcPr>
                <w:p w14:paraId="04FED3C4">
                  <w:pPr>
                    <w:pStyle w:val="59"/>
                    <w:jc w:val="center"/>
                    <w:rPr>
                      <w:color w:val="auto"/>
                      <w:lang w:bidi="ar"/>
                    </w:rPr>
                  </w:pPr>
                  <w:r>
                    <w:rPr>
                      <w:rFonts w:hint="eastAsia"/>
                      <w:color w:val="auto"/>
                      <w:lang w:bidi="ar"/>
                    </w:rPr>
                    <w:t>/</w:t>
                  </w:r>
                </w:p>
              </w:tc>
              <w:tc>
                <w:tcPr>
                  <w:tcW w:w="711" w:type="pct"/>
                  <w:tcBorders>
                    <w:tl2br w:val="nil"/>
                    <w:tr2bl w:val="nil"/>
                  </w:tcBorders>
                  <w:vAlign w:val="center"/>
                </w:tcPr>
                <w:p w14:paraId="6FEA487C">
                  <w:pPr>
                    <w:pStyle w:val="59"/>
                    <w:jc w:val="center"/>
                    <w:rPr>
                      <w:rFonts w:hint="default" w:eastAsia="宋体"/>
                      <w:color w:val="auto"/>
                      <w:lang w:val="en-US" w:eastAsia="zh-CN" w:bidi="ar"/>
                    </w:rPr>
                  </w:pPr>
                  <w:r>
                    <w:rPr>
                      <w:rFonts w:hint="eastAsia"/>
                      <w:color w:val="auto"/>
                      <w:lang w:val="en-US" w:eastAsia="zh-CN" w:bidi="ar"/>
                    </w:rPr>
                    <w:t>2.736</w:t>
                  </w:r>
                </w:p>
              </w:tc>
              <w:tc>
                <w:tcPr>
                  <w:tcW w:w="618" w:type="pct"/>
                  <w:tcBorders>
                    <w:tl2br w:val="nil"/>
                    <w:tr2bl w:val="nil"/>
                  </w:tcBorders>
                  <w:vAlign w:val="center"/>
                </w:tcPr>
                <w:p w14:paraId="4A8A362A">
                  <w:pPr>
                    <w:pStyle w:val="59"/>
                    <w:jc w:val="center"/>
                    <w:rPr>
                      <w:rFonts w:hint="default"/>
                      <w:color w:val="auto"/>
                      <w:lang w:val="en-US" w:eastAsia="zh-CN" w:bidi="ar"/>
                    </w:rPr>
                  </w:pPr>
                  <w:r>
                    <w:rPr>
                      <w:rFonts w:hint="eastAsia"/>
                      <w:color w:val="auto"/>
                      <w:lang w:val="en-US" w:eastAsia="zh-CN" w:bidi="ar"/>
                    </w:rPr>
                    <w:t>4.32</w:t>
                  </w:r>
                </w:p>
              </w:tc>
              <w:tc>
                <w:tcPr>
                  <w:tcW w:w="582" w:type="pct"/>
                  <w:tcBorders>
                    <w:tl2br w:val="nil"/>
                    <w:tr2bl w:val="nil"/>
                  </w:tcBorders>
                  <w:vAlign w:val="center"/>
                </w:tcPr>
                <w:p w14:paraId="698628A8">
                  <w:pPr>
                    <w:pStyle w:val="59"/>
                    <w:jc w:val="center"/>
                    <w:rPr>
                      <w:rFonts w:hint="default"/>
                      <w:color w:val="auto"/>
                      <w:lang w:val="en-US" w:eastAsia="zh-CN" w:bidi="ar"/>
                    </w:rPr>
                  </w:pPr>
                  <w:r>
                    <w:rPr>
                      <w:rFonts w:hint="eastAsia"/>
                      <w:color w:val="auto"/>
                      <w:lang w:val="en-US" w:eastAsia="zh-CN" w:bidi="ar"/>
                    </w:rPr>
                    <w:t>6.624</w:t>
                  </w:r>
                </w:p>
              </w:tc>
            </w:tr>
          </w:tbl>
          <w:p w14:paraId="4C1023E6">
            <w:pPr>
              <w:pStyle w:val="24"/>
              <w:ind w:firstLine="0" w:firstLineChars="0"/>
              <w:jc w:val="center"/>
              <w:rPr>
                <w:color w:val="auto"/>
              </w:rPr>
            </w:pPr>
            <w:r>
              <w:rPr>
                <w:color w:val="auto"/>
              </w:rPr>
              <w:object>
                <v:shape id="_x0000_i1025" o:spt="75" type="#_x0000_t75" style="height:129pt;width:343.5pt;" o:ole="t" filled="f" o:preferrelative="t" stroked="f" coordsize="21600,21600">
                  <v:path/>
                  <v:fill on="f" focussize="0,0"/>
                  <v:stroke on="f"/>
                  <v:imagedata r:id="rId15" o:title=""/>
                  <o:lock v:ext="edit" aspectratio="f"/>
                  <w10:wrap type="none"/>
                  <w10:anchorlock/>
                </v:shape>
                <o:OLEObject Type="Embed" ProgID="Visio.Drawing.11" ShapeID="_x0000_i1025" DrawAspect="Content" ObjectID="_1468075725" r:id="rId14">
                  <o:LockedField>false</o:LockedField>
                </o:OLEObject>
              </w:object>
            </w:r>
          </w:p>
          <w:p w14:paraId="6C7DD16A">
            <w:pPr>
              <w:pStyle w:val="24"/>
              <w:ind w:firstLine="0" w:firstLineChars="0"/>
              <w:jc w:val="center"/>
              <w:rPr>
                <w:rStyle w:val="69"/>
                <w:rFonts w:hint="eastAsia"/>
                <w:color w:val="auto"/>
              </w:rPr>
            </w:pPr>
            <w:r>
              <w:rPr>
                <w:rStyle w:val="69"/>
                <w:rFonts w:hint="eastAsia"/>
                <w:color w:val="auto"/>
              </w:rPr>
              <w:t>图2-4 水平衡图  单位m</w:t>
            </w:r>
            <w:r>
              <w:rPr>
                <w:rStyle w:val="69"/>
                <w:rFonts w:hint="eastAsia"/>
                <w:color w:val="auto"/>
                <w:vertAlign w:val="superscript"/>
              </w:rPr>
              <w:t>3</w:t>
            </w:r>
            <w:r>
              <w:rPr>
                <w:rStyle w:val="69"/>
                <w:rFonts w:hint="eastAsia"/>
                <w:color w:val="auto"/>
              </w:rPr>
              <w:t>/d</w:t>
            </w:r>
          </w:p>
          <w:p w14:paraId="67D90757">
            <w:pPr>
              <w:bidi w:val="0"/>
              <w:jc w:val="center"/>
              <w:rPr>
                <w:rStyle w:val="69"/>
                <w:rFonts w:hint="eastAsia" w:eastAsia="黑体"/>
                <w:color w:val="auto"/>
                <w:lang w:eastAsia="zh-CN"/>
              </w:rPr>
            </w:pPr>
            <w:r>
              <w:rPr>
                <w:rStyle w:val="69"/>
                <w:rFonts w:hint="eastAsia"/>
                <w:color w:val="auto"/>
                <w:u w:val="none"/>
              </w:rPr>
              <w:object>
                <v:shape id="_x0000_i1026" o:spt="75" type="#_x0000_t75" style="height:175.5pt;width:421.9pt;" o:ole="t" filled="f" o:preferrelative="t" stroked="f" coordsize="21600,21600">
                  <v:path/>
                  <v:fill on="f" focussize="0,0"/>
                  <v:stroke on="f"/>
                  <v:imagedata r:id="rId17" o:title=""/>
                  <o:lock v:ext="edit" aspectratio="f"/>
                  <w10:wrap type="none"/>
                  <w10:anchorlock/>
                </v:shape>
                <o:OLEObject Type="Embed" ProgID="Visio.Drawing.15" ShapeID="_x0000_i1026" DrawAspect="Content" ObjectID="_1468075726" r:id="rId16">
                  <o:LockedField>false</o:LockedField>
                </o:OLEObject>
              </w:object>
            </w:r>
            <w:r>
              <w:rPr>
                <w:rStyle w:val="69"/>
                <w:rFonts w:hint="eastAsia"/>
                <w:color w:val="auto"/>
              </w:rPr>
              <w:t>图2-</w:t>
            </w:r>
            <w:r>
              <w:rPr>
                <w:rStyle w:val="69"/>
                <w:rFonts w:hint="eastAsia" w:eastAsia="黑体"/>
                <w:color w:val="auto"/>
                <w:lang w:val="en-US" w:eastAsia="zh-CN"/>
              </w:rPr>
              <w:t>5</w:t>
            </w:r>
            <w:r>
              <w:rPr>
                <w:rStyle w:val="69"/>
                <w:rFonts w:hint="eastAsia"/>
                <w:color w:val="auto"/>
              </w:rPr>
              <w:t xml:space="preserve"> </w:t>
            </w:r>
            <w:r>
              <w:rPr>
                <w:rStyle w:val="69"/>
                <w:rFonts w:hint="eastAsia" w:eastAsia="黑体"/>
                <w:color w:val="auto"/>
                <w:lang w:val="en-US" w:eastAsia="zh-CN"/>
              </w:rPr>
              <w:t>蒸汽</w:t>
            </w:r>
            <w:r>
              <w:rPr>
                <w:rStyle w:val="69"/>
                <w:rFonts w:hint="eastAsia"/>
                <w:color w:val="auto"/>
              </w:rPr>
              <w:t>平衡图  单位m</w:t>
            </w:r>
            <w:r>
              <w:rPr>
                <w:rStyle w:val="69"/>
                <w:rFonts w:hint="eastAsia"/>
                <w:color w:val="auto"/>
                <w:vertAlign w:val="superscript"/>
              </w:rPr>
              <w:t>3</w:t>
            </w:r>
            <w:r>
              <w:rPr>
                <w:rStyle w:val="69"/>
                <w:rFonts w:hint="eastAsia"/>
                <w:color w:val="auto"/>
              </w:rPr>
              <w:t>/</w:t>
            </w:r>
            <w:r>
              <w:rPr>
                <w:rStyle w:val="69"/>
                <w:rFonts w:hint="eastAsia" w:eastAsia="黑体"/>
                <w:color w:val="auto"/>
                <w:lang w:val="en-US" w:eastAsia="zh-CN"/>
              </w:rPr>
              <w:t>h</w:t>
            </w:r>
          </w:p>
          <w:bookmarkEnd w:id="12"/>
          <w:p w14:paraId="75314E0A">
            <w:pPr>
              <w:numPr>
                <w:ilvl w:val="0"/>
                <w:numId w:val="2"/>
              </w:numPr>
              <w:ind w:firstLine="480" w:firstLineChars="200"/>
              <w:rPr>
                <w:color w:val="auto"/>
              </w:rPr>
            </w:pPr>
            <w:r>
              <w:rPr>
                <w:bCs/>
                <w:color w:val="auto"/>
                <w:szCs w:val="21"/>
              </w:rPr>
              <w:t>供电：</w:t>
            </w:r>
            <w:r>
              <w:rPr>
                <w:rFonts w:hint="eastAsia"/>
                <w:bCs/>
                <w:color w:val="auto"/>
                <w:szCs w:val="21"/>
              </w:rPr>
              <w:t>本项目属于废水处理厂蒸发结晶工段供汽工程，废水处理厂接入园区供电管网，</w:t>
            </w:r>
            <w:r>
              <w:rPr>
                <w:color w:val="auto"/>
              </w:rPr>
              <w:t>经配电</w:t>
            </w:r>
            <w:r>
              <w:rPr>
                <w:rFonts w:hint="eastAsia"/>
                <w:color w:val="auto"/>
              </w:rPr>
              <w:t>间内</w:t>
            </w:r>
            <w:r>
              <w:rPr>
                <w:color w:val="auto"/>
              </w:rPr>
              <w:t>设备调压配电后，供给各用电设备。</w:t>
            </w:r>
          </w:p>
          <w:p w14:paraId="1070459C">
            <w:pPr>
              <w:adjustRightInd w:val="0"/>
              <w:snapToGrid w:val="0"/>
              <w:ind w:firstLine="482" w:firstLineChars="200"/>
              <w:rPr>
                <w:b/>
                <w:color w:val="auto"/>
                <w:szCs w:val="21"/>
              </w:rPr>
            </w:pPr>
            <w:r>
              <w:rPr>
                <w:rFonts w:hint="eastAsia"/>
                <w:b/>
                <w:color w:val="auto"/>
                <w:szCs w:val="21"/>
              </w:rPr>
              <w:t>6、</w:t>
            </w:r>
            <w:r>
              <w:rPr>
                <w:b/>
                <w:color w:val="auto"/>
                <w:szCs w:val="21"/>
              </w:rPr>
              <w:t>劳动定员及工作制度</w:t>
            </w:r>
          </w:p>
          <w:p w14:paraId="45961396">
            <w:pPr>
              <w:adjustRightInd w:val="0"/>
              <w:snapToGrid w:val="0"/>
              <w:ind w:firstLine="480" w:firstLineChars="200"/>
              <w:rPr>
                <w:b/>
                <w:color w:val="auto"/>
                <w:szCs w:val="21"/>
              </w:rPr>
            </w:pPr>
            <w:r>
              <w:rPr>
                <w:rFonts w:hint="eastAsia"/>
                <w:color w:val="auto"/>
              </w:rPr>
              <w:t>项目无新增工作人员，</w:t>
            </w:r>
            <w:r>
              <w:rPr>
                <w:rFonts w:hint="eastAsia"/>
                <w:bCs/>
                <w:color w:val="auto"/>
                <w:szCs w:val="21"/>
              </w:rPr>
              <w:t>年工作365天，三班倒，每班8h。</w:t>
            </w:r>
          </w:p>
          <w:p w14:paraId="6F06AD82">
            <w:pPr>
              <w:adjustRightInd w:val="0"/>
              <w:snapToGrid w:val="0"/>
              <w:ind w:firstLine="482" w:firstLineChars="200"/>
              <w:rPr>
                <w:b/>
                <w:color w:val="auto"/>
                <w:szCs w:val="21"/>
              </w:rPr>
            </w:pPr>
            <w:r>
              <w:rPr>
                <w:b/>
                <w:color w:val="auto"/>
                <w:szCs w:val="21"/>
              </w:rPr>
              <w:t>7</w:t>
            </w:r>
            <w:r>
              <w:rPr>
                <w:rFonts w:hint="eastAsia"/>
                <w:b/>
                <w:color w:val="auto"/>
                <w:szCs w:val="21"/>
              </w:rPr>
              <w:t>、</w:t>
            </w:r>
            <w:r>
              <w:rPr>
                <w:b/>
                <w:color w:val="auto"/>
                <w:szCs w:val="21"/>
              </w:rPr>
              <w:t>厂平面布置</w:t>
            </w:r>
          </w:p>
          <w:p w14:paraId="366A96D5">
            <w:pPr>
              <w:adjustRightInd w:val="0"/>
              <w:snapToGrid w:val="0"/>
              <w:ind w:firstLine="480" w:firstLineChars="200"/>
              <w:rPr>
                <w:color w:val="auto"/>
              </w:rPr>
            </w:pPr>
            <w:r>
              <w:rPr>
                <w:color w:val="auto"/>
              </w:rPr>
              <w:t>本项目</w:t>
            </w:r>
            <w:r>
              <w:rPr>
                <w:rFonts w:hint="eastAsia"/>
                <w:color w:val="auto"/>
              </w:rPr>
              <w:t>蒸汽锅炉间设置2台12t/h（单台）的燃气锅炉，蒸汽锅炉间位于厂区北侧，蒸发结晶车间及储存间东侧，紧邻生产区，热损失量较小。</w:t>
            </w:r>
            <w:r>
              <w:rPr>
                <w:color w:val="auto"/>
              </w:rPr>
              <w:t>厂区各区功能较明确，布局较紧凑。因此，工程平面布置较为合理。</w:t>
            </w:r>
          </w:p>
          <w:p w14:paraId="3EC96524">
            <w:pPr>
              <w:adjustRightInd w:val="0"/>
              <w:snapToGrid w:val="0"/>
              <w:rPr>
                <w:b/>
                <w:bCs/>
                <w:color w:val="auto"/>
              </w:rPr>
            </w:pPr>
            <w:r>
              <w:rPr>
                <w:rFonts w:hint="eastAsia"/>
                <w:b/>
                <w:bCs/>
                <w:color w:val="auto"/>
              </w:rPr>
              <w:t>8</w:t>
            </w:r>
            <w:r>
              <w:rPr>
                <w:b/>
                <w:bCs/>
                <w:color w:val="auto"/>
              </w:rPr>
              <w:t>.</w:t>
            </w:r>
            <w:r>
              <w:rPr>
                <w:rFonts w:hint="eastAsia"/>
                <w:b/>
                <w:bCs/>
                <w:color w:val="auto"/>
              </w:rPr>
              <w:t>项目四邻情况</w:t>
            </w:r>
          </w:p>
          <w:p w14:paraId="72596F53">
            <w:pPr>
              <w:adjustRightInd w:val="0"/>
              <w:snapToGrid w:val="0"/>
              <w:ind w:firstLine="480" w:firstLineChars="200"/>
              <w:rPr>
                <w:bCs/>
                <w:color w:val="auto"/>
                <w:szCs w:val="21"/>
              </w:rPr>
            </w:pPr>
            <w:r>
              <w:rPr>
                <w:rFonts w:hint="eastAsia"/>
                <w:color w:val="auto"/>
              </w:rPr>
              <w:t>本项目位于蒙苏经济开发区零碳产业园工业废水处理厂厂区内，蒸汽锅炉间东侧为供热站，南侧为综合再生水池及综合泵房、西侧为蒸发结晶车间及储存间，北侧为厂区空地。</w:t>
            </w:r>
            <w:r>
              <w:rPr>
                <w:rFonts w:hint="eastAsia"/>
                <w:bCs/>
                <w:color w:val="auto"/>
                <w:szCs w:val="21"/>
              </w:rPr>
              <w:t>项目区四邻情况如下图。</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86"/>
              <w:gridCol w:w="4080"/>
            </w:tblGrid>
            <w:tr w14:paraId="3F11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086" w:type="dxa"/>
                  <w:tcBorders>
                    <w:top w:val="nil"/>
                    <w:bottom w:val="nil"/>
                  </w:tcBorders>
                  <w:vAlign w:val="center"/>
                </w:tcPr>
                <w:p w14:paraId="756AD1B5">
                  <w:pPr>
                    <w:adjustRightInd w:val="0"/>
                    <w:snapToGrid w:val="0"/>
                    <w:jc w:val="center"/>
                    <w:rPr>
                      <w:rFonts w:hint="eastAsia" w:eastAsia="宋体"/>
                      <w:b w:val="0"/>
                      <w:color w:val="auto"/>
                      <w:lang w:eastAsia="zh-CN"/>
                    </w:rPr>
                  </w:pPr>
                  <w:r>
                    <w:rPr>
                      <w:rFonts w:hint="eastAsia" w:eastAsia="宋体"/>
                      <w:b w:val="0"/>
                      <w:color w:val="auto"/>
                      <w:lang w:eastAsia="zh-CN"/>
                    </w:rPr>
                    <w:drawing>
                      <wp:inline distT="0" distB="0" distL="114300" distR="114300">
                        <wp:extent cx="2437765" cy="1827530"/>
                        <wp:effectExtent l="0" t="0" r="635" b="1270"/>
                        <wp:docPr id="7" name="图片 7" descr="99db70ab3a42b9f27314d297e33ff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9db70ab3a42b9f27314d297e33ff34"/>
                                <pic:cNvPicPr>
                                  <a:picLocks noChangeAspect="1"/>
                                </pic:cNvPicPr>
                              </pic:nvPicPr>
                              <pic:blipFill>
                                <a:blip r:embed="rId18"/>
                                <a:stretch>
                                  <a:fillRect/>
                                </a:stretch>
                              </pic:blipFill>
                              <pic:spPr>
                                <a:xfrm>
                                  <a:off x="0" y="0"/>
                                  <a:ext cx="2437765" cy="1827530"/>
                                </a:xfrm>
                                <a:prstGeom prst="rect">
                                  <a:avLst/>
                                </a:prstGeom>
                              </pic:spPr>
                            </pic:pic>
                          </a:graphicData>
                        </a:graphic>
                      </wp:inline>
                    </w:drawing>
                  </w:r>
                </w:p>
              </w:tc>
              <w:tc>
                <w:tcPr>
                  <w:tcW w:w="4080" w:type="dxa"/>
                  <w:tcBorders>
                    <w:top w:val="nil"/>
                    <w:bottom w:val="nil"/>
                  </w:tcBorders>
                  <w:vAlign w:val="center"/>
                </w:tcPr>
                <w:p w14:paraId="4133557A">
                  <w:pPr>
                    <w:adjustRightInd w:val="0"/>
                    <w:snapToGrid w:val="0"/>
                    <w:jc w:val="center"/>
                    <w:rPr>
                      <w:rFonts w:hint="eastAsia" w:eastAsia="宋体"/>
                      <w:b w:val="0"/>
                      <w:color w:val="auto"/>
                      <w:lang w:eastAsia="zh-CN"/>
                    </w:rPr>
                  </w:pPr>
                  <w:r>
                    <w:rPr>
                      <w:rFonts w:hint="eastAsia" w:eastAsia="宋体"/>
                      <w:b w:val="0"/>
                      <w:color w:val="auto"/>
                      <w:lang w:eastAsia="zh-CN"/>
                    </w:rPr>
                    <w:drawing>
                      <wp:inline distT="0" distB="0" distL="114300" distR="114300">
                        <wp:extent cx="2437765" cy="1827530"/>
                        <wp:effectExtent l="0" t="0" r="635" b="1270"/>
                        <wp:docPr id="9" name="图片 9" descr="2ca9e648c4bc25262bdf4e2bf75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ca9e648c4bc25262bdf4e2bf750962"/>
                                <pic:cNvPicPr>
                                  <a:picLocks noChangeAspect="1"/>
                                </pic:cNvPicPr>
                              </pic:nvPicPr>
                              <pic:blipFill>
                                <a:blip r:embed="rId19"/>
                                <a:stretch>
                                  <a:fillRect/>
                                </a:stretch>
                              </pic:blipFill>
                              <pic:spPr>
                                <a:xfrm>
                                  <a:off x="0" y="0"/>
                                  <a:ext cx="2437765" cy="1827530"/>
                                </a:xfrm>
                                <a:prstGeom prst="rect">
                                  <a:avLst/>
                                </a:prstGeom>
                              </pic:spPr>
                            </pic:pic>
                          </a:graphicData>
                        </a:graphic>
                      </wp:inline>
                    </w:drawing>
                  </w:r>
                </w:p>
              </w:tc>
            </w:tr>
            <w:tr w14:paraId="7BF2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166" w:type="dxa"/>
                  <w:gridSpan w:val="2"/>
                  <w:vAlign w:val="center"/>
                </w:tcPr>
                <w:p w14:paraId="29B6819B">
                  <w:pPr>
                    <w:adjustRightInd w:val="0"/>
                    <w:snapToGrid w:val="0"/>
                    <w:jc w:val="center"/>
                    <w:rPr>
                      <w:rFonts w:hint="default" w:eastAsia="宋体"/>
                      <w:color w:val="auto"/>
                      <w:lang w:val="en-US" w:eastAsia="zh-CN"/>
                    </w:rPr>
                  </w:pPr>
                  <w:r>
                    <w:rPr>
                      <w:rFonts w:hint="eastAsia"/>
                      <w:color w:val="auto"/>
                      <w:lang w:val="en-US" w:eastAsia="zh-CN"/>
                    </w:rPr>
                    <w:t>锅炉房</w:t>
                  </w:r>
                </w:p>
              </w:tc>
            </w:tr>
            <w:tr w14:paraId="58378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166" w:type="dxa"/>
                  <w:gridSpan w:val="2"/>
                  <w:vAlign w:val="center"/>
                </w:tcPr>
                <w:p w14:paraId="5E485BDC">
                  <w:pPr>
                    <w:adjustRightInd w:val="0"/>
                    <w:snapToGrid w:val="0"/>
                    <w:jc w:val="center"/>
                    <w:rPr>
                      <w:rFonts w:hint="eastAsia" w:eastAsia="宋体"/>
                      <w:color w:val="auto"/>
                      <w:lang w:eastAsia="zh-CN"/>
                    </w:rPr>
                  </w:pPr>
                  <w:r>
                    <w:rPr>
                      <w:rFonts w:hint="eastAsia" w:eastAsia="宋体"/>
                      <w:color w:val="auto"/>
                      <w:lang w:eastAsia="zh-CN"/>
                    </w:rPr>
                    <w:drawing>
                      <wp:inline distT="0" distB="0" distL="114300" distR="114300">
                        <wp:extent cx="2450465" cy="1378585"/>
                        <wp:effectExtent l="0" t="0" r="6985" b="12065"/>
                        <wp:docPr id="12" name="图片 12" descr="2af4f43251af6fd10bd6ccb681432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af4f43251af6fd10bd6ccb681432d3"/>
                                <pic:cNvPicPr>
                                  <a:picLocks noChangeAspect="1"/>
                                </pic:cNvPicPr>
                              </pic:nvPicPr>
                              <pic:blipFill>
                                <a:blip r:embed="rId20"/>
                                <a:stretch>
                                  <a:fillRect/>
                                </a:stretch>
                              </pic:blipFill>
                              <pic:spPr>
                                <a:xfrm>
                                  <a:off x="0" y="0"/>
                                  <a:ext cx="2450465" cy="1378585"/>
                                </a:xfrm>
                                <a:prstGeom prst="rect">
                                  <a:avLst/>
                                </a:prstGeom>
                              </pic:spPr>
                            </pic:pic>
                          </a:graphicData>
                        </a:graphic>
                      </wp:inline>
                    </w:drawing>
                  </w:r>
                </w:p>
              </w:tc>
            </w:tr>
            <w:tr w14:paraId="6C72B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166" w:type="dxa"/>
                  <w:gridSpan w:val="2"/>
                  <w:vAlign w:val="center"/>
                </w:tcPr>
                <w:p w14:paraId="75A3EFED">
                  <w:pPr>
                    <w:adjustRightInd w:val="0"/>
                    <w:snapToGrid w:val="0"/>
                    <w:jc w:val="center"/>
                    <w:rPr>
                      <w:color w:val="auto"/>
                    </w:rPr>
                  </w:pPr>
                  <w:r>
                    <w:rPr>
                      <w:rFonts w:hint="eastAsia"/>
                      <w:color w:val="auto"/>
                      <w:lang w:val="en-US" w:eastAsia="zh-CN"/>
                    </w:rPr>
                    <w:t>低氮燃烧器</w:t>
                  </w:r>
                </w:p>
              </w:tc>
            </w:tr>
          </w:tbl>
          <w:p w14:paraId="43C0E78F">
            <w:pPr>
              <w:adjustRightInd w:val="0"/>
              <w:snapToGrid w:val="0"/>
              <w:ind w:firstLine="480" w:firstLineChars="200"/>
              <w:rPr>
                <w:color w:val="auto"/>
              </w:rPr>
            </w:pPr>
          </w:p>
        </w:tc>
      </w:tr>
      <w:tr w14:paraId="5151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20" w:type="dxa"/>
            <w:vAlign w:val="center"/>
          </w:tcPr>
          <w:p w14:paraId="4A653F94">
            <w:pPr>
              <w:pStyle w:val="15"/>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Cs w:val="24"/>
              </w:rPr>
              <w:t>工艺流程和产排污环节</w:t>
            </w:r>
          </w:p>
        </w:tc>
        <w:tc>
          <w:tcPr>
            <w:tcW w:w="8240" w:type="dxa"/>
            <w:vAlign w:val="center"/>
          </w:tcPr>
          <w:p w14:paraId="6C8353DE">
            <w:pPr>
              <w:adjustRightInd w:val="0"/>
              <w:snapToGrid w:val="0"/>
              <w:rPr>
                <w:b/>
                <w:color w:val="auto"/>
                <w:szCs w:val="21"/>
              </w:rPr>
            </w:pPr>
            <w:r>
              <w:rPr>
                <w:b/>
                <w:color w:val="auto"/>
                <w:szCs w:val="21"/>
              </w:rPr>
              <w:t>1.施工期</w:t>
            </w:r>
          </w:p>
          <w:p w14:paraId="60041834">
            <w:pPr>
              <w:pStyle w:val="8"/>
              <w:ind w:firstLine="480" w:firstLineChars="200"/>
              <w:rPr>
                <w:bCs/>
                <w:color w:val="auto"/>
                <w:szCs w:val="21"/>
              </w:rPr>
            </w:pPr>
            <w:r>
              <w:rPr>
                <w:bCs/>
                <w:color w:val="auto"/>
                <w:szCs w:val="21"/>
              </w:rPr>
              <w:t>本项目</w:t>
            </w:r>
            <w:r>
              <w:rPr>
                <w:rFonts w:hint="eastAsia"/>
                <w:bCs/>
                <w:color w:val="auto"/>
                <w:szCs w:val="21"/>
              </w:rPr>
              <w:t>蒸汽锅炉间已建成，</w:t>
            </w:r>
            <w:r>
              <w:rPr>
                <w:rFonts w:hint="eastAsia"/>
                <w:color w:val="auto"/>
              </w:rPr>
              <w:t>工业废水处理厂运行过程中浓盐水蒸发结晶水量较原环评增加，锅炉运行时间增加，本次按照锅炉满负荷运行进行评价。无施工期土建工程。</w:t>
            </w:r>
          </w:p>
          <w:p w14:paraId="296C0547">
            <w:pPr>
              <w:adjustRightInd w:val="0"/>
              <w:snapToGrid w:val="0"/>
              <w:rPr>
                <w:b/>
                <w:color w:val="auto"/>
                <w:szCs w:val="21"/>
              </w:rPr>
            </w:pPr>
            <w:r>
              <w:rPr>
                <w:b/>
                <w:color w:val="auto"/>
                <w:szCs w:val="21"/>
              </w:rPr>
              <w:t>2.运营期</w:t>
            </w:r>
          </w:p>
          <w:p w14:paraId="5B545791">
            <w:pPr>
              <w:adjustRightInd w:val="0"/>
              <w:snapToGrid w:val="0"/>
              <w:ind w:firstLine="480" w:firstLineChars="200"/>
              <w:rPr>
                <w:bCs/>
                <w:color w:val="auto"/>
                <w:szCs w:val="21"/>
              </w:rPr>
            </w:pPr>
            <w:r>
              <w:rPr>
                <w:bCs/>
                <w:color w:val="auto"/>
                <w:szCs w:val="21"/>
              </w:rPr>
              <w:t>本项目营运期生产工艺流程如下：</w:t>
            </w:r>
          </w:p>
          <w:p w14:paraId="78F26C43">
            <w:pPr>
              <w:adjustRightInd w:val="0"/>
              <w:snapToGrid w:val="0"/>
              <w:rPr>
                <w:b/>
                <w:bCs/>
                <w:color w:val="auto"/>
              </w:rPr>
            </w:pPr>
            <w:r>
              <w:rPr>
                <w:b/>
                <w:bCs/>
                <w:color w:val="auto"/>
              </w:rPr>
              <w:object>
                <v:shape id="_x0000_i1027" o:spt="75" type="#_x0000_t75" style="height:129.15pt;width:419.2pt;" o:ole="t" filled="f" o:preferrelative="t" stroked="f" coordsize="21600,21600">
                  <v:path/>
                  <v:fill on="f" focussize="0,0"/>
                  <v:stroke on="f"/>
                  <v:imagedata r:id="rId22" o:title=""/>
                  <o:lock v:ext="edit" aspectratio="f"/>
                  <w10:wrap type="none"/>
                  <w10:anchorlock/>
                </v:shape>
                <o:OLEObject Type="Embed" ProgID="Visio.Drawing.11" ShapeID="_x0000_i1027" DrawAspect="Content" ObjectID="_1468075727" r:id="rId21">
                  <o:LockedField>false</o:LockedField>
                </o:OLEObject>
              </w:object>
            </w:r>
          </w:p>
          <w:p w14:paraId="2983C8F4">
            <w:pPr>
              <w:pStyle w:val="5"/>
              <w:ind w:firstLine="0" w:firstLineChars="0"/>
              <w:jc w:val="center"/>
              <w:rPr>
                <w:rStyle w:val="69"/>
                <w:color w:val="auto"/>
              </w:rPr>
            </w:pPr>
            <w:r>
              <w:rPr>
                <w:rStyle w:val="69"/>
                <w:rFonts w:hint="eastAsia"/>
                <w:color w:val="auto"/>
              </w:rPr>
              <w:t>图2-3 锅炉生产工艺流程图</w:t>
            </w:r>
          </w:p>
          <w:p w14:paraId="78FA654E">
            <w:pPr>
              <w:adjustRightInd w:val="0"/>
              <w:snapToGrid w:val="0"/>
              <w:rPr>
                <w:b/>
                <w:bCs/>
                <w:color w:val="auto"/>
              </w:rPr>
            </w:pPr>
            <w:r>
              <w:rPr>
                <w:rFonts w:hint="eastAsia"/>
                <w:b/>
                <w:bCs/>
                <w:color w:val="auto"/>
              </w:rPr>
              <w:t>（一）</w:t>
            </w:r>
            <w:r>
              <w:rPr>
                <w:b/>
                <w:bCs/>
                <w:color w:val="auto"/>
              </w:rPr>
              <w:t>工艺流程简述：</w:t>
            </w:r>
          </w:p>
          <w:p w14:paraId="05C9EA92">
            <w:pPr>
              <w:ind w:firstLine="480" w:firstLineChars="200"/>
              <w:rPr>
                <w:color w:val="auto"/>
              </w:rPr>
            </w:pPr>
            <w:r>
              <w:rPr>
                <w:rFonts w:hint="eastAsia"/>
                <w:color w:val="auto"/>
              </w:rPr>
              <w:t>一）燃气锅炉工艺流程</w:t>
            </w:r>
          </w:p>
          <w:p w14:paraId="52A1B869">
            <w:pPr>
              <w:ind w:firstLine="480" w:firstLineChars="200"/>
              <w:rPr>
                <w:color w:val="auto"/>
              </w:rPr>
            </w:pPr>
            <w:r>
              <w:rPr>
                <w:rFonts w:hint="eastAsia"/>
                <w:color w:val="auto"/>
              </w:rPr>
              <w:t>废水处理厂隆基废水处理系统中水</w:t>
            </w:r>
            <w:r>
              <w:rPr>
                <w:color w:val="auto"/>
              </w:rPr>
              <w:t>进入软化水系统</w:t>
            </w:r>
            <w:r>
              <w:rPr>
                <w:rFonts w:hint="eastAsia"/>
                <w:color w:val="auto"/>
              </w:rPr>
              <w:t>（</w:t>
            </w:r>
            <w:r>
              <w:rPr>
                <w:color w:val="auto"/>
              </w:rPr>
              <w:t>采用</w:t>
            </w:r>
            <w:r>
              <w:rPr>
                <w:rFonts w:hint="eastAsia"/>
                <w:color w:val="auto"/>
                <w:lang w:val="en-US" w:eastAsia="zh-CN"/>
              </w:rPr>
              <w:t>阴阳</w:t>
            </w:r>
            <w:r>
              <w:rPr>
                <w:color w:val="auto"/>
              </w:rPr>
              <w:t>离子交换树脂</w:t>
            </w:r>
            <w:r>
              <w:rPr>
                <w:rFonts w:hint="eastAsia"/>
                <w:color w:val="auto"/>
              </w:rPr>
              <w:t>）</w:t>
            </w:r>
            <w:r>
              <w:rPr>
                <w:color w:val="auto"/>
              </w:rPr>
              <w:t>处理后进入</w:t>
            </w:r>
            <w:r>
              <w:rPr>
                <w:rFonts w:hint="eastAsia"/>
                <w:color w:val="auto"/>
              </w:rPr>
              <w:t>锅炉</w:t>
            </w:r>
            <w:r>
              <w:rPr>
                <w:color w:val="auto"/>
              </w:rPr>
              <w:t>循环系统内，天然气经专用管道进入燃气锅炉内燃烧，通过加热使锅炉内的软水变成蒸汽，在循环水泵的推动下，蒸汽经蒸汽管网输送至</w:t>
            </w:r>
            <w:r>
              <w:rPr>
                <w:rFonts w:hint="eastAsia"/>
                <w:color w:val="auto"/>
              </w:rPr>
              <w:t>蒸发结晶工段</w:t>
            </w:r>
            <w:r>
              <w:rPr>
                <w:color w:val="auto"/>
              </w:rPr>
              <w:t>用汽环节。锅炉安装低氮燃烧器，燃气进入炉膛，采用分级燃烧的办法控制氮氧化物产生。燃烧产生的烟气由</w:t>
            </w:r>
            <w:r>
              <w:rPr>
                <w:rFonts w:hint="eastAsia"/>
                <w:color w:val="auto"/>
              </w:rPr>
              <w:t>烟囱</w:t>
            </w:r>
            <w:r>
              <w:rPr>
                <w:color w:val="auto"/>
              </w:rPr>
              <w:t>引至高空排放。根据锅炉水质要求，定期对锅炉进行排污。</w:t>
            </w:r>
          </w:p>
          <w:p w14:paraId="486CFFAB">
            <w:pPr>
              <w:ind w:firstLine="480" w:firstLineChars="200"/>
              <w:rPr>
                <w:color w:val="auto"/>
              </w:rPr>
            </w:pPr>
            <w:r>
              <w:rPr>
                <w:rFonts w:hint="eastAsia"/>
                <w:color w:val="auto"/>
              </w:rPr>
              <w:t>二）</w:t>
            </w:r>
            <w:r>
              <w:rPr>
                <w:color w:val="auto"/>
              </w:rPr>
              <w:t>低氮燃烧器原理</w:t>
            </w:r>
          </w:p>
          <w:p w14:paraId="03F8C304">
            <w:pPr>
              <w:ind w:firstLine="480" w:firstLineChars="200"/>
              <w:rPr>
                <w:color w:val="auto"/>
              </w:rPr>
            </w:pPr>
            <w:r>
              <w:rPr>
                <w:color w:val="auto"/>
              </w:rPr>
              <w:t>本项目燃气锅炉加装低氮燃烧器。低氮燃烧器是通过改变燃烧设备的燃烧条件来降低NO</w:t>
            </w:r>
            <w:r>
              <w:rPr>
                <w:rFonts w:hint="eastAsia"/>
                <w:color w:val="auto"/>
                <w:vertAlign w:val="subscript"/>
              </w:rPr>
              <w:t>X</w:t>
            </w:r>
            <w:r>
              <w:rPr>
                <w:color w:val="auto"/>
              </w:rPr>
              <w:t>的形成，具体来说，是通过调节燃烧温度、烟气中的氧浓度、烟气在高温区的停留时间等方法来抑制NO</w:t>
            </w:r>
            <w:r>
              <w:rPr>
                <w:rFonts w:hint="eastAsia"/>
                <w:color w:val="auto"/>
                <w:vertAlign w:val="subscript"/>
              </w:rPr>
              <w:t>X</w:t>
            </w:r>
            <w:r>
              <w:rPr>
                <w:color w:val="auto"/>
              </w:rPr>
              <w:t>的生成或破坏已生成的NO</w:t>
            </w:r>
            <w:r>
              <w:rPr>
                <w:rFonts w:hint="eastAsia"/>
                <w:color w:val="auto"/>
                <w:vertAlign w:val="subscript"/>
              </w:rPr>
              <w:t>X</w:t>
            </w:r>
            <w:r>
              <w:rPr>
                <w:color w:val="auto"/>
              </w:rPr>
              <w:t>。本项目低氮燃烧技术采用二段燃烧法来进行计算。二段燃烧法</w:t>
            </w:r>
            <w:r>
              <w:rPr>
                <w:rFonts w:hint="eastAsia"/>
                <w:color w:val="auto"/>
              </w:rPr>
              <w:t>：</w:t>
            </w:r>
            <w:r>
              <w:rPr>
                <w:color w:val="auto"/>
              </w:rPr>
              <w:t>该方法是目前应用最广泛的分段燃烧技术，将燃料的燃烧过程分段来完成。第阶段燃烧中，只将总燃烧空气量的70%~75%监测理论空气量的80%供入炉膛，使燃料在缺氧的富燃料条件下燃烧，能抑制NO</w:t>
            </w:r>
            <w:r>
              <w:rPr>
                <w:rFonts w:hint="eastAsia"/>
                <w:color w:val="auto"/>
                <w:vertAlign w:val="subscript"/>
              </w:rPr>
              <w:t>X</w:t>
            </w:r>
            <w:r>
              <w:rPr>
                <w:color w:val="auto"/>
              </w:rPr>
              <w:t>的生成</w:t>
            </w:r>
            <w:r>
              <w:rPr>
                <w:rFonts w:hint="eastAsia"/>
                <w:color w:val="auto"/>
              </w:rPr>
              <w:t>：</w:t>
            </w:r>
            <w:r>
              <w:rPr>
                <w:color w:val="auto"/>
              </w:rPr>
              <w:t>第二阶段通过足量的空气，使剩余燃料燃尽，此段中氧气过量，但温度低，生成的NO</w:t>
            </w:r>
            <w:r>
              <w:rPr>
                <w:rFonts w:hint="eastAsia"/>
                <w:color w:val="auto"/>
                <w:vertAlign w:val="subscript"/>
              </w:rPr>
              <w:t>X</w:t>
            </w:r>
            <w:r>
              <w:rPr>
                <w:color w:val="auto"/>
              </w:rPr>
              <w:t>也较少。</w:t>
            </w:r>
          </w:p>
          <w:p w14:paraId="39C86099">
            <w:pPr>
              <w:ind w:firstLine="480" w:firstLineChars="200"/>
              <w:rPr>
                <w:color w:val="auto"/>
              </w:rPr>
            </w:pPr>
            <w:r>
              <w:rPr>
                <w:rFonts w:hint="eastAsia"/>
                <w:color w:val="auto"/>
              </w:rPr>
              <w:t>三）</w:t>
            </w:r>
            <w:r>
              <w:rPr>
                <w:color w:val="auto"/>
              </w:rPr>
              <w:t>软水装置系统</w:t>
            </w:r>
          </w:p>
          <w:p w14:paraId="674F9259">
            <w:pPr>
              <w:spacing w:line="360" w:lineRule="auto"/>
              <w:ind w:firstLine="480" w:firstLineChars="200"/>
              <w:rPr>
                <w:rFonts w:hint="eastAsia" w:ascii="Times New Roman" w:hAnsi="Times New Roman" w:cs="Times New Roman"/>
                <w:color w:val="auto"/>
                <w:kern w:val="0"/>
                <w:sz w:val="24"/>
                <w:szCs w:val="24"/>
              </w:rPr>
            </w:pPr>
            <w:r>
              <w:rPr>
                <w:rFonts w:hint="eastAsia"/>
                <w:color w:val="auto"/>
                <w:lang w:val="en-US" w:eastAsia="zh-CN"/>
              </w:rPr>
              <w:t>软水制备间全自动软水器采用一级阳离子交换树脂+一级阴离子交换树脂制备工艺，制备原理如下：</w:t>
            </w:r>
            <w:r>
              <w:rPr>
                <w:rFonts w:hint="eastAsia" w:ascii="Times New Roman" w:hAnsi="Times New Roman" w:cs="Times New Roman"/>
                <w:color w:val="auto"/>
                <w:kern w:val="0"/>
                <w:sz w:val="24"/>
                <w:szCs w:val="24"/>
              </w:rPr>
              <w:t>阳离子交换树脂含有可交换的钠离子，当硬水通过树脂层时，水中的钙离子、镁离子等硬度离子与树脂上的钠离子发生交换反应，钙、镁离子被吸附到树脂上，而钠离子进入水中，从而降低水的硬度。阴离子交换树脂含有可交换的氢氧根离子，当水通过阴离子交换树脂时，水中的阴离子（如碳酸氢根离子、硫酸根离子、氯离子等）与树脂上的氢氧根离子发生交换反应，这些阴离子被吸附到树脂上，而氢氧根离子进入水中</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实现除盐的作用</w:t>
            </w:r>
            <w:r>
              <w:rPr>
                <w:rFonts w:hint="eastAsia" w:ascii="Times New Roman" w:hAnsi="Times New Roman" w:cs="Times New Roman"/>
                <w:color w:val="auto"/>
                <w:kern w:val="0"/>
                <w:sz w:val="24"/>
                <w:szCs w:val="24"/>
              </w:rPr>
              <w:t>。</w:t>
            </w:r>
          </w:p>
          <w:p w14:paraId="1A70F2CA">
            <w:pPr>
              <w:adjustRightInd w:val="0"/>
              <w:snapToGrid w:val="0"/>
              <w:ind w:firstLine="482" w:firstLineChars="200"/>
              <w:rPr>
                <w:b/>
                <w:bCs/>
                <w:color w:val="auto"/>
              </w:rPr>
            </w:pPr>
            <w:r>
              <w:rPr>
                <w:rFonts w:hint="eastAsia"/>
                <w:b/>
                <w:bCs/>
                <w:color w:val="auto"/>
              </w:rPr>
              <w:t>（二）产排污节点分析</w:t>
            </w:r>
          </w:p>
          <w:p w14:paraId="65D24AF8">
            <w:pPr>
              <w:ind w:firstLine="480" w:firstLineChars="200"/>
              <w:rPr>
                <w:color w:val="auto"/>
              </w:rPr>
            </w:pPr>
            <w:r>
              <w:rPr>
                <w:rFonts w:hint="eastAsia"/>
                <w:color w:val="auto"/>
              </w:rPr>
              <w:t>一）废气</w:t>
            </w:r>
          </w:p>
          <w:p w14:paraId="7426E25A">
            <w:pPr>
              <w:widowControl/>
              <w:ind w:firstLine="480" w:firstLineChars="200"/>
              <w:jc w:val="left"/>
              <w:rPr>
                <w:color w:val="auto"/>
              </w:rPr>
            </w:pPr>
            <w:r>
              <w:rPr>
                <w:rFonts w:hint="eastAsia" w:ascii="宋体" w:hAnsi="宋体" w:cs="宋体"/>
                <w:color w:val="auto"/>
                <w:kern w:val="0"/>
                <w:lang w:bidi="ar"/>
              </w:rPr>
              <w:t>主要为锅炉燃烧天然气产生的废气，废气成分主要为</w:t>
            </w:r>
            <w:r>
              <w:rPr>
                <w:color w:val="auto"/>
                <w:kern w:val="0"/>
                <w:lang w:bidi="ar"/>
              </w:rPr>
              <w:t>NOx</w:t>
            </w:r>
            <w:r>
              <w:rPr>
                <w:rFonts w:hint="eastAsia" w:ascii="宋体" w:hAnsi="宋体" w:cs="宋体"/>
                <w:color w:val="auto"/>
                <w:kern w:val="0"/>
                <w:lang w:bidi="ar"/>
              </w:rPr>
              <w:t>、</w:t>
            </w:r>
            <w:r>
              <w:rPr>
                <w:color w:val="auto"/>
                <w:kern w:val="0"/>
                <w:lang w:bidi="ar"/>
              </w:rPr>
              <w:t>SO</w:t>
            </w:r>
            <w:r>
              <w:rPr>
                <w:color w:val="auto"/>
                <w:kern w:val="0"/>
                <w:sz w:val="16"/>
                <w:szCs w:val="16"/>
                <w:lang w:bidi="ar"/>
              </w:rPr>
              <w:t>2</w:t>
            </w:r>
            <w:r>
              <w:rPr>
                <w:rFonts w:hint="eastAsia" w:ascii="宋体" w:hAnsi="宋体" w:cs="宋体"/>
                <w:color w:val="auto"/>
                <w:kern w:val="0"/>
                <w:lang w:bidi="ar"/>
              </w:rPr>
              <w:t>、颗粒物，天然气作为清洁能源，含硫量较低，各类污染物排放量较低，对环境空气质量影响较小。</w:t>
            </w:r>
          </w:p>
          <w:p w14:paraId="32F95E49">
            <w:pPr>
              <w:ind w:firstLine="480" w:firstLineChars="200"/>
              <w:rPr>
                <w:color w:val="auto"/>
              </w:rPr>
            </w:pPr>
            <w:r>
              <w:rPr>
                <w:rFonts w:hint="eastAsia"/>
                <w:color w:val="auto"/>
              </w:rPr>
              <w:t>二）废水</w:t>
            </w:r>
          </w:p>
          <w:p w14:paraId="001741E5">
            <w:pPr>
              <w:widowControl/>
              <w:ind w:firstLine="480" w:firstLineChars="200"/>
              <w:jc w:val="left"/>
              <w:rPr>
                <w:rFonts w:hint="eastAsia" w:ascii="宋体" w:hAnsi="宋体" w:cs="宋体"/>
                <w:color w:val="auto"/>
                <w:kern w:val="0"/>
                <w:lang w:bidi="ar"/>
              </w:rPr>
            </w:pPr>
            <w:r>
              <w:rPr>
                <w:rFonts w:ascii="宋体" w:hAnsi="宋体" w:cs="宋体"/>
                <w:color w:val="auto"/>
                <w:kern w:val="0"/>
                <w:lang w:bidi="ar"/>
              </w:rPr>
              <w:t>运营期废水主要</w:t>
            </w:r>
            <w:r>
              <w:rPr>
                <w:rFonts w:hint="eastAsia" w:ascii="宋体" w:hAnsi="宋体" w:cs="宋体"/>
                <w:color w:val="auto"/>
                <w:kern w:val="0"/>
                <w:lang w:bidi="ar"/>
              </w:rPr>
              <w:t>为</w:t>
            </w:r>
            <w:r>
              <w:rPr>
                <w:rFonts w:ascii="宋体" w:hAnsi="宋体" w:cs="宋体"/>
                <w:color w:val="auto"/>
                <w:kern w:val="0"/>
                <w:lang w:bidi="ar"/>
              </w:rPr>
              <w:t>锅炉排水及软化水系统排水，</w:t>
            </w:r>
            <w:r>
              <w:rPr>
                <w:rFonts w:hint="eastAsia" w:ascii="宋体" w:hAnsi="宋体" w:cs="宋体"/>
                <w:color w:val="auto"/>
                <w:kern w:val="0"/>
                <w:lang w:bidi="ar"/>
              </w:rPr>
              <w:t>本项目无新增</w:t>
            </w:r>
            <w:r>
              <w:rPr>
                <w:rFonts w:ascii="宋体" w:hAnsi="宋体" w:cs="宋体"/>
                <w:color w:val="auto"/>
                <w:kern w:val="0"/>
                <w:lang w:bidi="ar"/>
              </w:rPr>
              <w:t>工作人员，生活污水产生量及去向均未发生变化。</w:t>
            </w:r>
          </w:p>
          <w:p w14:paraId="56AA63B1">
            <w:pPr>
              <w:ind w:firstLine="480" w:firstLineChars="200"/>
              <w:rPr>
                <w:rFonts w:hint="eastAsia" w:ascii="宋体" w:hAnsi="宋体" w:cs="宋体"/>
                <w:color w:val="auto"/>
                <w:kern w:val="0"/>
                <w:lang w:bidi="ar"/>
              </w:rPr>
            </w:pPr>
            <w:r>
              <w:rPr>
                <w:rFonts w:hint="eastAsia"/>
                <w:color w:val="auto"/>
              </w:rPr>
              <w:t>三）噪声</w:t>
            </w:r>
          </w:p>
          <w:p w14:paraId="0836EAF5">
            <w:pPr>
              <w:ind w:firstLine="480" w:firstLineChars="200"/>
              <w:rPr>
                <w:color w:val="auto"/>
                <w:kern w:val="0"/>
                <w:lang w:bidi="ar"/>
              </w:rPr>
            </w:pPr>
            <w:r>
              <w:rPr>
                <w:color w:val="auto"/>
                <w:kern w:val="0"/>
                <w:lang w:bidi="ar"/>
              </w:rPr>
              <w:t>本项目噪声源主要为锅炉设备，包括锅炉燃烧机、风机、水泵等设备运行噪声，噪声值在</w:t>
            </w:r>
            <w:r>
              <w:rPr>
                <w:rFonts w:hint="eastAsia"/>
                <w:color w:val="auto"/>
              </w:rPr>
              <w:t>80~90 dB（A）</w:t>
            </w:r>
            <w:r>
              <w:rPr>
                <w:color w:val="auto"/>
                <w:kern w:val="0"/>
                <w:lang w:bidi="ar"/>
              </w:rPr>
              <w:t>之间，通过合理布局、选用先进设备、设立减振台座、建筑隔声等措施降低设备噪声对环境的影响，</w:t>
            </w:r>
            <w:r>
              <w:rPr>
                <w:rFonts w:hint="eastAsia"/>
                <w:color w:val="auto"/>
              </w:rPr>
              <w:t>噪声被控制在70dB（A）以下</w:t>
            </w:r>
            <w:r>
              <w:rPr>
                <w:color w:val="auto"/>
                <w:kern w:val="0"/>
                <w:lang w:bidi="ar"/>
              </w:rPr>
              <w:t>。</w:t>
            </w:r>
          </w:p>
          <w:p w14:paraId="42ED5064">
            <w:pPr>
              <w:ind w:firstLine="480" w:firstLineChars="200"/>
              <w:rPr>
                <w:color w:val="auto"/>
              </w:rPr>
            </w:pPr>
            <w:r>
              <w:rPr>
                <w:rFonts w:hint="eastAsia"/>
                <w:color w:val="auto"/>
              </w:rPr>
              <w:t>四）固废</w:t>
            </w:r>
          </w:p>
          <w:p w14:paraId="3A68F891">
            <w:pPr>
              <w:ind w:firstLine="480" w:firstLineChars="200"/>
              <w:rPr>
                <w:color w:val="auto"/>
              </w:rPr>
            </w:pPr>
            <w:r>
              <w:rPr>
                <w:color w:val="auto"/>
              </w:rPr>
              <w:t>本项目固体废物主要为更换的废离子交换树脂。</w:t>
            </w:r>
          </w:p>
          <w:p w14:paraId="2183B0B6">
            <w:pPr>
              <w:ind w:firstLine="480" w:firstLineChars="200"/>
              <w:rPr>
                <w:color w:val="auto"/>
              </w:rPr>
            </w:pPr>
            <w:r>
              <w:rPr>
                <w:rFonts w:hint="eastAsia"/>
                <w:color w:val="auto"/>
              </w:rPr>
              <w:t>本项目运营期产排污节点分析表如下：</w:t>
            </w:r>
          </w:p>
          <w:p w14:paraId="454CA3EF">
            <w:pPr>
              <w:pStyle w:val="52"/>
              <w:rPr>
                <w:color w:val="auto"/>
              </w:rPr>
            </w:pPr>
            <w:r>
              <w:rPr>
                <w:color w:val="auto"/>
              </w:rPr>
              <w:t>表</w:t>
            </w:r>
            <w:r>
              <w:rPr>
                <w:rFonts w:hint="eastAsia"/>
                <w:color w:val="auto"/>
              </w:rPr>
              <w:t>2-6</w:t>
            </w:r>
            <w:r>
              <w:rPr>
                <w:rFonts w:hint="eastAsia" w:eastAsia="宋体"/>
                <w:color w:val="auto"/>
              </w:rPr>
              <w:t xml:space="preserve"> </w:t>
            </w:r>
            <w:r>
              <w:rPr>
                <w:color w:val="auto"/>
              </w:rPr>
              <w:t xml:space="preserve"> </w:t>
            </w:r>
            <w:r>
              <w:rPr>
                <w:rFonts w:hint="eastAsia"/>
                <w:color w:val="auto"/>
              </w:rPr>
              <w:t>产排污节点及治理措施一览表</w:t>
            </w:r>
          </w:p>
          <w:tbl>
            <w:tblPr>
              <w:tblStyle w:val="68"/>
              <w:tblW w:w="4998"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418"/>
              <w:gridCol w:w="2107"/>
              <w:gridCol w:w="1507"/>
              <w:gridCol w:w="1849"/>
            </w:tblGrid>
            <w:tr w14:paraId="1C7BD7D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7" w:type="pct"/>
                  <w:tcBorders>
                    <w:tl2br w:val="nil"/>
                    <w:tr2bl w:val="nil"/>
                  </w:tcBorders>
                  <w:vAlign w:val="center"/>
                </w:tcPr>
                <w:p w14:paraId="75700260">
                  <w:pPr>
                    <w:pStyle w:val="59"/>
                    <w:rPr>
                      <w:color w:val="auto"/>
                    </w:rPr>
                  </w:pPr>
                  <w:r>
                    <w:rPr>
                      <w:rFonts w:hint="eastAsia"/>
                      <w:color w:val="auto"/>
                    </w:rPr>
                    <w:t>类别</w:t>
                  </w:r>
                </w:p>
              </w:tc>
              <w:tc>
                <w:tcPr>
                  <w:tcW w:w="845" w:type="pct"/>
                  <w:tcBorders>
                    <w:tl2br w:val="nil"/>
                    <w:tr2bl w:val="nil"/>
                  </w:tcBorders>
                  <w:vAlign w:val="center"/>
                </w:tcPr>
                <w:p w14:paraId="67CF958A">
                  <w:pPr>
                    <w:pStyle w:val="59"/>
                    <w:rPr>
                      <w:color w:val="auto"/>
                      <w:lang w:bidi="ar"/>
                    </w:rPr>
                  </w:pPr>
                  <w:r>
                    <w:rPr>
                      <w:rFonts w:hint="eastAsia"/>
                      <w:color w:val="auto"/>
                      <w:lang w:bidi="ar"/>
                    </w:rPr>
                    <w:t>污染物</w:t>
                  </w:r>
                </w:p>
              </w:tc>
              <w:tc>
                <w:tcPr>
                  <w:tcW w:w="1256" w:type="pct"/>
                  <w:tcBorders>
                    <w:tl2br w:val="nil"/>
                    <w:tr2bl w:val="nil"/>
                  </w:tcBorders>
                  <w:vAlign w:val="center"/>
                </w:tcPr>
                <w:p w14:paraId="4B2CC2A3">
                  <w:pPr>
                    <w:pStyle w:val="59"/>
                    <w:rPr>
                      <w:color w:val="auto"/>
                    </w:rPr>
                  </w:pPr>
                  <w:r>
                    <w:rPr>
                      <w:rFonts w:hint="eastAsia"/>
                      <w:color w:val="auto"/>
                    </w:rPr>
                    <w:t>主要污染因子</w:t>
                  </w:r>
                </w:p>
              </w:tc>
              <w:tc>
                <w:tcPr>
                  <w:tcW w:w="898" w:type="pct"/>
                  <w:tcBorders>
                    <w:tl2br w:val="nil"/>
                    <w:tr2bl w:val="nil"/>
                  </w:tcBorders>
                  <w:vAlign w:val="center"/>
                </w:tcPr>
                <w:p w14:paraId="4B2F2778">
                  <w:pPr>
                    <w:pStyle w:val="59"/>
                    <w:rPr>
                      <w:color w:val="auto"/>
                    </w:rPr>
                  </w:pPr>
                  <w:r>
                    <w:rPr>
                      <w:rFonts w:hint="eastAsia"/>
                      <w:color w:val="auto"/>
                    </w:rPr>
                    <w:t>产生环节</w:t>
                  </w:r>
                </w:p>
              </w:tc>
              <w:tc>
                <w:tcPr>
                  <w:tcW w:w="1102" w:type="pct"/>
                  <w:tcBorders>
                    <w:tl2br w:val="nil"/>
                    <w:tr2bl w:val="nil"/>
                  </w:tcBorders>
                  <w:vAlign w:val="center"/>
                </w:tcPr>
                <w:p w14:paraId="6BAA409E">
                  <w:pPr>
                    <w:pStyle w:val="59"/>
                    <w:rPr>
                      <w:color w:val="auto"/>
                    </w:rPr>
                  </w:pPr>
                  <w:r>
                    <w:rPr>
                      <w:rFonts w:hint="eastAsia"/>
                      <w:color w:val="auto"/>
                    </w:rPr>
                    <w:t>所在工段</w:t>
                  </w:r>
                </w:p>
              </w:tc>
            </w:tr>
            <w:tr w14:paraId="7ED62A4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7" w:type="pct"/>
                  <w:tcBorders>
                    <w:tl2br w:val="nil"/>
                    <w:tr2bl w:val="nil"/>
                  </w:tcBorders>
                  <w:vAlign w:val="center"/>
                </w:tcPr>
                <w:p w14:paraId="355D9F4B">
                  <w:pPr>
                    <w:pStyle w:val="59"/>
                    <w:rPr>
                      <w:color w:val="auto"/>
                      <w:lang w:bidi="ar"/>
                    </w:rPr>
                  </w:pPr>
                  <w:r>
                    <w:rPr>
                      <w:rFonts w:hint="eastAsia"/>
                      <w:color w:val="auto"/>
                      <w:lang w:bidi="ar"/>
                    </w:rPr>
                    <w:t>废气</w:t>
                  </w:r>
                </w:p>
              </w:tc>
              <w:tc>
                <w:tcPr>
                  <w:tcW w:w="845" w:type="pct"/>
                  <w:tcBorders>
                    <w:tl2br w:val="nil"/>
                    <w:tr2bl w:val="nil"/>
                  </w:tcBorders>
                  <w:vAlign w:val="center"/>
                </w:tcPr>
                <w:p w14:paraId="2A3275F7">
                  <w:pPr>
                    <w:pStyle w:val="59"/>
                    <w:rPr>
                      <w:color w:val="auto"/>
                      <w:lang w:bidi="ar"/>
                    </w:rPr>
                  </w:pPr>
                  <w:r>
                    <w:rPr>
                      <w:rFonts w:hint="eastAsia"/>
                      <w:color w:val="auto"/>
                      <w:lang w:bidi="ar"/>
                    </w:rPr>
                    <w:t>锅炉废气</w:t>
                  </w:r>
                </w:p>
              </w:tc>
              <w:tc>
                <w:tcPr>
                  <w:tcW w:w="1256" w:type="pct"/>
                  <w:tcBorders>
                    <w:tl2br w:val="nil"/>
                    <w:tr2bl w:val="nil"/>
                  </w:tcBorders>
                  <w:vAlign w:val="center"/>
                </w:tcPr>
                <w:p w14:paraId="025607A9">
                  <w:pPr>
                    <w:pStyle w:val="59"/>
                    <w:rPr>
                      <w:color w:val="auto"/>
                      <w:lang w:bidi="ar"/>
                    </w:rPr>
                  </w:pPr>
                  <w:r>
                    <w:rPr>
                      <w:rFonts w:hint="eastAsia"/>
                      <w:color w:val="auto"/>
                      <w:lang w:bidi="ar"/>
                    </w:rPr>
                    <w:t>二氧化硫、氮氧化物、颗粒物</w:t>
                  </w:r>
                </w:p>
              </w:tc>
              <w:tc>
                <w:tcPr>
                  <w:tcW w:w="898" w:type="pct"/>
                  <w:tcBorders>
                    <w:tl2br w:val="nil"/>
                    <w:tr2bl w:val="nil"/>
                  </w:tcBorders>
                  <w:vAlign w:val="center"/>
                </w:tcPr>
                <w:p w14:paraId="4D9224A7">
                  <w:pPr>
                    <w:pStyle w:val="59"/>
                    <w:rPr>
                      <w:color w:val="auto"/>
                      <w:lang w:bidi="ar"/>
                    </w:rPr>
                  </w:pPr>
                  <w:r>
                    <w:rPr>
                      <w:rFonts w:hint="eastAsia"/>
                      <w:color w:val="auto"/>
                      <w:lang w:bidi="ar"/>
                    </w:rPr>
                    <w:t>天然气燃烧</w:t>
                  </w:r>
                </w:p>
              </w:tc>
              <w:tc>
                <w:tcPr>
                  <w:tcW w:w="1102" w:type="pct"/>
                  <w:tcBorders>
                    <w:tl2br w:val="nil"/>
                    <w:tr2bl w:val="nil"/>
                  </w:tcBorders>
                  <w:vAlign w:val="center"/>
                </w:tcPr>
                <w:p w14:paraId="59EEC5F0">
                  <w:pPr>
                    <w:pStyle w:val="59"/>
                    <w:rPr>
                      <w:color w:val="auto"/>
                      <w:lang w:bidi="ar"/>
                    </w:rPr>
                  </w:pPr>
                  <w:r>
                    <w:rPr>
                      <w:rFonts w:hint="eastAsia"/>
                      <w:color w:val="auto"/>
                      <w:lang w:bidi="ar"/>
                    </w:rPr>
                    <w:t>锅炉运行</w:t>
                  </w:r>
                </w:p>
              </w:tc>
            </w:tr>
            <w:tr w14:paraId="630EDB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7" w:type="pct"/>
                  <w:vMerge w:val="restart"/>
                  <w:tcBorders>
                    <w:tl2br w:val="nil"/>
                    <w:tr2bl w:val="nil"/>
                  </w:tcBorders>
                  <w:vAlign w:val="center"/>
                </w:tcPr>
                <w:p w14:paraId="1A2D4EFD">
                  <w:pPr>
                    <w:pStyle w:val="59"/>
                    <w:rPr>
                      <w:color w:val="auto"/>
                      <w:lang w:bidi="ar"/>
                    </w:rPr>
                  </w:pPr>
                  <w:r>
                    <w:rPr>
                      <w:rFonts w:hint="eastAsia"/>
                      <w:color w:val="auto"/>
                      <w:lang w:bidi="ar"/>
                    </w:rPr>
                    <w:t>废水</w:t>
                  </w:r>
                </w:p>
              </w:tc>
              <w:tc>
                <w:tcPr>
                  <w:tcW w:w="845" w:type="pct"/>
                  <w:tcBorders>
                    <w:tl2br w:val="nil"/>
                    <w:tr2bl w:val="nil"/>
                  </w:tcBorders>
                  <w:vAlign w:val="center"/>
                </w:tcPr>
                <w:p w14:paraId="7176D319">
                  <w:pPr>
                    <w:pStyle w:val="59"/>
                    <w:rPr>
                      <w:color w:val="auto"/>
                      <w:lang w:bidi="ar"/>
                    </w:rPr>
                  </w:pPr>
                  <w:r>
                    <w:rPr>
                      <w:rFonts w:hint="eastAsia"/>
                      <w:color w:val="auto"/>
                      <w:lang w:bidi="ar"/>
                    </w:rPr>
                    <w:t>软水设备排水</w:t>
                  </w:r>
                </w:p>
              </w:tc>
              <w:tc>
                <w:tcPr>
                  <w:tcW w:w="1256" w:type="pct"/>
                  <w:vMerge w:val="restart"/>
                  <w:tcBorders>
                    <w:tl2br w:val="nil"/>
                    <w:tr2bl w:val="nil"/>
                  </w:tcBorders>
                  <w:vAlign w:val="center"/>
                </w:tcPr>
                <w:p w14:paraId="557DCC69">
                  <w:pPr>
                    <w:pStyle w:val="59"/>
                    <w:rPr>
                      <w:color w:val="auto"/>
                      <w:lang w:bidi="ar"/>
                    </w:rPr>
                  </w:pPr>
                  <w:r>
                    <w:rPr>
                      <w:rFonts w:hint="eastAsia"/>
                      <w:color w:val="auto"/>
                      <w:lang w:bidi="ar"/>
                    </w:rPr>
                    <w:t>pH、化学需氧量、溶解性总固体</w:t>
                  </w:r>
                </w:p>
              </w:tc>
              <w:tc>
                <w:tcPr>
                  <w:tcW w:w="898" w:type="pct"/>
                  <w:tcBorders>
                    <w:tl2br w:val="nil"/>
                    <w:tr2bl w:val="nil"/>
                  </w:tcBorders>
                  <w:vAlign w:val="center"/>
                </w:tcPr>
                <w:p w14:paraId="6ED35337">
                  <w:pPr>
                    <w:pStyle w:val="59"/>
                    <w:rPr>
                      <w:color w:val="auto"/>
                      <w:lang w:bidi="ar"/>
                    </w:rPr>
                  </w:pPr>
                  <w:r>
                    <w:rPr>
                      <w:rFonts w:hint="eastAsia"/>
                      <w:color w:val="auto"/>
                      <w:lang w:bidi="ar"/>
                    </w:rPr>
                    <w:t>软水制备</w:t>
                  </w:r>
                </w:p>
              </w:tc>
              <w:tc>
                <w:tcPr>
                  <w:tcW w:w="1102" w:type="pct"/>
                  <w:tcBorders>
                    <w:tl2br w:val="nil"/>
                    <w:tr2bl w:val="nil"/>
                  </w:tcBorders>
                  <w:vAlign w:val="center"/>
                </w:tcPr>
                <w:p w14:paraId="68010E92">
                  <w:pPr>
                    <w:pStyle w:val="59"/>
                    <w:rPr>
                      <w:color w:val="auto"/>
                      <w:lang w:bidi="ar"/>
                    </w:rPr>
                  </w:pPr>
                  <w:r>
                    <w:rPr>
                      <w:rFonts w:hint="eastAsia"/>
                      <w:color w:val="auto"/>
                      <w:lang w:bidi="ar"/>
                    </w:rPr>
                    <w:t>软水制备</w:t>
                  </w:r>
                </w:p>
              </w:tc>
            </w:tr>
            <w:tr w14:paraId="6B53894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97" w:type="pct"/>
                  <w:vMerge w:val="continue"/>
                  <w:tcBorders>
                    <w:tl2br w:val="nil"/>
                    <w:tr2bl w:val="nil"/>
                  </w:tcBorders>
                  <w:vAlign w:val="center"/>
                </w:tcPr>
                <w:p w14:paraId="62B05812">
                  <w:pPr>
                    <w:pStyle w:val="59"/>
                    <w:rPr>
                      <w:color w:val="auto"/>
                      <w:lang w:bidi="ar"/>
                    </w:rPr>
                  </w:pPr>
                </w:p>
              </w:tc>
              <w:tc>
                <w:tcPr>
                  <w:tcW w:w="845" w:type="pct"/>
                  <w:tcBorders>
                    <w:tl2br w:val="nil"/>
                    <w:tr2bl w:val="nil"/>
                  </w:tcBorders>
                  <w:vAlign w:val="center"/>
                </w:tcPr>
                <w:p w14:paraId="69AE0178">
                  <w:pPr>
                    <w:pStyle w:val="59"/>
                    <w:rPr>
                      <w:color w:val="auto"/>
                      <w:lang w:bidi="ar"/>
                    </w:rPr>
                  </w:pPr>
                  <w:r>
                    <w:rPr>
                      <w:rFonts w:hint="eastAsia"/>
                      <w:color w:val="auto"/>
                      <w:lang w:bidi="ar"/>
                    </w:rPr>
                    <w:t>锅炉排水</w:t>
                  </w:r>
                </w:p>
              </w:tc>
              <w:tc>
                <w:tcPr>
                  <w:tcW w:w="1256" w:type="pct"/>
                  <w:vMerge w:val="continue"/>
                  <w:tcBorders>
                    <w:tl2br w:val="nil"/>
                    <w:tr2bl w:val="nil"/>
                  </w:tcBorders>
                  <w:vAlign w:val="center"/>
                </w:tcPr>
                <w:p w14:paraId="5215A918">
                  <w:pPr>
                    <w:pStyle w:val="59"/>
                    <w:rPr>
                      <w:color w:val="auto"/>
                      <w:lang w:bidi="ar"/>
                    </w:rPr>
                  </w:pPr>
                </w:p>
              </w:tc>
              <w:tc>
                <w:tcPr>
                  <w:tcW w:w="898" w:type="pct"/>
                  <w:tcBorders>
                    <w:tl2br w:val="nil"/>
                    <w:tr2bl w:val="nil"/>
                  </w:tcBorders>
                  <w:vAlign w:val="center"/>
                </w:tcPr>
                <w:p w14:paraId="0867CF17">
                  <w:pPr>
                    <w:pStyle w:val="59"/>
                    <w:rPr>
                      <w:color w:val="auto"/>
                      <w:lang w:bidi="ar"/>
                    </w:rPr>
                  </w:pPr>
                  <w:r>
                    <w:rPr>
                      <w:rFonts w:hint="eastAsia"/>
                      <w:color w:val="auto"/>
                      <w:lang w:bidi="ar"/>
                    </w:rPr>
                    <w:t>锅炉排污</w:t>
                  </w:r>
                </w:p>
              </w:tc>
              <w:tc>
                <w:tcPr>
                  <w:tcW w:w="1102" w:type="pct"/>
                  <w:tcBorders>
                    <w:tl2br w:val="nil"/>
                    <w:tr2bl w:val="nil"/>
                  </w:tcBorders>
                  <w:vAlign w:val="center"/>
                </w:tcPr>
                <w:p w14:paraId="3BA95D73">
                  <w:pPr>
                    <w:pStyle w:val="59"/>
                    <w:rPr>
                      <w:color w:val="auto"/>
                      <w:lang w:bidi="ar"/>
                    </w:rPr>
                  </w:pPr>
                  <w:r>
                    <w:rPr>
                      <w:rFonts w:hint="eastAsia"/>
                      <w:color w:val="auto"/>
                      <w:lang w:bidi="ar"/>
                    </w:rPr>
                    <w:t>锅炉运行</w:t>
                  </w:r>
                </w:p>
              </w:tc>
            </w:tr>
            <w:tr w14:paraId="234194A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7" w:type="pct"/>
                  <w:tcBorders>
                    <w:tl2br w:val="nil"/>
                    <w:tr2bl w:val="nil"/>
                  </w:tcBorders>
                  <w:vAlign w:val="center"/>
                </w:tcPr>
                <w:p w14:paraId="779C1BB6">
                  <w:pPr>
                    <w:pStyle w:val="59"/>
                    <w:rPr>
                      <w:color w:val="auto"/>
                      <w:lang w:bidi="ar"/>
                    </w:rPr>
                  </w:pPr>
                  <w:r>
                    <w:rPr>
                      <w:rFonts w:hint="eastAsia"/>
                      <w:color w:val="auto"/>
                      <w:lang w:bidi="ar"/>
                    </w:rPr>
                    <w:t>噪声</w:t>
                  </w:r>
                </w:p>
              </w:tc>
              <w:tc>
                <w:tcPr>
                  <w:tcW w:w="845" w:type="pct"/>
                  <w:tcBorders>
                    <w:tl2br w:val="nil"/>
                    <w:tr2bl w:val="nil"/>
                  </w:tcBorders>
                  <w:vAlign w:val="center"/>
                </w:tcPr>
                <w:p w14:paraId="46705269">
                  <w:pPr>
                    <w:pStyle w:val="59"/>
                    <w:rPr>
                      <w:color w:val="auto"/>
                      <w:lang w:bidi="ar"/>
                    </w:rPr>
                  </w:pPr>
                  <w:r>
                    <w:rPr>
                      <w:rFonts w:hint="eastAsia"/>
                      <w:color w:val="auto"/>
                      <w:lang w:bidi="ar"/>
                    </w:rPr>
                    <w:t>设备噪声</w:t>
                  </w:r>
                </w:p>
              </w:tc>
              <w:tc>
                <w:tcPr>
                  <w:tcW w:w="1256" w:type="pct"/>
                  <w:tcBorders>
                    <w:tl2br w:val="nil"/>
                    <w:tr2bl w:val="nil"/>
                  </w:tcBorders>
                  <w:vAlign w:val="center"/>
                </w:tcPr>
                <w:p w14:paraId="2B8C57B0">
                  <w:pPr>
                    <w:pStyle w:val="59"/>
                    <w:rPr>
                      <w:color w:val="auto"/>
                      <w:lang w:bidi="ar"/>
                    </w:rPr>
                  </w:pPr>
                  <w:r>
                    <w:rPr>
                      <w:rFonts w:hint="eastAsia"/>
                      <w:color w:val="auto"/>
                      <w:lang w:bidi="ar"/>
                    </w:rPr>
                    <w:t>等效A声级</w:t>
                  </w:r>
                </w:p>
              </w:tc>
              <w:tc>
                <w:tcPr>
                  <w:tcW w:w="898" w:type="pct"/>
                  <w:tcBorders>
                    <w:tl2br w:val="nil"/>
                    <w:tr2bl w:val="nil"/>
                  </w:tcBorders>
                  <w:vAlign w:val="center"/>
                </w:tcPr>
                <w:p w14:paraId="5C5E670F">
                  <w:pPr>
                    <w:pStyle w:val="59"/>
                    <w:rPr>
                      <w:color w:val="auto"/>
                      <w:lang w:bidi="ar"/>
                    </w:rPr>
                  </w:pPr>
                  <w:r>
                    <w:rPr>
                      <w:rFonts w:hint="eastAsia"/>
                      <w:color w:val="auto"/>
                      <w:lang w:bidi="ar"/>
                    </w:rPr>
                    <w:t>设备噪声</w:t>
                  </w:r>
                </w:p>
              </w:tc>
              <w:tc>
                <w:tcPr>
                  <w:tcW w:w="1102" w:type="pct"/>
                  <w:tcBorders>
                    <w:tl2br w:val="nil"/>
                    <w:tr2bl w:val="nil"/>
                  </w:tcBorders>
                  <w:vAlign w:val="center"/>
                </w:tcPr>
                <w:p w14:paraId="4F25008C">
                  <w:pPr>
                    <w:pStyle w:val="59"/>
                    <w:rPr>
                      <w:color w:val="auto"/>
                      <w:lang w:bidi="ar"/>
                    </w:rPr>
                  </w:pPr>
                  <w:r>
                    <w:rPr>
                      <w:rFonts w:hint="eastAsia"/>
                      <w:color w:val="auto"/>
                      <w:lang w:bidi="ar"/>
                    </w:rPr>
                    <w:t>各工段</w:t>
                  </w:r>
                </w:p>
              </w:tc>
            </w:tr>
            <w:tr w14:paraId="2282C7F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7" w:type="pct"/>
                  <w:tcBorders>
                    <w:tl2br w:val="nil"/>
                    <w:tr2bl w:val="nil"/>
                  </w:tcBorders>
                  <w:vAlign w:val="center"/>
                </w:tcPr>
                <w:p w14:paraId="12D7470C">
                  <w:pPr>
                    <w:pStyle w:val="59"/>
                    <w:rPr>
                      <w:color w:val="auto"/>
                      <w:lang w:bidi="ar"/>
                    </w:rPr>
                  </w:pPr>
                  <w:r>
                    <w:rPr>
                      <w:rFonts w:hint="eastAsia"/>
                      <w:color w:val="auto"/>
                      <w:lang w:bidi="ar"/>
                    </w:rPr>
                    <w:t>固废</w:t>
                  </w:r>
                </w:p>
              </w:tc>
              <w:tc>
                <w:tcPr>
                  <w:tcW w:w="845" w:type="pct"/>
                  <w:tcBorders>
                    <w:tl2br w:val="nil"/>
                    <w:tr2bl w:val="nil"/>
                  </w:tcBorders>
                  <w:vAlign w:val="center"/>
                </w:tcPr>
                <w:p w14:paraId="31904169">
                  <w:pPr>
                    <w:pStyle w:val="59"/>
                    <w:rPr>
                      <w:color w:val="auto"/>
                      <w:lang w:bidi="ar"/>
                    </w:rPr>
                  </w:pPr>
                  <w:r>
                    <w:rPr>
                      <w:rFonts w:hint="eastAsia"/>
                      <w:color w:val="auto"/>
                      <w:lang w:bidi="ar"/>
                    </w:rPr>
                    <w:t>废离子交换树脂</w:t>
                  </w:r>
                </w:p>
              </w:tc>
              <w:tc>
                <w:tcPr>
                  <w:tcW w:w="1256" w:type="pct"/>
                  <w:tcBorders>
                    <w:tl2br w:val="nil"/>
                    <w:tr2bl w:val="nil"/>
                  </w:tcBorders>
                  <w:vAlign w:val="center"/>
                </w:tcPr>
                <w:p w14:paraId="4D8EEF6C">
                  <w:pPr>
                    <w:pStyle w:val="59"/>
                    <w:rPr>
                      <w:color w:val="auto"/>
                      <w:lang w:bidi="ar"/>
                    </w:rPr>
                  </w:pPr>
                  <w:r>
                    <w:rPr>
                      <w:rFonts w:hint="eastAsia"/>
                      <w:color w:val="auto"/>
                      <w:lang w:bidi="ar"/>
                    </w:rPr>
                    <w:t>/</w:t>
                  </w:r>
                </w:p>
              </w:tc>
              <w:tc>
                <w:tcPr>
                  <w:tcW w:w="898" w:type="pct"/>
                  <w:tcBorders>
                    <w:tl2br w:val="nil"/>
                    <w:tr2bl w:val="nil"/>
                  </w:tcBorders>
                  <w:vAlign w:val="center"/>
                </w:tcPr>
                <w:p w14:paraId="7937F2A6">
                  <w:pPr>
                    <w:pStyle w:val="59"/>
                    <w:rPr>
                      <w:color w:val="auto"/>
                      <w:lang w:bidi="ar"/>
                    </w:rPr>
                  </w:pPr>
                  <w:r>
                    <w:rPr>
                      <w:rFonts w:hint="eastAsia"/>
                      <w:color w:val="auto"/>
                      <w:lang w:bidi="ar"/>
                    </w:rPr>
                    <w:t>设备维护</w:t>
                  </w:r>
                </w:p>
              </w:tc>
              <w:tc>
                <w:tcPr>
                  <w:tcW w:w="1102" w:type="pct"/>
                  <w:tcBorders>
                    <w:tl2br w:val="nil"/>
                    <w:tr2bl w:val="nil"/>
                  </w:tcBorders>
                  <w:vAlign w:val="center"/>
                </w:tcPr>
                <w:p w14:paraId="589CCED3">
                  <w:pPr>
                    <w:pStyle w:val="59"/>
                    <w:rPr>
                      <w:color w:val="auto"/>
                      <w:lang w:bidi="ar"/>
                    </w:rPr>
                  </w:pPr>
                  <w:r>
                    <w:rPr>
                      <w:rFonts w:hint="eastAsia"/>
                      <w:color w:val="auto"/>
                      <w:lang w:bidi="ar"/>
                    </w:rPr>
                    <w:t>软水制备</w:t>
                  </w:r>
                </w:p>
              </w:tc>
            </w:tr>
          </w:tbl>
          <w:p w14:paraId="7FA7D419">
            <w:pPr>
              <w:rPr>
                <w:rFonts w:hint="eastAsia"/>
                <w:color w:val="auto"/>
              </w:rPr>
            </w:pPr>
          </w:p>
        </w:tc>
      </w:tr>
      <w:tr w14:paraId="3DAD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820" w:type="dxa"/>
            <w:vAlign w:val="center"/>
          </w:tcPr>
          <w:p w14:paraId="5346430E">
            <w:pPr>
              <w:pStyle w:val="15"/>
              <w:adjustRightInd w:val="0"/>
              <w:snapToGrid w:val="0"/>
              <w:spacing w:before="0" w:beforeAutospacing="0" w:after="0" w:afterAutospacing="0" w:line="240" w:lineRule="auto"/>
              <w:jc w:val="center"/>
              <w:rPr>
                <w:rFonts w:ascii="Times New Roman" w:hAnsi="Times New Roman"/>
                <w:color w:val="auto"/>
                <w:sz w:val="21"/>
                <w:szCs w:val="21"/>
              </w:rPr>
            </w:pPr>
            <w:r>
              <w:rPr>
                <w:rFonts w:ascii="Times New Roman" w:hAnsi="Times New Roman"/>
                <w:bCs/>
                <w:color w:val="auto"/>
                <w:kern w:val="2"/>
                <w:szCs w:val="24"/>
              </w:rPr>
              <w:t>与项目有关的原有环境污染问题</w:t>
            </w:r>
          </w:p>
        </w:tc>
        <w:tc>
          <w:tcPr>
            <w:tcW w:w="8240" w:type="dxa"/>
            <w:vAlign w:val="center"/>
          </w:tcPr>
          <w:p w14:paraId="7D7DEDEE">
            <w:pPr>
              <w:adjustRightInd w:val="0"/>
              <w:snapToGrid w:val="0"/>
              <w:ind w:firstLine="480" w:firstLineChars="200"/>
              <w:rPr>
                <w:color w:val="auto"/>
              </w:rPr>
            </w:pPr>
            <w:r>
              <w:rPr>
                <w:color w:val="auto"/>
              </w:rPr>
              <w:t>1</w:t>
            </w:r>
            <w:r>
              <w:rPr>
                <w:rFonts w:hint="eastAsia"/>
                <w:color w:val="auto"/>
              </w:rPr>
              <w:t>.现有工程履行环境影响评价</w:t>
            </w:r>
          </w:p>
          <w:p w14:paraId="68877800">
            <w:pPr>
              <w:adjustRightInd w:val="0"/>
              <w:snapToGrid w:val="0"/>
              <w:ind w:firstLine="480" w:firstLineChars="200"/>
              <w:rPr>
                <w:color w:val="auto"/>
              </w:rPr>
            </w:pPr>
            <w:r>
              <w:rPr>
                <w:color w:val="auto"/>
              </w:rPr>
              <w:t>伊金霍洛旗澎源供水有限责任公司于</w:t>
            </w:r>
            <w:r>
              <w:rPr>
                <w:rFonts w:hint="eastAsia"/>
                <w:color w:val="auto"/>
              </w:rPr>
              <w:t>2023</w:t>
            </w:r>
            <w:r>
              <w:rPr>
                <w:color w:val="auto"/>
              </w:rPr>
              <w:t>年</w:t>
            </w:r>
            <w:r>
              <w:rPr>
                <w:rFonts w:hint="eastAsia"/>
                <w:color w:val="auto"/>
              </w:rPr>
              <w:t>7</w:t>
            </w:r>
            <w:r>
              <w:rPr>
                <w:color w:val="auto"/>
              </w:rPr>
              <w:t>月</w:t>
            </w:r>
            <w:r>
              <w:rPr>
                <w:rFonts w:hint="eastAsia"/>
                <w:color w:val="auto"/>
              </w:rPr>
              <w:t>5</w:t>
            </w:r>
            <w:r>
              <w:rPr>
                <w:color w:val="auto"/>
              </w:rPr>
              <w:t>日取得</w:t>
            </w:r>
            <w:r>
              <w:rPr>
                <w:rFonts w:hint="eastAsia"/>
                <w:color w:val="auto"/>
              </w:rPr>
              <w:t>鄂尔多斯市生态环境局</w:t>
            </w:r>
            <w:r>
              <w:rPr>
                <w:color w:val="auto"/>
              </w:rPr>
              <w:t>《</w:t>
            </w:r>
            <w:r>
              <w:rPr>
                <w:rFonts w:hint="eastAsia"/>
                <w:color w:val="auto"/>
              </w:rPr>
              <w:t>关于鄂尔多斯蒙苏经济产业园零碳产业园工业污水处理厂及水资源再生利用项目环境影响报告书的批复</w:t>
            </w:r>
            <w:r>
              <w:rPr>
                <w:color w:val="auto"/>
              </w:rPr>
              <w:t>》，批复文号为</w:t>
            </w:r>
            <w:r>
              <w:rPr>
                <w:rFonts w:hint="eastAsia"/>
                <w:color w:val="auto"/>
              </w:rPr>
              <w:t>鄂环审字〔2023〕147号</w:t>
            </w:r>
            <w:r>
              <w:rPr>
                <w:color w:val="auto"/>
              </w:rPr>
              <w:t>。于20</w:t>
            </w:r>
            <w:r>
              <w:rPr>
                <w:rFonts w:hint="eastAsia"/>
                <w:color w:val="auto"/>
              </w:rPr>
              <w:t>23</w:t>
            </w:r>
            <w:r>
              <w:rPr>
                <w:color w:val="auto"/>
              </w:rPr>
              <w:t>年</w:t>
            </w:r>
            <w:r>
              <w:rPr>
                <w:rFonts w:hint="eastAsia"/>
                <w:color w:val="auto"/>
              </w:rPr>
              <w:t>10</w:t>
            </w:r>
            <w:r>
              <w:rPr>
                <w:color w:val="auto"/>
              </w:rPr>
              <w:t>月开始施工，2</w:t>
            </w:r>
            <w:r>
              <w:rPr>
                <w:rFonts w:hint="eastAsia"/>
                <w:color w:val="auto"/>
              </w:rPr>
              <w:t>024</w:t>
            </w:r>
            <w:r>
              <w:rPr>
                <w:color w:val="auto"/>
              </w:rPr>
              <w:t>年</w:t>
            </w:r>
            <w:r>
              <w:rPr>
                <w:rFonts w:hint="eastAsia"/>
                <w:color w:val="auto"/>
              </w:rPr>
              <w:t>10</w:t>
            </w:r>
            <w:r>
              <w:rPr>
                <w:color w:val="auto"/>
              </w:rPr>
              <w:t>月竣工，20</w:t>
            </w:r>
            <w:r>
              <w:rPr>
                <w:rFonts w:hint="eastAsia"/>
                <w:color w:val="auto"/>
              </w:rPr>
              <w:t>24</w:t>
            </w:r>
            <w:r>
              <w:rPr>
                <w:color w:val="auto"/>
              </w:rPr>
              <w:t>年</w:t>
            </w:r>
            <w:r>
              <w:rPr>
                <w:rFonts w:hint="eastAsia"/>
                <w:color w:val="auto"/>
              </w:rPr>
              <w:t>11</w:t>
            </w:r>
            <w:r>
              <w:rPr>
                <w:color w:val="auto"/>
              </w:rPr>
              <w:t>月开始试</w:t>
            </w:r>
            <w:r>
              <w:rPr>
                <w:rFonts w:hint="eastAsia"/>
                <w:color w:val="auto"/>
              </w:rPr>
              <w:t>调试运行</w:t>
            </w:r>
            <w:r>
              <w:rPr>
                <w:color w:val="auto"/>
              </w:rPr>
              <w:t>。</w:t>
            </w:r>
          </w:p>
          <w:p w14:paraId="11C8347D">
            <w:pPr>
              <w:adjustRightInd w:val="0"/>
              <w:snapToGrid w:val="0"/>
              <w:ind w:firstLine="480" w:firstLineChars="200"/>
              <w:rPr>
                <w:color w:val="auto"/>
              </w:rPr>
            </w:pPr>
            <w:r>
              <w:rPr>
                <w:color w:val="auto"/>
              </w:rPr>
              <w:t>2</w:t>
            </w:r>
            <w:r>
              <w:rPr>
                <w:rFonts w:hint="eastAsia"/>
                <w:color w:val="auto"/>
              </w:rPr>
              <w:t>.排污许可手续</w:t>
            </w:r>
          </w:p>
          <w:p w14:paraId="079E4FF3">
            <w:pPr>
              <w:adjustRightInd w:val="0"/>
              <w:snapToGrid w:val="0"/>
              <w:ind w:firstLine="480" w:firstLineChars="200"/>
              <w:rPr>
                <w:color w:val="auto"/>
              </w:rPr>
            </w:pPr>
            <w:r>
              <w:rPr>
                <w:color w:val="auto"/>
              </w:rPr>
              <w:t>202</w:t>
            </w:r>
            <w:r>
              <w:rPr>
                <w:rFonts w:hint="eastAsia"/>
                <w:color w:val="auto"/>
              </w:rPr>
              <w:t>4</w:t>
            </w:r>
            <w:r>
              <w:rPr>
                <w:color w:val="auto"/>
              </w:rPr>
              <w:t>年</w:t>
            </w:r>
            <w:r>
              <w:rPr>
                <w:rFonts w:hint="eastAsia"/>
                <w:color w:val="auto"/>
              </w:rPr>
              <w:t>11</w:t>
            </w:r>
            <w:r>
              <w:rPr>
                <w:color w:val="auto"/>
              </w:rPr>
              <w:t>月</w:t>
            </w:r>
            <w:r>
              <w:rPr>
                <w:rFonts w:hint="eastAsia"/>
                <w:color w:val="auto"/>
              </w:rPr>
              <w:t>13</w:t>
            </w:r>
            <w:r>
              <w:rPr>
                <w:color w:val="auto"/>
              </w:rPr>
              <w:t>日取得排污许可证，排污许可证证书编号</w:t>
            </w:r>
            <w:r>
              <w:rPr>
                <w:rFonts w:hint="eastAsia"/>
                <w:color w:val="auto"/>
              </w:rPr>
              <w:t>：91150627MABQHD2X15001V</w:t>
            </w:r>
            <w:r>
              <w:rPr>
                <w:color w:val="auto"/>
              </w:rPr>
              <w:t>，有效期限:自20</w:t>
            </w:r>
            <w:r>
              <w:rPr>
                <w:rFonts w:hint="eastAsia"/>
                <w:color w:val="auto"/>
              </w:rPr>
              <w:t>24</w:t>
            </w:r>
            <w:r>
              <w:rPr>
                <w:color w:val="auto"/>
              </w:rPr>
              <w:t>年</w:t>
            </w:r>
            <w:r>
              <w:rPr>
                <w:rFonts w:hint="eastAsia"/>
                <w:color w:val="auto"/>
              </w:rPr>
              <w:t>11</w:t>
            </w:r>
            <w:r>
              <w:rPr>
                <w:color w:val="auto"/>
              </w:rPr>
              <w:t>月</w:t>
            </w:r>
            <w:r>
              <w:rPr>
                <w:rFonts w:hint="eastAsia"/>
                <w:color w:val="auto"/>
              </w:rPr>
              <w:t>13</w:t>
            </w:r>
            <w:r>
              <w:rPr>
                <w:color w:val="auto"/>
              </w:rPr>
              <w:t>日至202</w:t>
            </w:r>
            <w:r>
              <w:rPr>
                <w:rFonts w:hint="eastAsia"/>
                <w:color w:val="auto"/>
              </w:rPr>
              <w:t>9</w:t>
            </w:r>
            <w:r>
              <w:rPr>
                <w:color w:val="auto"/>
              </w:rPr>
              <w:t>年</w:t>
            </w:r>
            <w:r>
              <w:rPr>
                <w:rFonts w:hint="eastAsia"/>
                <w:color w:val="auto"/>
              </w:rPr>
              <w:t>11</w:t>
            </w:r>
            <w:r>
              <w:rPr>
                <w:color w:val="auto"/>
              </w:rPr>
              <w:t>月</w:t>
            </w:r>
            <w:r>
              <w:rPr>
                <w:rFonts w:hint="eastAsia"/>
                <w:color w:val="auto"/>
              </w:rPr>
              <w:t>12</w:t>
            </w:r>
            <w:r>
              <w:rPr>
                <w:color w:val="auto"/>
              </w:rPr>
              <w:t>日止</w:t>
            </w:r>
            <w:r>
              <w:rPr>
                <w:rFonts w:hint="eastAsia"/>
                <w:color w:val="auto"/>
              </w:rPr>
              <w:t>。</w:t>
            </w:r>
          </w:p>
          <w:p w14:paraId="4AC3D849">
            <w:pPr>
              <w:adjustRightInd w:val="0"/>
              <w:snapToGrid w:val="0"/>
              <w:ind w:firstLine="480" w:firstLineChars="200"/>
              <w:rPr>
                <w:color w:val="auto"/>
              </w:rPr>
            </w:pPr>
            <w:r>
              <w:rPr>
                <w:rFonts w:hint="eastAsia"/>
                <w:color w:val="auto"/>
              </w:rPr>
              <w:t>3.竣工环境保护验收</w:t>
            </w:r>
          </w:p>
          <w:p w14:paraId="1F0393AA">
            <w:pPr>
              <w:adjustRightInd w:val="0"/>
              <w:snapToGrid w:val="0"/>
              <w:ind w:firstLine="480" w:firstLineChars="200"/>
              <w:rPr>
                <w:color w:val="auto"/>
              </w:rPr>
            </w:pPr>
            <w:r>
              <w:rPr>
                <w:rFonts w:hint="eastAsia"/>
                <w:color w:val="auto"/>
              </w:rPr>
              <w:t>2024</w:t>
            </w:r>
            <w:r>
              <w:rPr>
                <w:color w:val="auto"/>
              </w:rPr>
              <w:t>年</w:t>
            </w:r>
            <w:r>
              <w:rPr>
                <w:rFonts w:hint="eastAsia"/>
                <w:color w:val="auto"/>
              </w:rPr>
              <w:t>10</w:t>
            </w:r>
            <w:r>
              <w:rPr>
                <w:color w:val="auto"/>
              </w:rPr>
              <w:t>月，伊金霍洛旗澎源供水有限责任公司编制了《突发环境事件应急预案》并取得备案，编号:</w:t>
            </w:r>
            <w:r>
              <w:rPr>
                <w:rFonts w:hint="eastAsia"/>
                <w:color w:val="auto"/>
              </w:rPr>
              <w:t>150627-2024-085-L</w:t>
            </w:r>
            <w:r>
              <w:rPr>
                <w:color w:val="auto"/>
              </w:rPr>
              <w:t>，详见附件</w:t>
            </w:r>
            <w:r>
              <w:rPr>
                <w:rFonts w:hint="eastAsia"/>
                <w:color w:val="auto"/>
              </w:rPr>
              <w:t>5</w:t>
            </w:r>
            <w:r>
              <w:rPr>
                <w:color w:val="auto"/>
              </w:rPr>
              <w:t>。</w:t>
            </w:r>
          </w:p>
          <w:p w14:paraId="0C81DBA7">
            <w:pPr>
              <w:adjustRightInd w:val="0"/>
              <w:snapToGrid w:val="0"/>
              <w:ind w:firstLine="480" w:firstLineChars="200"/>
              <w:rPr>
                <w:color w:val="auto"/>
              </w:rPr>
            </w:pPr>
            <w:r>
              <w:rPr>
                <w:rFonts w:hint="eastAsia"/>
                <w:color w:val="auto"/>
              </w:rPr>
              <w:t>2024</w:t>
            </w:r>
            <w:r>
              <w:rPr>
                <w:color w:val="auto"/>
              </w:rPr>
              <w:t>年</w:t>
            </w:r>
            <w:r>
              <w:rPr>
                <w:rFonts w:hint="eastAsia"/>
                <w:color w:val="auto"/>
              </w:rPr>
              <w:t>12</w:t>
            </w:r>
            <w:r>
              <w:rPr>
                <w:color w:val="auto"/>
              </w:rPr>
              <w:t>月，</w:t>
            </w:r>
            <w:r>
              <w:rPr>
                <w:rFonts w:hint="eastAsia"/>
                <w:color w:val="auto"/>
              </w:rPr>
              <w:t>项目</w:t>
            </w:r>
            <w:r>
              <w:rPr>
                <w:color w:val="auto"/>
              </w:rPr>
              <w:t>进行了</w:t>
            </w:r>
            <w:r>
              <w:rPr>
                <w:rFonts w:hint="eastAsia"/>
                <w:color w:val="auto"/>
              </w:rPr>
              <w:t>一期</w:t>
            </w:r>
            <w:r>
              <w:rPr>
                <w:color w:val="auto"/>
              </w:rPr>
              <w:t>竣工环境保护验收</w:t>
            </w:r>
            <w:r>
              <w:rPr>
                <w:rFonts w:hint="eastAsia"/>
                <w:color w:val="auto"/>
              </w:rPr>
              <w:t>（验收范围为隆基专用废水处理系统处理规模6.0万m</w:t>
            </w:r>
            <w:r>
              <w:rPr>
                <w:rFonts w:hint="eastAsia"/>
                <w:color w:val="auto"/>
                <w:vertAlign w:val="superscript"/>
              </w:rPr>
              <w:t>3</w:t>
            </w:r>
            <w:r>
              <w:rPr>
                <w:rFonts w:hint="eastAsia"/>
                <w:color w:val="auto"/>
              </w:rPr>
              <w:t>/d工程，不包含燃气锅炉及其配套设施、环保设施；不包括其他废水处理系统工程设施）</w:t>
            </w:r>
            <w:r>
              <w:rPr>
                <w:color w:val="auto"/>
              </w:rPr>
              <w:t>，并取得了该</w:t>
            </w:r>
            <w:r>
              <w:rPr>
                <w:rFonts w:hint="eastAsia"/>
                <w:color w:val="auto"/>
              </w:rPr>
              <w:t>期</w:t>
            </w:r>
            <w:r>
              <w:rPr>
                <w:color w:val="auto"/>
              </w:rPr>
              <w:t>项目竣工环境保护验收专家意见，详见附件</w:t>
            </w:r>
            <w:r>
              <w:rPr>
                <w:rFonts w:hint="eastAsia"/>
                <w:color w:val="auto"/>
              </w:rPr>
              <w:t>3</w:t>
            </w:r>
            <w:r>
              <w:rPr>
                <w:color w:val="auto"/>
              </w:rPr>
              <w:t>。</w:t>
            </w:r>
          </w:p>
          <w:p w14:paraId="02C4B6FD">
            <w:pPr>
              <w:adjustRightInd w:val="0"/>
              <w:snapToGrid w:val="0"/>
              <w:ind w:firstLine="480" w:firstLineChars="200"/>
              <w:rPr>
                <w:color w:val="auto"/>
              </w:rPr>
            </w:pPr>
            <w:r>
              <w:rPr>
                <w:rFonts w:hint="eastAsia"/>
                <w:color w:val="auto"/>
              </w:rPr>
              <w:t>4.工程内容</w:t>
            </w:r>
          </w:p>
          <w:tbl>
            <w:tblPr>
              <w:tblStyle w:val="57"/>
              <w:tblW w:w="4981"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2"/>
              <w:gridCol w:w="582"/>
              <w:gridCol w:w="903"/>
              <w:gridCol w:w="5469"/>
              <w:gridCol w:w="901"/>
            </w:tblGrid>
            <w:tr w14:paraId="6C7BE2B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Align w:val="center"/>
                </w:tcPr>
                <w:p w14:paraId="0F43700E">
                  <w:pPr>
                    <w:pStyle w:val="59"/>
                    <w:rPr>
                      <w:b/>
                      <w:color w:val="auto"/>
                    </w:rPr>
                  </w:pPr>
                  <w:r>
                    <w:rPr>
                      <w:rFonts w:hint="eastAsia"/>
                      <w:b/>
                      <w:color w:val="auto"/>
                    </w:rPr>
                    <w:t>项目</w:t>
                  </w:r>
                </w:p>
              </w:tc>
              <w:tc>
                <w:tcPr>
                  <w:tcW w:w="4159" w:type="pct"/>
                  <w:gridSpan w:val="3"/>
                  <w:vAlign w:val="center"/>
                </w:tcPr>
                <w:p w14:paraId="78564731">
                  <w:pPr>
                    <w:pStyle w:val="59"/>
                    <w:rPr>
                      <w:b/>
                      <w:color w:val="auto"/>
                    </w:rPr>
                  </w:pPr>
                  <w:r>
                    <w:rPr>
                      <w:rFonts w:hint="eastAsia"/>
                      <w:b/>
                      <w:color w:val="auto"/>
                    </w:rPr>
                    <w:t>环评建设内容</w:t>
                  </w:r>
                </w:p>
              </w:tc>
              <w:tc>
                <w:tcPr>
                  <w:tcW w:w="539" w:type="pct"/>
                  <w:vAlign w:val="center"/>
                </w:tcPr>
                <w:p w14:paraId="23D34063">
                  <w:pPr>
                    <w:pStyle w:val="59"/>
                    <w:rPr>
                      <w:b/>
                      <w:color w:val="auto"/>
                    </w:rPr>
                  </w:pPr>
                  <w:r>
                    <w:rPr>
                      <w:rFonts w:hint="eastAsia"/>
                      <w:b/>
                      <w:color w:val="auto"/>
                    </w:rPr>
                    <w:t>备注</w:t>
                  </w:r>
                </w:p>
              </w:tc>
            </w:tr>
            <w:tr w14:paraId="5977A91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restart"/>
                  <w:vAlign w:val="center"/>
                </w:tcPr>
                <w:p w14:paraId="5F17FA3F">
                  <w:pPr>
                    <w:pStyle w:val="59"/>
                    <w:rPr>
                      <w:color w:val="auto"/>
                    </w:rPr>
                  </w:pPr>
                  <w:r>
                    <w:rPr>
                      <w:rFonts w:hint="eastAsia"/>
                      <w:color w:val="auto"/>
                    </w:rPr>
                    <w:t>主体工程</w:t>
                  </w:r>
                </w:p>
              </w:tc>
              <w:tc>
                <w:tcPr>
                  <w:tcW w:w="4159" w:type="pct"/>
                  <w:gridSpan w:val="3"/>
                  <w:vAlign w:val="center"/>
                </w:tcPr>
                <w:p w14:paraId="694FA2C0">
                  <w:pPr>
                    <w:pStyle w:val="59"/>
                    <w:ind w:firstLine="420" w:firstLineChars="200"/>
                    <w:jc w:val="left"/>
                    <w:rPr>
                      <w:color w:val="auto"/>
                    </w:rPr>
                  </w:pPr>
                  <w:r>
                    <w:rPr>
                      <w:rFonts w:hint="eastAsia"/>
                      <w:color w:val="auto"/>
                    </w:rPr>
                    <w:t>隆基废水处理系统处理规模为6万m</w:t>
                  </w:r>
                  <w:r>
                    <w:rPr>
                      <w:rFonts w:hint="eastAsia"/>
                      <w:color w:val="auto"/>
                      <w:vertAlign w:val="superscript"/>
                    </w:rPr>
                    <w:t>3</w:t>
                  </w:r>
                  <w:r>
                    <w:rPr>
                      <w:rFonts w:hint="eastAsia"/>
                      <w:color w:val="auto"/>
                    </w:rPr>
                    <w:t>/d，建筑面积为66480.52m</w:t>
                  </w:r>
                  <w:r>
                    <w:rPr>
                      <w:rFonts w:hint="eastAsia"/>
                      <w:color w:val="auto"/>
                      <w:vertAlign w:val="superscript"/>
                    </w:rPr>
                    <w:t>2</w:t>
                  </w:r>
                  <w:r>
                    <w:rPr>
                      <w:rFonts w:hint="eastAsia"/>
                      <w:color w:val="auto"/>
                    </w:rPr>
                    <w:t>，主要建设内容包括预处理系统、生化处理系统、深度处理系统、双膜处理系统、浓水处理系统。</w:t>
                  </w:r>
                </w:p>
                <w:p w14:paraId="4738311D">
                  <w:pPr>
                    <w:pStyle w:val="59"/>
                    <w:ind w:firstLine="420" w:firstLineChars="200"/>
                    <w:jc w:val="left"/>
                    <w:rPr>
                      <w:color w:val="auto"/>
                    </w:rPr>
                  </w:pPr>
                  <w:r>
                    <w:rPr>
                      <w:rFonts w:hint="eastAsia"/>
                      <w:color w:val="auto"/>
                    </w:rPr>
                    <w:t>处理工艺采用“除硅除硬高效沉淀+1#生物池（多模式AO生物池）+除氟高效沉淀+过滤+臭氧催化氧化+纯膜MBBR+粉碳高效沉淀+双膜处理工艺→中水回用于隆基生产用水+浓水”，产生的浓水进行进一步处理，处理工艺采用“预处理+膜浓缩+蒸发结晶+冷冻结晶→中水+氯化钠+硫酸钠+杂盐”，浓水处理系统的中水与前端中水混合，出水满足《城市污水再生利用工业用水水质》（GB/T19923-2024）敞开式循环冷却水系统补充用水标准要求并同时满足隆基生产用水要求回用于隆基生产用水。</w:t>
                  </w:r>
                </w:p>
              </w:tc>
              <w:tc>
                <w:tcPr>
                  <w:tcW w:w="539" w:type="pct"/>
                  <w:vAlign w:val="center"/>
                </w:tcPr>
                <w:p w14:paraId="59C0DBA0">
                  <w:pPr>
                    <w:pStyle w:val="59"/>
                    <w:rPr>
                      <w:color w:val="auto"/>
                    </w:rPr>
                  </w:pPr>
                  <w:r>
                    <w:rPr>
                      <w:rFonts w:hint="eastAsia"/>
                      <w:color w:val="auto"/>
                    </w:rPr>
                    <w:t>已验收</w:t>
                  </w:r>
                </w:p>
              </w:tc>
            </w:tr>
            <w:tr w14:paraId="446D319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4C56849">
                  <w:pPr>
                    <w:pStyle w:val="59"/>
                    <w:rPr>
                      <w:color w:val="auto"/>
                    </w:rPr>
                  </w:pPr>
                </w:p>
              </w:tc>
              <w:tc>
                <w:tcPr>
                  <w:tcW w:w="348" w:type="pct"/>
                  <w:vMerge w:val="restart"/>
                  <w:vAlign w:val="center"/>
                </w:tcPr>
                <w:p w14:paraId="2F164C77">
                  <w:pPr>
                    <w:pStyle w:val="59"/>
                    <w:jc w:val="left"/>
                    <w:rPr>
                      <w:color w:val="auto"/>
                    </w:rPr>
                  </w:pPr>
                  <w:r>
                    <w:rPr>
                      <w:rFonts w:hint="eastAsia"/>
                      <w:color w:val="auto"/>
                    </w:rPr>
                    <w:t>预处理系统</w:t>
                  </w:r>
                </w:p>
              </w:tc>
              <w:tc>
                <w:tcPr>
                  <w:tcW w:w="540" w:type="pct"/>
                  <w:vAlign w:val="center"/>
                </w:tcPr>
                <w:p w14:paraId="5334DBA4">
                  <w:pPr>
                    <w:pStyle w:val="59"/>
                    <w:rPr>
                      <w:color w:val="auto"/>
                    </w:rPr>
                  </w:pPr>
                  <w:r>
                    <w:rPr>
                      <w:rFonts w:hint="eastAsia"/>
                      <w:color w:val="auto"/>
                    </w:rPr>
                    <w:t>1#调节事故池及提升泵池</w:t>
                  </w:r>
                </w:p>
              </w:tc>
              <w:tc>
                <w:tcPr>
                  <w:tcW w:w="3272" w:type="pct"/>
                  <w:vAlign w:val="center"/>
                </w:tcPr>
                <w:p w14:paraId="67EE1023">
                  <w:pPr>
                    <w:pStyle w:val="59"/>
                    <w:ind w:firstLine="420" w:firstLineChars="200"/>
                    <w:jc w:val="left"/>
                    <w:rPr>
                      <w:color w:val="auto"/>
                    </w:rPr>
                  </w:pPr>
                  <w:r>
                    <w:rPr>
                      <w:rFonts w:hint="eastAsia"/>
                      <w:color w:val="auto"/>
                    </w:rPr>
                    <w:t>泵房建筑面积为130.72m</w:t>
                  </w:r>
                  <w:r>
                    <w:rPr>
                      <w:rFonts w:hint="eastAsia"/>
                      <w:color w:val="auto"/>
                      <w:vertAlign w:val="superscript"/>
                    </w:rPr>
                    <w:t>2</w:t>
                  </w:r>
                  <w:r>
                    <w:rPr>
                      <w:rFonts w:hint="eastAsia"/>
                      <w:color w:val="auto"/>
                    </w:rPr>
                    <w:t>。调节池及提升泵池合建，钢筋混凝土矩形池，地下设置池体尺寸45.5m×13.5m×8.6m，调节水力停留时间T=1h。调节池功能：用于提升污水及污水均质和均量。</w:t>
                  </w:r>
                </w:p>
                <w:p w14:paraId="78FE9D1C">
                  <w:pPr>
                    <w:pStyle w:val="59"/>
                    <w:ind w:firstLine="420" w:firstLineChars="200"/>
                    <w:jc w:val="left"/>
                    <w:rPr>
                      <w:color w:val="auto"/>
                    </w:rPr>
                  </w:pPr>
                  <w:r>
                    <w:rPr>
                      <w:rFonts w:hint="eastAsia"/>
                      <w:color w:val="auto"/>
                    </w:rPr>
                    <w:t>提升泵池功能：提升污水进入废水处理厂。地下设置池体尺寸110m×47m×5.4m，调节水力停留时间T=20min。</w:t>
                  </w:r>
                </w:p>
                <w:p w14:paraId="051C18B3">
                  <w:pPr>
                    <w:pStyle w:val="59"/>
                    <w:ind w:firstLine="420" w:firstLineChars="200"/>
                    <w:jc w:val="left"/>
                    <w:rPr>
                      <w:color w:val="auto"/>
                    </w:rPr>
                  </w:pPr>
                  <w:r>
                    <w:rPr>
                      <w:rFonts w:hint="eastAsia"/>
                      <w:color w:val="auto"/>
                    </w:rPr>
                    <w:t>1#调节池前端设置事故池1座，尺寸：45.5m×94m，分四格，水深4m，容积为17108m</w:t>
                  </w:r>
                  <w:r>
                    <w:rPr>
                      <w:rFonts w:hint="eastAsia"/>
                      <w:color w:val="auto"/>
                      <w:vertAlign w:val="superscript"/>
                    </w:rPr>
                    <w:t>3</w:t>
                  </w:r>
                  <w:r>
                    <w:rPr>
                      <w:rFonts w:hint="eastAsia"/>
                      <w:color w:val="auto"/>
                    </w:rPr>
                    <w:t>，用来收集事故废水，水力停留时间为6.8h。</w:t>
                  </w:r>
                </w:p>
              </w:tc>
              <w:tc>
                <w:tcPr>
                  <w:tcW w:w="539" w:type="pct"/>
                  <w:vAlign w:val="center"/>
                </w:tcPr>
                <w:p w14:paraId="511581FB">
                  <w:pPr>
                    <w:pStyle w:val="59"/>
                    <w:rPr>
                      <w:color w:val="auto"/>
                    </w:rPr>
                  </w:pPr>
                  <w:r>
                    <w:rPr>
                      <w:rFonts w:hint="eastAsia"/>
                      <w:color w:val="auto"/>
                    </w:rPr>
                    <w:t>已验收</w:t>
                  </w:r>
                </w:p>
              </w:tc>
            </w:tr>
            <w:tr w14:paraId="494E252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6178484">
                  <w:pPr>
                    <w:pStyle w:val="59"/>
                    <w:rPr>
                      <w:color w:val="auto"/>
                    </w:rPr>
                  </w:pPr>
                </w:p>
              </w:tc>
              <w:tc>
                <w:tcPr>
                  <w:tcW w:w="348" w:type="pct"/>
                  <w:vMerge w:val="continue"/>
                  <w:vAlign w:val="center"/>
                </w:tcPr>
                <w:p w14:paraId="669BFE6C">
                  <w:pPr>
                    <w:pStyle w:val="59"/>
                    <w:jc w:val="left"/>
                    <w:rPr>
                      <w:color w:val="auto"/>
                    </w:rPr>
                  </w:pPr>
                </w:p>
              </w:tc>
              <w:tc>
                <w:tcPr>
                  <w:tcW w:w="540" w:type="pct"/>
                  <w:vAlign w:val="center"/>
                </w:tcPr>
                <w:p w14:paraId="62D8ACC9">
                  <w:pPr>
                    <w:pStyle w:val="59"/>
                    <w:rPr>
                      <w:color w:val="auto"/>
                    </w:rPr>
                  </w:pPr>
                  <w:r>
                    <w:rPr>
                      <w:rFonts w:hint="eastAsia"/>
                      <w:color w:val="auto"/>
                    </w:rPr>
                    <w:t>除硅除硬车间及1#加药间</w:t>
                  </w:r>
                </w:p>
              </w:tc>
              <w:tc>
                <w:tcPr>
                  <w:tcW w:w="3272" w:type="pct"/>
                  <w:vAlign w:val="center"/>
                </w:tcPr>
                <w:p w14:paraId="37B493BD">
                  <w:pPr>
                    <w:pStyle w:val="59"/>
                    <w:ind w:firstLine="420" w:firstLineChars="200"/>
                    <w:jc w:val="left"/>
                    <w:rPr>
                      <w:color w:val="auto"/>
                    </w:rPr>
                  </w:pPr>
                  <w:r>
                    <w:rPr>
                      <w:rFonts w:hint="eastAsia"/>
                      <w:color w:val="auto"/>
                    </w:rPr>
                    <w:t>除硅除硬车间1座，建筑面积为5189.10m</w:t>
                  </w:r>
                  <w:r>
                    <w:rPr>
                      <w:rFonts w:hint="eastAsia"/>
                      <w:color w:val="auto"/>
                      <w:vertAlign w:val="superscript"/>
                    </w:rPr>
                    <w:t>2</w:t>
                  </w:r>
                  <w:r>
                    <w:rPr>
                      <w:rFonts w:hint="eastAsia"/>
                      <w:color w:val="auto"/>
                    </w:rPr>
                    <w:t>，内有除硅除硬高效沉淀池2座（每2组）、1#加药间。</w:t>
                  </w:r>
                </w:p>
                <w:p w14:paraId="1134CF5B">
                  <w:pPr>
                    <w:pStyle w:val="59"/>
                    <w:ind w:firstLine="420" w:firstLineChars="200"/>
                    <w:jc w:val="left"/>
                    <w:rPr>
                      <w:color w:val="auto"/>
                    </w:rPr>
                  </w:pPr>
                  <w:r>
                    <w:rPr>
                      <w:rFonts w:hint="eastAsia"/>
                      <w:color w:val="auto"/>
                    </w:rPr>
                    <w:t>除硅除硬高效沉淀池功能：通过投加氢氧化钠、偏铝酸钠、聚合硫酸铁、PAM、碳酸钠、盐酸，采用化学沉淀和混凝沉淀去除污水中的绝大部分钙、镁离子及硅酸盐；池体采用钢筋混凝土框架结构，尺寸L×B×H=81.95m×37.4m×7.4m。</w:t>
                  </w:r>
                </w:p>
                <w:p w14:paraId="65C00CEC">
                  <w:pPr>
                    <w:pStyle w:val="59"/>
                    <w:ind w:firstLine="420" w:firstLineChars="200"/>
                    <w:jc w:val="left"/>
                    <w:rPr>
                      <w:color w:val="auto"/>
                    </w:rPr>
                  </w:pPr>
                  <w:r>
                    <w:rPr>
                      <w:rFonts w:hint="eastAsia"/>
                      <w:color w:val="auto"/>
                    </w:rPr>
                    <w:t>1#加药间为除硅除硬系统配套的加药间，由1#加药间、盐酸加药间、氢氧化钠加药间三个单独的加药间组成。加药系统包括氢氧化钠、偏铝酸钠、聚合硫酸铁、PAM、碳酸钠、盐酸系统。1#加药间尺寸：L×B×H=87.8m×13.8m×13.0m，钢筋混凝土结构。</w:t>
                  </w:r>
                </w:p>
              </w:tc>
              <w:tc>
                <w:tcPr>
                  <w:tcW w:w="539" w:type="pct"/>
                  <w:vAlign w:val="center"/>
                </w:tcPr>
                <w:p w14:paraId="6DF72999">
                  <w:pPr>
                    <w:pStyle w:val="59"/>
                    <w:rPr>
                      <w:color w:val="auto"/>
                    </w:rPr>
                  </w:pPr>
                  <w:r>
                    <w:rPr>
                      <w:rFonts w:hint="eastAsia"/>
                      <w:color w:val="auto"/>
                    </w:rPr>
                    <w:t>已验收</w:t>
                  </w:r>
                </w:p>
              </w:tc>
            </w:tr>
            <w:tr w14:paraId="3637D15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0AD1F5F">
                  <w:pPr>
                    <w:pStyle w:val="59"/>
                    <w:rPr>
                      <w:color w:val="auto"/>
                    </w:rPr>
                  </w:pPr>
                </w:p>
              </w:tc>
              <w:tc>
                <w:tcPr>
                  <w:tcW w:w="348" w:type="pct"/>
                  <w:vMerge w:val="restart"/>
                  <w:vAlign w:val="center"/>
                </w:tcPr>
                <w:p w14:paraId="1DDDB034">
                  <w:pPr>
                    <w:pStyle w:val="59"/>
                    <w:jc w:val="left"/>
                    <w:rPr>
                      <w:color w:val="auto"/>
                    </w:rPr>
                  </w:pPr>
                  <w:r>
                    <w:rPr>
                      <w:rFonts w:hint="eastAsia"/>
                      <w:color w:val="auto"/>
                    </w:rPr>
                    <w:t>生化处理系统</w:t>
                  </w:r>
                </w:p>
              </w:tc>
              <w:tc>
                <w:tcPr>
                  <w:tcW w:w="540" w:type="pct"/>
                  <w:vAlign w:val="center"/>
                </w:tcPr>
                <w:p w14:paraId="16E09BE5">
                  <w:pPr>
                    <w:pStyle w:val="59"/>
                    <w:rPr>
                      <w:color w:val="auto"/>
                    </w:rPr>
                  </w:pPr>
                  <w:r>
                    <w:rPr>
                      <w:rFonts w:hint="eastAsia"/>
                      <w:color w:val="auto"/>
                    </w:rPr>
                    <w:t>1#生物池（多模式AO生物池）</w:t>
                  </w:r>
                </w:p>
              </w:tc>
              <w:tc>
                <w:tcPr>
                  <w:tcW w:w="3272" w:type="pct"/>
                  <w:vAlign w:val="center"/>
                </w:tcPr>
                <w:p w14:paraId="71768AB9">
                  <w:pPr>
                    <w:pStyle w:val="59"/>
                    <w:ind w:firstLine="420" w:firstLineChars="200"/>
                    <w:jc w:val="left"/>
                    <w:rPr>
                      <w:color w:val="auto"/>
                    </w:rPr>
                  </w:pPr>
                  <w:r>
                    <w:rPr>
                      <w:rFonts w:hint="eastAsia"/>
                      <w:color w:val="auto"/>
                    </w:rPr>
                    <w:t>1#生物池共2座（4格），占地面积11665.22m</w:t>
                  </w:r>
                  <w:r>
                    <w:rPr>
                      <w:rFonts w:hint="eastAsia"/>
                      <w:color w:val="auto"/>
                      <w:vertAlign w:val="superscript"/>
                    </w:rPr>
                    <w:t>2</w:t>
                  </w:r>
                  <w:r>
                    <w:rPr>
                      <w:rFonts w:hint="eastAsia"/>
                      <w:color w:val="auto"/>
                    </w:rPr>
                    <w:t>，单座尺寸为L×B×H=103.9m×53.9m×7.2m，钢筋混凝土结构，每座处理能力为1312.5m</w:t>
                  </w:r>
                  <w:r>
                    <w:rPr>
                      <w:rFonts w:hint="eastAsia"/>
                      <w:color w:val="auto"/>
                      <w:vertAlign w:val="superscript"/>
                    </w:rPr>
                    <w:t>3</w:t>
                  </w:r>
                  <w:r>
                    <w:rPr>
                      <w:rFonts w:hint="eastAsia"/>
                      <w:color w:val="auto"/>
                    </w:rPr>
                    <w:t>/h，每座分2格设计，生物池采用多模式AO工艺，即由缺氧区、好氧区、（消氧区）后缺氧区和后好氧区组成，其主要功能为在适宜的条件下，利用生物池中大量繁殖的活性污泥中微生物完成降解水中有机污染物质、脱氮及除磷作用，以达到净化水质的目的。</w:t>
                  </w:r>
                </w:p>
              </w:tc>
              <w:tc>
                <w:tcPr>
                  <w:tcW w:w="539" w:type="pct"/>
                  <w:vAlign w:val="center"/>
                </w:tcPr>
                <w:p w14:paraId="1BE00484">
                  <w:pPr>
                    <w:pStyle w:val="59"/>
                    <w:rPr>
                      <w:color w:val="auto"/>
                    </w:rPr>
                  </w:pPr>
                  <w:r>
                    <w:rPr>
                      <w:rFonts w:hint="eastAsia"/>
                      <w:color w:val="auto"/>
                    </w:rPr>
                    <w:t>已验收</w:t>
                  </w:r>
                </w:p>
              </w:tc>
            </w:tr>
            <w:tr w14:paraId="1B6D651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A3E3055">
                  <w:pPr>
                    <w:pStyle w:val="59"/>
                    <w:rPr>
                      <w:color w:val="auto"/>
                    </w:rPr>
                  </w:pPr>
                </w:p>
              </w:tc>
              <w:tc>
                <w:tcPr>
                  <w:tcW w:w="348" w:type="pct"/>
                  <w:vMerge w:val="continue"/>
                  <w:vAlign w:val="center"/>
                </w:tcPr>
                <w:p w14:paraId="2B483EED">
                  <w:pPr>
                    <w:pStyle w:val="59"/>
                    <w:jc w:val="left"/>
                    <w:rPr>
                      <w:color w:val="auto"/>
                    </w:rPr>
                  </w:pPr>
                </w:p>
              </w:tc>
              <w:tc>
                <w:tcPr>
                  <w:tcW w:w="540" w:type="pct"/>
                  <w:vAlign w:val="center"/>
                </w:tcPr>
                <w:p w14:paraId="52F90C12">
                  <w:pPr>
                    <w:pStyle w:val="59"/>
                    <w:rPr>
                      <w:color w:val="auto"/>
                    </w:rPr>
                  </w:pPr>
                  <w:r>
                    <w:rPr>
                      <w:rFonts w:hint="eastAsia"/>
                      <w:color w:val="auto"/>
                    </w:rPr>
                    <w:t>1#二沉池（辐流式二沉池）</w:t>
                  </w:r>
                </w:p>
              </w:tc>
              <w:tc>
                <w:tcPr>
                  <w:tcW w:w="3272" w:type="pct"/>
                  <w:vAlign w:val="center"/>
                </w:tcPr>
                <w:p w14:paraId="28B73C10">
                  <w:pPr>
                    <w:pStyle w:val="59"/>
                    <w:ind w:firstLine="420" w:firstLineChars="200"/>
                    <w:jc w:val="left"/>
                    <w:rPr>
                      <w:color w:val="auto"/>
                    </w:rPr>
                  </w:pPr>
                  <w:r>
                    <w:rPr>
                      <w:rFonts w:hint="eastAsia"/>
                      <w:color w:val="auto"/>
                    </w:rPr>
                    <w:t>1#二沉池共计4座（1#-1、1#-2、1#-3、1#-4），钢筋混凝土结构，每个尺寸：D×H=Ф35m×4m，单池水量为Q=698m</w:t>
                  </w:r>
                  <w:r>
                    <w:rPr>
                      <w:rFonts w:hint="eastAsia"/>
                      <w:color w:val="auto"/>
                      <w:vertAlign w:val="superscript"/>
                    </w:rPr>
                    <w:t>3</w:t>
                  </w:r>
                  <w:r>
                    <w:rPr>
                      <w:rFonts w:hint="eastAsia"/>
                      <w:color w:val="auto"/>
                    </w:rPr>
                    <w:t>/h，有效水深4m，表面负荷为q=0.73m</w:t>
                  </w:r>
                  <w:r>
                    <w:rPr>
                      <w:rFonts w:hint="eastAsia"/>
                      <w:color w:val="auto"/>
                      <w:vertAlign w:val="superscript"/>
                    </w:rPr>
                    <w:t>3</w:t>
                  </w:r>
                  <w:r>
                    <w:rPr>
                      <w:rFonts w:hint="eastAsia"/>
                      <w:color w:val="auto"/>
                    </w:rPr>
                    <w:t>/m</w:t>
                  </w:r>
                  <w:r>
                    <w:rPr>
                      <w:rFonts w:hint="eastAsia"/>
                      <w:color w:val="auto"/>
                      <w:vertAlign w:val="superscript"/>
                    </w:rPr>
                    <w:t>2</w:t>
                  </w:r>
                  <w:r>
                    <w:rPr>
                      <w:rFonts w:hint="eastAsia"/>
                      <w:color w:val="auto"/>
                    </w:rPr>
                    <w:t>·h。二沉池的功能是将生物池出来的混合液进行泥水分离，上清液即为完成有机物降解的污水，至深度处理系统，沉淀下的污泥进入污泥处理系统。二沉池采用周边进水，周边出水的方式。收集后直接排入集水井接入深度处理系统的混合反应沉淀池。</w:t>
                  </w:r>
                </w:p>
              </w:tc>
              <w:tc>
                <w:tcPr>
                  <w:tcW w:w="539" w:type="pct"/>
                  <w:vAlign w:val="center"/>
                </w:tcPr>
                <w:p w14:paraId="6D485B5F">
                  <w:pPr>
                    <w:pStyle w:val="59"/>
                    <w:rPr>
                      <w:color w:val="auto"/>
                    </w:rPr>
                  </w:pPr>
                  <w:r>
                    <w:rPr>
                      <w:rFonts w:hint="eastAsia"/>
                      <w:color w:val="auto"/>
                    </w:rPr>
                    <w:t>已验收</w:t>
                  </w:r>
                </w:p>
              </w:tc>
            </w:tr>
            <w:tr w14:paraId="3384008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AF5BA7B">
                  <w:pPr>
                    <w:pStyle w:val="59"/>
                    <w:rPr>
                      <w:color w:val="auto"/>
                    </w:rPr>
                  </w:pPr>
                </w:p>
              </w:tc>
              <w:tc>
                <w:tcPr>
                  <w:tcW w:w="348" w:type="pct"/>
                  <w:vMerge w:val="continue"/>
                  <w:vAlign w:val="center"/>
                </w:tcPr>
                <w:p w14:paraId="3D1D8C57">
                  <w:pPr>
                    <w:pStyle w:val="59"/>
                    <w:jc w:val="left"/>
                    <w:rPr>
                      <w:color w:val="auto"/>
                    </w:rPr>
                  </w:pPr>
                </w:p>
              </w:tc>
              <w:tc>
                <w:tcPr>
                  <w:tcW w:w="540" w:type="pct"/>
                  <w:vAlign w:val="center"/>
                </w:tcPr>
                <w:p w14:paraId="1C2C0DE8">
                  <w:pPr>
                    <w:pStyle w:val="59"/>
                    <w:rPr>
                      <w:color w:val="auto"/>
                    </w:rPr>
                  </w:pPr>
                  <w:r>
                    <w:rPr>
                      <w:rFonts w:hint="eastAsia"/>
                      <w:color w:val="auto"/>
                    </w:rPr>
                    <w:t>1#配水井</w:t>
                  </w:r>
                </w:p>
              </w:tc>
              <w:tc>
                <w:tcPr>
                  <w:tcW w:w="3272" w:type="pct"/>
                  <w:vAlign w:val="center"/>
                </w:tcPr>
                <w:p w14:paraId="36BECA61">
                  <w:pPr>
                    <w:pStyle w:val="59"/>
                    <w:ind w:firstLine="420" w:firstLineChars="200"/>
                    <w:jc w:val="left"/>
                    <w:rPr>
                      <w:color w:val="auto"/>
                    </w:rPr>
                  </w:pPr>
                  <w:r>
                    <w:rPr>
                      <w:rFonts w:hint="eastAsia"/>
                      <w:color w:val="auto"/>
                    </w:rPr>
                    <w:t>1#配水井1座，钢筋混凝土结构，占地面积162.86m</w:t>
                  </w:r>
                  <w:r>
                    <w:rPr>
                      <w:rFonts w:hint="eastAsia"/>
                      <w:color w:val="auto"/>
                      <w:vertAlign w:val="superscript"/>
                    </w:rPr>
                    <w:t>2</w:t>
                  </w:r>
                  <w:r>
                    <w:rPr>
                      <w:rFonts w:hint="eastAsia"/>
                      <w:color w:val="auto"/>
                    </w:rPr>
                    <w:t>，尺寸D×H=Ф13.8m×8.25m，污水经过1#-1、1#-2二沉池后，污水流入配水井中，达到一定量后，使污水均匀分配至四个二沉池内，达到污水均量分配的目的。</w:t>
                  </w:r>
                </w:p>
              </w:tc>
              <w:tc>
                <w:tcPr>
                  <w:tcW w:w="539" w:type="pct"/>
                  <w:vAlign w:val="center"/>
                </w:tcPr>
                <w:p w14:paraId="3A8736A8">
                  <w:pPr>
                    <w:pStyle w:val="59"/>
                    <w:rPr>
                      <w:color w:val="auto"/>
                    </w:rPr>
                  </w:pPr>
                  <w:r>
                    <w:rPr>
                      <w:rFonts w:hint="eastAsia"/>
                      <w:color w:val="auto"/>
                    </w:rPr>
                    <w:t>已验收</w:t>
                  </w:r>
                </w:p>
              </w:tc>
            </w:tr>
            <w:tr w14:paraId="6B2CF56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0B796E4">
                  <w:pPr>
                    <w:pStyle w:val="59"/>
                    <w:rPr>
                      <w:color w:val="auto"/>
                    </w:rPr>
                  </w:pPr>
                </w:p>
              </w:tc>
              <w:tc>
                <w:tcPr>
                  <w:tcW w:w="348" w:type="pct"/>
                  <w:vMerge w:val="continue"/>
                  <w:vAlign w:val="center"/>
                </w:tcPr>
                <w:p w14:paraId="6396827F">
                  <w:pPr>
                    <w:pStyle w:val="59"/>
                    <w:jc w:val="left"/>
                    <w:rPr>
                      <w:color w:val="auto"/>
                    </w:rPr>
                  </w:pPr>
                </w:p>
              </w:tc>
              <w:tc>
                <w:tcPr>
                  <w:tcW w:w="540" w:type="pct"/>
                  <w:vAlign w:val="center"/>
                </w:tcPr>
                <w:p w14:paraId="361790A4">
                  <w:pPr>
                    <w:pStyle w:val="59"/>
                    <w:rPr>
                      <w:color w:val="auto"/>
                    </w:rPr>
                  </w:pPr>
                  <w:r>
                    <w:rPr>
                      <w:rFonts w:hint="eastAsia"/>
                      <w:color w:val="auto"/>
                    </w:rPr>
                    <w:t>1#回流</w:t>
                  </w:r>
                </w:p>
                <w:p w14:paraId="58BB6719">
                  <w:pPr>
                    <w:pStyle w:val="59"/>
                    <w:rPr>
                      <w:color w:val="auto"/>
                    </w:rPr>
                  </w:pPr>
                  <w:r>
                    <w:rPr>
                      <w:rFonts w:hint="eastAsia"/>
                      <w:color w:val="auto"/>
                    </w:rPr>
                    <w:t>及剩余污泥泵池</w:t>
                  </w:r>
                </w:p>
              </w:tc>
              <w:tc>
                <w:tcPr>
                  <w:tcW w:w="3272" w:type="pct"/>
                  <w:vAlign w:val="center"/>
                </w:tcPr>
                <w:p w14:paraId="113D4AE6">
                  <w:pPr>
                    <w:pStyle w:val="59"/>
                    <w:ind w:firstLine="420" w:firstLineChars="200"/>
                    <w:jc w:val="left"/>
                    <w:rPr>
                      <w:color w:val="auto"/>
                    </w:rPr>
                  </w:pPr>
                  <w:r>
                    <w:rPr>
                      <w:rFonts w:hint="eastAsia"/>
                      <w:color w:val="auto"/>
                    </w:rPr>
                    <w:t>建筑面积为81m</w:t>
                  </w:r>
                  <w:r>
                    <w:rPr>
                      <w:rFonts w:hint="eastAsia"/>
                      <w:color w:val="auto"/>
                      <w:vertAlign w:val="superscript"/>
                    </w:rPr>
                    <w:t>2</w:t>
                  </w:r>
                  <w:r>
                    <w:rPr>
                      <w:rFonts w:hint="eastAsia"/>
                      <w:color w:val="auto"/>
                    </w:rPr>
                    <w:t>，钢筋混凝土结构，L×B×H=17.5m×11m×6.1m，</w:t>
                  </w:r>
                  <w:r>
                    <w:rPr>
                      <w:rFonts w:hint="eastAsia"/>
                      <w:color w:val="auto"/>
                      <w:lang w:eastAsia="zh-CN"/>
                    </w:rPr>
                    <w:t>能</w:t>
                  </w:r>
                  <w:r>
                    <w:rPr>
                      <w:rFonts w:hint="eastAsia"/>
                      <w:color w:val="auto"/>
                    </w:rPr>
                    <w:t>将二沉池沉淀下来的生化污泥回流至生物池内，以维持生物池的活性污泥浓度，剩余污泥排入污泥处理系统进行处理。</w:t>
                  </w:r>
                </w:p>
              </w:tc>
              <w:tc>
                <w:tcPr>
                  <w:tcW w:w="539" w:type="pct"/>
                  <w:vAlign w:val="center"/>
                </w:tcPr>
                <w:p w14:paraId="2DB031AF">
                  <w:pPr>
                    <w:pStyle w:val="59"/>
                    <w:rPr>
                      <w:color w:val="auto"/>
                    </w:rPr>
                  </w:pPr>
                  <w:r>
                    <w:rPr>
                      <w:rFonts w:hint="eastAsia"/>
                      <w:color w:val="auto"/>
                    </w:rPr>
                    <w:t>已验收</w:t>
                  </w:r>
                </w:p>
              </w:tc>
            </w:tr>
            <w:tr w14:paraId="3649076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4FFC542">
                  <w:pPr>
                    <w:pStyle w:val="59"/>
                    <w:rPr>
                      <w:color w:val="auto"/>
                    </w:rPr>
                  </w:pPr>
                </w:p>
              </w:tc>
              <w:tc>
                <w:tcPr>
                  <w:tcW w:w="348" w:type="pct"/>
                  <w:vMerge w:val="restart"/>
                  <w:vAlign w:val="center"/>
                </w:tcPr>
                <w:p w14:paraId="5BF87491">
                  <w:pPr>
                    <w:pStyle w:val="59"/>
                    <w:jc w:val="left"/>
                    <w:rPr>
                      <w:color w:val="auto"/>
                    </w:rPr>
                  </w:pPr>
                  <w:r>
                    <w:rPr>
                      <w:rFonts w:hint="eastAsia"/>
                      <w:color w:val="auto"/>
                    </w:rPr>
                    <w:t>深度处理系统</w:t>
                  </w:r>
                </w:p>
              </w:tc>
              <w:tc>
                <w:tcPr>
                  <w:tcW w:w="540" w:type="pct"/>
                  <w:vMerge w:val="restart"/>
                  <w:vAlign w:val="center"/>
                </w:tcPr>
                <w:p w14:paraId="4243238B">
                  <w:pPr>
                    <w:pStyle w:val="59"/>
                    <w:rPr>
                      <w:color w:val="auto"/>
                    </w:rPr>
                  </w:pPr>
                  <w:r>
                    <w:rPr>
                      <w:rFonts w:hint="eastAsia"/>
                      <w:color w:val="auto"/>
                    </w:rPr>
                    <w:t>1#二级提升泵池、1#深度处理车间及2#加药间</w:t>
                  </w:r>
                </w:p>
              </w:tc>
              <w:tc>
                <w:tcPr>
                  <w:tcW w:w="3272" w:type="pct"/>
                  <w:vAlign w:val="center"/>
                </w:tcPr>
                <w:p w14:paraId="065EC0BF">
                  <w:pPr>
                    <w:pStyle w:val="59"/>
                    <w:ind w:firstLine="420" w:firstLineChars="200"/>
                    <w:jc w:val="left"/>
                    <w:rPr>
                      <w:color w:val="auto"/>
                    </w:rPr>
                  </w:pPr>
                  <w:r>
                    <w:rPr>
                      <w:rFonts w:hint="eastAsia"/>
                      <w:color w:val="auto"/>
                    </w:rPr>
                    <w:t>厂房为单层建筑，建筑高度：14.40m，建筑面积6033.04m</w:t>
                  </w:r>
                  <w:r>
                    <w:rPr>
                      <w:rFonts w:hint="eastAsia"/>
                      <w:color w:val="auto"/>
                      <w:vertAlign w:val="superscript"/>
                    </w:rPr>
                    <w:t>2</w:t>
                  </w:r>
                  <w:r>
                    <w:rPr>
                      <w:rFonts w:hint="eastAsia"/>
                      <w:color w:val="auto"/>
                    </w:rPr>
                    <w:t>。内设二级提升泵池、2#加药间、1#深度处理车间。</w:t>
                  </w:r>
                </w:p>
              </w:tc>
              <w:tc>
                <w:tcPr>
                  <w:tcW w:w="539" w:type="pct"/>
                  <w:vAlign w:val="center"/>
                </w:tcPr>
                <w:p w14:paraId="142AEE49">
                  <w:pPr>
                    <w:pStyle w:val="59"/>
                    <w:rPr>
                      <w:color w:val="auto"/>
                    </w:rPr>
                  </w:pPr>
                  <w:r>
                    <w:rPr>
                      <w:rFonts w:hint="eastAsia"/>
                      <w:color w:val="auto"/>
                    </w:rPr>
                    <w:t>已验收</w:t>
                  </w:r>
                </w:p>
              </w:tc>
            </w:tr>
            <w:tr w14:paraId="7FED02B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61E83BC">
                  <w:pPr>
                    <w:pStyle w:val="59"/>
                    <w:rPr>
                      <w:color w:val="auto"/>
                    </w:rPr>
                  </w:pPr>
                </w:p>
              </w:tc>
              <w:tc>
                <w:tcPr>
                  <w:tcW w:w="348" w:type="pct"/>
                  <w:vMerge w:val="continue"/>
                  <w:vAlign w:val="center"/>
                </w:tcPr>
                <w:p w14:paraId="0D1503F1">
                  <w:pPr>
                    <w:pStyle w:val="59"/>
                    <w:jc w:val="left"/>
                    <w:rPr>
                      <w:color w:val="auto"/>
                    </w:rPr>
                  </w:pPr>
                </w:p>
              </w:tc>
              <w:tc>
                <w:tcPr>
                  <w:tcW w:w="540" w:type="pct"/>
                  <w:vMerge w:val="continue"/>
                  <w:vAlign w:val="center"/>
                </w:tcPr>
                <w:p w14:paraId="0AD8E0B5">
                  <w:pPr>
                    <w:pStyle w:val="59"/>
                    <w:jc w:val="left"/>
                    <w:rPr>
                      <w:color w:val="auto"/>
                    </w:rPr>
                  </w:pPr>
                </w:p>
              </w:tc>
              <w:tc>
                <w:tcPr>
                  <w:tcW w:w="3272" w:type="pct"/>
                  <w:vAlign w:val="center"/>
                </w:tcPr>
                <w:p w14:paraId="40C60769">
                  <w:pPr>
                    <w:pStyle w:val="59"/>
                    <w:ind w:firstLine="420" w:firstLineChars="200"/>
                    <w:jc w:val="left"/>
                    <w:rPr>
                      <w:color w:val="auto"/>
                    </w:rPr>
                  </w:pPr>
                  <w:r>
                    <w:rPr>
                      <w:rFonts w:hint="eastAsia"/>
                      <w:color w:val="auto"/>
                    </w:rPr>
                    <w:t>二级提升泵池功能：将二沉池中水提升至深度处理车间。二级提升泵池采用半地下式构筑物1座，平面尺寸14.45m×4.7m，地上高5.7m，地下高-2.5m。</w:t>
                  </w:r>
                </w:p>
              </w:tc>
              <w:tc>
                <w:tcPr>
                  <w:tcW w:w="539" w:type="pct"/>
                  <w:vAlign w:val="center"/>
                </w:tcPr>
                <w:p w14:paraId="664760C2">
                  <w:pPr>
                    <w:pStyle w:val="59"/>
                    <w:rPr>
                      <w:color w:val="auto"/>
                    </w:rPr>
                  </w:pPr>
                  <w:r>
                    <w:rPr>
                      <w:rFonts w:hint="eastAsia"/>
                      <w:color w:val="auto"/>
                    </w:rPr>
                    <w:t>已验收</w:t>
                  </w:r>
                </w:p>
              </w:tc>
            </w:tr>
            <w:tr w14:paraId="7D4B26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4FDDC41">
                  <w:pPr>
                    <w:pStyle w:val="59"/>
                    <w:rPr>
                      <w:color w:val="auto"/>
                    </w:rPr>
                  </w:pPr>
                </w:p>
              </w:tc>
              <w:tc>
                <w:tcPr>
                  <w:tcW w:w="348" w:type="pct"/>
                  <w:vMerge w:val="continue"/>
                  <w:vAlign w:val="center"/>
                </w:tcPr>
                <w:p w14:paraId="116FA29A">
                  <w:pPr>
                    <w:pStyle w:val="59"/>
                    <w:jc w:val="left"/>
                    <w:rPr>
                      <w:color w:val="auto"/>
                    </w:rPr>
                  </w:pPr>
                </w:p>
              </w:tc>
              <w:tc>
                <w:tcPr>
                  <w:tcW w:w="540" w:type="pct"/>
                  <w:vMerge w:val="continue"/>
                  <w:vAlign w:val="center"/>
                </w:tcPr>
                <w:p w14:paraId="333887A2">
                  <w:pPr>
                    <w:pStyle w:val="59"/>
                    <w:jc w:val="left"/>
                    <w:rPr>
                      <w:color w:val="auto"/>
                    </w:rPr>
                  </w:pPr>
                </w:p>
              </w:tc>
              <w:tc>
                <w:tcPr>
                  <w:tcW w:w="3272" w:type="pct"/>
                  <w:vAlign w:val="center"/>
                </w:tcPr>
                <w:p w14:paraId="75B3ECEB">
                  <w:pPr>
                    <w:pStyle w:val="59"/>
                    <w:ind w:firstLine="420" w:firstLineChars="200"/>
                    <w:jc w:val="left"/>
                    <w:rPr>
                      <w:color w:val="auto"/>
                    </w:rPr>
                  </w:pPr>
                  <w:r>
                    <w:rPr>
                      <w:rFonts w:hint="eastAsia"/>
                      <w:color w:val="auto"/>
                    </w:rPr>
                    <w:t>1#深度处理车间建设情况：尺寸103.9m×44.7m×14.1m，主要目的是去除水中氟化物。主要构筑物包括除氟高效沉淀池、V型滤池、反冲洗设备间、废水缓冲池。</w:t>
                  </w:r>
                </w:p>
                <w:p w14:paraId="6C4BA53F">
                  <w:pPr>
                    <w:pStyle w:val="59"/>
                    <w:ind w:firstLine="420" w:firstLineChars="200"/>
                    <w:jc w:val="left"/>
                    <w:rPr>
                      <w:color w:val="auto"/>
                    </w:rPr>
                  </w:pPr>
                  <w:r>
                    <w:rPr>
                      <w:rFonts w:hint="eastAsia"/>
                      <w:color w:val="auto"/>
                    </w:rPr>
                    <w:t>除氟高效沉淀池建设情况：尺寸L×B×H=43.85m×35.5m×7.95m，钢筋混凝土结构，框架结构。除氟高效沉淀池功能：投加PAC、PAM、铝盐用于去除的污染物为氟化物、SS等污染物的去除。</w:t>
                  </w:r>
                </w:p>
                <w:p w14:paraId="1CDF3A3E">
                  <w:pPr>
                    <w:pStyle w:val="59"/>
                    <w:ind w:firstLine="420" w:firstLineChars="200"/>
                    <w:jc w:val="left"/>
                    <w:rPr>
                      <w:color w:val="auto"/>
                    </w:rPr>
                  </w:pPr>
                  <w:r>
                    <w:rPr>
                      <w:rFonts w:hint="eastAsia"/>
                      <w:color w:val="auto"/>
                    </w:rPr>
                    <w:t>1#V型滤池建设情况：尺寸36.4m×27.2m×4.5m，钢筋混凝土结构，滤池个数共计6个，单池过滤面积为72m</w:t>
                  </w:r>
                  <w:r>
                    <w:rPr>
                      <w:rFonts w:hint="eastAsia"/>
                      <w:color w:val="auto"/>
                      <w:vertAlign w:val="superscript"/>
                    </w:rPr>
                    <w:t>2</w:t>
                  </w:r>
                  <w:r>
                    <w:rPr>
                      <w:rFonts w:hint="eastAsia"/>
                      <w:color w:val="auto"/>
                    </w:rPr>
                    <w:t>，设计流量为2933m</w:t>
                  </w:r>
                  <w:r>
                    <w:rPr>
                      <w:rFonts w:hint="eastAsia"/>
                      <w:color w:val="auto"/>
                      <w:vertAlign w:val="superscript"/>
                    </w:rPr>
                    <w:t>3</w:t>
                  </w:r>
                  <w:r>
                    <w:rPr>
                      <w:rFonts w:hint="eastAsia"/>
                      <w:color w:val="auto"/>
                    </w:rPr>
                    <w:t>/h，单池平面尺寸（含排水槽）：8.6×10m，设计滤速：6.8m/h，反冲洗方式：气-水反冲洗，气冲强度：46.8-54m</w:t>
                  </w:r>
                  <w:r>
                    <w:rPr>
                      <w:rFonts w:hint="eastAsia"/>
                      <w:color w:val="auto"/>
                      <w:vertAlign w:val="superscript"/>
                    </w:rPr>
                    <w:t>3</w:t>
                  </w:r>
                  <w:r>
                    <w:rPr>
                      <w:rFonts w:hint="eastAsia"/>
                      <w:color w:val="auto"/>
                    </w:rPr>
                    <w:t>/h·m</w:t>
                  </w:r>
                  <w:r>
                    <w:rPr>
                      <w:rFonts w:hint="eastAsia"/>
                      <w:color w:val="auto"/>
                      <w:vertAlign w:val="superscript"/>
                    </w:rPr>
                    <w:t>2</w:t>
                  </w:r>
                  <w:r>
                    <w:rPr>
                      <w:rFonts w:hint="eastAsia"/>
                      <w:color w:val="auto"/>
                    </w:rPr>
                    <w:t>，水冲强度12.6-16.2m3/h·m2，表面强度：5.04-8.28m</w:t>
                  </w:r>
                  <w:r>
                    <w:rPr>
                      <w:rFonts w:hint="eastAsia"/>
                      <w:color w:val="auto"/>
                      <w:vertAlign w:val="superscript"/>
                    </w:rPr>
                    <w:t>3</w:t>
                  </w:r>
                  <w:r>
                    <w:rPr>
                      <w:rFonts w:hint="eastAsia"/>
                      <w:color w:val="auto"/>
                    </w:rPr>
                    <w:t>/h·m</w:t>
                  </w:r>
                  <w:r>
                    <w:rPr>
                      <w:rFonts w:hint="eastAsia"/>
                      <w:color w:val="auto"/>
                      <w:vertAlign w:val="superscript"/>
                    </w:rPr>
                    <w:t>2</w:t>
                  </w:r>
                  <w:r>
                    <w:rPr>
                      <w:rFonts w:hint="eastAsia"/>
                      <w:color w:val="auto"/>
                    </w:rPr>
                    <w:t>。</w:t>
                  </w:r>
                </w:p>
                <w:p w14:paraId="77EB2855">
                  <w:pPr>
                    <w:pStyle w:val="59"/>
                    <w:ind w:firstLine="420" w:firstLineChars="200"/>
                    <w:jc w:val="left"/>
                    <w:rPr>
                      <w:color w:val="auto"/>
                    </w:rPr>
                  </w:pPr>
                  <w:r>
                    <w:rPr>
                      <w:rFonts w:hint="eastAsia"/>
                      <w:color w:val="auto"/>
                    </w:rPr>
                    <w:t>1#V型砂滤池功能：采用粒径较为一致的石英砂作为过滤介质，截留悬浮物来降低水的浊度。通过气-水反冲洗，冲洗掉滤料中的杂质，提高过滤效率。</w:t>
                  </w:r>
                </w:p>
              </w:tc>
              <w:tc>
                <w:tcPr>
                  <w:tcW w:w="539" w:type="pct"/>
                  <w:vAlign w:val="center"/>
                </w:tcPr>
                <w:p w14:paraId="1C337AAC">
                  <w:pPr>
                    <w:pStyle w:val="59"/>
                    <w:rPr>
                      <w:color w:val="auto"/>
                    </w:rPr>
                  </w:pPr>
                  <w:bookmarkStart w:id="15" w:name="OLE_LINK2"/>
                  <w:r>
                    <w:rPr>
                      <w:rFonts w:hint="eastAsia"/>
                      <w:color w:val="auto"/>
                    </w:rPr>
                    <w:t>已验收</w:t>
                  </w:r>
                  <w:bookmarkEnd w:id="15"/>
                </w:p>
              </w:tc>
            </w:tr>
            <w:tr w14:paraId="49959C6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27EAA7A">
                  <w:pPr>
                    <w:pStyle w:val="59"/>
                    <w:rPr>
                      <w:color w:val="auto"/>
                    </w:rPr>
                  </w:pPr>
                </w:p>
              </w:tc>
              <w:tc>
                <w:tcPr>
                  <w:tcW w:w="348" w:type="pct"/>
                  <w:vMerge w:val="continue"/>
                  <w:vAlign w:val="center"/>
                </w:tcPr>
                <w:p w14:paraId="2AF330C8">
                  <w:pPr>
                    <w:pStyle w:val="59"/>
                    <w:jc w:val="left"/>
                    <w:rPr>
                      <w:color w:val="auto"/>
                    </w:rPr>
                  </w:pPr>
                </w:p>
              </w:tc>
              <w:tc>
                <w:tcPr>
                  <w:tcW w:w="540" w:type="pct"/>
                  <w:vMerge w:val="continue"/>
                  <w:vAlign w:val="center"/>
                </w:tcPr>
                <w:p w14:paraId="46A42031">
                  <w:pPr>
                    <w:pStyle w:val="59"/>
                    <w:jc w:val="left"/>
                    <w:rPr>
                      <w:color w:val="auto"/>
                    </w:rPr>
                  </w:pPr>
                </w:p>
              </w:tc>
              <w:tc>
                <w:tcPr>
                  <w:tcW w:w="3272" w:type="pct"/>
                  <w:vAlign w:val="center"/>
                </w:tcPr>
                <w:p w14:paraId="1CF46B9D">
                  <w:pPr>
                    <w:pStyle w:val="59"/>
                    <w:ind w:firstLine="420" w:firstLineChars="200"/>
                    <w:jc w:val="left"/>
                    <w:rPr>
                      <w:color w:val="auto"/>
                    </w:rPr>
                  </w:pPr>
                  <w:r>
                    <w:rPr>
                      <w:rFonts w:hint="eastAsia"/>
                      <w:color w:val="auto"/>
                    </w:rPr>
                    <w:t>2#加药车间框架结构1座，尺寸90.1m×12.6m×7.8m，包含PAC/除氟剂投加系统、PAM投加系统、粉末活性炭投加系统和氢氧化钠、盐酸投加系统，设计要求储药池实现高、低液位声报警，低液位停泵等功能，计量泵可实现根据进水流量及中水调整计量泵投加量。</w:t>
                  </w:r>
                </w:p>
              </w:tc>
              <w:tc>
                <w:tcPr>
                  <w:tcW w:w="539" w:type="pct"/>
                  <w:vAlign w:val="center"/>
                </w:tcPr>
                <w:p w14:paraId="384D61C5">
                  <w:pPr>
                    <w:pStyle w:val="59"/>
                    <w:rPr>
                      <w:color w:val="auto"/>
                    </w:rPr>
                  </w:pPr>
                  <w:r>
                    <w:rPr>
                      <w:rFonts w:hint="eastAsia"/>
                      <w:color w:val="auto"/>
                    </w:rPr>
                    <w:t>已验收</w:t>
                  </w:r>
                </w:p>
              </w:tc>
            </w:tr>
            <w:tr w14:paraId="7180168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C78B4B8">
                  <w:pPr>
                    <w:pStyle w:val="59"/>
                    <w:rPr>
                      <w:color w:val="auto"/>
                    </w:rPr>
                  </w:pPr>
                </w:p>
              </w:tc>
              <w:tc>
                <w:tcPr>
                  <w:tcW w:w="348" w:type="pct"/>
                  <w:vMerge w:val="continue"/>
                  <w:vAlign w:val="center"/>
                </w:tcPr>
                <w:p w14:paraId="15920D40">
                  <w:pPr>
                    <w:pStyle w:val="59"/>
                    <w:jc w:val="left"/>
                    <w:rPr>
                      <w:color w:val="auto"/>
                    </w:rPr>
                  </w:pPr>
                </w:p>
              </w:tc>
              <w:tc>
                <w:tcPr>
                  <w:tcW w:w="540" w:type="pct"/>
                  <w:vAlign w:val="center"/>
                </w:tcPr>
                <w:p w14:paraId="5687B010">
                  <w:pPr>
                    <w:pStyle w:val="59"/>
                    <w:jc w:val="left"/>
                    <w:rPr>
                      <w:color w:val="auto"/>
                    </w:rPr>
                  </w:pPr>
                  <w:r>
                    <w:rPr>
                      <w:rFonts w:hint="eastAsia"/>
                      <w:color w:val="auto"/>
                    </w:rPr>
                    <w:t>两级臭氧高级催化氧化池</w:t>
                  </w:r>
                </w:p>
              </w:tc>
              <w:tc>
                <w:tcPr>
                  <w:tcW w:w="3272" w:type="pct"/>
                  <w:vAlign w:val="center"/>
                </w:tcPr>
                <w:p w14:paraId="60B77353">
                  <w:pPr>
                    <w:pStyle w:val="59"/>
                    <w:ind w:firstLine="420" w:firstLineChars="200"/>
                    <w:jc w:val="left"/>
                    <w:rPr>
                      <w:color w:val="auto"/>
                    </w:rPr>
                  </w:pPr>
                  <w:r>
                    <w:rPr>
                      <w:rFonts w:hint="eastAsia"/>
                      <w:color w:val="auto"/>
                    </w:rPr>
                    <w:t>两级串联，分为一级臭氧高级催化氧化池和二级臭氧高级催化氧化池，一级臭氧高级催化氧化池建筑面积137.37m</w:t>
                  </w:r>
                  <w:r>
                    <w:rPr>
                      <w:rFonts w:hint="eastAsia"/>
                      <w:color w:val="auto"/>
                      <w:vertAlign w:val="superscript"/>
                    </w:rPr>
                    <w:t>2</w:t>
                  </w:r>
                  <w:r>
                    <w:rPr>
                      <w:rFonts w:hint="eastAsia"/>
                      <w:color w:val="auto"/>
                    </w:rPr>
                    <w:t>。</w:t>
                  </w:r>
                </w:p>
                <w:p w14:paraId="727010D9">
                  <w:pPr>
                    <w:pStyle w:val="59"/>
                    <w:ind w:firstLine="420" w:firstLineChars="200"/>
                    <w:jc w:val="left"/>
                    <w:rPr>
                      <w:rFonts w:hint="eastAsia"/>
                      <w:color w:val="auto"/>
                    </w:rPr>
                  </w:pPr>
                  <w:r>
                    <w:rPr>
                      <w:rFonts w:hint="eastAsia"/>
                      <w:color w:val="auto"/>
                    </w:rPr>
                    <w:t>二级臭氧高级催化氧化池建筑面积133.50m</w:t>
                  </w:r>
                  <w:r>
                    <w:rPr>
                      <w:rFonts w:hint="eastAsia"/>
                      <w:color w:val="auto"/>
                      <w:vertAlign w:val="superscript"/>
                    </w:rPr>
                    <w:t>2</w:t>
                  </w:r>
                  <w:r>
                    <w:rPr>
                      <w:rFonts w:hint="eastAsia"/>
                      <w:color w:val="auto"/>
                    </w:rPr>
                    <w:t>，每级1座2组，单座尺寸：L×B×H=43.7m×25m×8m，设计流量Q=0.81m</w:t>
                  </w:r>
                  <w:r>
                    <w:rPr>
                      <w:rFonts w:hint="eastAsia"/>
                      <w:color w:val="auto"/>
                      <w:vertAlign w:val="superscript"/>
                    </w:rPr>
                    <w:t>3</w:t>
                  </w:r>
                  <w:r>
                    <w:rPr>
                      <w:rFonts w:hint="eastAsia"/>
                      <w:color w:val="auto"/>
                    </w:rPr>
                    <w:t>/s，反应时间，T=1h，臭氧投加量为一级57mg/L，二级33mg/L。本项目利用臭氧高级催化法有效去除污水中的难降解COD。</w:t>
                  </w:r>
                </w:p>
              </w:tc>
              <w:tc>
                <w:tcPr>
                  <w:tcW w:w="539" w:type="pct"/>
                  <w:vAlign w:val="center"/>
                </w:tcPr>
                <w:p w14:paraId="382B7762">
                  <w:pPr>
                    <w:pStyle w:val="59"/>
                    <w:rPr>
                      <w:color w:val="auto"/>
                    </w:rPr>
                  </w:pPr>
                  <w:r>
                    <w:rPr>
                      <w:rFonts w:hint="eastAsia"/>
                      <w:color w:val="auto"/>
                    </w:rPr>
                    <w:t>已验收</w:t>
                  </w:r>
                </w:p>
              </w:tc>
            </w:tr>
            <w:tr w14:paraId="2FBA27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30CB30F">
                  <w:pPr>
                    <w:pStyle w:val="59"/>
                    <w:rPr>
                      <w:color w:val="auto"/>
                    </w:rPr>
                  </w:pPr>
                </w:p>
              </w:tc>
              <w:tc>
                <w:tcPr>
                  <w:tcW w:w="348" w:type="pct"/>
                  <w:vMerge w:val="continue"/>
                  <w:vAlign w:val="center"/>
                </w:tcPr>
                <w:p w14:paraId="1C36B0A1">
                  <w:pPr>
                    <w:pStyle w:val="59"/>
                    <w:jc w:val="left"/>
                    <w:rPr>
                      <w:color w:val="auto"/>
                    </w:rPr>
                  </w:pPr>
                </w:p>
              </w:tc>
              <w:tc>
                <w:tcPr>
                  <w:tcW w:w="540" w:type="pct"/>
                  <w:vAlign w:val="center"/>
                </w:tcPr>
                <w:p w14:paraId="05068511">
                  <w:pPr>
                    <w:pStyle w:val="59"/>
                    <w:rPr>
                      <w:color w:val="auto"/>
                    </w:rPr>
                  </w:pPr>
                  <w:r>
                    <w:rPr>
                      <w:rFonts w:hint="eastAsia"/>
                      <w:color w:val="auto"/>
                    </w:rPr>
                    <w:t>三级提升及纯膜MBBR</w:t>
                  </w:r>
                </w:p>
                <w:p w14:paraId="5AE10C7A">
                  <w:pPr>
                    <w:pStyle w:val="59"/>
                    <w:rPr>
                      <w:color w:val="auto"/>
                    </w:rPr>
                  </w:pPr>
                  <w:r>
                    <w:rPr>
                      <w:rFonts w:hint="eastAsia"/>
                      <w:color w:val="auto"/>
                    </w:rPr>
                    <w:t>池</w:t>
                  </w:r>
                </w:p>
              </w:tc>
              <w:tc>
                <w:tcPr>
                  <w:tcW w:w="3272" w:type="pct"/>
                  <w:vAlign w:val="center"/>
                </w:tcPr>
                <w:p w14:paraId="31B66F29">
                  <w:pPr>
                    <w:pStyle w:val="59"/>
                    <w:ind w:firstLine="420" w:firstLineChars="200"/>
                    <w:jc w:val="left"/>
                    <w:rPr>
                      <w:color w:val="auto"/>
                    </w:rPr>
                  </w:pPr>
                  <w:r>
                    <w:rPr>
                      <w:rFonts w:hint="eastAsia"/>
                      <w:color w:val="auto"/>
                    </w:rPr>
                    <w:t>三级提升泵池：12.3m×7.95m×9.5m；纯膜MBBR池尺寸：52.7m×26.2m×9m，共计1座2格。用生物膜法的基本原理、同时结合活性污泥法的优点，以悬浮物填料作为微生物生产的载体，通过悬浮填料在池中充分流化，可强化去除污水的氮、磷。</w:t>
                  </w:r>
                </w:p>
              </w:tc>
              <w:tc>
                <w:tcPr>
                  <w:tcW w:w="539" w:type="pct"/>
                  <w:vAlign w:val="center"/>
                </w:tcPr>
                <w:p w14:paraId="4B8C2EA8">
                  <w:pPr>
                    <w:pStyle w:val="59"/>
                    <w:rPr>
                      <w:color w:val="auto"/>
                    </w:rPr>
                  </w:pPr>
                  <w:r>
                    <w:rPr>
                      <w:rFonts w:hint="eastAsia"/>
                      <w:color w:val="auto"/>
                    </w:rPr>
                    <w:t>已验收</w:t>
                  </w:r>
                </w:p>
              </w:tc>
            </w:tr>
            <w:tr w14:paraId="347C731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6A7FB4CA">
                  <w:pPr>
                    <w:pStyle w:val="59"/>
                    <w:rPr>
                      <w:color w:val="auto"/>
                    </w:rPr>
                  </w:pPr>
                </w:p>
              </w:tc>
              <w:tc>
                <w:tcPr>
                  <w:tcW w:w="348" w:type="pct"/>
                  <w:vMerge w:val="continue"/>
                  <w:vAlign w:val="center"/>
                </w:tcPr>
                <w:p w14:paraId="1A900558">
                  <w:pPr>
                    <w:pStyle w:val="59"/>
                    <w:jc w:val="left"/>
                    <w:rPr>
                      <w:color w:val="auto"/>
                    </w:rPr>
                  </w:pPr>
                </w:p>
              </w:tc>
              <w:tc>
                <w:tcPr>
                  <w:tcW w:w="540" w:type="pct"/>
                  <w:vAlign w:val="center"/>
                </w:tcPr>
                <w:p w14:paraId="344A6D5C">
                  <w:pPr>
                    <w:pStyle w:val="59"/>
                    <w:rPr>
                      <w:color w:val="auto"/>
                    </w:rPr>
                  </w:pPr>
                  <w:r>
                    <w:rPr>
                      <w:rFonts w:hint="eastAsia"/>
                      <w:color w:val="auto"/>
                    </w:rPr>
                    <w:t>粉碳高效沉淀车间</w:t>
                  </w:r>
                </w:p>
              </w:tc>
              <w:tc>
                <w:tcPr>
                  <w:tcW w:w="3272" w:type="pct"/>
                  <w:vAlign w:val="center"/>
                </w:tcPr>
                <w:p w14:paraId="0C5DE7D1">
                  <w:pPr>
                    <w:pStyle w:val="59"/>
                    <w:ind w:firstLine="420" w:firstLineChars="200"/>
                    <w:jc w:val="left"/>
                    <w:rPr>
                      <w:color w:val="auto"/>
                    </w:rPr>
                  </w:pPr>
                  <w:r>
                    <w:rPr>
                      <w:rFonts w:hint="eastAsia"/>
                      <w:color w:val="auto"/>
                    </w:rPr>
                    <w:t>建筑面积1674.44m</w:t>
                  </w:r>
                  <w:r>
                    <w:rPr>
                      <w:rFonts w:hint="eastAsia"/>
                      <w:color w:val="auto"/>
                      <w:vertAlign w:val="superscript"/>
                    </w:rPr>
                    <w:t>2</w:t>
                  </w:r>
                  <w:r>
                    <w:rPr>
                      <w:rFonts w:hint="eastAsia"/>
                      <w:color w:val="auto"/>
                    </w:rPr>
                    <w:t>，钢筋混凝土框架结构。</w:t>
                  </w:r>
                </w:p>
                <w:p w14:paraId="5DCF72DD">
                  <w:pPr>
                    <w:pStyle w:val="59"/>
                    <w:ind w:firstLine="420" w:firstLineChars="200"/>
                    <w:jc w:val="left"/>
                    <w:rPr>
                      <w:color w:val="auto"/>
                    </w:rPr>
                  </w:pPr>
                  <w:r>
                    <w:rPr>
                      <w:rFonts w:hint="eastAsia"/>
                      <w:color w:val="auto"/>
                    </w:rPr>
                    <w:t>粉碳高效沉淀池尺寸：30.6m×28.7m×8.15m，共计1座2组。粉碳高效沉淀池功能：去除废水中的SS及COD。</w:t>
                  </w:r>
                </w:p>
              </w:tc>
              <w:tc>
                <w:tcPr>
                  <w:tcW w:w="539" w:type="pct"/>
                  <w:vAlign w:val="center"/>
                </w:tcPr>
                <w:p w14:paraId="11E7ECCE">
                  <w:pPr>
                    <w:pStyle w:val="59"/>
                    <w:rPr>
                      <w:color w:val="auto"/>
                    </w:rPr>
                  </w:pPr>
                  <w:r>
                    <w:rPr>
                      <w:rFonts w:hint="eastAsia"/>
                      <w:color w:val="auto"/>
                    </w:rPr>
                    <w:t>已验收</w:t>
                  </w:r>
                </w:p>
              </w:tc>
            </w:tr>
            <w:tr w14:paraId="54794D6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D1DD4F3">
                  <w:pPr>
                    <w:pStyle w:val="59"/>
                    <w:rPr>
                      <w:color w:val="auto"/>
                    </w:rPr>
                  </w:pPr>
                </w:p>
              </w:tc>
              <w:tc>
                <w:tcPr>
                  <w:tcW w:w="348" w:type="pct"/>
                  <w:vMerge w:val="restart"/>
                  <w:vAlign w:val="center"/>
                </w:tcPr>
                <w:p w14:paraId="515C8882">
                  <w:pPr>
                    <w:pStyle w:val="59"/>
                    <w:jc w:val="left"/>
                    <w:rPr>
                      <w:color w:val="auto"/>
                    </w:rPr>
                  </w:pPr>
                  <w:r>
                    <w:rPr>
                      <w:rFonts w:hint="eastAsia"/>
                      <w:color w:val="auto"/>
                    </w:rPr>
                    <w:t>双膜处理系统</w:t>
                  </w:r>
                </w:p>
              </w:tc>
              <w:tc>
                <w:tcPr>
                  <w:tcW w:w="540" w:type="pct"/>
                  <w:vAlign w:val="center"/>
                </w:tcPr>
                <w:p w14:paraId="19A1FFC1">
                  <w:pPr>
                    <w:pStyle w:val="59"/>
                    <w:rPr>
                      <w:color w:val="auto"/>
                    </w:rPr>
                  </w:pPr>
                  <w:r>
                    <w:rPr>
                      <w:rFonts w:hint="eastAsia"/>
                      <w:color w:val="auto"/>
                    </w:rPr>
                    <w:t>UF+RO</w:t>
                  </w:r>
                </w:p>
                <w:p w14:paraId="6E5A36E0">
                  <w:pPr>
                    <w:pStyle w:val="59"/>
                    <w:rPr>
                      <w:color w:val="auto"/>
                    </w:rPr>
                  </w:pPr>
                  <w:r>
                    <w:rPr>
                      <w:rFonts w:hint="eastAsia"/>
                      <w:color w:val="auto"/>
                    </w:rPr>
                    <w:t>膜车间</w:t>
                  </w:r>
                </w:p>
              </w:tc>
              <w:tc>
                <w:tcPr>
                  <w:tcW w:w="3272" w:type="pct"/>
                  <w:vAlign w:val="center"/>
                </w:tcPr>
                <w:p w14:paraId="2C21EE34">
                  <w:pPr>
                    <w:pStyle w:val="59"/>
                    <w:ind w:firstLine="420" w:firstLineChars="200"/>
                    <w:jc w:val="left"/>
                    <w:rPr>
                      <w:color w:val="auto"/>
                    </w:rPr>
                  </w:pPr>
                  <w:r>
                    <w:rPr>
                      <w:rFonts w:hint="eastAsia"/>
                      <w:color w:val="auto"/>
                    </w:rPr>
                    <w:t>膜车间建筑面积为6174.78m</w:t>
                  </w:r>
                  <w:r>
                    <w:rPr>
                      <w:rFonts w:hint="eastAsia"/>
                      <w:color w:val="auto"/>
                      <w:vertAlign w:val="superscript"/>
                    </w:rPr>
                    <w:t>2</w:t>
                  </w:r>
                  <w:r>
                    <w:rPr>
                      <w:rFonts w:hint="eastAsia"/>
                      <w:color w:val="auto"/>
                    </w:rPr>
                    <w:t>，池体为钢筋混凝土结构，车间为钢框架结构。采用超滤+反渗透双膜法处理工艺主要去除上游来水中氯离子、氟离子及溶解性总固体等。膜处理车间包括超滤、反渗透系统。按功能分区包括超滤进水泵房、综合泵房（超滤反洗、反渗透进水、反渗透冲洗）、反渗透高压泵房、膜设备间、化学清洗间、膜进水池、膜产水池、储药间、空压机室、变配电室。</w:t>
                  </w:r>
                </w:p>
              </w:tc>
              <w:tc>
                <w:tcPr>
                  <w:tcW w:w="539" w:type="pct"/>
                  <w:vAlign w:val="center"/>
                </w:tcPr>
                <w:p w14:paraId="24104FB0">
                  <w:pPr>
                    <w:pStyle w:val="59"/>
                    <w:rPr>
                      <w:color w:val="auto"/>
                    </w:rPr>
                  </w:pPr>
                  <w:r>
                    <w:rPr>
                      <w:rFonts w:hint="eastAsia"/>
                      <w:color w:val="auto"/>
                    </w:rPr>
                    <w:t>已验收</w:t>
                  </w:r>
                </w:p>
              </w:tc>
            </w:tr>
            <w:tr w14:paraId="3165F49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998F39C">
                  <w:pPr>
                    <w:pStyle w:val="59"/>
                    <w:rPr>
                      <w:color w:val="auto"/>
                    </w:rPr>
                  </w:pPr>
                </w:p>
              </w:tc>
              <w:tc>
                <w:tcPr>
                  <w:tcW w:w="348" w:type="pct"/>
                  <w:vMerge w:val="continue"/>
                  <w:vAlign w:val="center"/>
                </w:tcPr>
                <w:p w14:paraId="1482D6C7">
                  <w:pPr>
                    <w:pStyle w:val="59"/>
                    <w:jc w:val="left"/>
                    <w:rPr>
                      <w:color w:val="auto"/>
                    </w:rPr>
                  </w:pPr>
                </w:p>
              </w:tc>
              <w:tc>
                <w:tcPr>
                  <w:tcW w:w="540" w:type="pct"/>
                  <w:vAlign w:val="center"/>
                </w:tcPr>
                <w:p w14:paraId="370D6BA5">
                  <w:pPr>
                    <w:pStyle w:val="59"/>
                    <w:rPr>
                      <w:color w:val="auto"/>
                    </w:rPr>
                  </w:pPr>
                  <w:r>
                    <w:rPr>
                      <w:rFonts w:hint="eastAsia"/>
                      <w:color w:val="auto"/>
                    </w:rPr>
                    <w:t>综合再</w:t>
                  </w:r>
                </w:p>
                <w:p w14:paraId="5EE703E9">
                  <w:pPr>
                    <w:pStyle w:val="59"/>
                    <w:rPr>
                      <w:color w:val="auto"/>
                    </w:rPr>
                  </w:pPr>
                  <w:r>
                    <w:rPr>
                      <w:rFonts w:hint="eastAsia"/>
                      <w:color w:val="auto"/>
                    </w:rPr>
                    <w:t>生水池及综合泵房</w:t>
                  </w:r>
                </w:p>
                <w:p w14:paraId="69E8C7B3">
                  <w:pPr>
                    <w:pStyle w:val="59"/>
                    <w:rPr>
                      <w:color w:val="auto"/>
                    </w:rPr>
                  </w:pPr>
                  <w:r>
                    <w:rPr>
                      <w:rFonts w:hint="eastAsia"/>
                      <w:color w:val="auto"/>
                    </w:rPr>
                    <w:t>（含消防）</w:t>
                  </w:r>
                </w:p>
              </w:tc>
              <w:tc>
                <w:tcPr>
                  <w:tcW w:w="3272" w:type="pct"/>
                  <w:vAlign w:val="center"/>
                </w:tcPr>
                <w:p w14:paraId="21BF9C1E">
                  <w:pPr>
                    <w:pStyle w:val="59"/>
                    <w:ind w:firstLine="420" w:firstLineChars="200"/>
                    <w:jc w:val="left"/>
                    <w:rPr>
                      <w:color w:val="auto"/>
                    </w:rPr>
                  </w:pPr>
                  <w:r>
                    <w:rPr>
                      <w:rFonts w:hint="eastAsia"/>
                      <w:color w:val="auto"/>
                    </w:rPr>
                    <w:t>建筑面积1804.45m</w:t>
                  </w:r>
                  <w:r>
                    <w:rPr>
                      <w:rFonts w:hint="eastAsia"/>
                      <w:color w:val="auto"/>
                      <w:vertAlign w:val="superscript"/>
                    </w:rPr>
                    <w:t>2</w:t>
                  </w:r>
                  <w:r>
                    <w:rPr>
                      <w:rFonts w:hint="eastAsia"/>
                      <w:color w:val="auto"/>
                    </w:rPr>
                    <w:t>，和巴氏计量槽合建综合水池一座，总调节容积13880m</w:t>
                  </w:r>
                  <w:r>
                    <w:rPr>
                      <w:rFonts w:hint="eastAsia"/>
                      <w:color w:val="auto"/>
                      <w:vertAlign w:val="superscript"/>
                    </w:rPr>
                    <w:t>3</w:t>
                  </w:r>
                  <w:r>
                    <w:rPr>
                      <w:rFonts w:hint="eastAsia"/>
                      <w:color w:val="auto"/>
                    </w:rPr>
                    <w:t>，消防水池容积960m</w:t>
                  </w:r>
                  <w:r>
                    <w:rPr>
                      <w:rFonts w:hint="eastAsia"/>
                      <w:color w:val="auto"/>
                      <w:vertAlign w:val="superscript"/>
                    </w:rPr>
                    <w:t>3</w:t>
                  </w:r>
                  <w:r>
                    <w:rPr>
                      <w:rFonts w:hint="eastAsia"/>
                      <w:color w:val="auto"/>
                    </w:rPr>
                    <w:t>。</w:t>
                  </w:r>
                </w:p>
                <w:p w14:paraId="349DCE95">
                  <w:pPr>
                    <w:pStyle w:val="59"/>
                    <w:ind w:firstLine="420" w:firstLineChars="200"/>
                    <w:jc w:val="left"/>
                    <w:rPr>
                      <w:color w:val="auto"/>
                    </w:rPr>
                  </w:pPr>
                  <w:r>
                    <w:rPr>
                      <w:rFonts w:hint="eastAsia"/>
                      <w:color w:val="auto"/>
                    </w:rPr>
                    <w:t>再生水泵房：含隆基企业供水泵、其他企业供水泵、蒸发车间冷却水泵、臭氧制备间冷却水泵、水源热泵间回水泵、厂区再生水泵及消防水泵，半地下式矩形钢筋混凝土结构，尺寸为：84.65m×12.6m，地下泵坑深5.3，地上泵房高9m。</w:t>
                  </w:r>
                </w:p>
                <w:p w14:paraId="32CCAA12">
                  <w:pPr>
                    <w:pStyle w:val="59"/>
                    <w:ind w:firstLine="420" w:firstLineChars="200"/>
                    <w:jc w:val="left"/>
                    <w:rPr>
                      <w:color w:val="auto"/>
                    </w:rPr>
                  </w:pPr>
                  <w:r>
                    <w:rPr>
                      <w:rFonts w:hint="eastAsia"/>
                      <w:color w:val="auto"/>
                    </w:rPr>
                    <w:t>变配电室和再生水泵房合建，框架结构，尺寸：43.225m×17.9m×4.9m。</w:t>
                  </w:r>
                </w:p>
              </w:tc>
              <w:tc>
                <w:tcPr>
                  <w:tcW w:w="539" w:type="pct"/>
                  <w:vAlign w:val="center"/>
                </w:tcPr>
                <w:p w14:paraId="54CD8262">
                  <w:pPr>
                    <w:pStyle w:val="59"/>
                    <w:rPr>
                      <w:color w:val="auto"/>
                    </w:rPr>
                  </w:pPr>
                  <w:r>
                    <w:rPr>
                      <w:rFonts w:hint="eastAsia"/>
                      <w:color w:val="auto"/>
                    </w:rPr>
                    <w:t>已验收</w:t>
                  </w:r>
                </w:p>
              </w:tc>
            </w:tr>
            <w:tr w14:paraId="70DF41F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5FE9390">
                  <w:pPr>
                    <w:pStyle w:val="59"/>
                    <w:rPr>
                      <w:color w:val="auto"/>
                    </w:rPr>
                  </w:pPr>
                </w:p>
              </w:tc>
              <w:tc>
                <w:tcPr>
                  <w:tcW w:w="348" w:type="pct"/>
                  <w:vMerge w:val="restart"/>
                  <w:vAlign w:val="center"/>
                </w:tcPr>
                <w:p w14:paraId="3A02A944">
                  <w:pPr>
                    <w:pStyle w:val="59"/>
                    <w:jc w:val="left"/>
                    <w:rPr>
                      <w:color w:val="auto"/>
                    </w:rPr>
                  </w:pPr>
                  <w:r>
                    <w:rPr>
                      <w:rFonts w:hint="eastAsia"/>
                      <w:color w:val="auto"/>
                    </w:rPr>
                    <w:t>浓水处理系统</w:t>
                  </w:r>
                </w:p>
              </w:tc>
              <w:tc>
                <w:tcPr>
                  <w:tcW w:w="540" w:type="pct"/>
                  <w:vAlign w:val="center"/>
                </w:tcPr>
                <w:p w14:paraId="21EFF776">
                  <w:pPr>
                    <w:pStyle w:val="59"/>
                    <w:rPr>
                      <w:color w:val="auto"/>
                    </w:rPr>
                  </w:pPr>
                  <w:r>
                    <w:rPr>
                      <w:rFonts w:hint="eastAsia"/>
                      <w:color w:val="auto"/>
                    </w:rPr>
                    <w:t>蒸发预处理车间</w:t>
                  </w:r>
                </w:p>
              </w:tc>
              <w:tc>
                <w:tcPr>
                  <w:tcW w:w="3272" w:type="pct"/>
                  <w:vAlign w:val="center"/>
                </w:tcPr>
                <w:p w14:paraId="5E23DE41">
                  <w:pPr>
                    <w:pStyle w:val="59"/>
                    <w:ind w:firstLine="420" w:firstLineChars="200"/>
                    <w:jc w:val="left"/>
                    <w:rPr>
                      <w:color w:val="auto"/>
                    </w:rPr>
                  </w:pPr>
                  <w:r>
                    <w:rPr>
                      <w:rFonts w:hint="eastAsia"/>
                      <w:color w:val="auto"/>
                    </w:rPr>
                    <w:t>蒸发预处理车间1座，为钢框架结构，建筑面积11543.94m</w:t>
                  </w:r>
                  <w:r>
                    <w:rPr>
                      <w:rFonts w:hint="eastAsia"/>
                      <w:color w:val="auto"/>
                      <w:vertAlign w:val="superscript"/>
                    </w:rPr>
                    <w:t>2</w:t>
                  </w:r>
                  <w:r>
                    <w:rPr>
                      <w:rFonts w:hint="eastAsia"/>
                      <w:color w:val="auto"/>
                    </w:rPr>
                    <w:t>，池体为钢筋混凝土结构，内设浓水调节池、软化除硅高密池系统，砂滤1、2系统，超滤1、2系统，树脂系统，RO1、RO2系统，脱碳系统，NF系统、RO纯水系统、脱氨树脂、臭氧氧化，主要用于浓盐水蒸发前的预处理。浓水调节池前端设置事故池1座，尺寸：22.5m×48.65m，有效水深7m，有效容积7662m³，停留时间12h。</w:t>
                  </w:r>
                </w:p>
              </w:tc>
              <w:tc>
                <w:tcPr>
                  <w:tcW w:w="539" w:type="pct"/>
                  <w:vAlign w:val="center"/>
                </w:tcPr>
                <w:p w14:paraId="54052F8C">
                  <w:pPr>
                    <w:pStyle w:val="59"/>
                    <w:rPr>
                      <w:color w:val="auto"/>
                    </w:rPr>
                  </w:pPr>
                  <w:r>
                    <w:rPr>
                      <w:rFonts w:hint="eastAsia"/>
                      <w:color w:val="auto"/>
                    </w:rPr>
                    <w:t>已验收</w:t>
                  </w:r>
                </w:p>
              </w:tc>
            </w:tr>
            <w:tr w14:paraId="1864EE8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92C8162">
                  <w:pPr>
                    <w:pStyle w:val="59"/>
                    <w:rPr>
                      <w:color w:val="auto"/>
                    </w:rPr>
                  </w:pPr>
                </w:p>
              </w:tc>
              <w:tc>
                <w:tcPr>
                  <w:tcW w:w="348" w:type="pct"/>
                  <w:vMerge w:val="continue"/>
                  <w:vAlign w:val="center"/>
                </w:tcPr>
                <w:p w14:paraId="42E5419C">
                  <w:pPr>
                    <w:pStyle w:val="59"/>
                    <w:jc w:val="left"/>
                    <w:rPr>
                      <w:color w:val="auto"/>
                    </w:rPr>
                  </w:pPr>
                </w:p>
              </w:tc>
              <w:tc>
                <w:tcPr>
                  <w:tcW w:w="540" w:type="pct"/>
                  <w:vAlign w:val="center"/>
                </w:tcPr>
                <w:p w14:paraId="524AD500">
                  <w:pPr>
                    <w:pStyle w:val="59"/>
                    <w:rPr>
                      <w:color w:val="auto"/>
                    </w:rPr>
                  </w:pPr>
                  <w:r>
                    <w:rPr>
                      <w:rFonts w:hint="eastAsia"/>
                      <w:color w:val="auto"/>
                    </w:rPr>
                    <w:t>蒸发结晶车间及储存间</w:t>
                  </w:r>
                </w:p>
              </w:tc>
              <w:tc>
                <w:tcPr>
                  <w:tcW w:w="3272" w:type="pct"/>
                  <w:vAlign w:val="center"/>
                </w:tcPr>
                <w:p w14:paraId="4FFBDB73">
                  <w:pPr>
                    <w:pStyle w:val="59"/>
                    <w:ind w:firstLine="420" w:firstLineChars="200"/>
                    <w:jc w:val="left"/>
                    <w:rPr>
                      <w:color w:val="auto"/>
                    </w:rPr>
                  </w:pPr>
                  <w:r>
                    <w:rPr>
                      <w:rFonts w:hint="eastAsia"/>
                      <w:color w:val="auto"/>
                    </w:rPr>
                    <w:t>蒸发结晶车间进水端前设置应急事故池1座，3850m</w:t>
                  </w:r>
                  <w:r>
                    <w:rPr>
                      <w:rFonts w:hint="eastAsia"/>
                      <w:color w:val="auto"/>
                      <w:vertAlign w:val="superscript"/>
                    </w:rPr>
                    <w:t>3</w:t>
                  </w:r>
                  <w:r>
                    <w:rPr>
                      <w:rFonts w:hint="eastAsia"/>
                      <w:color w:val="auto"/>
                    </w:rPr>
                    <w:t>。</w:t>
                  </w:r>
                </w:p>
                <w:p w14:paraId="5F86218D">
                  <w:pPr>
                    <w:pStyle w:val="59"/>
                    <w:ind w:firstLine="420" w:firstLineChars="200"/>
                    <w:jc w:val="left"/>
                    <w:rPr>
                      <w:color w:val="auto"/>
                    </w:rPr>
                  </w:pPr>
                  <w:r>
                    <w:rPr>
                      <w:rFonts w:hint="eastAsia"/>
                      <w:color w:val="auto"/>
                    </w:rPr>
                    <w:t>蒸发结晶车间及储存间1座，池体为钢筋混凝土结构，车间为钢结构，建筑面积6562.29m</w:t>
                  </w:r>
                  <w:r>
                    <w:rPr>
                      <w:rFonts w:hint="eastAsia"/>
                      <w:color w:val="auto"/>
                      <w:vertAlign w:val="superscript"/>
                    </w:rPr>
                    <w:t>2</w:t>
                  </w:r>
                  <w:r>
                    <w:rPr>
                      <w:rFonts w:hint="eastAsia"/>
                      <w:color w:val="auto"/>
                    </w:rPr>
                    <w:t>。用于浓水蒸发结晶处理，其中副产品氯化钠日产量为90t/d，硫酸钠日产生量为6t/d、杂盐日产量为27t/d。储存间建筑面积为1600m2，用于氯化钠、硫酸钠的存放。</w:t>
                  </w:r>
                </w:p>
              </w:tc>
              <w:tc>
                <w:tcPr>
                  <w:tcW w:w="539" w:type="pct"/>
                  <w:vAlign w:val="center"/>
                </w:tcPr>
                <w:p w14:paraId="7A8E4524">
                  <w:pPr>
                    <w:pStyle w:val="59"/>
                    <w:rPr>
                      <w:color w:val="auto"/>
                    </w:rPr>
                  </w:pPr>
                  <w:r>
                    <w:rPr>
                      <w:rFonts w:hint="eastAsia"/>
                      <w:color w:val="auto"/>
                    </w:rPr>
                    <w:t>已验收</w:t>
                  </w:r>
                </w:p>
              </w:tc>
            </w:tr>
            <w:tr w14:paraId="1EC63C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A1350A6">
                  <w:pPr>
                    <w:pStyle w:val="59"/>
                    <w:rPr>
                      <w:color w:val="auto"/>
                    </w:rPr>
                  </w:pPr>
                </w:p>
              </w:tc>
              <w:tc>
                <w:tcPr>
                  <w:tcW w:w="888" w:type="pct"/>
                  <w:gridSpan w:val="2"/>
                  <w:vAlign w:val="center"/>
                </w:tcPr>
                <w:p w14:paraId="28D9CE0A">
                  <w:pPr>
                    <w:pStyle w:val="59"/>
                    <w:rPr>
                      <w:color w:val="auto"/>
                    </w:rPr>
                  </w:pPr>
                  <w:r>
                    <w:rPr>
                      <w:rFonts w:hint="eastAsia"/>
                      <w:color w:val="auto"/>
                    </w:rPr>
                    <w:t>巴氏计量槽</w:t>
                  </w:r>
                </w:p>
              </w:tc>
              <w:tc>
                <w:tcPr>
                  <w:tcW w:w="3272" w:type="pct"/>
                  <w:vAlign w:val="center"/>
                </w:tcPr>
                <w:p w14:paraId="043F728B">
                  <w:pPr>
                    <w:pStyle w:val="59"/>
                    <w:ind w:firstLine="420" w:firstLineChars="200"/>
                    <w:jc w:val="left"/>
                    <w:rPr>
                      <w:color w:val="auto"/>
                    </w:rPr>
                  </w:pPr>
                  <w:r>
                    <w:rPr>
                      <w:rFonts w:hint="eastAsia"/>
                      <w:color w:val="auto"/>
                    </w:rPr>
                    <w:t>设置巴氏计量槽1组，计量出水流量，半地下式矩形钢筋混凝土结构，流量为Q=90m</w:t>
                  </w:r>
                  <w:r>
                    <w:rPr>
                      <w:rFonts w:hint="eastAsia"/>
                      <w:color w:val="auto"/>
                      <w:vertAlign w:val="superscript"/>
                    </w:rPr>
                    <w:t>3</w:t>
                  </w:r>
                  <w:r>
                    <w:rPr>
                      <w:rFonts w:hint="eastAsia"/>
                      <w:color w:val="auto"/>
                    </w:rPr>
                    <w:t>/h~3960m</w:t>
                  </w:r>
                  <w:r>
                    <w:rPr>
                      <w:rFonts w:hint="eastAsia"/>
                      <w:color w:val="auto"/>
                      <w:vertAlign w:val="superscript"/>
                    </w:rPr>
                    <w:t>3</w:t>
                  </w:r>
                  <w:r>
                    <w:rPr>
                      <w:rFonts w:hint="eastAsia"/>
                      <w:color w:val="auto"/>
                    </w:rPr>
                    <w:t>/h，尺寸为L×B×H=26.8m×1.8m×1.9m。</w:t>
                  </w:r>
                </w:p>
              </w:tc>
              <w:tc>
                <w:tcPr>
                  <w:tcW w:w="539" w:type="pct"/>
                  <w:vAlign w:val="center"/>
                </w:tcPr>
                <w:p w14:paraId="6F9F8400">
                  <w:pPr>
                    <w:pStyle w:val="59"/>
                    <w:rPr>
                      <w:color w:val="auto"/>
                    </w:rPr>
                  </w:pPr>
                  <w:r>
                    <w:rPr>
                      <w:rFonts w:hint="eastAsia"/>
                      <w:color w:val="auto"/>
                    </w:rPr>
                    <w:t>已验收</w:t>
                  </w:r>
                </w:p>
              </w:tc>
            </w:tr>
            <w:tr w14:paraId="2661B6A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39" w:type="pct"/>
                <w:trHeight w:val="0" w:hRule="atLeast"/>
                <w:jc w:val="center"/>
              </w:trPr>
              <w:tc>
                <w:tcPr>
                  <w:tcW w:w="301" w:type="pct"/>
                  <w:vMerge w:val="continue"/>
                  <w:vAlign w:val="center"/>
                </w:tcPr>
                <w:p w14:paraId="1CFFB0A8">
                  <w:pPr>
                    <w:pStyle w:val="59"/>
                    <w:rPr>
                      <w:color w:val="auto"/>
                    </w:rPr>
                  </w:pPr>
                </w:p>
              </w:tc>
              <w:tc>
                <w:tcPr>
                  <w:tcW w:w="4159" w:type="pct"/>
                  <w:gridSpan w:val="3"/>
                  <w:vAlign w:val="center"/>
                </w:tcPr>
                <w:p w14:paraId="63BFFA83">
                  <w:pPr>
                    <w:pStyle w:val="59"/>
                    <w:ind w:firstLine="420" w:firstLineChars="200"/>
                    <w:rPr>
                      <w:color w:val="auto"/>
                    </w:rPr>
                  </w:pPr>
                  <w:r>
                    <w:rPr>
                      <w:rFonts w:hint="eastAsia"/>
                      <w:color w:val="auto"/>
                    </w:rPr>
                    <w:t>污泥处理系统</w:t>
                  </w:r>
                </w:p>
              </w:tc>
            </w:tr>
            <w:tr w14:paraId="01EF065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30A2218">
                  <w:pPr>
                    <w:pStyle w:val="59"/>
                    <w:rPr>
                      <w:color w:val="auto"/>
                    </w:rPr>
                  </w:pPr>
                </w:p>
              </w:tc>
              <w:tc>
                <w:tcPr>
                  <w:tcW w:w="888" w:type="pct"/>
                  <w:gridSpan w:val="2"/>
                  <w:vAlign w:val="center"/>
                </w:tcPr>
                <w:p w14:paraId="1C76A37D">
                  <w:pPr>
                    <w:pStyle w:val="59"/>
                    <w:jc w:val="left"/>
                    <w:rPr>
                      <w:color w:val="auto"/>
                    </w:rPr>
                  </w:pPr>
                  <w:r>
                    <w:rPr>
                      <w:rFonts w:hint="eastAsia"/>
                      <w:color w:val="auto"/>
                    </w:rPr>
                    <w:t>储泥池及污</w:t>
                  </w:r>
                </w:p>
                <w:p w14:paraId="636F2564">
                  <w:pPr>
                    <w:pStyle w:val="59"/>
                    <w:jc w:val="left"/>
                    <w:rPr>
                      <w:color w:val="auto"/>
                    </w:rPr>
                  </w:pPr>
                  <w:r>
                    <w:rPr>
                      <w:rFonts w:hint="eastAsia"/>
                      <w:color w:val="auto"/>
                    </w:rPr>
                    <w:t>泥脱水机房</w:t>
                  </w:r>
                </w:p>
              </w:tc>
              <w:tc>
                <w:tcPr>
                  <w:tcW w:w="3272" w:type="pct"/>
                  <w:vAlign w:val="center"/>
                </w:tcPr>
                <w:p w14:paraId="64F647EB">
                  <w:pPr>
                    <w:pStyle w:val="59"/>
                    <w:ind w:firstLine="420" w:firstLineChars="200"/>
                    <w:jc w:val="left"/>
                    <w:rPr>
                      <w:color w:val="auto"/>
                    </w:rPr>
                  </w:pPr>
                  <w:r>
                    <w:rPr>
                      <w:rFonts w:hint="eastAsia"/>
                      <w:color w:val="auto"/>
                    </w:rPr>
                    <w:t>储泥池，用作收集本项目产生的污泥，有机污泥和无机污泥单独收集。有机污泥储池设计最小停留时间10.0h，总有效容积V=1880m</w:t>
                  </w:r>
                  <w:r>
                    <w:rPr>
                      <w:rFonts w:hint="eastAsia"/>
                      <w:color w:val="auto"/>
                      <w:vertAlign w:val="superscript"/>
                    </w:rPr>
                    <w:t>3</w:t>
                  </w:r>
                  <w:r>
                    <w:rPr>
                      <w:rFonts w:hint="eastAsia"/>
                      <w:color w:val="auto"/>
                    </w:rPr>
                    <w:t>，其中，隆基企业有机污泥储池有效容积为900m</w:t>
                  </w:r>
                  <w:r>
                    <w:rPr>
                      <w:rFonts w:hint="eastAsia"/>
                      <w:color w:val="auto"/>
                      <w:vertAlign w:val="superscript"/>
                    </w:rPr>
                    <w:t>3</w:t>
                  </w:r>
                  <w:r>
                    <w:rPr>
                      <w:rFonts w:hint="eastAsia"/>
                      <w:color w:val="auto"/>
                    </w:rPr>
                    <w:t>；其它企业有机污泥储池有效容积为980m</w:t>
                  </w:r>
                  <w:r>
                    <w:rPr>
                      <w:rFonts w:hint="eastAsia"/>
                      <w:color w:val="auto"/>
                      <w:vertAlign w:val="superscript"/>
                    </w:rPr>
                    <w:t>3</w:t>
                  </w:r>
                  <w:r>
                    <w:rPr>
                      <w:rFonts w:hint="eastAsia"/>
                      <w:color w:val="auto"/>
                    </w:rPr>
                    <w:t>，1座2格，相互连通，与无机污泥储池合建。无机污泥储池设计最小停留时间12.0h，总有效容积V=3600.0m</w:t>
                  </w:r>
                  <w:r>
                    <w:rPr>
                      <w:rFonts w:hint="eastAsia"/>
                      <w:color w:val="auto"/>
                      <w:vertAlign w:val="superscript"/>
                    </w:rPr>
                    <w:t>3</w:t>
                  </w:r>
                  <w:r>
                    <w:rPr>
                      <w:rFonts w:hint="eastAsia"/>
                      <w:color w:val="auto"/>
                    </w:rPr>
                    <w:t>，1座2格，相互连通，与有机污泥储池合建。储泥池严格按照《危险废物贮存污染控制标准》(GB18597-2023)有关规定进行防渗、泄漏收集、标识等措施。</w:t>
                  </w:r>
                </w:p>
                <w:p w14:paraId="3D5725E6">
                  <w:pPr>
                    <w:pStyle w:val="59"/>
                    <w:ind w:firstLine="420" w:firstLineChars="200"/>
                    <w:jc w:val="left"/>
                    <w:rPr>
                      <w:color w:val="auto"/>
                    </w:rPr>
                  </w:pPr>
                  <w:r>
                    <w:rPr>
                      <w:rFonts w:hint="eastAsia"/>
                      <w:color w:val="auto"/>
                    </w:rPr>
                    <w:t>污泥脱水机房1座，建筑面积6695.07m</w:t>
                  </w:r>
                  <w:r>
                    <w:rPr>
                      <w:rFonts w:hint="eastAsia"/>
                      <w:color w:val="auto"/>
                      <w:vertAlign w:val="superscript"/>
                    </w:rPr>
                    <w:t>2</w:t>
                  </w:r>
                  <w:r>
                    <w:rPr>
                      <w:rFonts w:hint="eastAsia"/>
                      <w:color w:val="auto"/>
                    </w:rPr>
                    <w:t>，2层，钢筋混凝土框架结构。主要用于降低储泥池中污泥的含水率，以减少污泥体积，便于污泥的贮存、外运。</w:t>
                  </w:r>
                </w:p>
                <w:p w14:paraId="78C3C907">
                  <w:pPr>
                    <w:pStyle w:val="59"/>
                    <w:ind w:firstLine="420" w:firstLineChars="200"/>
                    <w:jc w:val="left"/>
                    <w:rPr>
                      <w:color w:val="auto"/>
                    </w:rPr>
                  </w:pPr>
                  <w:r>
                    <w:rPr>
                      <w:rFonts w:hint="eastAsia"/>
                      <w:color w:val="auto"/>
                    </w:rPr>
                    <w:t>设置板框脱水机、叠螺浓缩机、PAM一体化加药装置、铁盐加药装置、有机调理剂加药系统、压榨水箱、清洗水箱、冷干机等。</w:t>
                  </w:r>
                </w:p>
              </w:tc>
              <w:tc>
                <w:tcPr>
                  <w:tcW w:w="539" w:type="pct"/>
                  <w:vAlign w:val="center"/>
                </w:tcPr>
                <w:p w14:paraId="79C29E5B">
                  <w:pPr>
                    <w:pStyle w:val="59"/>
                    <w:rPr>
                      <w:color w:val="auto"/>
                    </w:rPr>
                  </w:pPr>
                  <w:r>
                    <w:rPr>
                      <w:rFonts w:hint="eastAsia"/>
                      <w:color w:val="auto"/>
                    </w:rPr>
                    <w:t>已验收</w:t>
                  </w:r>
                </w:p>
              </w:tc>
            </w:tr>
            <w:tr w14:paraId="3B0FB3A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2FF5D39">
                  <w:pPr>
                    <w:pStyle w:val="59"/>
                    <w:rPr>
                      <w:color w:val="auto"/>
                    </w:rPr>
                  </w:pPr>
                </w:p>
              </w:tc>
              <w:tc>
                <w:tcPr>
                  <w:tcW w:w="348" w:type="pct"/>
                  <w:vMerge w:val="restart"/>
                  <w:vAlign w:val="center"/>
                </w:tcPr>
                <w:p w14:paraId="2230871B">
                  <w:pPr>
                    <w:pStyle w:val="59"/>
                    <w:jc w:val="left"/>
                    <w:rPr>
                      <w:color w:val="auto"/>
                    </w:rPr>
                  </w:pPr>
                  <w:r>
                    <w:rPr>
                      <w:rFonts w:hint="eastAsia"/>
                      <w:color w:val="auto"/>
                    </w:rPr>
                    <w:t>在线监测</w:t>
                  </w:r>
                </w:p>
              </w:tc>
              <w:tc>
                <w:tcPr>
                  <w:tcW w:w="540" w:type="pct"/>
                  <w:vAlign w:val="center"/>
                </w:tcPr>
                <w:p w14:paraId="144D5D6A">
                  <w:pPr>
                    <w:pStyle w:val="59"/>
                    <w:jc w:val="left"/>
                    <w:rPr>
                      <w:color w:val="auto"/>
                    </w:rPr>
                  </w:pPr>
                  <w:r>
                    <w:rPr>
                      <w:rFonts w:hint="eastAsia"/>
                      <w:color w:val="auto"/>
                    </w:rPr>
                    <w:t>进水检测间</w:t>
                  </w:r>
                </w:p>
              </w:tc>
              <w:tc>
                <w:tcPr>
                  <w:tcW w:w="3272" w:type="pct"/>
                  <w:vAlign w:val="center"/>
                </w:tcPr>
                <w:p w14:paraId="506581C8">
                  <w:pPr>
                    <w:pStyle w:val="59"/>
                    <w:ind w:firstLine="420" w:firstLineChars="200"/>
                    <w:jc w:val="left"/>
                    <w:rPr>
                      <w:color w:val="auto"/>
                    </w:rPr>
                  </w:pPr>
                  <w:r>
                    <w:rPr>
                      <w:rFonts w:hint="eastAsia"/>
                      <w:color w:val="auto"/>
                    </w:rPr>
                    <w:t>进水设一座检测间，检测间内设置流量、COD、NH</w:t>
                  </w:r>
                  <w:r>
                    <w:rPr>
                      <w:rFonts w:hint="eastAsia"/>
                      <w:color w:val="auto"/>
                      <w:vertAlign w:val="subscript"/>
                    </w:rPr>
                    <w:t>3</w:t>
                  </w:r>
                  <w:r>
                    <w:rPr>
                      <w:rFonts w:hint="eastAsia"/>
                      <w:color w:val="auto"/>
                    </w:rPr>
                    <w:t>-N、TP、TN、SS、PH/T、TDS在线检测仪表各两套；氯离子、氟离子、总硬度、总碱度、硅等在线检测仪各一套。2#进水检测间为其他企业废水处理系统进水监测间。</w:t>
                  </w:r>
                </w:p>
              </w:tc>
              <w:tc>
                <w:tcPr>
                  <w:tcW w:w="539" w:type="pct"/>
                  <w:vAlign w:val="center"/>
                </w:tcPr>
                <w:p w14:paraId="0929F48A">
                  <w:pPr>
                    <w:pStyle w:val="59"/>
                    <w:rPr>
                      <w:color w:val="auto"/>
                    </w:rPr>
                  </w:pPr>
                  <w:r>
                    <w:rPr>
                      <w:rFonts w:hint="eastAsia"/>
                      <w:color w:val="auto"/>
                    </w:rPr>
                    <w:t>除2#进水检测间未验收，其余已验收</w:t>
                  </w:r>
                </w:p>
              </w:tc>
            </w:tr>
            <w:tr w14:paraId="20ECB9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E251957">
                  <w:pPr>
                    <w:pStyle w:val="59"/>
                    <w:rPr>
                      <w:color w:val="auto"/>
                    </w:rPr>
                  </w:pPr>
                </w:p>
              </w:tc>
              <w:tc>
                <w:tcPr>
                  <w:tcW w:w="348" w:type="pct"/>
                  <w:vMerge w:val="continue"/>
                  <w:vAlign w:val="center"/>
                </w:tcPr>
                <w:p w14:paraId="4C479EC7">
                  <w:pPr>
                    <w:pStyle w:val="59"/>
                    <w:jc w:val="left"/>
                    <w:rPr>
                      <w:color w:val="auto"/>
                    </w:rPr>
                  </w:pPr>
                </w:p>
              </w:tc>
              <w:tc>
                <w:tcPr>
                  <w:tcW w:w="540" w:type="pct"/>
                  <w:vAlign w:val="center"/>
                </w:tcPr>
                <w:p w14:paraId="222323EE">
                  <w:pPr>
                    <w:pStyle w:val="59"/>
                    <w:jc w:val="left"/>
                    <w:rPr>
                      <w:color w:val="auto"/>
                    </w:rPr>
                  </w:pPr>
                  <w:r>
                    <w:rPr>
                      <w:rFonts w:hint="eastAsia"/>
                      <w:color w:val="auto"/>
                    </w:rPr>
                    <w:t>出水检</w:t>
                  </w:r>
                </w:p>
                <w:p w14:paraId="495F1198">
                  <w:pPr>
                    <w:pStyle w:val="59"/>
                    <w:jc w:val="left"/>
                    <w:rPr>
                      <w:color w:val="auto"/>
                    </w:rPr>
                  </w:pPr>
                  <w:r>
                    <w:rPr>
                      <w:rFonts w:hint="eastAsia"/>
                      <w:color w:val="auto"/>
                    </w:rPr>
                    <w:t>测间</w:t>
                  </w:r>
                </w:p>
              </w:tc>
              <w:tc>
                <w:tcPr>
                  <w:tcW w:w="3272" w:type="pct"/>
                  <w:vAlign w:val="center"/>
                </w:tcPr>
                <w:p w14:paraId="39950150">
                  <w:pPr>
                    <w:pStyle w:val="59"/>
                    <w:ind w:firstLine="420" w:firstLineChars="200"/>
                    <w:jc w:val="left"/>
                    <w:rPr>
                      <w:color w:val="auto"/>
                    </w:rPr>
                  </w:pPr>
                  <w:r>
                    <w:rPr>
                      <w:rFonts w:hint="eastAsia"/>
                      <w:color w:val="auto"/>
                    </w:rPr>
                    <w:t>中水检测间：建筑面积69.95m</w:t>
                  </w:r>
                  <w:r>
                    <w:rPr>
                      <w:rFonts w:hint="eastAsia"/>
                      <w:color w:val="auto"/>
                      <w:vertAlign w:val="superscript"/>
                    </w:rPr>
                    <w:t>2</w:t>
                  </w:r>
                  <w:r>
                    <w:rPr>
                      <w:rFonts w:hint="eastAsia"/>
                      <w:color w:val="auto"/>
                    </w:rPr>
                    <w:t>，H=3.8m框架1座。用于两个废水处理工段中水合格性检测。出水设一座检测间，检测间内设置流量、COD、NH</w:t>
                  </w:r>
                  <w:r>
                    <w:rPr>
                      <w:rFonts w:hint="eastAsia"/>
                      <w:color w:val="auto"/>
                      <w:vertAlign w:val="subscript"/>
                    </w:rPr>
                    <w:t>3</w:t>
                  </w:r>
                  <w:r>
                    <w:rPr>
                      <w:rFonts w:hint="eastAsia"/>
                      <w:color w:val="auto"/>
                    </w:rPr>
                    <w:t>-N、TP、TN、SS、PH/T、TDS在线监测仪表各两套；氯离子、氟离子、总硬度等在线检测仪各一套。</w:t>
                  </w:r>
                </w:p>
              </w:tc>
              <w:tc>
                <w:tcPr>
                  <w:tcW w:w="539" w:type="pct"/>
                  <w:vAlign w:val="center"/>
                </w:tcPr>
                <w:p w14:paraId="0530F496">
                  <w:pPr>
                    <w:pStyle w:val="59"/>
                    <w:rPr>
                      <w:color w:val="auto"/>
                    </w:rPr>
                  </w:pPr>
                  <w:r>
                    <w:rPr>
                      <w:rFonts w:hint="eastAsia"/>
                      <w:color w:val="auto"/>
                    </w:rPr>
                    <w:t>已验收</w:t>
                  </w:r>
                </w:p>
              </w:tc>
            </w:tr>
            <w:tr w14:paraId="051BD5D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restart"/>
                  <w:vAlign w:val="center"/>
                </w:tcPr>
                <w:p w14:paraId="0D01A166">
                  <w:pPr>
                    <w:pStyle w:val="59"/>
                    <w:rPr>
                      <w:color w:val="auto"/>
                    </w:rPr>
                  </w:pPr>
                  <w:r>
                    <w:rPr>
                      <w:rFonts w:hint="eastAsia"/>
                      <w:color w:val="auto"/>
                    </w:rPr>
                    <w:t>储运工程</w:t>
                  </w:r>
                </w:p>
              </w:tc>
              <w:tc>
                <w:tcPr>
                  <w:tcW w:w="888" w:type="pct"/>
                  <w:gridSpan w:val="2"/>
                  <w:vAlign w:val="center"/>
                </w:tcPr>
                <w:p w14:paraId="526AD94F">
                  <w:pPr>
                    <w:pStyle w:val="59"/>
                    <w:jc w:val="left"/>
                    <w:rPr>
                      <w:color w:val="auto"/>
                    </w:rPr>
                  </w:pPr>
                  <w:r>
                    <w:rPr>
                      <w:rFonts w:hint="eastAsia"/>
                      <w:color w:val="auto"/>
                    </w:rPr>
                    <w:t>机修间</w:t>
                  </w:r>
                </w:p>
              </w:tc>
              <w:tc>
                <w:tcPr>
                  <w:tcW w:w="3272" w:type="pct"/>
                  <w:vAlign w:val="center"/>
                </w:tcPr>
                <w:p w14:paraId="1B93291C">
                  <w:pPr>
                    <w:pStyle w:val="59"/>
                    <w:ind w:firstLine="420" w:firstLineChars="200"/>
                    <w:jc w:val="left"/>
                    <w:rPr>
                      <w:color w:val="auto"/>
                    </w:rPr>
                  </w:pPr>
                  <w:r>
                    <w:rPr>
                      <w:rFonts w:hint="eastAsia"/>
                      <w:color w:val="auto"/>
                    </w:rPr>
                    <w:t>建筑面积448m</w:t>
                  </w:r>
                  <w:r>
                    <w:rPr>
                      <w:rFonts w:hint="eastAsia"/>
                      <w:color w:val="auto"/>
                      <w:vertAlign w:val="superscript"/>
                    </w:rPr>
                    <w:t>2</w:t>
                  </w:r>
                  <w:r>
                    <w:rPr>
                      <w:rFonts w:hint="eastAsia"/>
                      <w:color w:val="auto"/>
                    </w:rPr>
                    <w:t>，H=5.0m。用于设备维护检修。</w:t>
                  </w:r>
                </w:p>
              </w:tc>
              <w:tc>
                <w:tcPr>
                  <w:tcW w:w="539" w:type="pct"/>
                  <w:vAlign w:val="center"/>
                </w:tcPr>
                <w:p w14:paraId="29C195EB">
                  <w:pPr>
                    <w:pStyle w:val="59"/>
                    <w:rPr>
                      <w:color w:val="auto"/>
                    </w:rPr>
                  </w:pPr>
                  <w:r>
                    <w:rPr>
                      <w:rFonts w:hint="eastAsia"/>
                      <w:color w:val="auto"/>
                    </w:rPr>
                    <w:t>已验收</w:t>
                  </w:r>
                </w:p>
              </w:tc>
            </w:tr>
            <w:tr w14:paraId="605D6EE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E966F48">
                  <w:pPr>
                    <w:pStyle w:val="59"/>
                    <w:rPr>
                      <w:color w:val="auto"/>
                    </w:rPr>
                  </w:pPr>
                </w:p>
              </w:tc>
              <w:tc>
                <w:tcPr>
                  <w:tcW w:w="888" w:type="pct"/>
                  <w:gridSpan w:val="2"/>
                  <w:vAlign w:val="center"/>
                </w:tcPr>
                <w:p w14:paraId="491D70FB">
                  <w:pPr>
                    <w:pStyle w:val="59"/>
                    <w:jc w:val="left"/>
                    <w:rPr>
                      <w:color w:val="auto"/>
                    </w:rPr>
                  </w:pPr>
                  <w:r>
                    <w:rPr>
                      <w:rFonts w:hint="eastAsia"/>
                      <w:color w:val="auto"/>
                    </w:rPr>
                    <w:t>危废暂存间</w:t>
                  </w:r>
                </w:p>
              </w:tc>
              <w:tc>
                <w:tcPr>
                  <w:tcW w:w="3272" w:type="pct"/>
                  <w:vAlign w:val="center"/>
                </w:tcPr>
                <w:p w14:paraId="7F7FC9DB">
                  <w:pPr>
                    <w:pStyle w:val="59"/>
                    <w:ind w:firstLine="420" w:firstLineChars="200"/>
                    <w:jc w:val="left"/>
                    <w:rPr>
                      <w:color w:val="auto"/>
                    </w:rPr>
                  </w:pPr>
                  <w:r>
                    <w:rPr>
                      <w:rFonts w:hint="eastAsia"/>
                      <w:color w:val="auto"/>
                    </w:rPr>
                    <w:t>建厂区西南侧新建危废暂存间1座，建筑面积95.31m</w:t>
                  </w:r>
                  <w:r>
                    <w:rPr>
                      <w:rFonts w:hint="eastAsia"/>
                      <w:color w:val="auto"/>
                      <w:vertAlign w:val="superscript"/>
                    </w:rPr>
                    <w:t>2</w:t>
                  </w:r>
                  <w:r>
                    <w:rPr>
                      <w:rFonts w:hint="eastAsia"/>
                      <w:color w:val="auto"/>
                    </w:rPr>
                    <w:t>，用于暂存废矿物油、废液；蒸发结晶车间储存间内新建危废暂存间1座，建筑面积200m</w:t>
                  </w:r>
                  <w:r>
                    <w:rPr>
                      <w:rFonts w:hint="eastAsia"/>
                      <w:color w:val="auto"/>
                      <w:vertAlign w:val="superscript"/>
                    </w:rPr>
                    <w:t>2</w:t>
                  </w:r>
                  <w:r>
                    <w:rPr>
                      <w:rFonts w:hint="eastAsia"/>
                      <w:color w:val="auto"/>
                    </w:rPr>
                    <w:t>，用于暂存杂盐。</w:t>
                  </w:r>
                </w:p>
              </w:tc>
              <w:tc>
                <w:tcPr>
                  <w:tcW w:w="539" w:type="pct"/>
                  <w:vAlign w:val="center"/>
                </w:tcPr>
                <w:p w14:paraId="54297D7A">
                  <w:pPr>
                    <w:pStyle w:val="59"/>
                    <w:rPr>
                      <w:color w:val="auto"/>
                    </w:rPr>
                  </w:pPr>
                  <w:r>
                    <w:rPr>
                      <w:rFonts w:hint="eastAsia"/>
                      <w:color w:val="auto"/>
                    </w:rPr>
                    <w:t>已验收</w:t>
                  </w:r>
                </w:p>
              </w:tc>
            </w:tr>
            <w:tr w14:paraId="5EF6633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008A5CEB">
                  <w:pPr>
                    <w:pStyle w:val="59"/>
                    <w:rPr>
                      <w:color w:val="auto"/>
                    </w:rPr>
                  </w:pPr>
                </w:p>
              </w:tc>
              <w:tc>
                <w:tcPr>
                  <w:tcW w:w="888" w:type="pct"/>
                  <w:gridSpan w:val="2"/>
                  <w:vAlign w:val="center"/>
                </w:tcPr>
                <w:p w14:paraId="703F1E1E">
                  <w:pPr>
                    <w:pStyle w:val="59"/>
                    <w:jc w:val="left"/>
                    <w:rPr>
                      <w:color w:val="auto"/>
                    </w:rPr>
                  </w:pPr>
                  <w:r>
                    <w:rPr>
                      <w:rFonts w:hint="eastAsia"/>
                      <w:color w:val="auto"/>
                    </w:rPr>
                    <w:t>料仓</w:t>
                  </w:r>
                </w:p>
              </w:tc>
              <w:tc>
                <w:tcPr>
                  <w:tcW w:w="3272" w:type="pct"/>
                  <w:vAlign w:val="center"/>
                </w:tcPr>
                <w:p w14:paraId="07862816">
                  <w:pPr>
                    <w:pStyle w:val="59"/>
                    <w:ind w:firstLine="420" w:firstLineChars="200"/>
                    <w:jc w:val="left"/>
                    <w:rPr>
                      <w:color w:val="auto"/>
                    </w:rPr>
                  </w:pPr>
                  <w:r>
                    <w:rPr>
                      <w:rFonts w:hint="eastAsia"/>
                      <w:color w:val="auto"/>
                    </w:rPr>
                    <w:t>①碳酸钠料仓3座，其中2座料仓高度18.7米，体积250m</w:t>
                  </w:r>
                  <w:r>
                    <w:rPr>
                      <w:rFonts w:hint="eastAsia"/>
                      <w:color w:val="auto"/>
                      <w:vertAlign w:val="superscript"/>
                    </w:rPr>
                    <w:t>3</w:t>
                  </w:r>
                  <w:r>
                    <w:rPr>
                      <w:rFonts w:hint="eastAsia"/>
                      <w:color w:val="auto"/>
                    </w:rPr>
                    <w:t>，1座高度18米，体积150m</w:t>
                  </w:r>
                  <w:r>
                    <w:rPr>
                      <w:rFonts w:hint="eastAsia"/>
                      <w:color w:val="auto"/>
                      <w:vertAlign w:val="superscript"/>
                    </w:rPr>
                    <w:t>3</w:t>
                  </w:r>
                  <w:r>
                    <w:rPr>
                      <w:rFonts w:hint="eastAsia"/>
                      <w:color w:val="auto"/>
                    </w:rPr>
                    <w:t>；</w:t>
                  </w:r>
                </w:p>
                <w:p w14:paraId="453182F0">
                  <w:pPr>
                    <w:pStyle w:val="59"/>
                    <w:ind w:firstLine="420" w:firstLineChars="200"/>
                    <w:jc w:val="left"/>
                    <w:rPr>
                      <w:color w:val="auto"/>
                    </w:rPr>
                  </w:pPr>
                  <w:r>
                    <w:rPr>
                      <w:rFonts w:hint="eastAsia"/>
                      <w:color w:val="auto"/>
                    </w:rPr>
                    <w:t>②石灰料仓1座，高度18米，体积150m</w:t>
                  </w:r>
                  <w:r>
                    <w:rPr>
                      <w:rFonts w:hint="eastAsia"/>
                      <w:color w:val="auto"/>
                      <w:vertAlign w:val="superscript"/>
                    </w:rPr>
                    <w:t>3</w:t>
                  </w:r>
                  <w:r>
                    <w:rPr>
                      <w:rFonts w:hint="eastAsia"/>
                      <w:color w:val="auto"/>
                    </w:rPr>
                    <w:t>；</w:t>
                  </w:r>
                </w:p>
                <w:p w14:paraId="0AB6DD76">
                  <w:pPr>
                    <w:pStyle w:val="59"/>
                    <w:ind w:firstLine="420" w:firstLineChars="200"/>
                    <w:jc w:val="left"/>
                    <w:rPr>
                      <w:color w:val="auto"/>
                    </w:rPr>
                  </w:pPr>
                  <w:r>
                    <w:rPr>
                      <w:rFonts w:hint="eastAsia"/>
                      <w:color w:val="auto"/>
                    </w:rPr>
                    <w:t>③镁剂料仓2座，单座高度18米，体积15m</w:t>
                  </w:r>
                  <w:r>
                    <w:rPr>
                      <w:rFonts w:hint="eastAsia"/>
                      <w:color w:val="auto"/>
                      <w:vertAlign w:val="superscript"/>
                    </w:rPr>
                    <w:t>3</w:t>
                  </w:r>
                  <w:r>
                    <w:rPr>
                      <w:rFonts w:hint="eastAsia"/>
                      <w:color w:val="auto"/>
                    </w:rPr>
                    <w:t>。</w:t>
                  </w:r>
                </w:p>
              </w:tc>
              <w:tc>
                <w:tcPr>
                  <w:tcW w:w="539" w:type="pct"/>
                  <w:vAlign w:val="center"/>
                </w:tcPr>
                <w:p w14:paraId="6A2450B2">
                  <w:pPr>
                    <w:pStyle w:val="59"/>
                    <w:rPr>
                      <w:color w:val="auto"/>
                    </w:rPr>
                  </w:pPr>
                  <w:r>
                    <w:rPr>
                      <w:rFonts w:hint="eastAsia"/>
                      <w:color w:val="auto"/>
                    </w:rPr>
                    <w:t>已验收</w:t>
                  </w:r>
                </w:p>
              </w:tc>
            </w:tr>
            <w:tr w14:paraId="680356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tcBorders>
                    <w:bottom w:val="thickThinSmallGap" w:color="auto" w:sz="12" w:space="0"/>
                  </w:tcBorders>
                  <w:vAlign w:val="center"/>
                </w:tcPr>
                <w:p w14:paraId="71A42F5B">
                  <w:pPr>
                    <w:pStyle w:val="59"/>
                    <w:rPr>
                      <w:color w:val="auto"/>
                    </w:rPr>
                  </w:pPr>
                </w:p>
              </w:tc>
              <w:tc>
                <w:tcPr>
                  <w:tcW w:w="888" w:type="pct"/>
                  <w:gridSpan w:val="2"/>
                  <w:tcBorders>
                    <w:bottom w:val="thickThinSmallGap" w:color="auto" w:sz="12" w:space="0"/>
                  </w:tcBorders>
                  <w:vAlign w:val="center"/>
                </w:tcPr>
                <w:p w14:paraId="580999B9">
                  <w:pPr>
                    <w:pStyle w:val="59"/>
                    <w:jc w:val="left"/>
                    <w:rPr>
                      <w:color w:val="auto"/>
                    </w:rPr>
                  </w:pPr>
                  <w:r>
                    <w:rPr>
                      <w:rFonts w:hint="eastAsia"/>
                      <w:color w:val="auto"/>
                    </w:rPr>
                    <w:t>储罐</w:t>
                  </w:r>
                </w:p>
              </w:tc>
              <w:tc>
                <w:tcPr>
                  <w:tcW w:w="3272" w:type="pct"/>
                  <w:tcBorders>
                    <w:bottom w:val="thickThinSmallGap" w:color="auto" w:sz="12" w:space="0"/>
                  </w:tcBorders>
                  <w:vAlign w:val="center"/>
                </w:tcPr>
                <w:p w14:paraId="3E2E1094">
                  <w:pPr>
                    <w:pStyle w:val="59"/>
                    <w:ind w:firstLine="420"/>
                    <w:jc w:val="left"/>
                    <w:rPr>
                      <w:color w:val="auto"/>
                    </w:rPr>
                  </w:pPr>
                  <w:r>
                    <w:rPr>
                      <w:rFonts w:hint="eastAsia"/>
                      <w:color w:val="auto"/>
                    </w:rPr>
                    <w:t>①聚合硫酸铁PFS储药池2座，容积V=66m</w:t>
                  </w:r>
                  <w:r>
                    <w:rPr>
                      <w:rFonts w:hint="eastAsia"/>
                      <w:color w:val="auto"/>
                      <w:vertAlign w:val="superscript"/>
                    </w:rPr>
                    <w:t>3</w:t>
                  </w:r>
                  <w:r>
                    <w:rPr>
                      <w:rFonts w:hint="eastAsia"/>
                      <w:color w:val="auto"/>
                    </w:rPr>
                    <w:t>/个×2。</w:t>
                  </w:r>
                </w:p>
                <w:p w14:paraId="7E0177A7">
                  <w:pPr>
                    <w:pStyle w:val="59"/>
                    <w:ind w:firstLine="420" w:firstLineChars="200"/>
                    <w:jc w:val="left"/>
                    <w:rPr>
                      <w:color w:val="auto"/>
                    </w:rPr>
                  </w:pPr>
                  <w:r>
                    <w:rPr>
                      <w:rFonts w:hint="eastAsia"/>
                      <w:color w:val="auto"/>
                    </w:rPr>
                    <w:t>②盐酸储罐3座，V=67m</w:t>
                  </w:r>
                  <w:r>
                    <w:rPr>
                      <w:rFonts w:hint="eastAsia"/>
                      <w:color w:val="auto"/>
                      <w:vertAlign w:val="superscript"/>
                    </w:rPr>
                    <w:t>3</w:t>
                  </w:r>
                  <w:r>
                    <w:rPr>
                      <w:rFonts w:hint="eastAsia"/>
                      <w:color w:val="auto"/>
                    </w:rPr>
                    <w:t>×3个，各罐组之间设隔堤，罐区设置围堰，围堰高度1.1m，设置泄漏物收集系统。</w:t>
                  </w:r>
                </w:p>
                <w:p w14:paraId="3F41363D">
                  <w:pPr>
                    <w:pStyle w:val="59"/>
                    <w:ind w:firstLine="420" w:firstLineChars="200"/>
                    <w:jc w:val="left"/>
                    <w:rPr>
                      <w:color w:val="auto"/>
                    </w:rPr>
                  </w:pPr>
                  <w:r>
                    <w:rPr>
                      <w:rFonts w:hint="eastAsia"/>
                      <w:color w:val="auto"/>
                    </w:rPr>
                    <w:t>③氢氧化钠储罐4座，V=110m</w:t>
                  </w:r>
                  <w:r>
                    <w:rPr>
                      <w:rFonts w:hint="eastAsia"/>
                      <w:color w:val="auto"/>
                      <w:vertAlign w:val="superscript"/>
                    </w:rPr>
                    <w:t>3</w:t>
                  </w:r>
                  <w:r>
                    <w:rPr>
                      <w:rFonts w:hint="eastAsia"/>
                      <w:color w:val="auto"/>
                    </w:rPr>
                    <w:t>×4个，各罐组之间设隔堤，罐区设置围堰，设置泄漏物收集系统。</w:t>
                  </w:r>
                </w:p>
                <w:p w14:paraId="467155FE">
                  <w:pPr>
                    <w:pStyle w:val="59"/>
                    <w:ind w:firstLine="420" w:firstLineChars="200"/>
                    <w:jc w:val="left"/>
                    <w:rPr>
                      <w:color w:val="auto"/>
                    </w:rPr>
                  </w:pPr>
                  <w:r>
                    <w:rPr>
                      <w:rFonts w:hint="eastAsia"/>
                      <w:color w:val="auto"/>
                    </w:rPr>
                    <w:t>④次氯酸钠储罐3座，V=12m</w:t>
                  </w:r>
                  <w:r>
                    <w:rPr>
                      <w:rFonts w:hint="eastAsia"/>
                      <w:color w:val="auto"/>
                      <w:vertAlign w:val="superscript"/>
                    </w:rPr>
                    <w:t>3</w:t>
                  </w:r>
                  <w:r>
                    <w:rPr>
                      <w:rFonts w:hint="eastAsia"/>
                      <w:color w:val="auto"/>
                    </w:rPr>
                    <w:t>×3，各罐组之间设隔堤，储罐单体最大存储量总计为43t，罐区设置围堰，设置泄漏物收集系统，围堰高度为0.8m。</w:t>
                  </w:r>
                </w:p>
                <w:p w14:paraId="20E13AD5">
                  <w:pPr>
                    <w:pStyle w:val="59"/>
                    <w:ind w:firstLine="420" w:firstLineChars="200"/>
                    <w:jc w:val="left"/>
                    <w:rPr>
                      <w:color w:val="auto"/>
                    </w:rPr>
                  </w:pPr>
                  <w:r>
                    <w:rPr>
                      <w:rFonts w:hint="eastAsia"/>
                      <w:color w:val="auto"/>
                    </w:rPr>
                    <w:t>⑤液氧储罐3座，V=100m</w:t>
                  </w:r>
                  <w:r>
                    <w:rPr>
                      <w:rFonts w:hint="eastAsia"/>
                      <w:color w:val="auto"/>
                      <w:vertAlign w:val="superscript"/>
                    </w:rPr>
                    <w:t>3</w:t>
                  </w:r>
                  <w:r>
                    <w:rPr>
                      <w:rFonts w:hint="eastAsia"/>
                      <w:color w:val="auto"/>
                    </w:rPr>
                    <w:t>×3个。</w:t>
                  </w:r>
                </w:p>
                <w:p w14:paraId="5F1044D6">
                  <w:pPr>
                    <w:pStyle w:val="59"/>
                    <w:ind w:firstLine="420" w:firstLineChars="200"/>
                    <w:jc w:val="left"/>
                    <w:rPr>
                      <w:color w:val="auto"/>
                    </w:rPr>
                  </w:pPr>
                  <w:r>
                    <w:rPr>
                      <w:rFonts w:hint="eastAsia"/>
                      <w:color w:val="auto"/>
                    </w:rPr>
                    <w:t>⑥铁盐储罐2座，V=40m</w:t>
                  </w:r>
                  <w:r>
                    <w:rPr>
                      <w:rFonts w:hint="eastAsia"/>
                      <w:color w:val="auto"/>
                      <w:vertAlign w:val="superscript"/>
                    </w:rPr>
                    <w:t>3</w:t>
                  </w:r>
                  <w:r>
                    <w:rPr>
                      <w:rFonts w:hint="eastAsia"/>
                      <w:color w:val="auto"/>
                    </w:rPr>
                    <w:t>×2，各罐组之间设隔堤，储罐单体最大存储量总计为32t，罐区设置围堰，设置泄漏物收集系统。</w:t>
                  </w:r>
                </w:p>
                <w:p w14:paraId="305D360F">
                  <w:pPr>
                    <w:pStyle w:val="59"/>
                    <w:ind w:firstLine="420" w:firstLineChars="200"/>
                    <w:jc w:val="left"/>
                    <w:rPr>
                      <w:color w:val="auto"/>
                    </w:rPr>
                  </w:pPr>
                  <w:r>
                    <w:rPr>
                      <w:rFonts w:hint="eastAsia"/>
                      <w:color w:val="auto"/>
                    </w:rPr>
                    <w:t>⑦偏铝酸钠储药池2座，V=138m</w:t>
                  </w:r>
                  <w:r>
                    <w:rPr>
                      <w:rFonts w:hint="eastAsia"/>
                      <w:color w:val="auto"/>
                      <w:vertAlign w:val="superscript"/>
                    </w:rPr>
                    <w:t>3</w:t>
                  </w:r>
                  <w:r>
                    <w:rPr>
                      <w:rFonts w:hint="eastAsia"/>
                      <w:color w:val="auto"/>
                    </w:rPr>
                    <w:t>×2。</w:t>
                  </w:r>
                </w:p>
                <w:p w14:paraId="5359E2E5">
                  <w:pPr>
                    <w:pStyle w:val="59"/>
                    <w:ind w:firstLine="420" w:firstLineChars="200"/>
                    <w:jc w:val="left"/>
                    <w:rPr>
                      <w:color w:val="auto"/>
                    </w:rPr>
                  </w:pPr>
                  <w:r>
                    <w:rPr>
                      <w:rFonts w:hint="eastAsia"/>
                      <w:color w:val="auto"/>
                    </w:rPr>
                    <w:t>⑧活性炭储罐1座，体积V=50m</w:t>
                  </w:r>
                  <w:r>
                    <w:rPr>
                      <w:rFonts w:hint="eastAsia"/>
                      <w:color w:val="auto"/>
                      <w:vertAlign w:val="superscript"/>
                    </w:rPr>
                    <w:t>3</w:t>
                  </w:r>
                  <w:r>
                    <w:rPr>
                      <w:rFonts w:hint="eastAsia"/>
                      <w:color w:val="auto"/>
                    </w:rPr>
                    <w:t>/个×1，存储粉末活性炭粒度200目，活性炭比重约0.5g/cm</w:t>
                  </w:r>
                  <w:r>
                    <w:rPr>
                      <w:rFonts w:hint="eastAsia"/>
                      <w:color w:val="auto"/>
                      <w:vertAlign w:val="superscript"/>
                    </w:rPr>
                    <w:t>3</w:t>
                  </w:r>
                  <w:r>
                    <w:rPr>
                      <w:rFonts w:hint="eastAsia"/>
                      <w:color w:val="auto"/>
                    </w:rPr>
                    <w:t>。粉末活性炭上料和投加间为防爆区域，区域内设备需满足防爆要求。</w:t>
                  </w:r>
                </w:p>
                <w:p w14:paraId="7C04DBEE">
                  <w:pPr>
                    <w:pStyle w:val="59"/>
                    <w:ind w:firstLine="420" w:firstLineChars="200"/>
                    <w:jc w:val="left"/>
                    <w:rPr>
                      <w:color w:val="auto"/>
                    </w:rPr>
                  </w:pPr>
                  <w:r>
                    <w:rPr>
                      <w:rFonts w:hint="eastAsia"/>
                      <w:color w:val="auto"/>
                    </w:rPr>
                    <w:t>⑨磷酸二氢钾储罐2座，体积V=20m</w:t>
                  </w:r>
                  <w:r>
                    <w:rPr>
                      <w:rFonts w:hint="eastAsia"/>
                      <w:color w:val="auto"/>
                      <w:vertAlign w:val="superscript"/>
                    </w:rPr>
                    <w:t>3</w:t>
                  </w:r>
                  <w:r>
                    <w:rPr>
                      <w:rFonts w:hint="eastAsia"/>
                      <w:color w:val="auto"/>
                    </w:rPr>
                    <w:t>/个×1。</w:t>
                  </w:r>
                </w:p>
              </w:tc>
              <w:tc>
                <w:tcPr>
                  <w:tcW w:w="539" w:type="pct"/>
                  <w:tcBorders>
                    <w:bottom w:val="thickThinSmallGap" w:color="auto" w:sz="12" w:space="0"/>
                  </w:tcBorders>
                  <w:vAlign w:val="center"/>
                </w:tcPr>
                <w:p w14:paraId="09BA22DF">
                  <w:pPr>
                    <w:pStyle w:val="59"/>
                    <w:rPr>
                      <w:color w:val="auto"/>
                    </w:rPr>
                  </w:pPr>
                  <w:r>
                    <w:rPr>
                      <w:rFonts w:hint="eastAsia"/>
                      <w:color w:val="auto"/>
                    </w:rPr>
                    <w:t>已验收</w:t>
                  </w:r>
                </w:p>
              </w:tc>
            </w:tr>
            <w:tr w14:paraId="0E8D8A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restart"/>
                  <w:tcBorders>
                    <w:bottom w:val="single" w:color="auto" w:sz="4" w:space="0"/>
                  </w:tcBorders>
                  <w:vAlign w:val="center"/>
                </w:tcPr>
                <w:p w14:paraId="5D12E5C6">
                  <w:pPr>
                    <w:pStyle w:val="59"/>
                    <w:rPr>
                      <w:color w:val="auto"/>
                    </w:rPr>
                  </w:pPr>
                  <w:r>
                    <w:rPr>
                      <w:rFonts w:hint="eastAsia"/>
                      <w:color w:val="auto"/>
                    </w:rPr>
                    <w:t>辅助工程</w:t>
                  </w:r>
                </w:p>
              </w:tc>
              <w:tc>
                <w:tcPr>
                  <w:tcW w:w="888" w:type="pct"/>
                  <w:gridSpan w:val="2"/>
                  <w:tcBorders>
                    <w:bottom w:val="single" w:color="auto" w:sz="4" w:space="0"/>
                  </w:tcBorders>
                  <w:vAlign w:val="center"/>
                </w:tcPr>
                <w:p w14:paraId="47F6BEE2">
                  <w:pPr>
                    <w:pStyle w:val="59"/>
                    <w:jc w:val="left"/>
                    <w:rPr>
                      <w:color w:val="auto"/>
                    </w:rPr>
                  </w:pPr>
                  <w:r>
                    <w:rPr>
                      <w:rFonts w:hint="eastAsia"/>
                      <w:color w:val="auto"/>
                    </w:rPr>
                    <w:t>事故池</w:t>
                  </w:r>
                </w:p>
              </w:tc>
              <w:tc>
                <w:tcPr>
                  <w:tcW w:w="3272" w:type="pct"/>
                  <w:tcBorders>
                    <w:bottom w:val="single" w:color="auto" w:sz="4" w:space="0"/>
                  </w:tcBorders>
                  <w:vAlign w:val="center"/>
                </w:tcPr>
                <w:p w14:paraId="0B1A299F">
                  <w:pPr>
                    <w:pStyle w:val="59"/>
                    <w:ind w:firstLine="420" w:firstLineChars="200"/>
                    <w:jc w:val="left"/>
                    <w:rPr>
                      <w:color w:val="auto"/>
                    </w:rPr>
                  </w:pPr>
                  <w:r>
                    <w:rPr>
                      <w:rFonts w:hint="eastAsia"/>
                      <w:color w:val="auto"/>
                    </w:rPr>
                    <w:t>本项目共设置5座事故池，</w:t>
                  </w:r>
                </w:p>
                <w:p w14:paraId="6437BCA4">
                  <w:pPr>
                    <w:pStyle w:val="59"/>
                    <w:ind w:firstLine="420" w:firstLineChars="200"/>
                    <w:jc w:val="left"/>
                    <w:rPr>
                      <w:color w:val="auto"/>
                    </w:rPr>
                  </w:pPr>
                  <w:r>
                    <w:rPr>
                      <w:rFonts w:hint="eastAsia"/>
                      <w:color w:val="auto"/>
                    </w:rPr>
                    <w:t>①隆基废水处理系统进水前端设置事故池1座，分4格，容积为17108m</w:t>
                  </w:r>
                  <w:r>
                    <w:rPr>
                      <w:rFonts w:hint="eastAsia"/>
                      <w:color w:val="auto"/>
                      <w:vertAlign w:val="superscript"/>
                    </w:rPr>
                    <w:t>3</w:t>
                  </w:r>
                  <w:r>
                    <w:rPr>
                      <w:rFonts w:hint="eastAsia"/>
                      <w:color w:val="auto"/>
                    </w:rPr>
                    <w:t>，停留时间为6.8h。</w:t>
                  </w:r>
                </w:p>
                <w:p w14:paraId="1940904D">
                  <w:pPr>
                    <w:pStyle w:val="59"/>
                    <w:ind w:firstLine="420" w:firstLineChars="200"/>
                    <w:jc w:val="left"/>
                    <w:rPr>
                      <w:color w:val="auto"/>
                    </w:rPr>
                  </w:pPr>
                  <w:r>
                    <w:rPr>
                      <w:rFonts w:hint="eastAsia"/>
                      <w:color w:val="auto"/>
                    </w:rPr>
                    <w:t>②蒸发预处理车间浓水调节池前端设置事故池，尺寸：22.5m×48.65m，有效水深7m，有效容积7662m</w:t>
                  </w:r>
                  <w:r>
                    <w:rPr>
                      <w:rFonts w:hint="eastAsia"/>
                      <w:color w:val="auto"/>
                      <w:vertAlign w:val="superscript"/>
                    </w:rPr>
                    <w:t>3</w:t>
                  </w:r>
                  <w:r>
                    <w:rPr>
                      <w:rFonts w:hint="eastAsia"/>
                      <w:color w:val="auto"/>
                    </w:rPr>
                    <w:t>，停留时间12h；</w:t>
                  </w:r>
                </w:p>
                <w:p w14:paraId="3A3261D7">
                  <w:pPr>
                    <w:pStyle w:val="59"/>
                    <w:ind w:firstLine="420" w:firstLineChars="200"/>
                    <w:jc w:val="left"/>
                    <w:rPr>
                      <w:color w:val="auto"/>
                    </w:rPr>
                  </w:pPr>
                  <w:r>
                    <w:rPr>
                      <w:rFonts w:hint="eastAsia"/>
                      <w:color w:val="auto"/>
                    </w:rPr>
                    <w:t>③蒸发结晶车间进水前设置1座事故水池，容积3850m</w:t>
                  </w:r>
                  <w:r>
                    <w:rPr>
                      <w:rFonts w:hint="eastAsia"/>
                      <w:color w:val="auto"/>
                      <w:vertAlign w:val="superscript"/>
                    </w:rPr>
                    <w:t>3</w:t>
                  </w:r>
                  <w:r>
                    <w:rPr>
                      <w:rFonts w:hint="eastAsia"/>
                      <w:color w:val="auto"/>
                    </w:rPr>
                    <w:t>，停留时间45h。</w:t>
                  </w:r>
                </w:p>
                <w:p w14:paraId="62DE5CBF">
                  <w:pPr>
                    <w:pStyle w:val="59"/>
                    <w:ind w:firstLine="420" w:firstLineChars="200"/>
                    <w:jc w:val="left"/>
                    <w:rPr>
                      <w:color w:val="auto"/>
                    </w:rPr>
                  </w:pPr>
                  <w:r>
                    <w:rPr>
                      <w:rFonts w:hint="eastAsia"/>
                      <w:color w:val="auto"/>
                    </w:rPr>
                    <w:t>其他废水处理系统2#调节事故池、2#生物池、2#二沉池均已建成，总容积约97073.7m</w:t>
                  </w:r>
                  <w:r>
                    <w:rPr>
                      <w:rFonts w:hint="eastAsia"/>
                      <w:color w:val="auto"/>
                      <w:vertAlign w:val="superscript"/>
                    </w:rPr>
                    <w:t>3</w:t>
                  </w:r>
                  <w:r>
                    <w:rPr>
                      <w:rFonts w:hint="eastAsia"/>
                      <w:color w:val="auto"/>
                    </w:rPr>
                    <w:t>，暂时作为隆基废水处理系统备用事故水池，直至园区事故水池建成。</w:t>
                  </w:r>
                </w:p>
              </w:tc>
              <w:tc>
                <w:tcPr>
                  <w:tcW w:w="539" w:type="pct"/>
                  <w:tcBorders>
                    <w:bottom w:val="single" w:color="auto" w:sz="4" w:space="0"/>
                  </w:tcBorders>
                  <w:vAlign w:val="center"/>
                </w:tcPr>
                <w:p w14:paraId="1EE3B19F">
                  <w:pPr>
                    <w:pStyle w:val="59"/>
                    <w:rPr>
                      <w:color w:val="auto"/>
                    </w:rPr>
                  </w:pPr>
                  <w:r>
                    <w:rPr>
                      <w:rFonts w:hint="eastAsia"/>
                      <w:color w:val="auto"/>
                    </w:rPr>
                    <w:t>已验收3座事故水池，其他废水处理系统2座事故水池未验收。</w:t>
                  </w:r>
                </w:p>
              </w:tc>
            </w:tr>
            <w:tr w14:paraId="2313E84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PrEx>
              <w:trPr>
                <w:trHeight w:val="0" w:hRule="atLeast"/>
                <w:jc w:val="center"/>
              </w:trPr>
              <w:tc>
                <w:tcPr>
                  <w:tcW w:w="301" w:type="pct"/>
                  <w:vMerge w:val="continue"/>
                  <w:vAlign w:val="center"/>
                </w:tcPr>
                <w:p w14:paraId="482D6BE6">
                  <w:pPr>
                    <w:pStyle w:val="59"/>
                    <w:rPr>
                      <w:color w:val="auto"/>
                    </w:rPr>
                  </w:pPr>
                </w:p>
              </w:tc>
              <w:tc>
                <w:tcPr>
                  <w:tcW w:w="888" w:type="pct"/>
                  <w:gridSpan w:val="2"/>
                  <w:vAlign w:val="center"/>
                </w:tcPr>
                <w:p w14:paraId="2770ECC8">
                  <w:pPr>
                    <w:pStyle w:val="59"/>
                    <w:rPr>
                      <w:color w:val="auto"/>
                    </w:rPr>
                  </w:pPr>
                  <w:r>
                    <w:rPr>
                      <w:rFonts w:hint="eastAsia"/>
                      <w:color w:val="auto"/>
                    </w:rPr>
                    <w:t>软水制备</w:t>
                  </w:r>
                </w:p>
              </w:tc>
              <w:tc>
                <w:tcPr>
                  <w:tcW w:w="3272" w:type="pct"/>
                  <w:vAlign w:val="center"/>
                </w:tcPr>
                <w:p w14:paraId="1C387AB3">
                  <w:pPr>
                    <w:pStyle w:val="59"/>
                    <w:ind w:firstLine="420" w:firstLineChars="200"/>
                    <w:jc w:val="left"/>
                    <w:rPr>
                      <w:color w:val="auto"/>
                    </w:rPr>
                  </w:pPr>
                  <w:r>
                    <w:rPr>
                      <w:rFonts w:hint="eastAsia"/>
                      <w:color w:val="auto"/>
                    </w:rPr>
                    <w:t>本项目燃气锅炉设置1台全自动钠离子软水制备装置，采用钠离子交换软化处理制备软水，处理规模为15m</w:t>
                  </w:r>
                  <w:r>
                    <w:rPr>
                      <w:rFonts w:hint="eastAsia"/>
                      <w:color w:val="auto"/>
                      <w:vertAlign w:val="superscript"/>
                    </w:rPr>
                    <w:t>3</w:t>
                  </w:r>
                  <w:r>
                    <w:rPr>
                      <w:rFonts w:hint="eastAsia"/>
                      <w:color w:val="auto"/>
                    </w:rPr>
                    <w:t>/h。</w:t>
                  </w:r>
                </w:p>
              </w:tc>
              <w:tc>
                <w:tcPr>
                  <w:tcW w:w="539" w:type="pct"/>
                  <w:vAlign w:val="center"/>
                </w:tcPr>
                <w:p w14:paraId="202B4F46">
                  <w:pPr>
                    <w:pStyle w:val="59"/>
                    <w:rPr>
                      <w:color w:val="auto"/>
                    </w:rPr>
                  </w:pPr>
                  <w:r>
                    <w:rPr>
                      <w:rFonts w:hint="eastAsia"/>
                      <w:color w:val="auto"/>
                    </w:rPr>
                    <w:t>未验收</w:t>
                  </w:r>
                </w:p>
              </w:tc>
            </w:tr>
            <w:tr w14:paraId="3F963ED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6C9B6BA5">
                  <w:pPr>
                    <w:pStyle w:val="59"/>
                    <w:rPr>
                      <w:color w:val="auto"/>
                    </w:rPr>
                  </w:pPr>
                </w:p>
              </w:tc>
              <w:tc>
                <w:tcPr>
                  <w:tcW w:w="888" w:type="pct"/>
                  <w:gridSpan w:val="2"/>
                  <w:vAlign w:val="center"/>
                </w:tcPr>
                <w:p w14:paraId="19382234">
                  <w:pPr>
                    <w:pStyle w:val="59"/>
                    <w:rPr>
                      <w:color w:val="auto"/>
                    </w:rPr>
                  </w:pPr>
                  <w:r>
                    <w:rPr>
                      <w:rFonts w:hint="eastAsia"/>
                      <w:color w:val="auto"/>
                    </w:rPr>
                    <w:t>鼓风机房及碳源投加间</w:t>
                  </w:r>
                </w:p>
              </w:tc>
              <w:tc>
                <w:tcPr>
                  <w:tcW w:w="3272" w:type="pct"/>
                  <w:vAlign w:val="center"/>
                </w:tcPr>
                <w:p w14:paraId="0D62C994">
                  <w:pPr>
                    <w:pStyle w:val="59"/>
                    <w:ind w:firstLine="420" w:firstLineChars="200"/>
                    <w:jc w:val="left"/>
                    <w:rPr>
                      <w:color w:val="auto"/>
                    </w:rPr>
                  </w:pPr>
                  <w:r>
                    <w:rPr>
                      <w:rFonts w:hint="eastAsia"/>
                      <w:color w:val="auto"/>
                    </w:rPr>
                    <w:t>鼓风机房与碳源投加间合建，建筑面积为1940.20m</w:t>
                  </w:r>
                  <w:r>
                    <w:rPr>
                      <w:rFonts w:hint="eastAsia"/>
                      <w:color w:val="auto"/>
                      <w:vertAlign w:val="superscript"/>
                    </w:rPr>
                    <w:t>2</w:t>
                  </w:r>
                  <w:r>
                    <w:rPr>
                      <w:rFonts w:hint="eastAsia"/>
                      <w:color w:val="auto"/>
                    </w:rPr>
                    <w:t>，钢筋混凝土结构，鼓风机房用于生物池曝气，在标况下总需风量为56100m</w:t>
                  </w:r>
                  <w:r>
                    <w:rPr>
                      <w:rFonts w:hint="eastAsia"/>
                      <w:color w:val="auto"/>
                      <w:vertAlign w:val="superscript"/>
                    </w:rPr>
                    <w:t>3</w:t>
                  </w:r>
                  <w:r>
                    <w:rPr>
                      <w:rFonts w:hint="eastAsia"/>
                      <w:color w:val="auto"/>
                    </w:rPr>
                    <w:t>/h。碳源投加间设置碳源投加系统和磷源投加系统，用于碳源和磷源的投加。</w:t>
                  </w:r>
                </w:p>
              </w:tc>
              <w:tc>
                <w:tcPr>
                  <w:tcW w:w="539" w:type="pct"/>
                  <w:vAlign w:val="center"/>
                </w:tcPr>
                <w:p w14:paraId="1CF94BF5">
                  <w:pPr>
                    <w:pStyle w:val="59"/>
                    <w:rPr>
                      <w:color w:val="auto"/>
                    </w:rPr>
                  </w:pPr>
                  <w:bookmarkStart w:id="16" w:name="OLE_LINK3"/>
                  <w:r>
                    <w:rPr>
                      <w:rFonts w:hint="eastAsia"/>
                      <w:color w:val="auto"/>
                    </w:rPr>
                    <w:t>已验收</w:t>
                  </w:r>
                  <w:bookmarkEnd w:id="16"/>
                </w:p>
              </w:tc>
            </w:tr>
            <w:tr w14:paraId="3F53D06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621FF80">
                  <w:pPr>
                    <w:pStyle w:val="59"/>
                    <w:rPr>
                      <w:color w:val="auto"/>
                    </w:rPr>
                  </w:pPr>
                </w:p>
              </w:tc>
              <w:tc>
                <w:tcPr>
                  <w:tcW w:w="888" w:type="pct"/>
                  <w:gridSpan w:val="2"/>
                  <w:vAlign w:val="center"/>
                </w:tcPr>
                <w:p w14:paraId="38072EEB">
                  <w:pPr>
                    <w:pStyle w:val="59"/>
                    <w:rPr>
                      <w:color w:val="auto"/>
                    </w:rPr>
                  </w:pPr>
                  <w:r>
                    <w:rPr>
                      <w:rFonts w:hint="eastAsia"/>
                      <w:color w:val="auto"/>
                    </w:rPr>
                    <w:t>臭氧制备间</w:t>
                  </w:r>
                </w:p>
              </w:tc>
              <w:tc>
                <w:tcPr>
                  <w:tcW w:w="3272" w:type="pct"/>
                  <w:vAlign w:val="center"/>
                </w:tcPr>
                <w:p w14:paraId="29285674">
                  <w:pPr>
                    <w:pStyle w:val="59"/>
                    <w:ind w:firstLine="420" w:firstLineChars="200"/>
                    <w:jc w:val="left"/>
                    <w:rPr>
                      <w:color w:val="auto"/>
                    </w:rPr>
                  </w:pPr>
                  <w:r>
                    <w:rPr>
                      <w:rFonts w:hint="eastAsia"/>
                      <w:color w:val="auto"/>
                    </w:rPr>
                    <w:t>臭氧制备间1座，建筑面积为933.18m</w:t>
                  </w:r>
                  <w:r>
                    <w:rPr>
                      <w:rFonts w:hint="eastAsia"/>
                      <w:color w:val="auto"/>
                      <w:vertAlign w:val="superscript"/>
                    </w:rPr>
                    <w:t>2</w:t>
                  </w:r>
                  <w:r>
                    <w:rPr>
                      <w:rFonts w:hint="eastAsia"/>
                      <w:color w:val="auto"/>
                    </w:rPr>
                    <w:t>，钢筋混凝土结构，臭氧制备采用液氧制备臭氧，共计6套，5用1备，设计参数：单台80kg/h，浓度为150mg/L，N=680kw。</w:t>
                  </w:r>
                </w:p>
              </w:tc>
              <w:tc>
                <w:tcPr>
                  <w:tcW w:w="539" w:type="pct"/>
                  <w:vAlign w:val="center"/>
                </w:tcPr>
                <w:p w14:paraId="61E2DDF1">
                  <w:pPr>
                    <w:pStyle w:val="59"/>
                    <w:rPr>
                      <w:color w:val="auto"/>
                    </w:rPr>
                  </w:pPr>
                  <w:r>
                    <w:rPr>
                      <w:rFonts w:hint="eastAsia"/>
                      <w:color w:val="auto"/>
                    </w:rPr>
                    <w:t>已验收</w:t>
                  </w:r>
                </w:p>
              </w:tc>
            </w:tr>
            <w:tr w14:paraId="4E84F12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9CB933D">
                  <w:pPr>
                    <w:pStyle w:val="59"/>
                    <w:rPr>
                      <w:color w:val="auto"/>
                    </w:rPr>
                  </w:pPr>
                </w:p>
              </w:tc>
              <w:tc>
                <w:tcPr>
                  <w:tcW w:w="888" w:type="pct"/>
                  <w:gridSpan w:val="2"/>
                  <w:vAlign w:val="center"/>
                </w:tcPr>
                <w:p w14:paraId="6936B9E4">
                  <w:pPr>
                    <w:pStyle w:val="59"/>
                    <w:rPr>
                      <w:color w:val="auto"/>
                    </w:rPr>
                  </w:pPr>
                  <w:r>
                    <w:rPr>
                      <w:rFonts w:hint="eastAsia"/>
                      <w:color w:val="auto"/>
                    </w:rPr>
                    <w:t>液氧站</w:t>
                  </w:r>
                </w:p>
              </w:tc>
              <w:tc>
                <w:tcPr>
                  <w:tcW w:w="3272" w:type="pct"/>
                  <w:vAlign w:val="center"/>
                </w:tcPr>
                <w:p w14:paraId="3A57A74F">
                  <w:pPr>
                    <w:pStyle w:val="59"/>
                    <w:ind w:firstLine="420" w:firstLineChars="200"/>
                    <w:jc w:val="left"/>
                    <w:rPr>
                      <w:color w:val="auto"/>
                    </w:rPr>
                  </w:pPr>
                  <w:r>
                    <w:rPr>
                      <w:rFonts w:hint="eastAsia"/>
                      <w:color w:val="auto"/>
                    </w:rPr>
                    <w:t>占地面积414.96m</w:t>
                  </w:r>
                  <w:r>
                    <w:rPr>
                      <w:rFonts w:hint="eastAsia"/>
                      <w:color w:val="auto"/>
                      <w:vertAlign w:val="superscript"/>
                    </w:rPr>
                    <w:t>2</w:t>
                  </w:r>
                  <w:r>
                    <w:rPr>
                      <w:rFonts w:hint="eastAsia"/>
                      <w:color w:val="auto"/>
                    </w:rPr>
                    <w:t>，为臭氧制备间提供液氧，液氧罐，共计3个，V=100m</w:t>
                  </w:r>
                  <w:r>
                    <w:rPr>
                      <w:rFonts w:hint="eastAsia"/>
                      <w:color w:val="auto"/>
                      <w:vertAlign w:val="superscript"/>
                    </w:rPr>
                    <w:t>3</w:t>
                  </w:r>
                  <w:r>
                    <w:rPr>
                      <w:rFonts w:hint="eastAsia"/>
                      <w:color w:val="auto"/>
                    </w:rPr>
                    <w:t>/个。</w:t>
                  </w:r>
                </w:p>
              </w:tc>
              <w:tc>
                <w:tcPr>
                  <w:tcW w:w="539" w:type="pct"/>
                  <w:vAlign w:val="center"/>
                </w:tcPr>
                <w:p w14:paraId="71D71D7C">
                  <w:pPr>
                    <w:pStyle w:val="59"/>
                    <w:rPr>
                      <w:color w:val="auto"/>
                    </w:rPr>
                  </w:pPr>
                  <w:r>
                    <w:rPr>
                      <w:rFonts w:hint="eastAsia"/>
                      <w:color w:val="auto"/>
                    </w:rPr>
                    <w:t>已验收</w:t>
                  </w:r>
                </w:p>
              </w:tc>
            </w:tr>
            <w:tr w14:paraId="016E1DD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B66C5F9">
                  <w:pPr>
                    <w:pStyle w:val="59"/>
                    <w:rPr>
                      <w:color w:val="auto"/>
                    </w:rPr>
                  </w:pPr>
                </w:p>
              </w:tc>
              <w:tc>
                <w:tcPr>
                  <w:tcW w:w="888" w:type="pct"/>
                  <w:gridSpan w:val="2"/>
                  <w:vAlign w:val="center"/>
                </w:tcPr>
                <w:p w14:paraId="63550576">
                  <w:pPr>
                    <w:pStyle w:val="59"/>
                    <w:rPr>
                      <w:color w:val="auto"/>
                    </w:rPr>
                  </w:pPr>
                  <w:r>
                    <w:rPr>
                      <w:rFonts w:hint="eastAsia"/>
                      <w:color w:val="auto"/>
                    </w:rPr>
                    <w:t>蒸汽锅炉间</w:t>
                  </w:r>
                </w:p>
              </w:tc>
              <w:tc>
                <w:tcPr>
                  <w:tcW w:w="3272" w:type="pct"/>
                  <w:vAlign w:val="center"/>
                </w:tcPr>
                <w:p w14:paraId="082B74A2">
                  <w:pPr>
                    <w:pStyle w:val="59"/>
                    <w:ind w:firstLine="420" w:firstLineChars="200"/>
                    <w:jc w:val="left"/>
                    <w:rPr>
                      <w:color w:val="auto"/>
                    </w:rPr>
                  </w:pPr>
                  <w:r>
                    <w:rPr>
                      <w:rFonts w:hint="eastAsia"/>
                      <w:color w:val="auto"/>
                    </w:rPr>
                    <w:t>建筑面积406.63m</w:t>
                  </w:r>
                  <w:r>
                    <w:rPr>
                      <w:rFonts w:hint="eastAsia"/>
                      <w:color w:val="auto"/>
                      <w:vertAlign w:val="superscript"/>
                    </w:rPr>
                    <w:t>2</w:t>
                  </w:r>
                  <w:r>
                    <w:rPr>
                      <w:rFonts w:hint="eastAsia"/>
                      <w:color w:val="auto"/>
                    </w:rPr>
                    <w:t>，设置2台12t/h（单台）的燃气蒸汽锅炉，以及给水泵、凝结水箱、除氧器等相关附属设施。给蒸发结晶系统提供蒸汽源。</w:t>
                  </w:r>
                </w:p>
              </w:tc>
              <w:tc>
                <w:tcPr>
                  <w:tcW w:w="539" w:type="pct"/>
                  <w:vAlign w:val="center"/>
                </w:tcPr>
                <w:p w14:paraId="68DBED80">
                  <w:pPr>
                    <w:pStyle w:val="59"/>
                    <w:rPr>
                      <w:color w:val="auto"/>
                    </w:rPr>
                  </w:pPr>
                  <w:r>
                    <w:rPr>
                      <w:rFonts w:hint="eastAsia"/>
                      <w:color w:val="auto"/>
                    </w:rPr>
                    <w:t>已验收</w:t>
                  </w:r>
                </w:p>
              </w:tc>
            </w:tr>
            <w:tr w14:paraId="19DC229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33E4271">
                  <w:pPr>
                    <w:pStyle w:val="59"/>
                    <w:rPr>
                      <w:color w:val="auto"/>
                    </w:rPr>
                  </w:pPr>
                </w:p>
              </w:tc>
              <w:tc>
                <w:tcPr>
                  <w:tcW w:w="888" w:type="pct"/>
                  <w:gridSpan w:val="2"/>
                  <w:vAlign w:val="center"/>
                </w:tcPr>
                <w:p w14:paraId="1F7EA44C">
                  <w:pPr>
                    <w:pStyle w:val="59"/>
                    <w:rPr>
                      <w:color w:val="auto"/>
                    </w:rPr>
                  </w:pPr>
                  <w:r>
                    <w:rPr>
                      <w:rFonts w:hint="eastAsia"/>
                      <w:color w:val="auto"/>
                    </w:rPr>
                    <w:t>供热站</w:t>
                  </w:r>
                </w:p>
              </w:tc>
              <w:tc>
                <w:tcPr>
                  <w:tcW w:w="3272" w:type="pct"/>
                  <w:vAlign w:val="center"/>
                </w:tcPr>
                <w:p w14:paraId="14DE3BE4">
                  <w:pPr>
                    <w:pStyle w:val="59"/>
                    <w:ind w:firstLine="420" w:firstLineChars="200"/>
                    <w:jc w:val="left"/>
                    <w:rPr>
                      <w:color w:val="auto"/>
                    </w:rPr>
                  </w:pPr>
                  <w:r>
                    <w:rPr>
                      <w:rFonts w:hint="eastAsia"/>
                      <w:color w:val="auto"/>
                    </w:rPr>
                    <w:t>建筑面积313.84m</w:t>
                  </w:r>
                  <w:r>
                    <w:rPr>
                      <w:rFonts w:hint="eastAsia"/>
                      <w:color w:val="auto"/>
                      <w:vertAlign w:val="superscript"/>
                    </w:rPr>
                    <w:t>2</w:t>
                  </w:r>
                  <w:r>
                    <w:rPr>
                      <w:rFonts w:hint="eastAsia"/>
                      <w:color w:val="auto"/>
                    </w:rPr>
                    <w:t>，框架混凝土结构1座。供热站主要为厂区单体提供供热热源，热量通过供热站供给到用热单元。</w:t>
                  </w:r>
                </w:p>
              </w:tc>
              <w:tc>
                <w:tcPr>
                  <w:tcW w:w="539" w:type="pct"/>
                  <w:vAlign w:val="center"/>
                </w:tcPr>
                <w:p w14:paraId="22624D5F">
                  <w:pPr>
                    <w:pStyle w:val="59"/>
                    <w:rPr>
                      <w:color w:val="auto"/>
                    </w:rPr>
                  </w:pPr>
                  <w:r>
                    <w:rPr>
                      <w:rFonts w:hint="eastAsia"/>
                      <w:color w:val="auto"/>
                    </w:rPr>
                    <w:t>已验收</w:t>
                  </w:r>
                </w:p>
              </w:tc>
            </w:tr>
            <w:tr w14:paraId="3C7BF15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8C8F02A">
                  <w:pPr>
                    <w:pStyle w:val="59"/>
                    <w:rPr>
                      <w:color w:val="auto"/>
                    </w:rPr>
                  </w:pPr>
                </w:p>
              </w:tc>
              <w:tc>
                <w:tcPr>
                  <w:tcW w:w="888" w:type="pct"/>
                  <w:gridSpan w:val="2"/>
                  <w:vAlign w:val="center"/>
                </w:tcPr>
                <w:p w14:paraId="173B8355">
                  <w:pPr>
                    <w:pStyle w:val="59"/>
                    <w:rPr>
                      <w:color w:val="auto"/>
                    </w:rPr>
                  </w:pPr>
                  <w:r>
                    <w:rPr>
                      <w:rFonts w:hint="eastAsia"/>
                      <w:color w:val="auto"/>
                    </w:rPr>
                    <w:t>1#变配电室</w:t>
                  </w:r>
                </w:p>
              </w:tc>
              <w:tc>
                <w:tcPr>
                  <w:tcW w:w="3272" w:type="pct"/>
                  <w:vAlign w:val="center"/>
                </w:tcPr>
                <w:p w14:paraId="05F3E425">
                  <w:pPr>
                    <w:pStyle w:val="59"/>
                    <w:ind w:firstLine="420" w:firstLineChars="200"/>
                    <w:jc w:val="left"/>
                    <w:rPr>
                      <w:color w:val="auto"/>
                    </w:rPr>
                  </w:pPr>
                  <w:r>
                    <w:rPr>
                      <w:rFonts w:hint="eastAsia"/>
                      <w:color w:val="auto"/>
                    </w:rPr>
                    <w:t>建筑面积121.64m</w:t>
                  </w:r>
                  <w:r>
                    <w:rPr>
                      <w:rFonts w:hint="eastAsia"/>
                      <w:color w:val="auto"/>
                      <w:vertAlign w:val="superscript"/>
                    </w:rPr>
                    <w:t>2</w:t>
                  </w:r>
                  <w:r>
                    <w:rPr>
                      <w:rFonts w:hint="eastAsia"/>
                      <w:color w:val="auto"/>
                    </w:rPr>
                    <w:t>，用于对用电构筑物进行电能分配。</w:t>
                  </w:r>
                </w:p>
              </w:tc>
              <w:tc>
                <w:tcPr>
                  <w:tcW w:w="539" w:type="pct"/>
                  <w:vAlign w:val="center"/>
                </w:tcPr>
                <w:p w14:paraId="62EE1E12">
                  <w:pPr>
                    <w:pStyle w:val="59"/>
                    <w:rPr>
                      <w:color w:val="auto"/>
                    </w:rPr>
                  </w:pPr>
                  <w:r>
                    <w:rPr>
                      <w:rFonts w:hint="eastAsia"/>
                      <w:color w:val="auto"/>
                    </w:rPr>
                    <w:t>已验收</w:t>
                  </w:r>
                </w:p>
              </w:tc>
            </w:tr>
            <w:tr w14:paraId="73EC16C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57E01BF">
                  <w:pPr>
                    <w:pStyle w:val="59"/>
                    <w:rPr>
                      <w:color w:val="auto"/>
                    </w:rPr>
                  </w:pPr>
                </w:p>
              </w:tc>
              <w:tc>
                <w:tcPr>
                  <w:tcW w:w="888" w:type="pct"/>
                  <w:gridSpan w:val="2"/>
                  <w:vAlign w:val="center"/>
                </w:tcPr>
                <w:p w14:paraId="656217E9">
                  <w:pPr>
                    <w:pStyle w:val="59"/>
                    <w:rPr>
                      <w:color w:val="auto"/>
                    </w:rPr>
                  </w:pPr>
                  <w:r>
                    <w:rPr>
                      <w:rFonts w:hint="eastAsia"/>
                      <w:color w:val="auto"/>
                    </w:rPr>
                    <w:t>配电室</w:t>
                  </w:r>
                </w:p>
              </w:tc>
              <w:tc>
                <w:tcPr>
                  <w:tcW w:w="3272" w:type="pct"/>
                  <w:vAlign w:val="center"/>
                </w:tcPr>
                <w:p w14:paraId="331EA787">
                  <w:pPr>
                    <w:pStyle w:val="59"/>
                    <w:ind w:firstLine="420" w:firstLineChars="200"/>
                    <w:jc w:val="left"/>
                    <w:rPr>
                      <w:color w:val="auto"/>
                    </w:rPr>
                  </w:pPr>
                  <w:r>
                    <w:rPr>
                      <w:rFonts w:hint="eastAsia"/>
                      <w:color w:val="auto"/>
                    </w:rPr>
                    <w:t>办公楼为整个厂区主要建筑物，设计为二层，建筑面积10167.79m</w:t>
                  </w:r>
                  <w:r>
                    <w:rPr>
                      <w:rFonts w:hint="eastAsia"/>
                      <w:color w:val="auto"/>
                      <w:vertAlign w:val="superscript"/>
                    </w:rPr>
                    <w:t>2</w:t>
                  </w:r>
                  <w:r>
                    <w:rPr>
                      <w:rFonts w:hint="eastAsia"/>
                      <w:color w:val="auto"/>
                    </w:rPr>
                    <w:t>，主要包括办公室、餐厅、生活区。</w:t>
                  </w:r>
                </w:p>
              </w:tc>
              <w:tc>
                <w:tcPr>
                  <w:tcW w:w="539" w:type="pct"/>
                  <w:vAlign w:val="center"/>
                </w:tcPr>
                <w:p w14:paraId="295954DF">
                  <w:pPr>
                    <w:pStyle w:val="59"/>
                    <w:rPr>
                      <w:color w:val="auto"/>
                    </w:rPr>
                  </w:pPr>
                  <w:r>
                    <w:rPr>
                      <w:rFonts w:hint="eastAsia"/>
                      <w:color w:val="auto"/>
                    </w:rPr>
                    <w:t>已验收</w:t>
                  </w:r>
                </w:p>
              </w:tc>
            </w:tr>
            <w:tr w14:paraId="2EE35A2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6BCDA007">
                  <w:pPr>
                    <w:pStyle w:val="59"/>
                    <w:rPr>
                      <w:color w:val="auto"/>
                    </w:rPr>
                  </w:pPr>
                </w:p>
              </w:tc>
              <w:tc>
                <w:tcPr>
                  <w:tcW w:w="888" w:type="pct"/>
                  <w:gridSpan w:val="2"/>
                  <w:vAlign w:val="center"/>
                </w:tcPr>
                <w:p w14:paraId="5D43B970">
                  <w:pPr>
                    <w:pStyle w:val="59"/>
                    <w:rPr>
                      <w:color w:val="auto"/>
                    </w:rPr>
                  </w:pPr>
                  <w:r>
                    <w:rPr>
                      <w:rFonts w:hint="eastAsia"/>
                      <w:color w:val="auto"/>
                    </w:rPr>
                    <w:t>综合楼办公及附属楼</w:t>
                  </w:r>
                </w:p>
              </w:tc>
              <w:tc>
                <w:tcPr>
                  <w:tcW w:w="3272" w:type="pct"/>
                  <w:vAlign w:val="center"/>
                </w:tcPr>
                <w:p w14:paraId="3F4E7667">
                  <w:pPr>
                    <w:pStyle w:val="59"/>
                    <w:ind w:firstLine="420" w:firstLineChars="200"/>
                    <w:jc w:val="left"/>
                    <w:rPr>
                      <w:color w:val="auto"/>
                    </w:rPr>
                  </w:pPr>
                  <w:r>
                    <w:rPr>
                      <w:rFonts w:hint="eastAsia"/>
                      <w:color w:val="auto"/>
                    </w:rPr>
                    <w:t>建筑面积64.28m</w:t>
                  </w:r>
                  <w:r>
                    <w:rPr>
                      <w:rFonts w:hint="eastAsia"/>
                      <w:color w:val="auto"/>
                      <w:vertAlign w:val="superscript"/>
                    </w:rPr>
                    <w:t>2</w:t>
                  </w:r>
                  <w:r>
                    <w:rPr>
                      <w:rFonts w:hint="eastAsia"/>
                      <w:color w:val="auto"/>
                    </w:rPr>
                    <w:t>，钢筋混凝土框架结构。</w:t>
                  </w:r>
                </w:p>
              </w:tc>
              <w:tc>
                <w:tcPr>
                  <w:tcW w:w="539" w:type="pct"/>
                  <w:vAlign w:val="center"/>
                </w:tcPr>
                <w:p w14:paraId="7FFB623D">
                  <w:pPr>
                    <w:pStyle w:val="59"/>
                    <w:rPr>
                      <w:color w:val="auto"/>
                    </w:rPr>
                  </w:pPr>
                  <w:r>
                    <w:rPr>
                      <w:rFonts w:hint="eastAsia"/>
                      <w:color w:val="auto"/>
                    </w:rPr>
                    <w:t>已验收</w:t>
                  </w:r>
                </w:p>
              </w:tc>
            </w:tr>
            <w:tr w14:paraId="27A2E76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1C2A418">
                  <w:pPr>
                    <w:pStyle w:val="59"/>
                    <w:rPr>
                      <w:color w:val="auto"/>
                    </w:rPr>
                  </w:pPr>
                </w:p>
              </w:tc>
              <w:tc>
                <w:tcPr>
                  <w:tcW w:w="888" w:type="pct"/>
                  <w:gridSpan w:val="2"/>
                  <w:vAlign w:val="center"/>
                </w:tcPr>
                <w:p w14:paraId="3E5002AB">
                  <w:pPr>
                    <w:pStyle w:val="59"/>
                    <w:rPr>
                      <w:color w:val="auto"/>
                    </w:rPr>
                  </w:pPr>
                  <w:r>
                    <w:rPr>
                      <w:rFonts w:hint="eastAsia"/>
                      <w:color w:val="auto"/>
                    </w:rPr>
                    <w:t>1#门卫</w:t>
                  </w:r>
                </w:p>
              </w:tc>
              <w:tc>
                <w:tcPr>
                  <w:tcW w:w="3272" w:type="pct"/>
                  <w:vAlign w:val="center"/>
                </w:tcPr>
                <w:p w14:paraId="6E194625">
                  <w:pPr>
                    <w:pStyle w:val="59"/>
                    <w:ind w:firstLine="420" w:firstLineChars="200"/>
                    <w:jc w:val="left"/>
                    <w:rPr>
                      <w:color w:val="auto"/>
                    </w:rPr>
                  </w:pPr>
                  <w:r>
                    <w:rPr>
                      <w:rFonts w:hint="eastAsia"/>
                      <w:color w:val="auto"/>
                    </w:rPr>
                    <w:t>建筑面积32.14m</w:t>
                  </w:r>
                  <w:r>
                    <w:rPr>
                      <w:rFonts w:hint="eastAsia"/>
                      <w:color w:val="auto"/>
                      <w:vertAlign w:val="superscript"/>
                    </w:rPr>
                    <w:t>2</w:t>
                  </w:r>
                  <w:r>
                    <w:rPr>
                      <w:rFonts w:hint="eastAsia"/>
                      <w:color w:val="auto"/>
                    </w:rPr>
                    <w:t>，钢筋混凝土框架结构。</w:t>
                  </w:r>
                </w:p>
              </w:tc>
              <w:tc>
                <w:tcPr>
                  <w:tcW w:w="539" w:type="pct"/>
                  <w:vAlign w:val="center"/>
                </w:tcPr>
                <w:p w14:paraId="78104FA6">
                  <w:pPr>
                    <w:pStyle w:val="59"/>
                    <w:rPr>
                      <w:color w:val="auto"/>
                    </w:rPr>
                  </w:pPr>
                  <w:r>
                    <w:rPr>
                      <w:rFonts w:hint="eastAsia"/>
                      <w:color w:val="auto"/>
                    </w:rPr>
                    <w:t>已验收</w:t>
                  </w:r>
                </w:p>
              </w:tc>
            </w:tr>
            <w:tr w14:paraId="51A32D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06CAFA6">
                  <w:pPr>
                    <w:pStyle w:val="59"/>
                    <w:rPr>
                      <w:color w:val="auto"/>
                    </w:rPr>
                  </w:pPr>
                </w:p>
              </w:tc>
              <w:tc>
                <w:tcPr>
                  <w:tcW w:w="888" w:type="pct"/>
                  <w:gridSpan w:val="2"/>
                  <w:vAlign w:val="center"/>
                </w:tcPr>
                <w:p w14:paraId="6FA5F363">
                  <w:pPr>
                    <w:pStyle w:val="59"/>
                    <w:rPr>
                      <w:color w:val="auto"/>
                    </w:rPr>
                  </w:pPr>
                  <w:r>
                    <w:rPr>
                      <w:rFonts w:hint="eastAsia"/>
                      <w:color w:val="auto"/>
                    </w:rPr>
                    <w:t>2#门卫</w:t>
                  </w:r>
                </w:p>
              </w:tc>
              <w:tc>
                <w:tcPr>
                  <w:tcW w:w="3272" w:type="pct"/>
                  <w:vAlign w:val="center"/>
                </w:tcPr>
                <w:p w14:paraId="5C291025">
                  <w:pPr>
                    <w:pStyle w:val="59"/>
                    <w:ind w:firstLine="420" w:firstLineChars="200"/>
                    <w:jc w:val="left"/>
                    <w:rPr>
                      <w:color w:val="auto"/>
                    </w:rPr>
                  </w:pPr>
                  <w:r>
                    <w:rPr>
                      <w:rFonts w:hint="eastAsia"/>
                      <w:color w:val="auto"/>
                    </w:rPr>
                    <w:t>建筑面积40m</w:t>
                  </w:r>
                  <w:r>
                    <w:rPr>
                      <w:rFonts w:hint="eastAsia"/>
                      <w:color w:val="auto"/>
                      <w:vertAlign w:val="superscript"/>
                    </w:rPr>
                    <w:t>2</w:t>
                  </w:r>
                  <w:r>
                    <w:rPr>
                      <w:rFonts w:hint="eastAsia"/>
                      <w:color w:val="auto"/>
                    </w:rPr>
                    <w:t>，混凝土砖混结构。</w:t>
                  </w:r>
                </w:p>
              </w:tc>
              <w:tc>
                <w:tcPr>
                  <w:tcW w:w="539" w:type="pct"/>
                  <w:vAlign w:val="center"/>
                </w:tcPr>
                <w:p w14:paraId="0D439D58">
                  <w:pPr>
                    <w:pStyle w:val="59"/>
                    <w:rPr>
                      <w:color w:val="auto"/>
                    </w:rPr>
                  </w:pPr>
                  <w:r>
                    <w:rPr>
                      <w:rFonts w:hint="eastAsia"/>
                      <w:color w:val="auto"/>
                    </w:rPr>
                    <w:t>已验收</w:t>
                  </w:r>
                </w:p>
              </w:tc>
            </w:tr>
            <w:tr w14:paraId="7017DAC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restart"/>
                  <w:vAlign w:val="center"/>
                </w:tcPr>
                <w:p w14:paraId="1705A56C">
                  <w:pPr>
                    <w:pStyle w:val="59"/>
                    <w:rPr>
                      <w:color w:val="auto"/>
                    </w:rPr>
                  </w:pPr>
                  <w:r>
                    <w:rPr>
                      <w:rFonts w:hint="eastAsia"/>
                      <w:color w:val="auto"/>
                    </w:rPr>
                    <w:t>公用工程</w:t>
                  </w:r>
                </w:p>
              </w:tc>
              <w:tc>
                <w:tcPr>
                  <w:tcW w:w="888" w:type="pct"/>
                  <w:gridSpan w:val="2"/>
                  <w:vAlign w:val="center"/>
                </w:tcPr>
                <w:p w14:paraId="7BA57257">
                  <w:pPr>
                    <w:pStyle w:val="59"/>
                    <w:rPr>
                      <w:color w:val="auto"/>
                    </w:rPr>
                  </w:pPr>
                  <w:r>
                    <w:rPr>
                      <w:rFonts w:hint="eastAsia"/>
                      <w:color w:val="auto"/>
                    </w:rPr>
                    <w:t>供电工程</w:t>
                  </w:r>
                </w:p>
              </w:tc>
              <w:tc>
                <w:tcPr>
                  <w:tcW w:w="3272" w:type="pct"/>
                  <w:vAlign w:val="center"/>
                </w:tcPr>
                <w:p w14:paraId="0BBF0E8E">
                  <w:pPr>
                    <w:pStyle w:val="59"/>
                    <w:ind w:firstLine="420" w:firstLineChars="200"/>
                    <w:jc w:val="left"/>
                    <w:rPr>
                      <w:color w:val="auto"/>
                    </w:rPr>
                  </w:pPr>
                  <w:r>
                    <w:rPr>
                      <w:rFonts w:hint="eastAsia"/>
                      <w:color w:val="auto"/>
                    </w:rPr>
                    <w:t>在本项目污水处理厂附近设室外环网柜，环网柜电源引自园区电网；污水厂电源引自环网柜，采用电缆敷设方式引入本项目2#变配电室，为全厂设备供电。</w:t>
                  </w:r>
                </w:p>
              </w:tc>
              <w:tc>
                <w:tcPr>
                  <w:tcW w:w="539" w:type="pct"/>
                  <w:vAlign w:val="center"/>
                </w:tcPr>
                <w:p w14:paraId="7D3962B4">
                  <w:pPr>
                    <w:pStyle w:val="59"/>
                    <w:rPr>
                      <w:color w:val="auto"/>
                    </w:rPr>
                  </w:pPr>
                  <w:r>
                    <w:rPr>
                      <w:rFonts w:hint="eastAsia"/>
                      <w:color w:val="auto"/>
                    </w:rPr>
                    <w:t>已验收</w:t>
                  </w:r>
                </w:p>
              </w:tc>
            </w:tr>
            <w:tr w14:paraId="0D84F93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DD108DA">
                  <w:pPr>
                    <w:pStyle w:val="59"/>
                    <w:rPr>
                      <w:color w:val="auto"/>
                    </w:rPr>
                  </w:pPr>
                </w:p>
              </w:tc>
              <w:tc>
                <w:tcPr>
                  <w:tcW w:w="348" w:type="pct"/>
                  <w:vMerge w:val="restart"/>
                  <w:vAlign w:val="center"/>
                </w:tcPr>
                <w:p w14:paraId="78BE3694">
                  <w:pPr>
                    <w:pStyle w:val="59"/>
                    <w:rPr>
                      <w:color w:val="auto"/>
                    </w:rPr>
                  </w:pPr>
                  <w:r>
                    <w:rPr>
                      <w:rFonts w:hint="eastAsia"/>
                      <w:color w:val="auto"/>
                    </w:rPr>
                    <w:t>供水工程</w:t>
                  </w:r>
                </w:p>
              </w:tc>
              <w:tc>
                <w:tcPr>
                  <w:tcW w:w="540" w:type="pct"/>
                  <w:vAlign w:val="center"/>
                </w:tcPr>
                <w:p w14:paraId="7C5772E0">
                  <w:pPr>
                    <w:pStyle w:val="59"/>
                    <w:rPr>
                      <w:color w:val="auto"/>
                    </w:rPr>
                  </w:pPr>
                  <w:r>
                    <w:rPr>
                      <w:rFonts w:hint="eastAsia"/>
                      <w:color w:val="auto"/>
                    </w:rPr>
                    <w:t>生活用</w:t>
                  </w:r>
                </w:p>
                <w:p w14:paraId="267E9E20">
                  <w:pPr>
                    <w:pStyle w:val="59"/>
                    <w:rPr>
                      <w:color w:val="auto"/>
                    </w:rPr>
                  </w:pPr>
                  <w:r>
                    <w:rPr>
                      <w:rFonts w:hint="eastAsia"/>
                      <w:color w:val="auto"/>
                    </w:rPr>
                    <w:t>水</w:t>
                  </w:r>
                </w:p>
              </w:tc>
              <w:tc>
                <w:tcPr>
                  <w:tcW w:w="3272" w:type="pct"/>
                  <w:vAlign w:val="center"/>
                </w:tcPr>
                <w:p w14:paraId="5F11B3E4">
                  <w:pPr>
                    <w:pStyle w:val="59"/>
                    <w:ind w:firstLine="420" w:firstLineChars="200"/>
                    <w:jc w:val="left"/>
                    <w:rPr>
                      <w:color w:val="auto"/>
                    </w:rPr>
                  </w:pPr>
                  <w:r>
                    <w:rPr>
                      <w:rFonts w:hint="eastAsia"/>
                      <w:color w:val="auto"/>
                    </w:rPr>
                    <w:t>项目生活用水依托园区供水管网提供。</w:t>
                  </w:r>
                </w:p>
              </w:tc>
              <w:tc>
                <w:tcPr>
                  <w:tcW w:w="539" w:type="pct"/>
                  <w:vAlign w:val="center"/>
                </w:tcPr>
                <w:p w14:paraId="25DED1BF">
                  <w:pPr>
                    <w:pStyle w:val="59"/>
                    <w:rPr>
                      <w:color w:val="auto"/>
                    </w:rPr>
                  </w:pPr>
                  <w:r>
                    <w:rPr>
                      <w:rFonts w:hint="eastAsia"/>
                      <w:color w:val="auto"/>
                    </w:rPr>
                    <w:t>已验收</w:t>
                  </w:r>
                </w:p>
              </w:tc>
            </w:tr>
            <w:tr w14:paraId="7208D46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857861F">
                  <w:pPr>
                    <w:pStyle w:val="59"/>
                    <w:rPr>
                      <w:color w:val="auto"/>
                    </w:rPr>
                  </w:pPr>
                </w:p>
              </w:tc>
              <w:tc>
                <w:tcPr>
                  <w:tcW w:w="348" w:type="pct"/>
                  <w:vMerge w:val="continue"/>
                  <w:tcBorders>
                    <w:bottom w:val="single" w:color="auto" w:sz="4" w:space="0"/>
                  </w:tcBorders>
                  <w:vAlign w:val="center"/>
                </w:tcPr>
                <w:p w14:paraId="7DEC4458">
                  <w:pPr>
                    <w:pStyle w:val="59"/>
                    <w:rPr>
                      <w:color w:val="auto"/>
                    </w:rPr>
                  </w:pPr>
                </w:p>
              </w:tc>
              <w:tc>
                <w:tcPr>
                  <w:tcW w:w="540" w:type="pct"/>
                  <w:tcBorders>
                    <w:bottom w:val="single" w:color="auto" w:sz="4" w:space="0"/>
                  </w:tcBorders>
                  <w:vAlign w:val="center"/>
                </w:tcPr>
                <w:p w14:paraId="4E94CF36">
                  <w:pPr>
                    <w:pStyle w:val="59"/>
                    <w:rPr>
                      <w:color w:val="auto"/>
                    </w:rPr>
                  </w:pPr>
                  <w:r>
                    <w:rPr>
                      <w:rFonts w:hint="eastAsia"/>
                      <w:color w:val="auto"/>
                    </w:rPr>
                    <w:t>生产用水</w:t>
                  </w:r>
                </w:p>
              </w:tc>
              <w:tc>
                <w:tcPr>
                  <w:tcW w:w="3272" w:type="pct"/>
                  <w:tcBorders>
                    <w:bottom w:val="single" w:color="auto" w:sz="4" w:space="0"/>
                  </w:tcBorders>
                  <w:vAlign w:val="center"/>
                </w:tcPr>
                <w:p w14:paraId="794E1DC7">
                  <w:pPr>
                    <w:pStyle w:val="59"/>
                    <w:ind w:firstLine="420" w:firstLineChars="200"/>
                    <w:jc w:val="left"/>
                    <w:rPr>
                      <w:rFonts w:hint="eastAsia"/>
                      <w:color w:val="auto"/>
                    </w:rPr>
                  </w:pPr>
                  <w:r>
                    <w:rPr>
                      <w:rFonts w:hint="eastAsia"/>
                      <w:color w:val="auto"/>
                    </w:rPr>
                    <w:t>隆基废水处理系统的设备冲洗用水由隆基废水处理系统出水提供；其他废水处理系统设备冲洗用水、药剂配制用水、软水制备用水、其他道路洒水和绿化用水均来自其他废水处理系统出水。燃气锅炉用水为软水制备系统出水。</w:t>
                  </w:r>
                </w:p>
              </w:tc>
              <w:tc>
                <w:tcPr>
                  <w:tcW w:w="539" w:type="pct"/>
                  <w:vMerge w:val="restart"/>
                  <w:tcBorders>
                    <w:bottom w:val="single" w:color="auto" w:sz="4" w:space="0"/>
                  </w:tcBorders>
                  <w:vAlign w:val="center"/>
                </w:tcPr>
                <w:p w14:paraId="2F30DE96">
                  <w:pPr>
                    <w:pStyle w:val="59"/>
                    <w:rPr>
                      <w:color w:val="auto"/>
                    </w:rPr>
                  </w:pPr>
                  <w:r>
                    <w:rPr>
                      <w:rFonts w:hint="eastAsia"/>
                      <w:color w:val="auto"/>
                    </w:rPr>
                    <w:t>其他废水处理系统未验收，现状药</w:t>
                  </w:r>
                </w:p>
                <w:p w14:paraId="600B228F">
                  <w:pPr>
                    <w:pStyle w:val="59"/>
                    <w:rPr>
                      <w:color w:val="auto"/>
                    </w:rPr>
                  </w:pPr>
                  <w:r>
                    <w:rPr>
                      <w:rFonts w:hint="eastAsia"/>
                      <w:color w:val="auto"/>
                    </w:rPr>
                    <w:t>剂配制用水、软水制备用水、其他道路洒水和绿化用水均改用隆基废水处理系统中水。</w:t>
                  </w:r>
                </w:p>
              </w:tc>
            </w:tr>
            <w:tr w14:paraId="47D0164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EDB2EC0">
                  <w:pPr>
                    <w:pStyle w:val="59"/>
                    <w:rPr>
                      <w:color w:val="auto"/>
                    </w:rPr>
                  </w:pPr>
                </w:p>
              </w:tc>
              <w:tc>
                <w:tcPr>
                  <w:tcW w:w="348" w:type="pct"/>
                  <w:vMerge w:val="continue"/>
                  <w:vAlign w:val="center"/>
                </w:tcPr>
                <w:p w14:paraId="113F11D1">
                  <w:pPr>
                    <w:pStyle w:val="59"/>
                    <w:rPr>
                      <w:color w:val="auto"/>
                    </w:rPr>
                  </w:pPr>
                </w:p>
              </w:tc>
              <w:tc>
                <w:tcPr>
                  <w:tcW w:w="540" w:type="pct"/>
                  <w:vAlign w:val="center"/>
                </w:tcPr>
                <w:p w14:paraId="7E3F5DC1">
                  <w:pPr>
                    <w:pStyle w:val="59"/>
                    <w:rPr>
                      <w:color w:val="auto"/>
                    </w:rPr>
                  </w:pPr>
                  <w:r>
                    <w:rPr>
                      <w:rFonts w:hint="eastAsia"/>
                      <w:color w:val="auto"/>
                    </w:rPr>
                    <w:t>绿化用水</w:t>
                  </w:r>
                </w:p>
              </w:tc>
              <w:tc>
                <w:tcPr>
                  <w:tcW w:w="3272" w:type="pct"/>
                  <w:vAlign w:val="center"/>
                </w:tcPr>
                <w:p w14:paraId="1719B079">
                  <w:pPr>
                    <w:pStyle w:val="59"/>
                    <w:ind w:firstLine="420" w:firstLineChars="200"/>
                    <w:jc w:val="left"/>
                    <w:rPr>
                      <w:color w:val="auto"/>
                    </w:rPr>
                  </w:pPr>
                  <w:r>
                    <w:rPr>
                      <w:rFonts w:hint="eastAsia"/>
                      <w:color w:val="auto"/>
                    </w:rPr>
                    <w:t>绿化用水由其他企业废水处理系统中水提供。</w:t>
                  </w:r>
                </w:p>
              </w:tc>
              <w:tc>
                <w:tcPr>
                  <w:tcW w:w="539" w:type="pct"/>
                  <w:vMerge w:val="continue"/>
                  <w:vAlign w:val="center"/>
                </w:tcPr>
                <w:p w14:paraId="37888C65">
                  <w:pPr>
                    <w:pStyle w:val="59"/>
                    <w:rPr>
                      <w:color w:val="auto"/>
                    </w:rPr>
                  </w:pPr>
                </w:p>
              </w:tc>
            </w:tr>
            <w:tr w14:paraId="2EA29C3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89D8AD5">
                  <w:pPr>
                    <w:pStyle w:val="59"/>
                    <w:rPr>
                      <w:color w:val="auto"/>
                    </w:rPr>
                  </w:pPr>
                </w:p>
              </w:tc>
              <w:tc>
                <w:tcPr>
                  <w:tcW w:w="348" w:type="pct"/>
                  <w:vMerge w:val="restart"/>
                  <w:vAlign w:val="center"/>
                </w:tcPr>
                <w:p w14:paraId="20F2E6AE">
                  <w:pPr>
                    <w:pStyle w:val="59"/>
                    <w:jc w:val="left"/>
                    <w:rPr>
                      <w:color w:val="auto"/>
                    </w:rPr>
                  </w:pPr>
                  <w:r>
                    <w:rPr>
                      <w:rFonts w:hint="eastAsia"/>
                      <w:color w:val="auto"/>
                    </w:rPr>
                    <w:t>排水工程</w:t>
                  </w:r>
                </w:p>
              </w:tc>
              <w:tc>
                <w:tcPr>
                  <w:tcW w:w="540" w:type="pct"/>
                  <w:vAlign w:val="center"/>
                </w:tcPr>
                <w:p w14:paraId="438BB4DA">
                  <w:pPr>
                    <w:pStyle w:val="59"/>
                    <w:jc w:val="left"/>
                    <w:rPr>
                      <w:color w:val="auto"/>
                    </w:rPr>
                  </w:pPr>
                  <w:r>
                    <w:rPr>
                      <w:rFonts w:hint="eastAsia"/>
                      <w:color w:val="auto"/>
                    </w:rPr>
                    <w:t>设备冲洗废水</w:t>
                  </w:r>
                </w:p>
              </w:tc>
              <w:tc>
                <w:tcPr>
                  <w:tcW w:w="3272" w:type="pct"/>
                  <w:vAlign w:val="center"/>
                </w:tcPr>
                <w:p w14:paraId="36290FDB">
                  <w:pPr>
                    <w:pStyle w:val="59"/>
                    <w:ind w:firstLine="420" w:firstLineChars="200"/>
                    <w:jc w:val="left"/>
                    <w:rPr>
                      <w:color w:val="auto"/>
                    </w:rPr>
                  </w:pPr>
                  <w:r>
                    <w:rPr>
                      <w:rFonts w:hint="eastAsia"/>
                      <w:color w:val="auto"/>
                    </w:rPr>
                    <w:t>①隆基废水处理系统设备冲洗废水：1#V型滤池反冲洗废水回流至预处理系统除氟高效沉淀池进水端与来水一同处置；UF+RO反冲洗废水经过反冲洗废水池收集后回流至深度处理系统1#V型滤池与来水一同处置；砂滤1反冲洗废水、超滤1反冲洗废水、树脂软化工段产生的树脂再生废水、RO1反冲洗废水经收集后回流至浓盐水处理系统浓盐水调节池与来水一同处置；砂滤2反冲洗废水、超滤2反冲洗废水、RO2反冲洗废水经收集后回流至除硅高密池与来水一同处置；脱氨树脂再生废水送至前端1#生物池与来水一同处置。</w:t>
                  </w:r>
                </w:p>
                <w:p w14:paraId="56D1F9C5">
                  <w:pPr>
                    <w:pStyle w:val="59"/>
                    <w:ind w:firstLine="420" w:firstLineChars="200"/>
                    <w:jc w:val="left"/>
                    <w:rPr>
                      <w:color w:val="auto"/>
                    </w:rPr>
                  </w:pPr>
                  <w:r>
                    <w:rPr>
                      <w:rFonts w:hint="eastAsia"/>
                      <w:color w:val="auto"/>
                    </w:rPr>
                    <w:t>②其他企业废水处理系统粗格栅冲洗废水、细格栅冲洗废水、超细格栅冲洗废水、2#V型滤池冲洗废水回流至2#调节池与来水一同处置。</w:t>
                  </w:r>
                </w:p>
              </w:tc>
              <w:tc>
                <w:tcPr>
                  <w:tcW w:w="539" w:type="pct"/>
                  <w:vAlign w:val="center"/>
                </w:tcPr>
                <w:p w14:paraId="4FF2C083">
                  <w:pPr>
                    <w:pStyle w:val="59"/>
                    <w:rPr>
                      <w:color w:val="auto"/>
                    </w:rPr>
                  </w:pPr>
                  <w:r>
                    <w:rPr>
                      <w:rFonts w:hint="eastAsia"/>
                      <w:color w:val="auto"/>
                    </w:rPr>
                    <w:t>已验收</w:t>
                  </w:r>
                </w:p>
              </w:tc>
            </w:tr>
            <w:tr w14:paraId="2741757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95C128C">
                  <w:pPr>
                    <w:pStyle w:val="59"/>
                    <w:rPr>
                      <w:color w:val="auto"/>
                    </w:rPr>
                  </w:pPr>
                </w:p>
              </w:tc>
              <w:tc>
                <w:tcPr>
                  <w:tcW w:w="348" w:type="pct"/>
                  <w:vMerge w:val="continue"/>
                  <w:vAlign w:val="center"/>
                </w:tcPr>
                <w:p w14:paraId="05880917">
                  <w:pPr>
                    <w:pStyle w:val="59"/>
                    <w:jc w:val="left"/>
                    <w:rPr>
                      <w:color w:val="auto"/>
                    </w:rPr>
                  </w:pPr>
                </w:p>
              </w:tc>
              <w:tc>
                <w:tcPr>
                  <w:tcW w:w="540" w:type="pct"/>
                  <w:vAlign w:val="center"/>
                </w:tcPr>
                <w:p w14:paraId="7D0B71A6">
                  <w:pPr>
                    <w:pStyle w:val="59"/>
                    <w:jc w:val="left"/>
                    <w:rPr>
                      <w:color w:val="auto"/>
                    </w:rPr>
                  </w:pPr>
                  <w:r>
                    <w:rPr>
                      <w:rFonts w:hint="eastAsia"/>
                      <w:color w:val="auto"/>
                    </w:rPr>
                    <w:t>污泥脱水滤液</w:t>
                  </w:r>
                </w:p>
              </w:tc>
              <w:tc>
                <w:tcPr>
                  <w:tcW w:w="3272" w:type="pct"/>
                  <w:vMerge w:val="restart"/>
                  <w:vAlign w:val="center"/>
                </w:tcPr>
                <w:p w14:paraId="388D80BC">
                  <w:pPr>
                    <w:pStyle w:val="59"/>
                    <w:ind w:firstLine="420" w:firstLineChars="200"/>
                    <w:jc w:val="left"/>
                    <w:rPr>
                      <w:rFonts w:hint="eastAsia"/>
                      <w:color w:val="auto"/>
                    </w:rPr>
                  </w:pPr>
                  <w:r>
                    <w:rPr>
                      <w:rFonts w:hint="eastAsia"/>
                      <w:color w:val="auto"/>
                    </w:rPr>
                    <w:t>污泥脱水滤液及污泥系统冲洗废水经收集送至其他企业废水处理系统处理。</w:t>
                  </w:r>
                </w:p>
              </w:tc>
              <w:tc>
                <w:tcPr>
                  <w:tcW w:w="539" w:type="pct"/>
                  <w:vMerge w:val="restart"/>
                  <w:vAlign w:val="center"/>
                </w:tcPr>
                <w:p w14:paraId="7945E3DC">
                  <w:pPr>
                    <w:pStyle w:val="59"/>
                    <w:rPr>
                      <w:color w:val="auto"/>
                    </w:rPr>
                  </w:pPr>
                  <w:r>
                    <w:rPr>
                      <w:rFonts w:hint="eastAsia"/>
                      <w:color w:val="auto"/>
                    </w:rPr>
                    <w:t>其他废水处理系统未验收，现状锅炉排污废水、软水制备排污废水、运营期生活污水均排入隆基废水处理系统处理。</w:t>
                  </w:r>
                </w:p>
              </w:tc>
            </w:tr>
            <w:tr w14:paraId="3187B44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D23C6DE">
                  <w:pPr>
                    <w:pStyle w:val="59"/>
                    <w:rPr>
                      <w:color w:val="auto"/>
                    </w:rPr>
                  </w:pPr>
                </w:p>
              </w:tc>
              <w:tc>
                <w:tcPr>
                  <w:tcW w:w="348" w:type="pct"/>
                  <w:vMerge w:val="continue"/>
                  <w:vAlign w:val="center"/>
                </w:tcPr>
                <w:p w14:paraId="17856098">
                  <w:pPr>
                    <w:pStyle w:val="59"/>
                    <w:jc w:val="left"/>
                    <w:rPr>
                      <w:color w:val="auto"/>
                    </w:rPr>
                  </w:pPr>
                </w:p>
              </w:tc>
              <w:tc>
                <w:tcPr>
                  <w:tcW w:w="540" w:type="pct"/>
                  <w:vAlign w:val="center"/>
                </w:tcPr>
                <w:p w14:paraId="468422E5">
                  <w:pPr>
                    <w:pStyle w:val="59"/>
                    <w:rPr>
                      <w:color w:val="auto"/>
                    </w:rPr>
                  </w:pPr>
                  <w:r>
                    <w:rPr>
                      <w:rFonts w:hint="eastAsia"/>
                      <w:color w:val="auto"/>
                    </w:rPr>
                    <w:t>污泥理系统冲洗废水</w:t>
                  </w:r>
                </w:p>
              </w:tc>
              <w:tc>
                <w:tcPr>
                  <w:tcW w:w="3272" w:type="pct"/>
                  <w:vMerge w:val="continue"/>
                  <w:vAlign w:val="center"/>
                </w:tcPr>
                <w:p w14:paraId="5ED67939">
                  <w:pPr>
                    <w:pStyle w:val="59"/>
                    <w:ind w:firstLine="420" w:firstLineChars="200"/>
                    <w:jc w:val="left"/>
                    <w:rPr>
                      <w:color w:val="auto"/>
                    </w:rPr>
                  </w:pPr>
                </w:p>
              </w:tc>
              <w:tc>
                <w:tcPr>
                  <w:tcW w:w="539" w:type="pct"/>
                  <w:vMerge w:val="continue"/>
                  <w:vAlign w:val="center"/>
                </w:tcPr>
                <w:p w14:paraId="5724A5E4">
                  <w:pPr>
                    <w:pStyle w:val="59"/>
                    <w:rPr>
                      <w:color w:val="auto"/>
                    </w:rPr>
                  </w:pPr>
                </w:p>
              </w:tc>
            </w:tr>
            <w:tr w14:paraId="33734A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4C2F6E8">
                  <w:pPr>
                    <w:pStyle w:val="59"/>
                    <w:rPr>
                      <w:color w:val="auto"/>
                    </w:rPr>
                  </w:pPr>
                </w:p>
              </w:tc>
              <w:tc>
                <w:tcPr>
                  <w:tcW w:w="348" w:type="pct"/>
                  <w:vMerge w:val="continue"/>
                  <w:vAlign w:val="center"/>
                </w:tcPr>
                <w:p w14:paraId="4C507202">
                  <w:pPr>
                    <w:pStyle w:val="59"/>
                    <w:jc w:val="left"/>
                    <w:rPr>
                      <w:color w:val="auto"/>
                    </w:rPr>
                  </w:pPr>
                </w:p>
              </w:tc>
              <w:tc>
                <w:tcPr>
                  <w:tcW w:w="540" w:type="pct"/>
                  <w:vAlign w:val="center"/>
                </w:tcPr>
                <w:p w14:paraId="25D714DB">
                  <w:pPr>
                    <w:pStyle w:val="59"/>
                    <w:rPr>
                      <w:color w:val="auto"/>
                    </w:rPr>
                  </w:pPr>
                  <w:r>
                    <w:rPr>
                      <w:rFonts w:hint="eastAsia"/>
                      <w:color w:val="auto"/>
                    </w:rPr>
                    <w:t>锅炉排</w:t>
                  </w:r>
                </w:p>
                <w:p w14:paraId="3AF499D7">
                  <w:pPr>
                    <w:pStyle w:val="59"/>
                    <w:rPr>
                      <w:color w:val="auto"/>
                    </w:rPr>
                  </w:pPr>
                  <w:r>
                    <w:rPr>
                      <w:rFonts w:hint="eastAsia"/>
                      <w:color w:val="auto"/>
                    </w:rPr>
                    <w:t>污废水</w:t>
                  </w:r>
                </w:p>
              </w:tc>
              <w:tc>
                <w:tcPr>
                  <w:tcW w:w="3272" w:type="pct"/>
                  <w:vMerge w:val="restart"/>
                  <w:vAlign w:val="center"/>
                </w:tcPr>
                <w:p w14:paraId="78210715">
                  <w:pPr>
                    <w:pStyle w:val="59"/>
                    <w:ind w:firstLine="420" w:firstLineChars="200"/>
                    <w:jc w:val="left"/>
                    <w:rPr>
                      <w:rFonts w:hint="eastAsia"/>
                      <w:color w:val="auto"/>
                    </w:rPr>
                  </w:pPr>
                  <w:r>
                    <w:rPr>
                      <w:rFonts w:hint="eastAsia"/>
                      <w:color w:val="auto"/>
                    </w:rPr>
                    <w:t>锅炉排污废水、软水制备排污废水、生活污水均排入本项目其他废水处理系统中的2#调节池与来水一同处置。</w:t>
                  </w:r>
                </w:p>
              </w:tc>
              <w:tc>
                <w:tcPr>
                  <w:tcW w:w="539" w:type="pct"/>
                  <w:vMerge w:val="continue"/>
                  <w:vAlign w:val="center"/>
                </w:tcPr>
                <w:p w14:paraId="1EBFCD73">
                  <w:pPr>
                    <w:pStyle w:val="59"/>
                    <w:rPr>
                      <w:color w:val="auto"/>
                    </w:rPr>
                  </w:pPr>
                </w:p>
              </w:tc>
            </w:tr>
            <w:tr w14:paraId="2070FB9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65B4BD40">
                  <w:pPr>
                    <w:pStyle w:val="59"/>
                    <w:rPr>
                      <w:color w:val="auto"/>
                    </w:rPr>
                  </w:pPr>
                </w:p>
              </w:tc>
              <w:tc>
                <w:tcPr>
                  <w:tcW w:w="348" w:type="pct"/>
                  <w:vMerge w:val="continue"/>
                  <w:vAlign w:val="center"/>
                </w:tcPr>
                <w:p w14:paraId="4382815C">
                  <w:pPr>
                    <w:pStyle w:val="59"/>
                    <w:jc w:val="left"/>
                    <w:rPr>
                      <w:color w:val="auto"/>
                    </w:rPr>
                  </w:pPr>
                </w:p>
              </w:tc>
              <w:tc>
                <w:tcPr>
                  <w:tcW w:w="540" w:type="pct"/>
                  <w:vAlign w:val="center"/>
                </w:tcPr>
                <w:p w14:paraId="6DF8A548">
                  <w:pPr>
                    <w:pStyle w:val="59"/>
                    <w:rPr>
                      <w:color w:val="auto"/>
                    </w:rPr>
                  </w:pPr>
                  <w:r>
                    <w:rPr>
                      <w:rFonts w:hint="eastAsia"/>
                      <w:color w:val="auto"/>
                    </w:rPr>
                    <w:t>软水制</w:t>
                  </w:r>
                </w:p>
                <w:p w14:paraId="794E49C1">
                  <w:pPr>
                    <w:pStyle w:val="59"/>
                    <w:rPr>
                      <w:color w:val="auto"/>
                    </w:rPr>
                  </w:pPr>
                  <w:r>
                    <w:rPr>
                      <w:rFonts w:hint="eastAsia"/>
                      <w:color w:val="auto"/>
                    </w:rPr>
                    <w:t>备设备排污废水</w:t>
                  </w:r>
                </w:p>
              </w:tc>
              <w:tc>
                <w:tcPr>
                  <w:tcW w:w="3272" w:type="pct"/>
                  <w:vMerge w:val="continue"/>
                  <w:vAlign w:val="center"/>
                </w:tcPr>
                <w:p w14:paraId="3A5D9E22">
                  <w:pPr>
                    <w:pStyle w:val="59"/>
                    <w:ind w:firstLine="420" w:firstLineChars="200"/>
                    <w:jc w:val="left"/>
                    <w:rPr>
                      <w:color w:val="auto"/>
                    </w:rPr>
                  </w:pPr>
                </w:p>
              </w:tc>
              <w:tc>
                <w:tcPr>
                  <w:tcW w:w="539" w:type="pct"/>
                  <w:vMerge w:val="continue"/>
                  <w:vAlign w:val="center"/>
                </w:tcPr>
                <w:p w14:paraId="2808BD74">
                  <w:pPr>
                    <w:pStyle w:val="59"/>
                    <w:rPr>
                      <w:color w:val="auto"/>
                    </w:rPr>
                  </w:pPr>
                </w:p>
              </w:tc>
            </w:tr>
            <w:tr w14:paraId="3BEC122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29B4509">
                  <w:pPr>
                    <w:pStyle w:val="59"/>
                    <w:rPr>
                      <w:color w:val="auto"/>
                    </w:rPr>
                  </w:pPr>
                </w:p>
              </w:tc>
              <w:tc>
                <w:tcPr>
                  <w:tcW w:w="348" w:type="pct"/>
                  <w:vMerge w:val="continue"/>
                  <w:vAlign w:val="center"/>
                </w:tcPr>
                <w:p w14:paraId="5B52DA48">
                  <w:pPr>
                    <w:pStyle w:val="59"/>
                    <w:jc w:val="left"/>
                    <w:rPr>
                      <w:color w:val="auto"/>
                    </w:rPr>
                  </w:pPr>
                </w:p>
              </w:tc>
              <w:tc>
                <w:tcPr>
                  <w:tcW w:w="540" w:type="pct"/>
                  <w:vAlign w:val="center"/>
                </w:tcPr>
                <w:p w14:paraId="3FCC8241">
                  <w:pPr>
                    <w:pStyle w:val="59"/>
                    <w:rPr>
                      <w:color w:val="auto"/>
                    </w:rPr>
                  </w:pPr>
                  <w:r>
                    <w:rPr>
                      <w:rFonts w:hint="eastAsia"/>
                      <w:color w:val="auto"/>
                    </w:rPr>
                    <w:t>生活污水</w:t>
                  </w:r>
                </w:p>
              </w:tc>
              <w:tc>
                <w:tcPr>
                  <w:tcW w:w="3272" w:type="pct"/>
                  <w:vMerge w:val="continue"/>
                  <w:vAlign w:val="center"/>
                </w:tcPr>
                <w:p w14:paraId="56CFE610">
                  <w:pPr>
                    <w:pStyle w:val="59"/>
                    <w:ind w:firstLine="420" w:firstLineChars="200"/>
                    <w:jc w:val="left"/>
                    <w:rPr>
                      <w:color w:val="auto"/>
                    </w:rPr>
                  </w:pPr>
                </w:p>
              </w:tc>
              <w:tc>
                <w:tcPr>
                  <w:tcW w:w="539" w:type="pct"/>
                  <w:vMerge w:val="continue"/>
                  <w:vAlign w:val="center"/>
                </w:tcPr>
                <w:p w14:paraId="5AA23453">
                  <w:pPr>
                    <w:pStyle w:val="59"/>
                    <w:rPr>
                      <w:color w:val="auto"/>
                    </w:rPr>
                  </w:pPr>
                </w:p>
              </w:tc>
            </w:tr>
            <w:tr w14:paraId="061736C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tcBorders>
                    <w:bottom w:val="thickThinSmallGap" w:color="auto" w:sz="12" w:space="0"/>
                  </w:tcBorders>
                  <w:vAlign w:val="center"/>
                </w:tcPr>
                <w:p w14:paraId="6766B6EF">
                  <w:pPr>
                    <w:pStyle w:val="59"/>
                    <w:rPr>
                      <w:color w:val="auto"/>
                    </w:rPr>
                  </w:pPr>
                </w:p>
              </w:tc>
              <w:tc>
                <w:tcPr>
                  <w:tcW w:w="348" w:type="pct"/>
                  <w:vMerge w:val="continue"/>
                  <w:tcBorders>
                    <w:bottom w:val="single" w:color="auto" w:sz="4" w:space="0"/>
                  </w:tcBorders>
                  <w:vAlign w:val="center"/>
                </w:tcPr>
                <w:p w14:paraId="3CF8E521">
                  <w:pPr>
                    <w:pStyle w:val="59"/>
                    <w:jc w:val="left"/>
                    <w:rPr>
                      <w:color w:val="auto"/>
                    </w:rPr>
                  </w:pPr>
                </w:p>
              </w:tc>
              <w:tc>
                <w:tcPr>
                  <w:tcW w:w="540" w:type="pct"/>
                  <w:tcBorders>
                    <w:bottom w:val="single" w:color="auto" w:sz="4" w:space="0"/>
                  </w:tcBorders>
                  <w:vAlign w:val="center"/>
                </w:tcPr>
                <w:p w14:paraId="14BA20BD">
                  <w:pPr>
                    <w:pStyle w:val="59"/>
                    <w:rPr>
                      <w:color w:val="auto"/>
                    </w:rPr>
                  </w:pPr>
                  <w:r>
                    <w:rPr>
                      <w:rFonts w:hint="eastAsia"/>
                      <w:color w:val="auto"/>
                    </w:rPr>
                    <w:t>蒸发冷</w:t>
                  </w:r>
                </w:p>
                <w:p w14:paraId="0C0CABD6">
                  <w:pPr>
                    <w:pStyle w:val="59"/>
                    <w:rPr>
                      <w:color w:val="auto"/>
                    </w:rPr>
                  </w:pPr>
                  <w:r>
                    <w:rPr>
                      <w:rFonts w:hint="eastAsia"/>
                      <w:color w:val="auto"/>
                    </w:rPr>
                    <w:t>凝水</w:t>
                  </w:r>
                </w:p>
              </w:tc>
              <w:tc>
                <w:tcPr>
                  <w:tcW w:w="3272" w:type="pct"/>
                  <w:tcBorders>
                    <w:bottom w:val="single" w:color="auto" w:sz="4" w:space="0"/>
                  </w:tcBorders>
                  <w:vAlign w:val="center"/>
                </w:tcPr>
                <w:p w14:paraId="70C1A85B">
                  <w:pPr>
                    <w:pStyle w:val="59"/>
                    <w:ind w:firstLine="420" w:firstLineChars="200"/>
                    <w:jc w:val="left"/>
                    <w:rPr>
                      <w:color w:val="auto"/>
                    </w:rPr>
                  </w:pPr>
                  <w:r>
                    <w:rPr>
                      <w:rFonts w:hint="eastAsia"/>
                      <w:color w:val="auto"/>
                    </w:rPr>
                    <w:t>一效蒸发冷凝水直接回用于隆基生产，二效及杂</w:t>
                  </w:r>
                </w:p>
                <w:p w14:paraId="38E22349">
                  <w:pPr>
                    <w:pStyle w:val="59"/>
                    <w:ind w:firstLine="420" w:firstLineChars="200"/>
                    <w:jc w:val="left"/>
                    <w:rPr>
                      <w:color w:val="auto"/>
                    </w:rPr>
                  </w:pPr>
                  <w:r>
                    <w:rPr>
                      <w:rFonts w:hint="eastAsia"/>
                      <w:color w:val="auto"/>
                    </w:rPr>
                    <w:t>盐蒸发冷凝水经隆基废水处理系统脱氨树脂和RO纯水系统处理后回用于隆基生产。</w:t>
                  </w:r>
                </w:p>
              </w:tc>
              <w:tc>
                <w:tcPr>
                  <w:tcW w:w="539" w:type="pct"/>
                  <w:tcBorders>
                    <w:bottom w:val="single" w:color="auto" w:sz="4" w:space="0"/>
                  </w:tcBorders>
                  <w:vAlign w:val="center"/>
                </w:tcPr>
                <w:p w14:paraId="1D85826A">
                  <w:pPr>
                    <w:pStyle w:val="59"/>
                    <w:rPr>
                      <w:color w:val="auto"/>
                    </w:rPr>
                  </w:pPr>
                  <w:r>
                    <w:rPr>
                      <w:rFonts w:hint="eastAsia"/>
                      <w:color w:val="auto"/>
                    </w:rPr>
                    <w:t>已验收</w:t>
                  </w:r>
                </w:p>
              </w:tc>
            </w:tr>
            <w:tr w14:paraId="3C425C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EC39D55">
                  <w:pPr>
                    <w:pStyle w:val="59"/>
                    <w:rPr>
                      <w:color w:val="auto"/>
                    </w:rPr>
                  </w:pPr>
                </w:p>
              </w:tc>
              <w:tc>
                <w:tcPr>
                  <w:tcW w:w="888" w:type="pct"/>
                  <w:gridSpan w:val="2"/>
                  <w:tcBorders>
                    <w:top w:val="single" w:color="auto" w:sz="4" w:space="0"/>
                    <w:bottom w:val="single" w:color="auto" w:sz="4" w:space="0"/>
                  </w:tcBorders>
                  <w:vAlign w:val="center"/>
                </w:tcPr>
                <w:p w14:paraId="3F4E3E70">
                  <w:pPr>
                    <w:pStyle w:val="59"/>
                    <w:rPr>
                      <w:color w:val="auto"/>
                    </w:rPr>
                  </w:pPr>
                  <w:r>
                    <w:rPr>
                      <w:rFonts w:hint="eastAsia"/>
                      <w:color w:val="auto"/>
                    </w:rPr>
                    <w:t>制冷</w:t>
                  </w:r>
                </w:p>
              </w:tc>
              <w:tc>
                <w:tcPr>
                  <w:tcW w:w="3272" w:type="pct"/>
                  <w:tcBorders>
                    <w:top w:val="single" w:color="auto" w:sz="4" w:space="0"/>
                    <w:bottom w:val="single" w:color="auto" w:sz="4" w:space="0"/>
                  </w:tcBorders>
                  <w:vAlign w:val="center"/>
                </w:tcPr>
                <w:p w14:paraId="1D5EED84">
                  <w:pPr>
                    <w:pStyle w:val="59"/>
                    <w:ind w:firstLine="420" w:firstLineChars="200"/>
                    <w:jc w:val="left"/>
                    <w:rPr>
                      <w:color w:val="auto"/>
                    </w:rPr>
                  </w:pPr>
                  <w:r>
                    <w:rPr>
                      <w:rFonts w:hint="eastAsia"/>
                      <w:color w:val="auto"/>
                    </w:rPr>
                    <w:t>制冷剂为氯化钙，用于硫酸钠结晶工段。</w:t>
                  </w:r>
                </w:p>
              </w:tc>
              <w:tc>
                <w:tcPr>
                  <w:tcW w:w="539" w:type="pct"/>
                  <w:tcBorders>
                    <w:top w:val="single" w:color="auto" w:sz="4" w:space="0"/>
                    <w:bottom w:val="single" w:color="auto" w:sz="4" w:space="0"/>
                    <w:right w:val="nil"/>
                  </w:tcBorders>
                  <w:vAlign w:val="center"/>
                </w:tcPr>
                <w:p w14:paraId="21A0EB8D">
                  <w:pPr>
                    <w:pStyle w:val="59"/>
                    <w:rPr>
                      <w:color w:val="auto"/>
                    </w:rPr>
                  </w:pPr>
                  <w:r>
                    <w:rPr>
                      <w:rFonts w:hint="eastAsia"/>
                      <w:color w:val="auto"/>
                    </w:rPr>
                    <w:t>已验收</w:t>
                  </w:r>
                </w:p>
              </w:tc>
            </w:tr>
            <w:tr w14:paraId="752A831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F3A450A">
                  <w:pPr>
                    <w:pStyle w:val="59"/>
                    <w:rPr>
                      <w:color w:val="auto"/>
                    </w:rPr>
                  </w:pPr>
                </w:p>
              </w:tc>
              <w:tc>
                <w:tcPr>
                  <w:tcW w:w="888" w:type="pct"/>
                  <w:gridSpan w:val="2"/>
                  <w:tcBorders>
                    <w:top w:val="single" w:color="auto" w:sz="4" w:space="0"/>
                  </w:tcBorders>
                  <w:vAlign w:val="center"/>
                </w:tcPr>
                <w:p w14:paraId="266586DB">
                  <w:pPr>
                    <w:pStyle w:val="59"/>
                    <w:rPr>
                      <w:color w:val="auto"/>
                    </w:rPr>
                  </w:pPr>
                  <w:r>
                    <w:rPr>
                      <w:rFonts w:hint="eastAsia"/>
                      <w:color w:val="auto"/>
                    </w:rPr>
                    <w:t>供热工程</w:t>
                  </w:r>
                </w:p>
              </w:tc>
              <w:tc>
                <w:tcPr>
                  <w:tcW w:w="3272" w:type="pct"/>
                  <w:tcBorders>
                    <w:top w:val="single" w:color="auto" w:sz="4" w:space="0"/>
                  </w:tcBorders>
                  <w:vAlign w:val="center"/>
                </w:tcPr>
                <w:p w14:paraId="4049A812">
                  <w:pPr>
                    <w:pStyle w:val="59"/>
                    <w:ind w:firstLine="420" w:firstLineChars="200"/>
                    <w:jc w:val="left"/>
                    <w:rPr>
                      <w:color w:val="auto"/>
                    </w:rPr>
                  </w:pPr>
                  <w:r>
                    <w:rPr>
                      <w:rFonts w:hint="eastAsia"/>
                      <w:color w:val="auto"/>
                    </w:rPr>
                    <w:t>本项目厂房车间冬季供暖采用伊金霍洛旗鄂尔多斯江苏工业园集中供暖方式进行供热；综合办公楼及附属楼冬季供热采用污水源热泵系统，热泵系统通过从综合再生水池中的污水中提取热量，借助热交换系统和压缩机，通过消耗少量电能，将污水中的热量转化成热量，实现冬季供暖。</w:t>
                  </w:r>
                </w:p>
              </w:tc>
              <w:tc>
                <w:tcPr>
                  <w:tcW w:w="539" w:type="pct"/>
                  <w:tcBorders>
                    <w:top w:val="single" w:color="auto" w:sz="4" w:space="0"/>
                  </w:tcBorders>
                  <w:vAlign w:val="center"/>
                </w:tcPr>
                <w:p w14:paraId="72D32696">
                  <w:pPr>
                    <w:pStyle w:val="59"/>
                    <w:rPr>
                      <w:color w:val="auto"/>
                    </w:rPr>
                  </w:pPr>
                  <w:r>
                    <w:rPr>
                      <w:rFonts w:hint="eastAsia"/>
                      <w:color w:val="auto"/>
                    </w:rPr>
                    <w:t>已验收</w:t>
                  </w:r>
                </w:p>
              </w:tc>
            </w:tr>
            <w:tr w14:paraId="27C0994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2C42F3B">
                  <w:pPr>
                    <w:pStyle w:val="59"/>
                    <w:rPr>
                      <w:color w:val="auto"/>
                    </w:rPr>
                  </w:pPr>
                </w:p>
              </w:tc>
              <w:tc>
                <w:tcPr>
                  <w:tcW w:w="888" w:type="pct"/>
                  <w:gridSpan w:val="2"/>
                  <w:vAlign w:val="center"/>
                </w:tcPr>
                <w:p w14:paraId="2A73D631">
                  <w:pPr>
                    <w:pStyle w:val="59"/>
                    <w:rPr>
                      <w:color w:val="auto"/>
                    </w:rPr>
                  </w:pPr>
                  <w:r>
                    <w:rPr>
                      <w:rFonts w:hint="eastAsia"/>
                      <w:color w:val="auto"/>
                    </w:rPr>
                    <w:t>供气</w:t>
                  </w:r>
                </w:p>
              </w:tc>
              <w:tc>
                <w:tcPr>
                  <w:tcW w:w="3272" w:type="pct"/>
                  <w:vAlign w:val="center"/>
                </w:tcPr>
                <w:p w14:paraId="66025184">
                  <w:pPr>
                    <w:pStyle w:val="59"/>
                    <w:ind w:firstLine="420" w:firstLineChars="200"/>
                    <w:jc w:val="left"/>
                    <w:rPr>
                      <w:color w:val="auto"/>
                    </w:rPr>
                  </w:pPr>
                  <w:r>
                    <w:rPr>
                      <w:rFonts w:hint="eastAsia"/>
                      <w:color w:val="auto"/>
                    </w:rPr>
                    <w:t>项目消耗天然气由园区天然气管网提供，管道接入。</w:t>
                  </w:r>
                </w:p>
              </w:tc>
              <w:tc>
                <w:tcPr>
                  <w:tcW w:w="539" w:type="pct"/>
                  <w:vAlign w:val="center"/>
                </w:tcPr>
                <w:p w14:paraId="1B9EDFF6">
                  <w:pPr>
                    <w:pStyle w:val="59"/>
                    <w:rPr>
                      <w:color w:val="auto"/>
                    </w:rPr>
                  </w:pPr>
                  <w:r>
                    <w:rPr>
                      <w:rFonts w:hint="eastAsia"/>
                      <w:color w:val="auto"/>
                    </w:rPr>
                    <w:t>已验收</w:t>
                  </w:r>
                </w:p>
              </w:tc>
            </w:tr>
            <w:tr w14:paraId="641F52A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42709E1">
                  <w:pPr>
                    <w:pStyle w:val="59"/>
                    <w:rPr>
                      <w:color w:val="auto"/>
                    </w:rPr>
                  </w:pPr>
                </w:p>
              </w:tc>
              <w:tc>
                <w:tcPr>
                  <w:tcW w:w="888" w:type="pct"/>
                  <w:gridSpan w:val="2"/>
                  <w:vAlign w:val="center"/>
                </w:tcPr>
                <w:p w14:paraId="59238280">
                  <w:pPr>
                    <w:pStyle w:val="59"/>
                    <w:rPr>
                      <w:color w:val="auto"/>
                    </w:rPr>
                  </w:pPr>
                  <w:r>
                    <w:rPr>
                      <w:rFonts w:hint="eastAsia"/>
                      <w:color w:val="auto"/>
                    </w:rPr>
                    <w:t>供汽</w:t>
                  </w:r>
                </w:p>
              </w:tc>
              <w:tc>
                <w:tcPr>
                  <w:tcW w:w="3272" w:type="pct"/>
                  <w:vAlign w:val="center"/>
                </w:tcPr>
                <w:p w14:paraId="5F149CB8">
                  <w:pPr>
                    <w:pStyle w:val="59"/>
                    <w:ind w:firstLine="420" w:firstLineChars="200"/>
                    <w:jc w:val="left"/>
                    <w:rPr>
                      <w:color w:val="auto"/>
                    </w:rPr>
                  </w:pPr>
                  <w:r>
                    <w:rPr>
                      <w:rFonts w:hint="eastAsia"/>
                      <w:color w:val="auto"/>
                    </w:rPr>
                    <w:t>项目蒸汽由2台12t/h的燃气锅炉（1用1备）提供，园区实现集中供热/汽后，燃气锅炉拆除。</w:t>
                  </w:r>
                </w:p>
              </w:tc>
              <w:tc>
                <w:tcPr>
                  <w:tcW w:w="539" w:type="pct"/>
                  <w:vAlign w:val="center"/>
                </w:tcPr>
                <w:p w14:paraId="3A35F7D0">
                  <w:pPr>
                    <w:pStyle w:val="59"/>
                    <w:rPr>
                      <w:color w:val="auto"/>
                    </w:rPr>
                  </w:pPr>
                  <w:r>
                    <w:rPr>
                      <w:rFonts w:hint="eastAsia"/>
                      <w:color w:val="auto"/>
                    </w:rPr>
                    <w:t>未验收</w:t>
                  </w:r>
                </w:p>
              </w:tc>
            </w:tr>
            <w:tr w14:paraId="655E830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restart"/>
                  <w:vAlign w:val="center"/>
                </w:tcPr>
                <w:p w14:paraId="670E98AD">
                  <w:pPr>
                    <w:pStyle w:val="59"/>
                    <w:rPr>
                      <w:color w:val="auto"/>
                    </w:rPr>
                  </w:pPr>
                  <w:r>
                    <w:rPr>
                      <w:rFonts w:hint="eastAsia"/>
                      <w:color w:val="auto"/>
                    </w:rPr>
                    <w:t>环保工程</w:t>
                  </w:r>
                </w:p>
              </w:tc>
              <w:tc>
                <w:tcPr>
                  <w:tcW w:w="348" w:type="pct"/>
                  <w:vMerge w:val="restart"/>
                  <w:vAlign w:val="center"/>
                </w:tcPr>
                <w:p w14:paraId="61A580C6">
                  <w:pPr>
                    <w:pStyle w:val="59"/>
                    <w:jc w:val="left"/>
                    <w:rPr>
                      <w:color w:val="auto"/>
                    </w:rPr>
                  </w:pPr>
                  <w:r>
                    <w:rPr>
                      <w:rFonts w:hint="eastAsia"/>
                      <w:color w:val="auto"/>
                    </w:rPr>
                    <w:t>废气</w:t>
                  </w:r>
                </w:p>
              </w:tc>
              <w:tc>
                <w:tcPr>
                  <w:tcW w:w="540" w:type="pct"/>
                  <w:vAlign w:val="center"/>
                </w:tcPr>
                <w:p w14:paraId="6F529F42">
                  <w:pPr>
                    <w:pStyle w:val="59"/>
                    <w:rPr>
                      <w:color w:val="auto"/>
                    </w:rPr>
                  </w:pPr>
                  <w:r>
                    <w:rPr>
                      <w:rFonts w:hint="eastAsia"/>
                      <w:color w:val="auto"/>
                    </w:rPr>
                    <w:t>废水处理设施产生的恶臭</w:t>
                  </w:r>
                </w:p>
              </w:tc>
              <w:tc>
                <w:tcPr>
                  <w:tcW w:w="3272" w:type="pct"/>
                  <w:vAlign w:val="center"/>
                </w:tcPr>
                <w:p w14:paraId="362D2DD9">
                  <w:pPr>
                    <w:pStyle w:val="59"/>
                    <w:ind w:firstLine="420" w:firstLineChars="200"/>
                    <w:jc w:val="left"/>
                    <w:rPr>
                      <w:color w:val="auto"/>
                    </w:rPr>
                  </w:pPr>
                  <w:r>
                    <w:rPr>
                      <w:rFonts w:hint="eastAsia"/>
                      <w:color w:val="auto"/>
                    </w:rPr>
                    <w:t>废水处理系统恶臭（包括隆基废水处理系统和其他废水处理系统）对废水处理系统主要产臭构筑物进行加盖，并在负压环境下，通过引风机将恶臭污染物收集至除臭系统，由1#生物除臭进行除臭净化，经净化处理后的废气由1根15米高的排气筒排放。</w:t>
                  </w:r>
                </w:p>
              </w:tc>
              <w:tc>
                <w:tcPr>
                  <w:tcW w:w="539" w:type="pct"/>
                  <w:vAlign w:val="center"/>
                </w:tcPr>
                <w:p w14:paraId="54DB7665">
                  <w:pPr>
                    <w:pStyle w:val="59"/>
                    <w:rPr>
                      <w:color w:val="auto"/>
                    </w:rPr>
                  </w:pPr>
                  <w:r>
                    <w:rPr>
                      <w:rFonts w:hint="eastAsia"/>
                      <w:color w:val="auto"/>
                    </w:rPr>
                    <w:t>其他废水处理系统及其环保工程未验收</w:t>
                  </w:r>
                </w:p>
              </w:tc>
            </w:tr>
            <w:tr w14:paraId="21F820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4C509301">
                  <w:pPr>
                    <w:pStyle w:val="59"/>
                    <w:rPr>
                      <w:color w:val="auto"/>
                    </w:rPr>
                  </w:pPr>
                </w:p>
              </w:tc>
              <w:tc>
                <w:tcPr>
                  <w:tcW w:w="348" w:type="pct"/>
                  <w:vMerge w:val="continue"/>
                  <w:vAlign w:val="center"/>
                </w:tcPr>
                <w:p w14:paraId="568EBD31">
                  <w:pPr>
                    <w:pStyle w:val="59"/>
                    <w:jc w:val="left"/>
                    <w:rPr>
                      <w:color w:val="auto"/>
                    </w:rPr>
                  </w:pPr>
                </w:p>
              </w:tc>
              <w:tc>
                <w:tcPr>
                  <w:tcW w:w="540" w:type="pct"/>
                  <w:vAlign w:val="center"/>
                </w:tcPr>
                <w:p w14:paraId="6EB91937">
                  <w:pPr>
                    <w:pStyle w:val="59"/>
                    <w:rPr>
                      <w:color w:val="auto"/>
                    </w:rPr>
                  </w:pPr>
                  <w:r>
                    <w:rPr>
                      <w:rFonts w:hint="eastAsia"/>
                      <w:color w:val="auto"/>
                    </w:rPr>
                    <w:t>污泥处</w:t>
                  </w:r>
                </w:p>
                <w:p w14:paraId="06270E49">
                  <w:pPr>
                    <w:pStyle w:val="59"/>
                    <w:rPr>
                      <w:color w:val="auto"/>
                    </w:rPr>
                  </w:pPr>
                  <w:r>
                    <w:rPr>
                      <w:rFonts w:hint="eastAsia"/>
                      <w:color w:val="auto"/>
                    </w:rPr>
                    <w:t>理系统有机污</w:t>
                  </w:r>
                </w:p>
                <w:p w14:paraId="3B13178E">
                  <w:pPr>
                    <w:pStyle w:val="59"/>
                    <w:rPr>
                      <w:color w:val="auto"/>
                    </w:rPr>
                  </w:pPr>
                  <w:r>
                    <w:rPr>
                      <w:rFonts w:hint="eastAsia"/>
                      <w:color w:val="auto"/>
                    </w:rPr>
                    <w:t>泥处理</w:t>
                  </w:r>
                </w:p>
                <w:p w14:paraId="20FF385E">
                  <w:pPr>
                    <w:pStyle w:val="59"/>
                    <w:rPr>
                      <w:color w:val="auto"/>
                    </w:rPr>
                  </w:pPr>
                  <w:r>
                    <w:rPr>
                      <w:rFonts w:hint="eastAsia"/>
                      <w:color w:val="auto"/>
                    </w:rPr>
                    <w:t>区产生</w:t>
                  </w:r>
                </w:p>
                <w:p w14:paraId="1F1B152A">
                  <w:pPr>
                    <w:pStyle w:val="59"/>
                    <w:rPr>
                      <w:color w:val="auto"/>
                    </w:rPr>
                  </w:pPr>
                  <w:r>
                    <w:rPr>
                      <w:rFonts w:hint="eastAsia"/>
                      <w:color w:val="auto"/>
                    </w:rPr>
                    <w:t>的恶臭</w:t>
                  </w:r>
                </w:p>
              </w:tc>
              <w:tc>
                <w:tcPr>
                  <w:tcW w:w="3272" w:type="pct"/>
                  <w:vAlign w:val="center"/>
                </w:tcPr>
                <w:p w14:paraId="5B84259C">
                  <w:pPr>
                    <w:pStyle w:val="59"/>
                    <w:ind w:firstLine="420" w:firstLineChars="200"/>
                    <w:jc w:val="left"/>
                    <w:rPr>
                      <w:color w:val="auto"/>
                    </w:rPr>
                  </w:pPr>
                  <w:r>
                    <w:rPr>
                      <w:rFonts w:hint="eastAsia"/>
                      <w:color w:val="auto"/>
                    </w:rPr>
                    <w:t>污泥处理系统有机污泥处理区域产生的恶臭气体负压环境下，通过引风机将废气收集至2#生物除臭装置（处理风量：60000m</w:t>
                  </w:r>
                  <w:r>
                    <w:rPr>
                      <w:rFonts w:hint="eastAsia"/>
                      <w:color w:val="auto"/>
                      <w:vertAlign w:val="superscript"/>
                    </w:rPr>
                    <w:t>3</w:t>
                  </w:r>
                  <w:r>
                    <w:rPr>
                      <w:rFonts w:hint="eastAsia"/>
                      <w:color w:val="auto"/>
                    </w:rPr>
                    <w:t>/h）处理后与1#生物滤池处理后的废气通过1根15米高的排气筒排放。</w:t>
                  </w:r>
                </w:p>
              </w:tc>
              <w:tc>
                <w:tcPr>
                  <w:tcW w:w="539" w:type="pct"/>
                  <w:vAlign w:val="center"/>
                </w:tcPr>
                <w:p w14:paraId="3E21F8F1">
                  <w:pPr>
                    <w:pStyle w:val="59"/>
                    <w:rPr>
                      <w:color w:val="auto"/>
                    </w:rPr>
                  </w:pPr>
                  <w:r>
                    <w:rPr>
                      <w:rFonts w:hint="eastAsia"/>
                      <w:color w:val="auto"/>
                    </w:rPr>
                    <w:t>已验收</w:t>
                  </w:r>
                </w:p>
              </w:tc>
            </w:tr>
            <w:tr w14:paraId="5B381AA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03C9F565">
                  <w:pPr>
                    <w:pStyle w:val="59"/>
                    <w:rPr>
                      <w:color w:val="auto"/>
                    </w:rPr>
                  </w:pPr>
                </w:p>
              </w:tc>
              <w:tc>
                <w:tcPr>
                  <w:tcW w:w="348" w:type="pct"/>
                  <w:vMerge w:val="continue"/>
                  <w:vAlign w:val="center"/>
                </w:tcPr>
                <w:p w14:paraId="33EA1CFC">
                  <w:pPr>
                    <w:pStyle w:val="59"/>
                    <w:jc w:val="left"/>
                    <w:rPr>
                      <w:color w:val="auto"/>
                    </w:rPr>
                  </w:pPr>
                </w:p>
              </w:tc>
              <w:tc>
                <w:tcPr>
                  <w:tcW w:w="540" w:type="pct"/>
                  <w:vAlign w:val="center"/>
                </w:tcPr>
                <w:p w14:paraId="4AA68173">
                  <w:pPr>
                    <w:pStyle w:val="59"/>
                    <w:jc w:val="left"/>
                    <w:rPr>
                      <w:color w:val="auto"/>
                    </w:rPr>
                  </w:pPr>
                  <w:r>
                    <w:rPr>
                      <w:rFonts w:hint="eastAsia"/>
                      <w:color w:val="auto"/>
                    </w:rPr>
                    <w:t>燃气锅炉产生的废气</w:t>
                  </w:r>
                </w:p>
              </w:tc>
              <w:tc>
                <w:tcPr>
                  <w:tcW w:w="3272" w:type="pct"/>
                  <w:vAlign w:val="center"/>
                </w:tcPr>
                <w:p w14:paraId="226BDEB3">
                  <w:pPr>
                    <w:pStyle w:val="59"/>
                    <w:ind w:firstLine="420" w:firstLineChars="200"/>
                    <w:jc w:val="left"/>
                    <w:rPr>
                      <w:color w:val="auto"/>
                    </w:rPr>
                  </w:pPr>
                  <w:r>
                    <w:rPr>
                      <w:rFonts w:hint="eastAsia"/>
                      <w:color w:val="auto"/>
                    </w:rPr>
                    <w:t>本项目浓盐水蒸发干燥过程中采用天然气蒸汽锅炉2台（1用1备），锅炉采用低氮燃烧，锅炉废气由1根8米高排气筒排放。</w:t>
                  </w:r>
                </w:p>
              </w:tc>
              <w:tc>
                <w:tcPr>
                  <w:tcW w:w="539" w:type="pct"/>
                  <w:vAlign w:val="center"/>
                </w:tcPr>
                <w:p w14:paraId="19D0EB00">
                  <w:pPr>
                    <w:pStyle w:val="59"/>
                    <w:rPr>
                      <w:color w:val="auto"/>
                    </w:rPr>
                  </w:pPr>
                  <w:r>
                    <w:rPr>
                      <w:rFonts w:hint="eastAsia"/>
                      <w:color w:val="auto"/>
                    </w:rPr>
                    <w:t>未验收</w:t>
                  </w:r>
                </w:p>
              </w:tc>
            </w:tr>
            <w:tr w14:paraId="201EC5C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139B4655">
                  <w:pPr>
                    <w:pStyle w:val="59"/>
                    <w:rPr>
                      <w:color w:val="auto"/>
                    </w:rPr>
                  </w:pPr>
                </w:p>
              </w:tc>
              <w:tc>
                <w:tcPr>
                  <w:tcW w:w="348" w:type="pct"/>
                  <w:vMerge w:val="continue"/>
                  <w:vAlign w:val="center"/>
                </w:tcPr>
                <w:p w14:paraId="3C4933E7">
                  <w:pPr>
                    <w:pStyle w:val="59"/>
                    <w:jc w:val="left"/>
                    <w:rPr>
                      <w:color w:val="auto"/>
                    </w:rPr>
                  </w:pPr>
                </w:p>
              </w:tc>
              <w:tc>
                <w:tcPr>
                  <w:tcW w:w="540" w:type="pct"/>
                  <w:vAlign w:val="center"/>
                </w:tcPr>
                <w:p w14:paraId="6891269C">
                  <w:pPr>
                    <w:pStyle w:val="59"/>
                    <w:jc w:val="left"/>
                    <w:rPr>
                      <w:color w:val="auto"/>
                    </w:rPr>
                  </w:pPr>
                  <w:r>
                    <w:rPr>
                      <w:rFonts w:hint="eastAsia"/>
                      <w:color w:val="auto"/>
                    </w:rPr>
                    <w:t>氯化钠、硫酸钠干燥及包</w:t>
                  </w:r>
                </w:p>
                <w:p w14:paraId="61601ACC">
                  <w:pPr>
                    <w:pStyle w:val="59"/>
                    <w:jc w:val="left"/>
                    <w:rPr>
                      <w:color w:val="auto"/>
                    </w:rPr>
                  </w:pPr>
                  <w:r>
                    <w:rPr>
                      <w:rFonts w:hint="eastAsia"/>
                      <w:color w:val="auto"/>
                    </w:rPr>
                    <w:t>装粉尘</w:t>
                  </w:r>
                </w:p>
              </w:tc>
              <w:tc>
                <w:tcPr>
                  <w:tcW w:w="3272" w:type="pct"/>
                  <w:vAlign w:val="center"/>
                </w:tcPr>
                <w:p w14:paraId="51895542">
                  <w:pPr>
                    <w:pStyle w:val="59"/>
                    <w:ind w:firstLine="420" w:firstLineChars="200"/>
                    <w:jc w:val="left"/>
                    <w:rPr>
                      <w:color w:val="auto"/>
                    </w:rPr>
                  </w:pPr>
                  <w:r>
                    <w:rPr>
                      <w:rFonts w:hint="eastAsia"/>
                      <w:color w:val="auto"/>
                    </w:rPr>
                    <w:t>氯化钠、硫酸钠干燥及包装粉尘采取管道收集后经旋风除尘+湿式除尘进行处理，最终由30米高排气筒排放。</w:t>
                  </w:r>
                </w:p>
              </w:tc>
              <w:tc>
                <w:tcPr>
                  <w:tcW w:w="539" w:type="pct"/>
                  <w:vAlign w:val="center"/>
                </w:tcPr>
                <w:p w14:paraId="57E4ACDE">
                  <w:pPr>
                    <w:pStyle w:val="59"/>
                    <w:rPr>
                      <w:color w:val="auto"/>
                    </w:rPr>
                  </w:pPr>
                  <w:r>
                    <w:rPr>
                      <w:rFonts w:hint="eastAsia"/>
                      <w:color w:val="auto"/>
                    </w:rPr>
                    <w:t>已验收</w:t>
                  </w:r>
                </w:p>
              </w:tc>
            </w:tr>
            <w:tr w14:paraId="6C84916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37C546F9">
                  <w:pPr>
                    <w:pStyle w:val="59"/>
                    <w:rPr>
                      <w:color w:val="auto"/>
                    </w:rPr>
                  </w:pPr>
                </w:p>
              </w:tc>
              <w:tc>
                <w:tcPr>
                  <w:tcW w:w="348" w:type="pct"/>
                  <w:vMerge w:val="continue"/>
                  <w:vAlign w:val="center"/>
                </w:tcPr>
                <w:p w14:paraId="6BC8A61A">
                  <w:pPr>
                    <w:pStyle w:val="59"/>
                    <w:jc w:val="left"/>
                    <w:rPr>
                      <w:color w:val="auto"/>
                    </w:rPr>
                  </w:pPr>
                </w:p>
              </w:tc>
              <w:tc>
                <w:tcPr>
                  <w:tcW w:w="540" w:type="pct"/>
                  <w:vAlign w:val="center"/>
                </w:tcPr>
                <w:p w14:paraId="1B118584">
                  <w:pPr>
                    <w:pStyle w:val="59"/>
                    <w:rPr>
                      <w:color w:val="auto"/>
                    </w:rPr>
                  </w:pPr>
                  <w:r>
                    <w:rPr>
                      <w:rFonts w:hint="eastAsia"/>
                      <w:color w:val="auto"/>
                    </w:rPr>
                    <w:t>上料粉尘</w:t>
                  </w:r>
                </w:p>
              </w:tc>
              <w:tc>
                <w:tcPr>
                  <w:tcW w:w="3272" w:type="pct"/>
                  <w:vAlign w:val="center"/>
                </w:tcPr>
                <w:p w14:paraId="265C2DDA">
                  <w:pPr>
                    <w:pStyle w:val="59"/>
                    <w:ind w:firstLine="420" w:firstLineChars="200"/>
                    <w:jc w:val="left"/>
                    <w:rPr>
                      <w:color w:val="auto"/>
                    </w:rPr>
                  </w:pPr>
                  <w:r>
                    <w:rPr>
                      <w:rFonts w:hint="eastAsia"/>
                      <w:color w:val="auto"/>
                    </w:rPr>
                    <w:t>全过程均为全封闭，无外排废气产生。</w:t>
                  </w:r>
                </w:p>
              </w:tc>
              <w:tc>
                <w:tcPr>
                  <w:tcW w:w="539" w:type="pct"/>
                  <w:vAlign w:val="center"/>
                </w:tcPr>
                <w:p w14:paraId="09AF0591">
                  <w:pPr>
                    <w:pStyle w:val="59"/>
                    <w:rPr>
                      <w:color w:val="auto"/>
                    </w:rPr>
                  </w:pPr>
                  <w:r>
                    <w:rPr>
                      <w:rFonts w:hint="eastAsia"/>
                      <w:color w:val="auto"/>
                    </w:rPr>
                    <w:t>已验收</w:t>
                  </w:r>
                </w:p>
              </w:tc>
            </w:tr>
            <w:tr w14:paraId="69CF905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5554B5DA">
                  <w:pPr>
                    <w:pStyle w:val="59"/>
                    <w:rPr>
                      <w:color w:val="auto"/>
                    </w:rPr>
                  </w:pPr>
                </w:p>
              </w:tc>
              <w:tc>
                <w:tcPr>
                  <w:tcW w:w="348" w:type="pct"/>
                  <w:vMerge w:val="continue"/>
                  <w:vAlign w:val="center"/>
                </w:tcPr>
                <w:p w14:paraId="1A2B9A2A">
                  <w:pPr>
                    <w:pStyle w:val="59"/>
                    <w:jc w:val="left"/>
                    <w:rPr>
                      <w:color w:val="auto"/>
                    </w:rPr>
                  </w:pPr>
                </w:p>
              </w:tc>
              <w:tc>
                <w:tcPr>
                  <w:tcW w:w="540" w:type="pct"/>
                  <w:vAlign w:val="center"/>
                </w:tcPr>
                <w:p w14:paraId="0F4BBC97">
                  <w:pPr>
                    <w:pStyle w:val="59"/>
                    <w:rPr>
                      <w:color w:val="auto"/>
                    </w:rPr>
                  </w:pPr>
                  <w:r>
                    <w:rPr>
                      <w:rFonts w:hint="eastAsia"/>
                      <w:color w:val="auto"/>
                    </w:rPr>
                    <w:t>料仓呼吸粉尘</w:t>
                  </w:r>
                </w:p>
              </w:tc>
              <w:tc>
                <w:tcPr>
                  <w:tcW w:w="3272" w:type="pct"/>
                  <w:vAlign w:val="center"/>
                </w:tcPr>
                <w:p w14:paraId="1108A4F5">
                  <w:pPr>
                    <w:pStyle w:val="59"/>
                    <w:ind w:firstLine="420" w:firstLineChars="200"/>
                    <w:jc w:val="left"/>
                    <w:rPr>
                      <w:color w:val="auto"/>
                    </w:rPr>
                  </w:pPr>
                  <w:r>
                    <w:rPr>
                      <w:rFonts w:hint="eastAsia"/>
                      <w:color w:val="auto"/>
                    </w:rPr>
                    <w:t>本项目共设2座碳酸钠料筒仓、2座镁剂料筒仓、1座碳酸钠料筒仓、1座石灰料筒仓，高度约为20m左右，新增1座活性炭储罐，排放高度约15m，每座筒仓顶部均自带1台布袋除尘器，共7台，筒仓进料时，内部压力增加，筒仓需进行泄压，筒仓泄压口与布袋除尘器连接，泄压时废气经除尘器处理后，由除尘器排口排放，排放方式为间歇排放。</w:t>
                  </w:r>
                </w:p>
              </w:tc>
              <w:tc>
                <w:tcPr>
                  <w:tcW w:w="539" w:type="pct"/>
                  <w:vAlign w:val="center"/>
                </w:tcPr>
                <w:p w14:paraId="714DD3E3">
                  <w:pPr>
                    <w:pStyle w:val="59"/>
                    <w:rPr>
                      <w:color w:val="auto"/>
                    </w:rPr>
                  </w:pPr>
                  <w:r>
                    <w:rPr>
                      <w:rFonts w:hint="eastAsia"/>
                      <w:color w:val="auto"/>
                    </w:rPr>
                    <w:t>已验收</w:t>
                  </w:r>
                </w:p>
              </w:tc>
            </w:tr>
            <w:tr w14:paraId="348700B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711A530C">
                  <w:pPr>
                    <w:pStyle w:val="59"/>
                    <w:rPr>
                      <w:color w:val="auto"/>
                    </w:rPr>
                  </w:pPr>
                </w:p>
              </w:tc>
              <w:tc>
                <w:tcPr>
                  <w:tcW w:w="348" w:type="pct"/>
                  <w:vMerge w:val="restart"/>
                  <w:vAlign w:val="center"/>
                </w:tcPr>
                <w:p w14:paraId="77EC6891">
                  <w:pPr>
                    <w:pStyle w:val="59"/>
                    <w:jc w:val="left"/>
                    <w:rPr>
                      <w:color w:val="auto"/>
                    </w:rPr>
                  </w:pPr>
                  <w:r>
                    <w:rPr>
                      <w:rFonts w:hint="eastAsia"/>
                      <w:color w:val="auto"/>
                    </w:rPr>
                    <w:t>废水</w:t>
                  </w:r>
                </w:p>
              </w:tc>
              <w:tc>
                <w:tcPr>
                  <w:tcW w:w="540" w:type="pct"/>
                  <w:vAlign w:val="center"/>
                </w:tcPr>
                <w:p w14:paraId="6A83577D">
                  <w:pPr>
                    <w:pStyle w:val="59"/>
                    <w:rPr>
                      <w:color w:val="auto"/>
                    </w:rPr>
                  </w:pPr>
                  <w:r>
                    <w:rPr>
                      <w:rFonts w:hint="eastAsia"/>
                      <w:color w:val="auto"/>
                    </w:rPr>
                    <w:t>生活污水</w:t>
                  </w:r>
                </w:p>
              </w:tc>
              <w:tc>
                <w:tcPr>
                  <w:tcW w:w="3272" w:type="pct"/>
                  <w:vAlign w:val="center"/>
                </w:tcPr>
                <w:p w14:paraId="6C4628F9">
                  <w:pPr>
                    <w:pStyle w:val="59"/>
                    <w:ind w:firstLine="420" w:firstLineChars="200"/>
                    <w:jc w:val="left"/>
                    <w:rPr>
                      <w:color w:val="auto"/>
                    </w:rPr>
                  </w:pPr>
                  <w:r>
                    <w:rPr>
                      <w:rFonts w:hint="eastAsia"/>
                      <w:color w:val="auto"/>
                    </w:rPr>
                    <w:t>本项目生活污水排入其他企业废水处理系统与来水一同进行处理。</w:t>
                  </w:r>
                </w:p>
              </w:tc>
              <w:tc>
                <w:tcPr>
                  <w:tcW w:w="539" w:type="pct"/>
                  <w:vMerge w:val="restart"/>
                  <w:vAlign w:val="center"/>
                </w:tcPr>
                <w:p w14:paraId="17A88B50">
                  <w:pPr>
                    <w:pStyle w:val="59"/>
                    <w:rPr>
                      <w:color w:val="auto"/>
                    </w:rPr>
                  </w:pPr>
                  <w:r>
                    <w:rPr>
                      <w:rFonts w:hint="eastAsia"/>
                      <w:color w:val="auto"/>
                    </w:rPr>
                    <w:t>其他企业废</w:t>
                  </w:r>
                </w:p>
                <w:p w14:paraId="0B7A2868">
                  <w:pPr>
                    <w:pStyle w:val="59"/>
                    <w:rPr>
                      <w:color w:val="auto"/>
                    </w:rPr>
                  </w:pPr>
                  <w:r>
                    <w:rPr>
                      <w:rFonts w:hint="eastAsia"/>
                      <w:color w:val="auto"/>
                    </w:rPr>
                    <w:t>水处理系统未验收，生活污水、现状污泥脱水滤液及污泥系统冲洗废水均排入隆基废水处理系统中。</w:t>
                  </w:r>
                </w:p>
                <w:p w14:paraId="212F44DF">
                  <w:pPr>
                    <w:pStyle w:val="59"/>
                    <w:rPr>
                      <w:rFonts w:hint="eastAsia"/>
                      <w:color w:val="auto"/>
                    </w:rPr>
                  </w:pPr>
                  <w:r>
                    <w:rPr>
                      <w:rFonts w:hint="eastAsia"/>
                      <w:color w:val="auto"/>
                    </w:rPr>
                    <w:t>锅炉排污废水、软水制备废水均排入隆基废水处理系统</w:t>
                  </w:r>
                </w:p>
              </w:tc>
            </w:tr>
            <w:tr w14:paraId="5808E03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2D0B3B9B">
                  <w:pPr>
                    <w:pStyle w:val="59"/>
                    <w:rPr>
                      <w:color w:val="auto"/>
                    </w:rPr>
                  </w:pPr>
                </w:p>
              </w:tc>
              <w:tc>
                <w:tcPr>
                  <w:tcW w:w="348" w:type="pct"/>
                  <w:vMerge w:val="continue"/>
                  <w:tcBorders>
                    <w:bottom w:val="single" w:color="auto" w:sz="4" w:space="0"/>
                  </w:tcBorders>
                  <w:vAlign w:val="center"/>
                </w:tcPr>
                <w:p w14:paraId="15D20E18">
                  <w:pPr>
                    <w:pStyle w:val="59"/>
                    <w:jc w:val="left"/>
                    <w:rPr>
                      <w:color w:val="auto"/>
                    </w:rPr>
                  </w:pPr>
                </w:p>
              </w:tc>
              <w:tc>
                <w:tcPr>
                  <w:tcW w:w="540" w:type="pct"/>
                  <w:tcBorders>
                    <w:bottom w:val="single" w:color="auto" w:sz="4" w:space="0"/>
                  </w:tcBorders>
                  <w:vAlign w:val="center"/>
                </w:tcPr>
                <w:p w14:paraId="0AE09485">
                  <w:pPr>
                    <w:pStyle w:val="59"/>
                    <w:rPr>
                      <w:color w:val="auto"/>
                    </w:rPr>
                  </w:pPr>
                  <w:r>
                    <w:rPr>
                      <w:rFonts w:hint="eastAsia"/>
                      <w:color w:val="auto"/>
                    </w:rPr>
                    <w:t>生产废水</w:t>
                  </w:r>
                </w:p>
              </w:tc>
              <w:tc>
                <w:tcPr>
                  <w:tcW w:w="3272" w:type="pct"/>
                  <w:tcBorders>
                    <w:bottom w:val="single" w:color="auto" w:sz="4" w:space="0"/>
                  </w:tcBorders>
                  <w:vAlign w:val="center"/>
                </w:tcPr>
                <w:p w14:paraId="72F95D49">
                  <w:pPr>
                    <w:pStyle w:val="59"/>
                    <w:ind w:firstLine="420"/>
                    <w:jc w:val="left"/>
                    <w:rPr>
                      <w:color w:val="auto"/>
                    </w:rPr>
                  </w:pPr>
                  <w:r>
                    <w:rPr>
                      <w:rFonts w:hint="eastAsia"/>
                      <w:color w:val="auto"/>
                    </w:rPr>
                    <w:t>①隆基废水处理系统处理中水回用于隆基生产用水。</w:t>
                  </w:r>
                </w:p>
                <w:p w14:paraId="38561EB4">
                  <w:pPr>
                    <w:pStyle w:val="59"/>
                    <w:ind w:firstLine="420"/>
                    <w:jc w:val="left"/>
                    <w:rPr>
                      <w:color w:val="auto"/>
                    </w:rPr>
                  </w:pPr>
                  <w:r>
                    <w:rPr>
                      <w:rFonts w:hint="eastAsia"/>
                      <w:color w:val="auto"/>
                    </w:rPr>
                    <w:t>隆基废水处理系统设备冲洗废水：1#V型滤池反冲洗废水回流至预处理系统除氟高效沉淀池进水端与来水一同处置；UF+RO反冲洗废水经过反冲洗废水池收集后回流至深度处理系统1#V型滤池与来水一同处置；砂滤1反冲洗废水、超滤1反冲洗废水、树脂软化工段产生的树脂再生废水、RO1反冲洗废水经收集后回流至浓盐水处理系统浓盐水调节池与来水一同处置；砂滤2反冲洗废水、超滤2反冲洗废水、</w:t>
                  </w:r>
                </w:p>
                <w:p w14:paraId="0F87A124">
                  <w:pPr>
                    <w:pStyle w:val="59"/>
                    <w:ind w:firstLine="420" w:firstLineChars="200"/>
                    <w:jc w:val="left"/>
                    <w:rPr>
                      <w:color w:val="auto"/>
                    </w:rPr>
                  </w:pPr>
                  <w:r>
                    <w:rPr>
                      <w:rFonts w:hint="eastAsia"/>
                      <w:color w:val="auto"/>
                    </w:rPr>
                    <w:t>RO2反冲洗废水经收集后回流至除硅高密池与来水一同处置；脱氨树脂再生废水送至前端1#生物池与来水一同处置。</w:t>
                  </w:r>
                </w:p>
                <w:p w14:paraId="3EFEDE2A">
                  <w:pPr>
                    <w:pStyle w:val="59"/>
                    <w:ind w:firstLine="420" w:firstLineChars="200"/>
                    <w:jc w:val="left"/>
                    <w:rPr>
                      <w:color w:val="auto"/>
                    </w:rPr>
                  </w:pPr>
                  <w:r>
                    <w:rPr>
                      <w:rFonts w:hint="eastAsia"/>
                      <w:color w:val="auto"/>
                    </w:rPr>
                    <w:t>一效蒸发冷凝水直接回用于隆基生产，二效及杂盐蒸发冷凝水经脱氨树脂和RO纯水系统处理后回用于隆基生产。②其他企业废水处理系统中水回用于园区内其他企业生产用水。</w:t>
                  </w:r>
                </w:p>
                <w:p w14:paraId="2161A194">
                  <w:pPr>
                    <w:pStyle w:val="59"/>
                    <w:ind w:firstLine="420" w:firstLineChars="200"/>
                    <w:jc w:val="left"/>
                    <w:rPr>
                      <w:color w:val="auto"/>
                    </w:rPr>
                  </w:pPr>
                  <w:r>
                    <w:rPr>
                      <w:rFonts w:hint="eastAsia"/>
                      <w:color w:val="auto"/>
                    </w:rPr>
                    <w:t>其他企业废水处理系统设备冲洗废水：粗格栅冲洗废水、细格栅冲洗废水、超细格栅冲洗废水、2#V</w:t>
                  </w:r>
                </w:p>
                <w:p w14:paraId="650438EA">
                  <w:pPr>
                    <w:pStyle w:val="59"/>
                    <w:ind w:firstLine="420" w:firstLineChars="200"/>
                    <w:jc w:val="left"/>
                    <w:rPr>
                      <w:color w:val="auto"/>
                    </w:rPr>
                  </w:pPr>
                  <w:r>
                    <w:rPr>
                      <w:rFonts w:hint="eastAsia"/>
                      <w:color w:val="auto"/>
                    </w:rPr>
                    <w:t>型滤池冲洗废水回流至2#调节池与来水一同处置。</w:t>
                  </w:r>
                </w:p>
                <w:p w14:paraId="6142C5B4">
                  <w:pPr>
                    <w:pStyle w:val="59"/>
                    <w:ind w:firstLine="420" w:firstLineChars="200"/>
                    <w:jc w:val="left"/>
                    <w:rPr>
                      <w:color w:val="auto"/>
                    </w:rPr>
                  </w:pPr>
                  <w:r>
                    <w:rPr>
                      <w:rFonts w:hint="eastAsia"/>
                      <w:color w:val="auto"/>
                    </w:rPr>
                    <w:t>③锅炉排污废水、软水制备排污废水、均排入本项目其他废水处理系统中的2#调节池与来水一同处置。</w:t>
                  </w:r>
                </w:p>
                <w:p w14:paraId="056E3CD6">
                  <w:pPr>
                    <w:pStyle w:val="59"/>
                    <w:ind w:firstLine="420" w:firstLineChars="200"/>
                    <w:jc w:val="left"/>
                    <w:rPr>
                      <w:color w:val="auto"/>
                    </w:rPr>
                  </w:pPr>
                  <w:r>
                    <w:rPr>
                      <w:rFonts w:hint="eastAsia"/>
                      <w:color w:val="auto"/>
                    </w:rPr>
                    <w:t>④污泥脱水滤液及污泥系统冲洗废水经收集送至其他企业废水处理系统处理。</w:t>
                  </w:r>
                </w:p>
              </w:tc>
              <w:tc>
                <w:tcPr>
                  <w:tcW w:w="539" w:type="pct"/>
                  <w:vMerge w:val="continue"/>
                  <w:tcBorders>
                    <w:bottom w:val="single" w:color="auto" w:sz="4" w:space="0"/>
                  </w:tcBorders>
                  <w:vAlign w:val="center"/>
                </w:tcPr>
                <w:p w14:paraId="72099CDE">
                  <w:pPr>
                    <w:pStyle w:val="59"/>
                    <w:rPr>
                      <w:color w:val="auto"/>
                    </w:rPr>
                  </w:pPr>
                </w:p>
              </w:tc>
            </w:tr>
            <w:tr w14:paraId="7490897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vAlign w:val="center"/>
                </w:tcPr>
                <w:p w14:paraId="6E36D96C">
                  <w:pPr>
                    <w:pStyle w:val="59"/>
                    <w:rPr>
                      <w:color w:val="auto"/>
                    </w:rPr>
                  </w:pPr>
                </w:p>
              </w:tc>
              <w:tc>
                <w:tcPr>
                  <w:tcW w:w="888" w:type="pct"/>
                  <w:gridSpan w:val="2"/>
                  <w:vAlign w:val="center"/>
                </w:tcPr>
                <w:p w14:paraId="36B512AB">
                  <w:pPr>
                    <w:pStyle w:val="59"/>
                    <w:jc w:val="left"/>
                    <w:rPr>
                      <w:color w:val="auto"/>
                    </w:rPr>
                  </w:pPr>
                  <w:r>
                    <w:rPr>
                      <w:rFonts w:hint="eastAsia"/>
                      <w:color w:val="auto"/>
                    </w:rPr>
                    <w:t>噪声</w:t>
                  </w:r>
                </w:p>
              </w:tc>
              <w:tc>
                <w:tcPr>
                  <w:tcW w:w="3272" w:type="pct"/>
                  <w:tcBorders>
                    <w:top w:val="single" w:color="auto" w:sz="4" w:space="0"/>
                  </w:tcBorders>
                  <w:vAlign w:val="center"/>
                </w:tcPr>
                <w:p w14:paraId="655A55BA">
                  <w:pPr>
                    <w:pStyle w:val="59"/>
                    <w:jc w:val="left"/>
                    <w:rPr>
                      <w:color w:val="auto"/>
                    </w:rPr>
                  </w:pPr>
                  <w:r>
                    <w:rPr>
                      <w:rFonts w:hint="eastAsia"/>
                      <w:color w:val="auto"/>
                    </w:rPr>
                    <w:t>各类泵设置减振基础、柔性接头，空压机、冷却</w:t>
                  </w:r>
                </w:p>
                <w:p w14:paraId="6A7B43F4">
                  <w:pPr>
                    <w:pStyle w:val="59"/>
                    <w:jc w:val="left"/>
                    <w:rPr>
                      <w:color w:val="auto"/>
                    </w:rPr>
                  </w:pPr>
                  <w:r>
                    <w:rPr>
                      <w:rFonts w:hint="eastAsia"/>
                      <w:color w:val="auto"/>
                    </w:rPr>
                    <w:t>塔以及风机进出口安装消声器，蒸发结晶车间压缩机等设备设置减振基座，车间设置降噪措施。</w:t>
                  </w:r>
                </w:p>
              </w:tc>
              <w:tc>
                <w:tcPr>
                  <w:tcW w:w="539" w:type="pct"/>
                  <w:tcBorders>
                    <w:top w:val="single" w:color="auto" w:sz="4" w:space="0"/>
                  </w:tcBorders>
                  <w:vAlign w:val="center"/>
                </w:tcPr>
                <w:p w14:paraId="274847E5">
                  <w:pPr>
                    <w:pStyle w:val="59"/>
                    <w:rPr>
                      <w:color w:val="auto"/>
                    </w:rPr>
                  </w:pPr>
                  <w:r>
                    <w:rPr>
                      <w:rFonts w:hint="eastAsia"/>
                      <w:color w:val="auto"/>
                    </w:rPr>
                    <w:t>已验收</w:t>
                  </w:r>
                </w:p>
              </w:tc>
            </w:tr>
            <w:tr w14:paraId="11A792D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1" w:type="pct"/>
                  <w:vMerge w:val="continue"/>
                  <w:tcBorders>
                    <w:bottom w:val="thickThinSmallGap" w:color="auto" w:sz="12" w:space="0"/>
                  </w:tcBorders>
                  <w:vAlign w:val="center"/>
                </w:tcPr>
                <w:p w14:paraId="30CD3A34">
                  <w:pPr>
                    <w:pStyle w:val="59"/>
                    <w:rPr>
                      <w:color w:val="auto"/>
                    </w:rPr>
                  </w:pPr>
                </w:p>
              </w:tc>
              <w:tc>
                <w:tcPr>
                  <w:tcW w:w="888" w:type="pct"/>
                  <w:gridSpan w:val="2"/>
                  <w:tcBorders>
                    <w:bottom w:val="thickThinSmallGap" w:color="auto" w:sz="12" w:space="0"/>
                  </w:tcBorders>
                  <w:vAlign w:val="center"/>
                </w:tcPr>
                <w:p w14:paraId="71587482">
                  <w:pPr>
                    <w:pStyle w:val="59"/>
                    <w:jc w:val="left"/>
                    <w:rPr>
                      <w:color w:val="auto"/>
                    </w:rPr>
                  </w:pPr>
                  <w:r>
                    <w:rPr>
                      <w:rFonts w:hint="eastAsia"/>
                      <w:color w:val="auto"/>
                    </w:rPr>
                    <w:t>固废</w:t>
                  </w:r>
                </w:p>
              </w:tc>
              <w:tc>
                <w:tcPr>
                  <w:tcW w:w="3272" w:type="pct"/>
                  <w:tcBorders>
                    <w:bottom w:val="thickThinSmallGap" w:color="auto" w:sz="12" w:space="0"/>
                  </w:tcBorders>
                  <w:vAlign w:val="center"/>
                </w:tcPr>
                <w:p w14:paraId="79F5FF83">
                  <w:pPr>
                    <w:pStyle w:val="59"/>
                    <w:jc w:val="left"/>
                    <w:rPr>
                      <w:color w:val="auto"/>
                    </w:rPr>
                  </w:pPr>
                  <w:r>
                    <w:rPr>
                      <w:rFonts w:hint="eastAsia"/>
                      <w:color w:val="auto"/>
                    </w:rPr>
                    <w:t>①本项目生产运行过程产生的固废主要有隆基</w:t>
                  </w:r>
                </w:p>
                <w:p w14:paraId="5965F8B0">
                  <w:pPr>
                    <w:pStyle w:val="59"/>
                    <w:jc w:val="left"/>
                    <w:rPr>
                      <w:color w:val="auto"/>
                    </w:rPr>
                  </w:pPr>
                  <w:r>
                    <w:rPr>
                      <w:rFonts w:hint="eastAsia"/>
                      <w:color w:val="auto"/>
                    </w:rPr>
                    <w:t>废水处理系统产生的废耗材（废催化剂、废超滤膜、废离子交换树脂、废反渗透膜、废纳滤膜）、杂盐、产品除尘灰及污泥，其他企业处理系统产生的废耗材</w:t>
                  </w:r>
                </w:p>
                <w:p w14:paraId="6DE7EB5C">
                  <w:pPr>
                    <w:pStyle w:val="59"/>
                    <w:jc w:val="left"/>
                    <w:rPr>
                      <w:color w:val="auto"/>
                    </w:rPr>
                  </w:pPr>
                  <w:r>
                    <w:rPr>
                      <w:rFonts w:hint="eastAsia"/>
                      <w:color w:val="auto"/>
                    </w:rPr>
                    <w:t>（栅渣、沉砂、废催化剂）及污泥。生产过程产生的固体废物（除杂盐、产品除尘灰）均需进行鉴定，如鉴定其不属于危险废物，可按一般固废处理；如鉴定为危险废物，则委托有资质单位处置，鉴定前该部分固废按照危险废物暂存的管理要求进行暂存。</w:t>
                  </w:r>
                </w:p>
                <w:p w14:paraId="2AAD4E01">
                  <w:pPr>
                    <w:pStyle w:val="59"/>
                    <w:jc w:val="left"/>
                    <w:rPr>
                      <w:color w:val="auto"/>
                    </w:rPr>
                  </w:pPr>
                  <w:r>
                    <w:rPr>
                      <w:rFonts w:hint="eastAsia"/>
                      <w:color w:val="auto"/>
                    </w:rPr>
                    <w:t>②杂盐暂存至2#危废暂存间内，定期委托内蒙古美力坚清蓝危废处置有限公司拉运处理</w:t>
                  </w:r>
                </w:p>
                <w:p w14:paraId="0F66ACDF">
                  <w:pPr>
                    <w:pStyle w:val="59"/>
                    <w:jc w:val="left"/>
                    <w:rPr>
                      <w:color w:val="auto"/>
                    </w:rPr>
                  </w:pPr>
                  <w:r>
                    <w:rPr>
                      <w:rFonts w:hint="eastAsia"/>
                      <w:color w:val="auto"/>
                    </w:rPr>
                    <w:t>③PAM废包装袋，属于一般固废，外售废品收购单位。</w:t>
                  </w:r>
                </w:p>
                <w:p w14:paraId="23865399">
                  <w:pPr>
                    <w:pStyle w:val="59"/>
                    <w:jc w:val="left"/>
                    <w:rPr>
                      <w:color w:val="auto"/>
                    </w:rPr>
                  </w:pPr>
                  <w:r>
                    <w:rPr>
                      <w:rFonts w:hint="eastAsia"/>
                      <w:color w:val="auto"/>
                    </w:rPr>
                    <w:t>④废矿物油、暂存于1#危废暂存间，定期委托内蒙古美力坚清蓝危废处置有限公司拉运处理，软水制备产生的废离子交换树脂暂存于危废暂存间，交由有危废处置资质的单位处理。</w:t>
                  </w:r>
                </w:p>
                <w:p w14:paraId="384D2E1D">
                  <w:pPr>
                    <w:pStyle w:val="59"/>
                    <w:jc w:val="left"/>
                    <w:rPr>
                      <w:color w:val="auto"/>
                    </w:rPr>
                  </w:pPr>
                  <w:r>
                    <w:rPr>
                      <w:rFonts w:hint="eastAsia"/>
                      <w:color w:val="auto"/>
                    </w:rPr>
                    <w:t>⑤废气处理生物滤池产生的废生物滤料待产生后由生物除臭设备厂家更换回收，不在厂区暂存。</w:t>
                  </w:r>
                </w:p>
                <w:p w14:paraId="57C5C922">
                  <w:pPr>
                    <w:pStyle w:val="59"/>
                    <w:jc w:val="left"/>
                    <w:rPr>
                      <w:color w:val="auto"/>
                    </w:rPr>
                  </w:pPr>
                  <w:r>
                    <w:rPr>
                      <w:rFonts w:hint="eastAsia"/>
                      <w:color w:val="auto"/>
                    </w:rPr>
                    <w:t>⑥生活垃圾经厂区内垃圾桶（箱）收集后，由园区物业单位伊</w:t>
                  </w:r>
                  <w:r>
                    <w:rPr>
                      <w:rFonts w:hint="eastAsia"/>
                      <w:color w:val="auto"/>
                      <w:lang w:val="en-US" w:eastAsia="zh-CN"/>
                    </w:rPr>
                    <w:t>金</w:t>
                  </w:r>
                  <w:r>
                    <w:rPr>
                      <w:rFonts w:hint="eastAsia"/>
                      <w:color w:val="auto"/>
                    </w:rPr>
                    <w:t>霍洛惠众服务集团有限责任公司拉运处理</w:t>
                  </w:r>
                </w:p>
                <w:p w14:paraId="03D90E13">
                  <w:pPr>
                    <w:pStyle w:val="59"/>
                    <w:jc w:val="left"/>
                    <w:rPr>
                      <w:color w:val="auto"/>
                    </w:rPr>
                  </w:pPr>
                  <w:r>
                    <w:rPr>
                      <w:rFonts w:hint="eastAsia"/>
                      <w:color w:val="auto"/>
                    </w:rPr>
                    <w:t>⑦除硅除硬高效沉淀池、除氟高效沉淀池、两级软化除硅高密池、除硅高密池、粉碳高效沉淀池产生的无机污泥及1#二沉池产生的污泥经内蒙古生态环境科技研究院有限公司针对污泥危险特性鉴别，定性为一般固废，由北京北方宏拓环境科技有限公司拉运处理</w:t>
                  </w:r>
                </w:p>
              </w:tc>
              <w:tc>
                <w:tcPr>
                  <w:tcW w:w="539" w:type="pct"/>
                  <w:tcBorders>
                    <w:bottom w:val="thickThinSmallGap" w:color="auto" w:sz="12" w:space="0"/>
                  </w:tcBorders>
                  <w:vAlign w:val="center"/>
                </w:tcPr>
                <w:p w14:paraId="15C501D5">
                  <w:pPr>
                    <w:pStyle w:val="59"/>
                    <w:rPr>
                      <w:color w:val="auto"/>
                    </w:rPr>
                  </w:pPr>
                  <w:r>
                    <w:rPr>
                      <w:rFonts w:hint="eastAsia"/>
                      <w:color w:val="auto"/>
                    </w:rPr>
                    <w:t>已验收</w:t>
                  </w:r>
                </w:p>
              </w:tc>
            </w:tr>
          </w:tbl>
          <w:p w14:paraId="73289947">
            <w:pPr>
              <w:adjustRightInd w:val="0"/>
              <w:snapToGrid w:val="0"/>
              <w:ind w:firstLine="480" w:firstLineChars="200"/>
              <w:jc w:val="left"/>
              <w:rPr>
                <w:color w:val="auto"/>
              </w:rPr>
            </w:pPr>
            <w:r>
              <w:rPr>
                <w:rFonts w:hint="eastAsia"/>
                <w:color w:val="auto"/>
              </w:rPr>
              <w:t>5.现有工程实际污染物排放总量</w:t>
            </w:r>
          </w:p>
          <w:p w14:paraId="39AB5D85">
            <w:pPr>
              <w:adjustRightInd w:val="0"/>
              <w:snapToGrid w:val="0"/>
              <w:ind w:firstLine="480" w:firstLineChars="200"/>
              <w:jc w:val="left"/>
              <w:rPr>
                <w:color w:val="auto"/>
              </w:rPr>
            </w:pPr>
            <w:r>
              <w:rPr>
                <w:rFonts w:hint="eastAsia"/>
                <w:color w:val="auto"/>
              </w:rPr>
              <w:t>现有工程为鄂尔多斯蒙苏经济开发区零碳产业园工业废水处理厂及水资源再生利用项目。</w:t>
            </w:r>
            <w:r>
              <w:rPr>
                <w:color w:val="auto"/>
              </w:rPr>
              <w:t>建设内容包括6.0万m³/d隆基废水处理、4万m³/d园区内其他企业废水处理系统的主体工程、储运工程、辅助工程、公用工程及环保工程等</w:t>
            </w:r>
            <w:r>
              <w:rPr>
                <w:rFonts w:hint="eastAsia"/>
                <w:color w:val="auto"/>
              </w:rPr>
              <w:t>。根据《鄂尔多斯蒙苏经济开发区零碳产业园工业废水处理厂及水资源再生利用项目环境影响报告书》，锅炉排放污染</w:t>
            </w:r>
            <w:r>
              <w:rPr>
                <w:rFonts w:hint="eastAsia"/>
                <w:color w:val="auto"/>
                <w:lang w:eastAsia="zh-CN"/>
              </w:rPr>
              <w:t>物质</w:t>
            </w:r>
            <w:r>
              <w:rPr>
                <w:color w:val="auto"/>
              </w:rPr>
              <w:t>为</w:t>
            </w:r>
            <w:r>
              <w:rPr>
                <w:rFonts w:hint="eastAsia"/>
                <w:color w:val="auto"/>
              </w:rPr>
              <w:t>颗粒物、氮氧化物、二氧化硫，其中颗粒物排放量为</w:t>
            </w:r>
            <w:r>
              <w:rPr>
                <w:color w:val="auto"/>
              </w:rPr>
              <w:t>0.</w:t>
            </w:r>
            <w:r>
              <w:rPr>
                <w:rFonts w:hint="eastAsia"/>
                <w:color w:val="auto"/>
              </w:rPr>
              <w:t>37</w:t>
            </w:r>
            <w:r>
              <w:rPr>
                <w:color w:val="auto"/>
              </w:rPr>
              <w:t>t/a</w:t>
            </w:r>
            <w:r>
              <w:rPr>
                <w:rFonts w:hint="eastAsia"/>
                <w:color w:val="auto"/>
              </w:rPr>
              <w:t>、二氧化硫排放量为</w:t>
            </w:r>
            <w:r>
              <w:rPr>
                <w:color w:val="auto"/>
              </w:rPr>
              <w:t>0.1</w:t>
            </w:r>
            <w:r>
              <w:rPr>
                <w:rFonts w:hint="eastAsia"/>
                <w:color w:val="auto"/>
              </w:rPr>
              <w:t>1</w:t>
            </w:r>
            <w:r>
              <w:rPr>
                <w:color w:val="auto"/>
              </w:rPr>
              <w:t>t/a</w:t>
            </w:r>
            <w:r>
              <w:rPr>
                <w:rFonts w:hint="eastAsia"/>
                <w:color w:val="auto"/>
              </w:rPr>
              <w:t>、氮氧化物排放量为0.13t/a。</w:t>
            </w:r>
          </w:p>
          <w:p w14:paraId="1C77345C">
            <w:pPr>
              <w:pStyle w:val="24"/>
              <w:ind w:firstLine="480"/>
              <w:jc w:val="left"/>
              <w:rPr>
                <w:color w:val="auto"/>
                <w:szCs w:val="24"/>
              </w:rPr>
            </w:pPr>
            <w:r>
              <w:rPr>
                <w:rFonts w:hint="eastAsia"/>
                <w:color w:val="auto"/>
              </w:rPr>
              <w:t>根据《鄂尔多斯蒙苏经济产业园零碳产业园工业污水处理厂及水资源再生利用项目竣工环境保护验收监测报告》，锅炉在项目调试期为浓水处理系统提供蒸汽，调试期为30天，锅炉每天运行6小时，调试期二氧化硫排放总量为 0.004t/a，氮氧化物排放总量为0.124t/a</w:t>
            </w:r>
            <w:r>
              <w:rPr>
                <w:color w:val="auto"/>
                <w:szCs w:val="24"/>
              </w:rPr>
              <w:t>。</w:t>
            </w:r>
          </w:p>
          <w:p w14:paraId="288B3985">
            <w:pPr>
              <w:pStyle w:val="24"/>
              <w:ind w:firstLine="480"/>
              <w:jc w:val="left"/>
              <w:rPr>
                <w:color w:val="auto"/>
                <w:szCs w:val="24"/>
              </w:rPr>
            </w:pPr>
          </w:p>
          <w:p w14:paraId="67602783">
            <w:pPr>
              <w:pStyle w:val="24"/>
              <w:ind w:firstLine="480"/>
              <w:jc w:val="left"/>
              <w:rPr>
                <w:color w:val="auto"/>
                <w:szCs w:val="24"/>
              </w:rPr>
            </w:pPr>
          </w:p>
          <w:p w14:paraId="2B3245F4">
            <w:pPr>
              <w:pStyle w:val="24"/>
              <w:ind w:firstLine="480"/>
              <w:jc w:val="left"/>
              <w:rPr>
                <w:color w:val="auto"/>
                <w:szCs w:val="24"/>
              </w:rPr>
            </w:pPr>
          </w:p>
          <w:p w14:paraId="1D7A288B">
            <w:pPr>
              <w:pStyle w:val="24"/>
              <w:ind w:firstLine="480"/>
              <w:jc w:val="left"/>
              <w:rPr>
                <w:color w:val="auto"/>
                <w:szCs w:val="24"/>
              </w:rPr>
            </w:pPr>
          </w:p>
          <w:p w14:paraId="3C6D2E7B">
            <w:pPr>
              <w:pStyle w:val="24"/>
              <w:ind w:firstLine="480"/>
              <w:jc w:val="left"/>
              <w:rPr>
                <w:color w:val="auto"/>
                <w:szCs w:val="24"/>
              </w:rPr>
            </w:pPr>
          </w:p>
          <w:p w14:paraId="6F35A967">
            <w:pPr>
              <w:pStyle w:val="24"/>
              <w:ind w:firstLine="480"/>
              <w:jc w:val="left"/>
              <w:rPr>
                <w:color w:val="auto"/>
                <w:szCs w:val="24"/>
              </w:rPr>
            </w:pPr>
          </w:p>
          <w:p w14:paraId="559256D8">
            <w:pPr>
              <w:pStyle w:val="24"/>
              <w:ind w:firstLine="480"/>
              <w:jc w:val="left"/>
              <w:rPr>
                <w:color w:val="auto"/>
                <w:szCs w:val="24"/>
              </w:rPr>
            </w:pPr>
          </w:p>
          <w:p w14:paraId="2B38A10D">
            <w:pPr>
              <w:pStyle w:val="24"/>
              <w:ind w:firstLine="480"/>
              <w:jc w:val="left"/>
              <w:rPr>
                <w:color w:val="auto"/>
                <w:szCs w:val="24"/>
              </w:rPr>
            </w:pPr>
          </w:p>
          <w:p w14:paraId="05CB475F">
            <w:pPr>
              <w:pStyle w:val="24"/>
              <w:ind w:firstLine="480"/>
              <w:jc w:val="left"/>
              <w:rPr>
                <w:color w:val="auto"/>
                <w:szCs w:val="24"/>
              </w:rPr>
            </w:pPr>
          </w:p>
          <w:p w14:paraId="79CD5ABE">
            <w:pPr>
              <w:pStyle w:val="24"/>
              <w:ind w:firstLine="480"/>
              <w:jc w:val="left"/>
              <w:rPr>
                <w:color w:val="auto"/>
                <w:szCs w:val="24"/>
              </w:rPr>
            </w:pPr>
          </w:p>
          <w:p w14:paraId="3D5624AE">
            <w:pPr>
              <w:pStyle w:val="24"/>
              <w:ind w:firstLine="480"/>
              <w:jc w:val="left"/>
              <w:rPr>
                <w:color w:val="auto"/>
                <w:szCs w:val="24"/>
              </w:rPr>
            </w:pPr>
          </w:p>
          <w:p w14:paraId="318D7630">
            <w:pPr>
              <w:pStyle w:val="24"/>
              <w:ind w:firstLine="480"/>
              <w:jc w:val="left"/>
              <w:rPr>
                <w:color w:val="auto"/>
                <w:szCs w:val="24"/>
              </w:rPr>
            </w:pPr>
          </w:p>
          <w:p w14:paraId="2DABC145">
            <w:pPr>
              <w:pStyle w:val="24"/>
              <w:ind w:firstLine="480"/>
              <w:jc w:val="left"/>
              <w:rPr>
                <w:color w:val="auto"/>
                <w:szCs w:val="24"/>
              </w:rPr>
            </w:pPr>
          </w:p>
          <w:p w14:paraId="57D9E3C8">
            <w:pPr>
              <w:pStyle w:val="24"/>
              <w:ind w:firstLine="480"/>
              <w:jc w:val="left"/>
              <w:rPr>
                <w:color w:val="auto"/>
                <w:szCs w:val="24"/>
              </w:rPr>
            </w:pPr>
          </w:p>
          <w:p w14:paraId="635B0804">
            <w:pPr>
              <w:pStyle w:val="24"/>
              <w:ind w:firstLine="480"/>
              <w:jc w:val="left"/>
              <w:rPr>
                <w:color w:val="auto"/>
                <w:szCs w:val="24"/>
              </w:rPr>
            </w:pPr>
          </w:p>
          <w:p w14:paraId="7D7D8138">
            <w:pPr>
              <w:pStyle w:val="24"/>
              <w:ind w:firstLine="480"/>
              <w:jc w:val="left"/>
              <w:rPr>
                <w:color w:val="auto"/>
                <w:szCs w:val="24"/>
              </w:rPr>
            </w:pPr>
          </w:p>
          <w:p w14:paraId="57DDCC76">
            <w:pPr>
              <w:pStyle w:val="24"/>
              <w:ind w:firstLine="480"/>
              <w:jc w:val="left"/>
              <w:rPr>
                <w:color w:val="auto"/>
                <w:szCs w:val="24"/>
              </w:rPr>
            </w:pPr>
          </w:p>
          <w:p w14:paraId="4487CECB">
            <w:pPr>
              <w:pStyle w:val="24"/>
              <w:ind w:firstLine="480"/>
              <w:jc w:val="left"/>
              <w:rPr>
                <w:color w:val="auto"/>
                <w:szCs w:val="24"/>
              </w:rPr>
            </w:pPr>
          </w:p>
          <w:p w14:paraId="69067F8B">
            <w:pPr>
              <w:pStyle w:val="24"/>
              <w:ind w:firstLine="480"/>
              <w:jc w:val="left"/>
              <w:rPr>
                <w:color w:val="auto"/>
                <w:szCs w:val="24"/>
              </w:rPr>
            </w:pPr>
          </w:p>
          <w:p w14:paraId="6303BC6B">
            <w:pPr>
              <w:pStyle w:val="24"/>
              <w:ind w:firstLine="480"/>
              <w:jc w:val="left"/>
              <w:rPr>
                <w:color w:val="auto"/>
                <w:szCs w:val="24"/>
              </w:rPr>
            </w:pPr>
          </w:p>
          <w:p w14:paraId="40B502D1">
            <w:pPr>
              <w:pStyle w:val="24"/>
              <w:ind w:firstLine="480"/>
              <w:jc w:val="left"/>
              <w:rPr>
                <w:color w:val="auto"/>
                <w:szCs w:val="24"/>
              </w:rPr>
            </w:pPr>
          </w:p>
          <w:p w14:paraId="1FCE3B2E">
            <w:pPr>
              <w:pStyle w:val="24"/>
              <w:ind w:firstLine="480"/>
              <w:jc w:val="left"/>
              <w:rPr>
                <w:color w:val="auto"/>
                <w:szCs w:val="24"/>
              </w:rPr>
            </w:pPr>
          </w:p>
        </w:tc>
      </w:tr>
    </w:tbl>
    <w:p w14:paraId="74F12DCF">
      <w:pPr>
        <w:pStyle w:val="15"/>
        <w:jc w:val="center"/>
        <w:rPr>
          <w:rFonts w:ascii="Times New Roman" w:hAnsi="Times New Roman" w:eastAsia="黑体"/>
          <w:snapToGrid w:val="0"/>
          <w:color w:val="auto"/>
          <w:sz w:val="36"/>
          <w:szCs w:val="36"/>
        </w:rPr>
        <w:sectPr>
          <w:pgSz w:w="11906" w:h="16838"/>
          <w:pgMar w:top="1701" w:right="1531" w:bottom="1701" w:left="1531" w:header="851" w:footer="1077" w:gutter="0"/>
          <w:cols w:space="720" w:num="1"/>
          <w:docGrid w:linePitch="326" w:charSpace="0"/>
        </w:sectPr>
      </w:pPr>
    </w:p>
    <w:p w14:paraId="36F6388E">
      <w:pPr>
        <w:pStyle w:val="15"/>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44"/>
      </w:tblGrid>
      <w:tr w14:paraId="4A391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17" w:type="dxa"/>
            <w:vAlign w:val="center"/>
          </w:tcPr>
          <w:p w14:paraId="331CD25E">
            <w:pPr>
              <w:adjustRightInd w:val="0"/>
              <w:snapToGrid w:val="0"/>
              <w:jc w:val="center"/>
              <w:rPr>
                <w:color w:val="auto"/>
                <w:kern w:val="0"/>
                <w:szCs w:val="21"/>
              </w:rPr>
            </w:pPr>
            <w:r>
              <w:rPr>
                <w:color w:val="auto"/>
                <w:kern w:val="0"/>
                <w:szCs w:val="21"/>
              </w:rPr>
              <w:t>区域</w:t>
            </w:r>
          </w:p>
          <w:p w14:paraId="122130C0">
            <w:pPr>
              <w:adjustRightInd w:val="0"/>
              <w:snapToGrid w:val="0"/>
              <w:jc w:val="center"/>
              <w:rPr>
                <w:color w:val="auto"/>
                <w:kern w:val="0"/>
                <w:szCs w:val="21"/>
              </w:rPr>
            </w:pPr>
            <w:r>
              <w:rPr>
                <w:color w:val="auto"/>
                <w:kern w:val="0"/>
                <w:szCs w:val="21"/>
              </w:rPr>
              <w:t>环境</w:t>
            </w:r>
          </w:p>
          <w:p w14:paraId="69DF634B">
            <w:pPr>
              <w:adjustRightInd w:val="0"/>
              <w:snapToGrid w:val="0"/>
              <w:jc w:val="center"/>
              <w:rPr>
                <w:color w:val="auto"/>
                <w:kern w:val="0"/>
                <w:szCs w:val="21"/>
              </w:rPr>
            </w:pPr>
            <w:r>
              <w:rPr>
                <w:color w:val="auto"/>
                <w:kern w:val="0"/>
                <w:szCs w:val="21"/>
              </w:rPr>
              <w:t>质量</w:t>
            </w:r>
          </w:p>
          <w:p w14:paraId="2F06682B">
            <w:pPr>
              <w:adjustRightInd w:val="0"/>
              <w:snapToGrid w:val="0"/>
              <w:jc w:val="center"/>
              <w:rPr>
                <w:color w:val="auto"/>
                <w:kern w:val="0"/>
                <w:szCs w:val="21"/>
              </w:rPr>
            </w:pPr>
            <w:r>
              <w:rPr>
                <w:color w:val="auto"/>
                <w:kern w:val="0"/>
                <w:szCs w:val="21"/>
              </w:rPr>
              <w:t>现状</w:t>
            </w:r>
          </w:p>
        </w:tc>
        <w:tc>
          <w:tcPr>
            <w:tcW w:w="8244" w:type="dxa"/>
            <w:vAlign w:val="center"/>
          </w:tcPr>
          <w:p w14:paraId="4150F65A">
            <w:pPr>
              <w:adjustRightInd w:val="0"/>
              <w:snapToGrid w:val="0"/>
              <w:jc w:val="left"/>
              <w:rPr>
                <w:b/>
                <w:bCs/>
                <w:color w:val="auto"/>
                <w:kern w:val="0"/>
              </w:rPr>
            </w:pPr>
            <w:r>
              <w:rPr>
                <w:b/>
                <w:bCs/>
                <w:color w:val="auto"/>
                <w:kern w:val="0"/>
              </w:rPr>
              <w:t>1.大气环境</w:t>
            </w:r>
          </w:p>
          <w:p w14:paraId="70C6E2F1">
            <w:pPr>
              <w:adjustRightInd w:val="0"/>
              <w:snapToGrid w:val="0"/>
              <w:ind w:firstLine="480" w:firstLineChars="200"/>
              <w:jc w:val="left"/>
              <w:rPr>
                <w:color w:val="auto"/>
              </w:rPr>
            </w:pPr>
            <w:r>
              <w:rPr>
                <w:color w:val="auto"/>
              </w:rPr>
              <w:t>根据《建设项目环境影响报告表编制技术指南 污染影响类》（试行）要求，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近3年的现有监测数据，无相关数据的选择当季主导风向下风向1个点位补充不少于3天的监测数据。</w:t>
            </w:r>
          </w:p>
          <w:p w14:paraId="56189948">
            <w:pPr>
              <w:adjustRightInd w:val="0"/>
              <w:snapToGrid w:val="0"/>
              <w:ind w:firstLine="480" w:firstLineChars="200"/>
              <w:jc w:val="left"/>
              <w:rPr>
                <w:color w:val="auto"/>
              </w:rPr>
            </w:pPr>
            <w:r>
              <w:rPr>
                <w:rFonts w:hint="eastAsia"/>
                <w:color w:val="auto"/>
              </w:rPr>
              <w:t>①</w:t>
            </w:r>
            <w:r>
              <w:rPr>
                <w:color w:val="auto"/>
              </w:rPr>
              <w:t>达标区判定</w:t>
            </w:r>
          </w:p>
          <w:p w14:paraId="6D319B21">
            <w:pPr>
              <w:adjustRightInd w:val="0"/>
              <w:snapToGrid w:val="0"/>
              <w:ind w:firstLine="480" w:firstLineChars="200"/>
              <w:jc w:val="left"/>
              <w:rPr>
                <w:color w:val="auto"/>
              </w:rPr>
            </w:pPr>
            <w:r>
              <w:rPr>
                <w:rFonts w:hint="eastAsia"/>
                <w:color w:val="auto"/>
              </w:rPr>
              <w:t>根据内蒙古自治区生态环境厅于2024年6月发布的《2023年内蒙古自治区生态环境状况公报》，2023年，全区12盟市中，全区城市环境空气各项污染物年均浓度均达标。各盟市中除乌海市可吸入颗粒物不达标外，其他11个盟市环境空气质量均达标。本项目位于鄂尔多斯市，项目所在区域为环境空气质量达标区。</w:t>
            </w:r>
          </w:p>
          <w:p w14:paraId="41B9C774">
            <w:pPr>
              <w:pStyle w:val="24"/>
              <w:ind w:firstLine="480"/>
              <w:rPr>
                <w:color w:val="auto"/>
              </w:rPr>
            </w:pPr>
            <w:r>
              <w:rPr>
                <w:rFonts w:hint="eastAsia"/>
                <w:color w:val="auto"/>
              </w:rPr>
              <w:t>②特征因子环境空气质量现状监测</w:t>
            </w:r>
          </w:p>
          <w:p w14:paraId="3004F159">
            <w:pPr>
              <w:adjustRightInd w:val="0"/>
              <w:snapToGrid w:val="0"/>
              <w:ind w:firstLine="480" w:firstLineChars="200"/>
              <w:jc w:val="left"/>
              <w:rPr>
                <w:color w:val="auto"/>
                <w:kern w:val="0"/>
                <w:highlight w:val="yellow"/>
              </w:rPr>
            </w:pPr>
            <w:r>
              <w:rPr>
                <w:rFonts w:hint="eastAsia"/>
                <w:color w:val="auto"/>
                <w:kern w:val="0"/>
              </w:rPr>
              <w:t>本项目特征污染物为</w:t>
            </w:r>
            <w:r>
              <w:rPr>
                <w:color w:val="auto"/>
                <w:kern w:val="0"/>
              </w:rPr>
              <w:t>TSP</w:t>
            </w:r>
            <w:r>
              <w:rPr>
                <w:rFonts w:hint="eastAsia"/>
                <w:color w:val="auto"/>
                <w:kern w:val="0"/>
              </w:rPr>
              <w:t>，</w:t>
            </w:r>
            <w:r>
              <w:rPr>
                <w:rFonts w:hint="eastAsia"/>
                <w:color w:val="auto"/>
              </w:rPr>
              <w:t>为了掌握该项目所在地区的大气环境现状，并为影响评价提供基础资料和数据，本次环境空气质量现状引用《内蒙古禅德光热科技有限公司太阳能聚光反射镜生产基地项目环境影响报告书》中委托</w:t>
            </w:r>
            <w:r>
              <w:rPr>
                <w:rFonts w:hint="default" w:ascii="Times New Roman" w:hAnsi="Times New Roman" w:cs="Times New Roman"/>
                <w:color w:val="auto"/>
                <w:kern w:val="0"/>
                <w:sz w:val="24"/>
                <w:szCs w:val="24"/>
              </w:rPr>
              <w:t>内蒙古华智鼎环保科技有限公司</w:t>
            </w:r>
            <w:r>
              <w:rPr>
                <w:rFonts w:hint="eastAsia"/>
                <w:color w:val="auto"/>
              </w:rPr>
              <w:t>于2023年5月2日</w:t>
            </w:r>
            <w:r>
              <w:rPr>
                <w:color w:val="auto"/>
              </w:rPr>
              <w:t>~202</w:t>
            </w:r>
            <w:r>
              <w:rPr>
                <w:rFonts w:hint="eastAsia"/>
                <w:color w:val="auto"/>
              </w:rPr>
              <w:t>3年5月8日的现状监测数据，监测点位距本项目3.070km，满足《建设项目环境影响报告表编制技术指南 污染影响类》（试行）要求。监测点位信息表见表3-1。</w:t>
            </w:r>
          </w:p>
          <w:p w14:paraId="03242F7B">
            <w:pPr>
              <w:pStyle w:val="52"/>
              <w:rPr>
                <w:color w:val="auto"/>
              </w:rPr>
            </w:pPr>
            <w:r>
              <w:rPr>
                <w:color w:val="auto"/>
              </w:rPr>
              <w:t>表</w:t>
            </w:r>
            <w:r>
              <w:rPr>
                <w:rFonts w:hint="eastAsia"/>
                <w:color w:val="auto"/>
              </w:rPr>
              <w:t xml:space="preserve">3-1 </w:t>
            </w:r>
            <w:r>
              <w:rPr>
                <w:color w:val="auto"/>
              </w:rPr>
              <w:t xml:space="preserve"> </w:t>
            </w:r>
            <w:r>
              <w:rPr>
                <w:rFonts w:hint="eastAsia"/>
                <w:color w:val="auto"/>
              </w:rPr>
              <w:t>环境质量监测点信息一览表</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2"/>
              <w:gridCol w:w="2495"/>
              <w:gridCol w:w="2195"/>
              <w:gridCol w:w="1443"/>
              <w:gridCol w:w="1443"/>
            </w:tblGrid>
            <w:tr w14:paraId="7F3BDF9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1" w:type="pct"/>
                  <w:noWrap/>
                  <w:vAlign w:val="center"/>
                </w:tcPr>
                <w:p w14:paraId="6B9B6807">
                  <w:pPr>
                    <w:spacing w:line="240" w:lineRule="auto"/>
                    <w:jc w:val="center"/>
                    <w:rPr>
                      <w:b/>
                      <w:color w:val="auto"/>
                      <w:sz w:val="21"/>
                      <w:szCs w:val="21"/>
                    </w:rPr>
                  </w:pPr>
                  <w:r>
                    <w:rPr>
                      <w:rFonts w:hint="eastAsia"/>
                      <w:b w:val="0"/>
                      <w:color w:val="auto"/>
                      <w:sz w:val="21"/>
                      <w:szCs w:val="21"/>
                    </w:rPr>
                    <w:t>序号</w:t>
                  </w:r>
                </w:p>
              </w:tc>
              <w:tc>
                <w:tcPr>
                  <w:tcW w:w="1553" w:type="pct"/>
                  <w:noWrap/>
                  <w:vAlign w:val="center"/>
                </w:tcPr>
                <w:p w14:paraId="29E31576">
                  <w:pPr>
                    <w:spacing w:line="240" w:lineRule="auto"/>
                    <w:jc w:val="center"/>
                    <w:rPr>
                      <w:b/>
                      <w:color w:val="auto"/>
                      <w:sz w:val="21"/>
                      <w:szCs w:val="21"/>
                    </w:rPr>
                  </w:pPr>
                  <w:r>
                    <w:rPr>
                      <w:rFonts w:hint="eastAsia"/>
                      <w:b w:val="0"/>
                      <w:color w:val="auto"/>
                      <w:sz w:val="21"/>
                      <w:szCs w:val="21"/>
                    </w:rPr>
                    <w:t>布点位置</w:t>
                  </w:r>
                </w:p>
              </w:tc>
              <w:tc>
                <w:tcPr>
                  <w:tcW w:w="1366" w:type="pct"/>
                  <w:noWrap/>
                  <w:vAlign w:val="center"/>
                </w:tcPr>
                <w:p w14:paraId="01A4A791">
                  <w:pPr>
                    <w:spacing w:line="240" w:lineRule="auto"/>
                    <w:jc w:val="center"/>
                    <w:rPr>
                      <w:b/>
                      <w:color w:val="auto"/>
                      <w:sz w:val="21"/>
                      <w:szCs w:val="21"/>
                    </w:rPr>
                  </w:pPr>
                  <w:r>
                    <w:rPr>
                      <w:b w:val="0"/>
                      <w:color w:val="auto"/>
                      <w:sz w:val="21"/>
                      <w:szCs w:val="21"/>
                    </w:rPr>
                    <w:t>坐标</w:t>
                  </w:r>
                </w:p>
              </w:tc>
              <w:tc>
                <w:tcPr>
                  <w:tcW w:w="898" w:type="pct"/>
                  <w:noWrap/>
                  <w:vAlign w:val="center"/>
                </w:tcPr>
                <w:p w14:paraId="1479837B">
                  <w:pPr>
                    <w:spacing w:line="240" w:lineRule="auto"/>
                    <w:jc w:val="center"/>
                    <w:rPr>
                      <w:b/>
                      <w:color w:val="auto"/>
                      <w:sz w:val="21"/>
                      <w:szCs w:val="21"/>
                    </w:rPr>
                  </w:pPr>
                  <w:r>
                    <w:rPr>
                      <w:rFonts w:hint="eastAsia"/>
                      <w:b w:val="0"/>
                      <w:color w:val="auto"/>
                      <w:sz w:val="21"/>
                      <w:szCs w:val="21"/>
                    </w:rPr>
                    <w:t>方位（相对于本项目）</w:t>
                  </w:r>
                </w:p>
              </w:tc>
              <w:tc>
                <w:tcPr>
                  <w:tcW w:w="898" w:type="pct"/>
                  <w:noWrap/>
                  <w:vAlign w:val="center"/>
                </w:tcPr>
                <w:p w14:paraId="3EB05679">
                  <w:pPr>
                    <w:spacing w:line="240" w:lineRule="auto"/>
                    <w:jc w:val="center"/>
                    <w:rPr>
                      <w:b/>
                      <w:color w:val="auto"/>
                      <w:sz w:val="21"/>
                      <w:szCs w:val="21"/>
                    </w:rPr>
                  </w:pPr>
                  <w:r>
                    <w:rPr>
                      <w:rFonts w:hint="eastAsia"/>
                      <w:b w:val="0"/>
                      <w:color w:val="auto"/>
                      <w:sz w:val="21"/>
                      <w:szCs w:val="21"/>
                    </w:rPr>
                    <w:t>距离（相对于本项目）</w:t>
                  </w:r>
                </w:p>
              </w:tc>
            </w:tr>
            <w:tr w14:paraId="5F99890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1" w:type="pct"/>
                  <w:noWrap/>
                  <w:vAlign w:val="center"/>
                </w:tcPr>
                <w:p w14:paraId="40149236">
                  <w:pPr>
                    <w:spacing w:line="240" w:lineRule="auto"/>
                    <w:jc w:val="center"/>
                    <w:rPr>
                      <w:color w:val="auto"/>
                      <w:sz w:val="21"/>
                      <w:szCs w:val="21"/>
                    </w:rPr>
                  </w:pPr>
                  <w:r>
                    <w:rPr>
                      <w:rFonts w:hint="eastAsia"/>
                      <w:color w:val="auto"/>
                      <w:sz w:val="21"/>
                      <w:szCs w:val="21"/>
                    </w:rPr>
                    <w:t>1</w:t>
                  </w:r>
                </w:p>
              </w:tc>
              <w:tc>
                <w:tcPr>
                  <w:tcW w:w="1553" w:type="pct"/>
                  <w:noWrap/>
                  <w:vAlign w:val="center"/>
                </w:tcPr>
                <w:p w14:paraId="12395CBD">
                  <w:pPr>
                    <w:spacing w:line="240" w:lineRule="auto"/>
                    <w:jc w:val="center"/>
                    <w:rPr>
                      <w:color w:val="auto"/>
                      <w:sz w:val="21"/>
                      <w:szCs w:val="21"/>
                    </w:rPr>
                  </w:pPr>
                  <w:r>
                    <w:rPr>
                      <w:rFonts w:hint="eastAsia"/>
                      <w:color w:val="auto"/>
                      <w:sz w:val="21"/>
                      <w:szCs w:val="21"/>
                    </w:rPr>
                    <w:t>内蒙古禅德光热科技有限公司厂区内</w:t>
                  </w:r>
                </w:p>
              </w:tc>
              <w:tc>
                <w:tcPr>
                  <w:tcW w:w="1366" w:type="pct"/>
                  <w:noWrap/>
                  <w:vAlign w:val="center"/>
                </w:tcPr>
                <w:p w14:paraId="0F270506">
                  <w:pPr>
                    <w:spacing w:line="240" w:lineRule="auto"/>
                    <w:jc w:val="center"/>
                    <w:rPr>
                      <w:color w:val="auto"/>
                      <w:sz w:val="21"/>
                      <w:szCs w:val="21"/>
                    </w:rPr>
                  </w:pPr>
                  <w:r>
                    <w:rPr>
                      <w:color w:val="auto"/>
                      <w:sz w:val="21"/>
                      <w:szCs w:val="21"/>
                    </w:rPr>
                    <w:t>东经109°32′45.50″</w:t>
                  </w:r>
                  <w:r>
                    <w:rPr>
                      <w:rFonts w:hint="eastAsia"/>
                      <w:color w:val="auto"/>
                      <w:sz w:val="21"/>
                      <w:szCs w:val="21"/>
                    </w:rPr>
                    <w:t>，北纬</w:t>
                  </w:r>
                  <w:r>
                    <w:rPr>
                      <w:color w:val="auto"/>
                      <w:sz w:val="21"/>
                      <w:szCs w:val="21"/>
                    </w:rPr>
                    <w:t>39°35′6.08″</w:t>
                  </w:r>
                </w:p>
              </w:tc>
              <w:tc>
                <w:tcPr>
                  <w:tcW w:w="898" w:type="pct"/>
                  <w:noWrap/>
                  <w:vAlign w:val="center"/>
                </w:tcPr>
                <w:p w14:paraId="4789D5FE">
                  <w:pPr>
                    <w:spacing w:line="240" w:lineRule="auto"/>
                    <w:jc w:val="center"/>
                    <w:rPr>
                      <w:color w:val="auto"/>
                      <w:sz w:val="21"/>
                      <w:szCs w:val="21"/>
                    </w:rPr>
                  </w:pPr>
                  <w:r>
                    <w:rPr>
                      <w:rFonts w:hint="eastAsia"/>
                      <w:color w:val="auto"/>
                      <w:sz w:val="21"/>
                      <w:szCs w:val="21"/>
                    </w:rPr>
                    <w:t>东北</w:t>
                  </w:r>
                </w:p>
              </w:tc>
              <w:tc>
                <w:tcPr>
                  <w:tcW w:w="898" w:type="pct"/>
                  <w:noWrap/>
                  <w:vAlign w:val="center"/>
                </w:tcPr>
                <w:p w14:paraId="642512FD">
                  <w:pPr>
                    <w:spacing w:line="240" w:lineRule="auto"/>
                    <w:jc w:val="center"/>
                    <w:rPr>
                      <w:color w:val="auto"/>
                      <w:sz w:val="21"/>
                      <w:szCs w:val="21"/>
                    </w:rPr>
                  </w:pPr>
                  <w:r>
                    <w:rPr>
                      <w:rFonts w:hint="eastAsia"/>
                      <w:color w:val="auto"/>
                      <w:sz w:val="21"/>
                      <w:szCs w:val="21"/>
                    </w:rPr>
                    <w:t>3.070km</w:t>
                  </w:r>
                </w:p>
              </w:tc>
            </w:tr>
          </w:tbl>
          <w:p w14:paraId="3AA2492F">
            <w:pPr>
              <w:autoSpaceDE w:val="0"/>
              <w:autoSpaceDN w:val="0"/>
              <w:ind w:firstLine="480" w:firstLineChars="200"/>
              <w:rPr>
                <w:color w:val="auto"/>
              </w:rPr>
            </w:pPr>
            <w:r>
              <w:rPr>
                <w:rFonts w:hint="eastAsia"/>
                <w:color w:val="auto"/>
              </w:rPr>
              <w:t>监测点位监测结果以《环境空气质量标准》（</w:t>
            </w:r>
            <w:r>
              <w:rPr>
                <w:color w:val="auto"/>
              </w:rPr>
              <w:t>GB3095-2012</w:t>
            </w:r>
            <w:r>
              <w:rPr>
                <w:rFonts w:hint="eastAsia"/>
                <w:color w:val="auto"/>
              </w:rPr>
              <w:t>）二级标准，进行评价、统计，大气环境质量现状</w:t>
            </w:r>
            <w:r>
              <w:rPr>
                <w:color w:val="auto"/>
              </w:rPr>
              <w:t>监测结果见表</w:t>
            </w:r>
            <w:r>
              <w:rPr>
                <w:rFonts w:hint="eastAsia"/>
                <w:color w:val="auto"/>
              </w:rPr>
              <w:t>3-2</w:t>
            </w:r>
            <w:r>
              <w:rPr>
                <w:color w:val="auto"/>
              </w:rPr>
              <w:t>。</w:t>
            </w:r>
          </w:p>
          <w:p w14:paraId="66C282BF">
            <w:pPr>
              <w:pStyle w:val="52"/>
              <w:rPr>
                <w:color w:val="auto"/>
              </w:rPr>
            </w:pPr>
            <w:r>
              <w:rPr>
                <w:color w:val="auto"/>
              </w:rPr>
              <w:t>表</w:t>
            </w:r>
            <w:r>
              <w:rPr>
                <w:rFonts w:hint="eastAsia"/>
                <w:color w:val="auto"/>
              </w:rPr>
              <w:t xml:space="preserve">3-2 </w:t>
            </w:r>
            <w:r>
              <w:rPr>
                <w:color w:val="auto"/>
              </w:rPr>
              <w:t xml:space="preserve"> </w:t>
            </w:r>
            <w:r>
              <w:rPr>
                <w:rFonts w:hint="eastAsia"/>
                <w:color w:val="auto"/>
              </w:rPr>
              <w:t>监测结果一览表</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635"/>
              <w:gridCol w:w="779"/>
              <w:gridCol w:w="1188"/>
              <w:gridCol w:w="1241"/>
              <w:gridCol w:w="1119"/>
              <w:gridCol w:w="633"/>
              <w:gridCol w:w="716"/>
            </w:tblGrid>
            <w:tr w14:paraId="3432603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PrEx>
              <w:trPr>
                <w:trHeight w:val="397" w:hRule="atLeast"/>
                <w:jc w:val="center"/>
              </w:trPr>
              <w:tc>
                <w:tcPr>
                  <w:tcW w:w="1068" w:type="pct"/>
                  <w:noWrap/>
                  <w:vAlign w:val="center"/>
                </w:tcPr>
                <w:p w14:paraId="547CD222">
                  <w:pPr>
                    <w:spacing w:line="240" w:lineRule="auto"/>
                    <w:jc w:val="center"/>
                    <w:rPr>
                      <w:b w:val="0"/>
                      <w:color w:val="auto"/>
                      <w:sz w:val="21"/>
                      <w:szCs w:val="21"/>
                    </w:rPr>
                  </w:pPr>
                  <w:r>
                    <w:rPr>
                      <w:rFonts w:hint="eastAsia"/>
                      <w:b/>
                      <w:color w:val="auto"/>
                      <w:sz w:val="21"/>
                      <w:szCs w:val="21"/>
                    </w:rPr>
                    <w:t>监测点名称</w:t>
                  </w:r>
                </w:p>
              </w:tc>
              <w:tc>
                <w:tcPr>
                  <w:tcW w:w="395" w:type="pct"/>
                  <w:noWrap/>
                  <w:vAlign w:val="center"/>
                </w:tcPr>
                <w:p w14:paraId="228E6964">
                  <w:pPr>
                    <w:spacing w:line="240" w:lineRule="auto"/>
                    <w:jc w:val="center"/>
                    <w:rPr>
                      <w:b w:val="0"/>
                      <w:color w:val="auto"/>
                      <w:sz w:val="21"/>
                      <w:szCs w:val="21"/>
                    </w:rPr>
                  </w:pPr>
                  <w:r>
                    <w:rPr>
                      <w:rFonts w:hint="eastAsia"/>
                      <w:b/>
                      <w:color w:val="auto"/>
                      <w:sz w:val="21"/>
                      <w:szCs w:val="21"/>
                    </w:rPr>
                    <w:t>污染物</w:t>
                  </w:r>
                </w:p>
              </w:tc>
              <w:tc>
                <w:tcPr>
                  <w:tcW w:w="485" w:type="pct"/>
                  <w:noWrap/>
                  <w:vAlign w:val="center"/>
                </w:tcPr>
                <w:p w14:paraId="0443C51D">
                  <w:pPr>
                    <w:spacing w:line="240" w:lineRule="auto"/>
                    <w:jc w:val="center"/>
                    <w:rPr>
                      <w:b w:val="0"/>
                      <w:color w:val="auto"/>
                      <w:sz w:val="21"/>
                      <w:szCs w:val="21"/>
                    </w:rPr>
                  </w:pPr>
                  <w:r>
                    <w:rPr>
                      <w:rFonts w:hint="eastAsia"/>
                      <w:b/>
                      <w:color w:val="auto"/>
                      <w:sz w:val="21"/>
                      <w:szCs w:val="21"/>
                    </w:rPr>
                    <w:t>平均时间</w:t>
                  </w:r>
                </w:p>
              </w:tc>
              <w:tc>
                <w:tcPr>
                  <w:tcW w:w="739" w:type="pct"/>
                  <w:noWrap/>
                  <w:vAlign w:val="center"/>
                </w:tcPr>
                <w:p w14:paraId="57878CCA">
                  <w:pPr>
                    <w:spacing w:line="240" w:lineRule="auto"/>
                    <w:jc w:val="center"/>
                    <w:rPr>
                      <w:b w:val="0"/>
                      <w:color w:val="auto"/>
                      <w:sz w:val="21"/>
                      <w:szCs w:val="21"/>
                    </w:rPr>
                  </w:pPr>
                  <w:r>
                    <w:rPr>
                      <w:rFonts w:hint="eastAsia"/>
                      <w:b/>
                      <w:color w:val="auto"/>
                      <w:sz w:val="21"/>
                      <w:szCs w:val="21"/>
                    </w:rPr>
                    <w:t>评价标准</w:t>
                  </w:r>
                </w:p>
                <w:p w14:paraId="4C77C1BA">
                  <w:pPr>
                    <w:spacing w:line="240" w:lineRule="auto"/>
                    <w:jc w:val="center"/>
                    <w:rPr>
                      <w:b w:val="0"/>
                      <w:color w:val="auto"/>
                      <w:sz w:val="21"/>
                      <w:szCs w:val="21"/>
                    </w:rPr>
                  </w:pPr>
                  <w:r>
                    <w:rPr>
                      <w:b/>
                      <w:color w:val="auto"/>
                      <w:sz w:val="21"/>
                      <w:szCs w:val="21"/>
                    </w:rPr>
                    <w:t>μg/m</w:t>
                  </w:r>
                  <w:r>
                    <w:rPr>
                      <w:b/>
                      <w:color w:val="auto"/>
                      <w:sz w:val="21"/>
                      <w:szCs w:val="21"/>
                      <w:vertAlign w:val="superscript"/>
                    </w:rPr>
                    <w:t>3</w:t>
                  </w:r>
                </w:p>
              </w:tc>
              <w:tc>
                <w:tcPr>
                  <w:tcW w:w="772" w:type="pct"/>
                  <w:vAlign w:val="center"/>
                </w:tcPr>
                <w:p w14:paraId="215F21E1">
                  <w:pPr>
                    <w:spacing w:line="240" w:lineRule="auto"/>
                    <w:jc w:val="center"/>
                    <w:rPr>
                      <w:b w:val="0"/>
                      <w:color w:val="auto"/>
                      <w:sz w:val="21"/>
                      <w:szCs w:val="21"/>
                    </w:rPr>
                  </w:pPr>
                  <w:r>
                    <w:rPr>
                      <w:b/>
                      <w:color w:val="auto"/>
                      <w:sz w:val="21"/>
                      <w:szCs w:val="21"/>
                    </w:rPr>
                    <w:t>日均值浓度范围μg/m</w:t>
                  </w:r>
                  <w:r>
                    <w:rPr>
                      <w:b/>
                      <w:color w:val="auto"/>
                      <w:sz w:val="21"/>
                      <w:szCs w:val="21"/>
                      <w:vertAlign w:val="superscript"/>
                    </w:rPr>
                    <w:t>3</w:t>
                  </w:r>
                </w:p>
              </w:tc>
              <w:tc>
                <w:tcPr>
                  <w:tcW w:w="696" w:type="pct"/>
                  <w:vAlign w:val="center"/>
                </w:tcPr>
                <w:p w14:paraId="63D6C12F">
                  <w:pPr>
                    <w:spacing w:line="240" w:lineRule="auto"/>
                    <w:jc w:val="center"/>
                    <w:rPr>
                      <w:b w:val="0"/>
                      <w:color w:val="auto"/>
                      <w:sz w:val="21"/>
                      <w:szCs w:val="21"/>
                    </w:rPr>
                  </w:pPr>
                  <w:r>
                    <w:rPr>
                      <w:rFonts w:hint="eastAsia"/>
                      <w:b/>
                      <w:color w:val="auto"/>
                      <w:sz w:val="21"/>
                      <w:szCs w:val="21"/>
                    </w:rPr>
                    <w:t>最大浓度占标率</w:t>
                  </w:r>
                  <w:r>
                    <w:rPr>
                      <w:b/>
                      <w:color w:val="auto"/>
                      <w:sz w:val="21"/>
                      <w:szCs w:val="21"/>
                    </w:rPr>
                    <w:t>%</w:t>
                  </w:r>
                </w:p>
              </w:tc>
              <w:tc>
                <w:tcPr>
                  <w:tcW w:w="394" w:type="pct"/>
                  <w:noWrap/>
                  <w:vAlign w:val="center"/>
                </w:tcPr>
                <w:p w14:paraId="33CF526B">
                  <w:pPr>
                    <w:spacing w:line="240" w:lineRule="auto"/>
                    <w:jc w:val="center"/>
                    <w:rPr>
                      <w:b w:val="0"/>
                      <w:color w:val="auto"/>
                      <w:sz w:val="21"/>
                      <w:szCs w:val="21"/>
                    </w:rPr>
                  </w:pPr>
                  <w:r>
                    <w:rPr>
                      <w:rFonts w:hint="eastAsia"/>
                      <w:b/>
                      <w:color w:val="auto"/>
                      <w:sz w:val="21"/>
                      <w:szCs w:val="21"/>
                    </w:rPr>
                    <w:t>超标率</w:t>
                  </w:r>
                </w:p>
              </w:tc>
              <w:tc>
                <w:tcPr>
                  <w:tcW w:w="446" w:type="pct"/>
                  <w:vAlign w:val="center"/>
                </w:tcPr>
                <w:p w14:paraId="21F71C23">
                  <w:pPr>
                    <w:spacing w:line="240" w:lineRule="auto"/>
                    <w:jc w:val="center"/>
                    <w:rPr>
                      <w:b w:val="0"/>
                      <w:color w:val="auto"/>
                      <w:sz w:val="21"/>
                      <w:szCs w:val="21"/>
                    </w:rPr>
                  </w:pPr>
                  <w:r>
                    <w:rPr>
                      <w:rFonts w:hint="eastAsia"/>
                      <w:b/>
                      <w:color w:val="auto"/>
                      <w:sz w:val="21"/>
                      <w:szCs w:val="21"/>
                    </w:rPr>
                    <w:t>达标情况</w:t>
                  </w:r>
                </w:p>
              </w:tc>
            </w:tr>
            <w:tr w14:paraId="1DD198C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pct"/>
                  <w:noWrap/>
                  <w:vAlign w:val="center"/>
                </w:tcPr>
                <w:p w14:paraId="69AA9D9C">
                  <w:pPr>
                    <w:spacing w:line="240" w:lineRule="auto"/>
                    <w:jc w:val="center"/>
                    <w:rPr>
                      <w:color w:val="auto"/>
                      <w:sz w:val="21"/>
                      <w:szCs w:val="21"/>
                    </w:rPr>
                  </w:pPr>
                  <w:r>
                    <w:rPr>
                      <w:rFonts w:hint="eastAsia"/>
                      <w:color w:val="auto"/>
                      <w:sz w:val="21"/>
                      <w:szCs w:val="21"/>
                    </w:rPr>
                    <w:t>内蒙古禅德光热科技有限公司厂区内</w:t>
                  </w:r>
                </w:p>
              </w:tc>
              <w:tc>
                <w:tcPr>
                  <w:tcW w:w="395" w:type="pct"/>
                  <w:noWrap/>
                  <w:vAlign w:val="center"/>
                </w:tcPr>
                <w:p w14:paraId="1909C040">
                  <w:pPr>
                    <w:spacing w:line="240" w:lineRule="auto"/>
                    <w:jc w:val="center"/>
                    <w:rPr>
                      <w:color w:val="auto"/>
                      <w:sz w:val="21"/>
                      <w:szCs w:val="21"/>
                    </w:rPr>
                  </w:pPr>
                  <w:r>
                    <w:rPr>
                      <w:color w:val="auto"/>
                      <w:sz w:val="21"/>
                      <w:szCs w:val="21"/>
                    </w:rPr>
                    <w:t>TSP</w:t>
                  </w:r>
                </w:p>
              </w:tc>
              <w:tc>
                <w:tcPr>
                  <w:tcW w:w="485" w:type="pct"/>
                  <w:noWrap/>
                  <w:vAlign w:val="center"/>
                </w:tcPr>
                <w:p w14:paraId="5CC565FD">
                  <w:pPr>
                    <w:spacing w:line="240" w:lineRule="auto"/>
                    <w:jc w:val="center"/>
                    <w:rPr>
                      <w:color w:val="auto"/>
                      <w:sz w:val="21"/>
                      <w:szCs w:val="21"/>
                    </w:rPr>
                  </w:pPr>
                  <w:r>
                    <w:rPr>
                      <w:rFonts w:hint="eastAsia"/>
                      <w:color w:val="auto"/>
                      <w:sz w:val="21"/>
                      <w:szCs w:val="21"/>
                    </w:rPr>
                    <w:t>日平均</w:t>
                  </w:r>
                </w:p>
              </w:tc>
              <w:tc>
                <w:tcPr>
                  <w:tcW w:w="739" w:type="pct"/>
                  <w:noWrap/>
                  <w:vAlign w:val="center"/>
                </w:tcPr>
                <w:p w14:paraId="2F39117B">
                  <w:pPr>
                    <w:spacing w:line="240" w:lineRule="auto"/>
                    <w:jc w:val="center"/>
                    <w:rPr>
                      <w:color w:val="auto"/>
                      <w:sz w:val="21"/>
                      <w:szCs w:val="21"/>
                    </w:rPr>
                  </w:pPr>
                  <w:r>
                    <w:rPr>
                      <w:rFonts w:hint="eastAsia"/>
                      <w:color w:val="auto"/>
                      <w:sz w:val="21"/>
                      <w:szCs w:val="21"/>
                    </w:rPr>
                    <w:t>300</w:t>
                  </w:r>
                </w:p>
              </w:tc>
              <w:tc>
                <w:tcPr>
                  <w:tcW w:w="772" w:type="pct"/>
                  <w:vAlign w:val="center"/>
                </w:tcPr>
                <w:p w14:paraId="768764EA">
                  <w:pPr>
                    <w:spacing w:line="240" w:lineRule="auto"/>
                    <w:jc w:val="center"/>
                    <w:rPr>
                      <w:color w:val="auto"/>
                      <w:sz w:val="21"/>
                      <w:szCs w:val="21"/>
                    </w:rPr>
                  </w:pPr>
                  <w:r>
                    <w:rPr>
                      <w:rFonts w:hint="eastAsia"/>
                      <w:color w:val="auto"/>
                      <w:sz w:val="21"/>
                      <w:szCs w:val="21"/>
                    </w:rPr>
                    <w:t>167~213</w:t>
                  </w:r>
                </w:p>
              </w:tc>
              <w:tc>
                <w:tcPr>
                  <w:tcW w:w="696" w:type="pct"/>
                  <w:vAlign w:val="center"/>
                </w:tcPr>
                <w:p w14:paraId="7924E934">
                  <w:pPr>
                    <w:spacing w:line="240" w:lineRule="auto"/>
                    <w:jc w:val="center"/>
                    <w:rPr>
                      <w:color w:val="auto"/>
                      <w:sz w:val="21"/>
                      <w:szCs w:val="21"/>
                    </w:rPr>
                  </w:pPr>
                  <w:r>
                    <w:rPr>
                      <w:rFonts w:hint="eastAsia"/>
                      <w:color w:val="auto"/>
                      <w:sz w:val="21"/>
                      <w:szCs w:val="21"/>
                    </w:rPr>
                    <w:t>71</w:t>
                  </w:r>
                </w:p>
              </w:tc>
              <w:tc>
                <w:tcPr>
                  <w:tcW w:w="394" w:type="pct"/>
                  <w:noWrap/>
                  <w:vAlign w:val="center"/>
                </w:tcPr>
                <w:p w14:paraId="6946829E">
                  <w:pPr>
                    <w:spacing w:line="240" w:lineRule="auto"/>
                    <w:jc w:val="center"/>
                    <w:rPr>
                      <w:color w:val="auto"/>
                      <w:sz w:val="21"/>
                      <w:szCs w:val="21"/>
                    </w:rPr>
                  </w:pPr>
                  <w:r>
                    <w:rPr>
                      <w:color w:val="auto"/>
                      <w:sz w:val="21"/>
                      <w:szCs w:val="21"/>
                    </w:rPr>
                    <w:t>0</w:t>
                  </w:r>
                </w:p>
              </w:tc>
              <w:tc>
                <w:tcPr>
                  <w:tcW w:w="446" w:type="pct"/>
                  <w:vAlign w:val="center"/>
                </w:tcPr>
                <w:p w14:paraId="643127DE">
                  <w:pPr>
                    <w:spacing w:line="240" w:lineRule="auto"/>
                    <w:jc w:val="center"/>
                    <w:rPr>
                      <w:color w:val="auto"/>
                      <w:sz w:val="21"/>
                      <w:szCs w:val="21"/>
                    </w:rPr>
                  </w:pPr>
                  <w:r>
                    <w:rPr>
                      <w:rFonts w:hint="eastAsia"/>
                      <w:color w:val="auto"/>
                      <w:sz w:val="21"/>
                      <w:szCs w:val="21"/>
                    </w:rPr>
                    <w:t>达标</w:t>
                  </w:r>
                </w:p>
              </w:tc>
            </w:tr>
          </w:tbl>
          <w:p w14:paraId="6ED2DC2A">
            <w:pPr>
              <w:autoSpaceDE w:val="0"/>
              <w:autoSpaceDN w:val="0"/>
              <w:ind w:firstLine="480" w:firstLineChars="200"/>
              <w:rPr>
                <w:rFonts w:hint="eastAsia"/>
                <w:color w:val="auto"/>
              </w:rPr>
            </w:pPr>
            <w:r>
              <w:rPr>
                <w:rFonts w:hint="eastAsia"/>
                <w:color w:val="auto"/>
              </w:rPr>
              <w:t>由监测结果可知：监测点TSP的检测值未出现超标现象，满足《环境空气质量标准》(GB3095-2012)中的二级标准；说明当地环境空气质量良好。</w:t>
            </w:r>
          </w:p>
          <w:p w14:paraId="66AEB369">
            <w:pPr>
              <w:pStyle w:val="71"/>
              <w:ind w:firstLine="0" w:firstLineChars="0"/>
              <w:rPr>
                <w:b/>
                <w:bCs/>
                <w:color w:val="auto"/>
              </w:rPr>
            </w:pPr>
            <w:r>
              <w:rPr>
                <w:color w:val="auto"/>
              </w:rPr>
              <w:drawing>
                <wp:inline distT="0" distB="0" distL="114300" distR="114300">
                  <wp:extent cx="5093335" cy="2761615"/>
                  <wp:effectExtent l="0" t="0" r="12065" b="6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3"/>
                          <a:stretch>
                            <a:fillRect/>
                          </a:stretch>
                        </pic:blipFill>
                        <pic:spPr>
                          <a:xfrm>
                            <a:off x="0" y="0"/>
                            <a:ext cx="5093335" cy="2761615"/>
                          </a:xfrm>
                          <a:prstGeom prst="rect">
                            <a:avLst/>
                          </a:prstGeom>
                          <a:noFill/>
                          <a:ln>
                            <a:noFill/>
                          </a:ln>
                        </pic:spPr>
                      </pic:pic>
                    </a:graphicData>
                  </a:graphic>
                </wp:inline>
              </w:drawing>
            </w:r>
          </w:p>
          <w:p w14:paraId="722D2B27">
            <w:pPr>
              <w:pStyle w:val="5"/>
              <w:ind w:firstLine="0" w:firstLineChars="0"/>
              <w:jc w:val="center"/>
              <w:rPr>
                <w:rStyle w:val="69"/>
                <w:color w:val="auto"/>
              </w:rPr>
            </w:pPr>
            <w:r>
              <w:rPr>
                <w:rStyle w:val="69"/>
                <w:rFonts w:hint="eastAsia"/>
                <w:color w:val="auto"/>
              </w:rPr>
              <w:t>图3-1 监测点位图</w:t>
            </w:r>
          </w:p>
          <w:p w14:paraId="09E1FCA3">
            <w:pPr>
              <w:adjustRightInd w:val="0"/>
              <w:snapToGrid w:val="0"/>
              <w:ind w:firstLine="482" w:firstLineChars="200"/>
              <w:jc w:val="left"/>
              <w:rPr>
                <w:b/>
                <w:bCs/>
                <w:color w:val="auto"/>
                <w:kern w:val="0"/>
              </w:rPr>
            </w:pPr>
            <w:r>
              <w:rPr>
                <w:b/>
                <w:bCs/>
                <w:color w:val="auto"/>
                <w:kern w:val="0"/>
              </w:rPr>
              <w:t>2.地表水环境</w:t>
            </w:r>
          </w:p>
          <w:p w14:paraId="4E467C03">
            <w:pPr>
              <w:ind w:firstLine="480"/>
              <w:rPr>
                <w:color w:val="auto"/>
              </w:rPr>
            </w:pPr>
            <w:bookmarkStart w:id="17" w:name="_Hlk100934658"/>
            <w:r>
              <w:rPr>
                <w:color w:val="auto"/>
                <w:kern w:val="0"/>
              </w:rPr>
              <w:t>本项目</w:t>
            </w:r>
            <w:bookmarkEnd w:id="17"/>
            <w:r>
              <w:rPr>
                <w:rFonts w:hint="eastAsia"/>
                <w:color w:val="auto"/>
                <w:kern w:val="0"/>
              </w:rPr>
              <w:t>运营期生产废水进入</w:t>
            </w:r>
            <w:r>
              <w:rPr>
                <w:rFonts w:hint="eastAsia"/>
                <w:color w:val="auto"/>
              </w:rPr>
              <w:t>废水处理厂隆基废水处理系统</w:t>
            </w:r>
            <w:r>
              <w:rPr>
                <w:rFonts w:hint="eastAsia"/>
                <w:color w:val="auto"/>
                <w:kern w:val="0"/>
              </w:rPr>
              <w:t>，不外排。</w:t>
            </w:r>
            <w:r>
              <w:rPr>
                <w:rFonts w:hint="eastAsia"/>
                <w:color w:val="auto"/>
              </w:rPr>
              <w:t>本项目员工为企业现有员工，不新增定员，因此本项目不考虑生活污水产生及排放</w:t>
            </w:r>
            <w:r>
              <w:rPr>
                <w:rFonts w:hint="eastAsia"/>
                <w:color w:val="auto"/>
                <w:kern w:val="0"/>
              </w:rPr>
              <w:t>。</w:t>
            </w:r>
            <w:r>
              <w:rPr>
                <w:color w:val="auto"/>
                <w:kern w:val="0"/>
              </w:rPr>
              <w:t>因此本项目不开展地表水环境质量现状调查。</w:t>
            </w:r>
          </w:p>
          <w:p w14:paraId="36A19022">
            <w:pPr>
              <w:adjustRightInd w:val="0"/>
              <w:snapToGrid w:val="0"/>
              <w:jc w:val="left"/>
              <w:rPr>
                <w:b/>
                <w:bCs/>
                <w:color w:val="auto"/>
                <w:kern w:val="0"/>
              </w:rPr>
            </w:pPr>
            <w:r>
              <w:rPr>
                <w:b/>
                <w:bCs/>
                <w:color w:val="auto"/>
                <w:kern w:val="0"/>
              </w:rPr>
              <w:t>3.声环境</w:t>
            </w:r>
          </w:p>
          <w:p w14:paraId="325380A6">
            <w:pPr>
              <w:pStyle w:val="48"/>
              <w:ind w:firstLine="480" w:firstLineChars="200"/>
              <w:rPr>
                <w:color w:val="auto"/>
              </w:rPr>
            </w:pPr>
            <w:r>
              <w:rPr>
                <w:rFonts w:hint="eastAsia"/>
                <w:color w:val="auto"/>
              </w:rPr>
              <w:t>本项目厂界5</w:t>
            </w:r>
            <w:r>
              <w:rPr>
                <w:color w:val="auto"/>
              </w:rPr>
              <w:t>0</w:t>
            </w:r>
            <w:r>
              <w:rPr>
                <w:rFonts w:hint="eastAsia"/>
                <w:color w:val="auto"/>
              </w:rPr>
              <w:t>m范围内不存在声环境保护目标，因此本项目不开展声环境质量现状调查。</w:t>
            </w:r>
          </w:p>
          <w:p w14:paraId="4135340D">
            <w:pPr>
              <w:adjustRightInd w:val="0"/>
              <w:snapToGrid w:val="0"/>
              <w:jc w:val="left"/>
              <w:rPr>
                <w:b/>
                <w:bCs/>
                <w:color w:val="auto"/>
                <w:kern w:val="0"/>
                <w:szCs w:val="21"/>
              </w:rPr>
            </w:pPr>
            <w:r>
              <w:rPr>
                <w:b/>
                <w:bCs/>
                <w:color w:val="auto"/>
                <w:kern w:val="0"/>
                <w:szCs w:val="21"/>
              </w:rPr>
              <w:t>4.生态环境</w:t>
            </w:r>
          </w:p>
          <w:p w14:paraId="5071B884">
            <w:pPr>
              <w:adjustRightInd w:val="0"/>
              <w:snapToGrid w:val="0"/>
              <w:ind w:firstLine="480" w:firstLineChars="200"/>
              <w:jc w:val="left"/>
              <w:rPr>
                <w:color w:val="auto"/>
                <w:kern w:val="0"/>
                <w:szCs w:val="21"/>
              </w:rPr>
            </w:pPr>
            <w:r>
              <w:rPr>
                <w:color w:val="auto"/>
                <w:kern w:val="0"/>
                <w:szCs w:val="21"/>
              </w:rPr>
              <w:t>本项目</w:t>
            </w:r>
            <w:r>
              <w:rPr>
                <w:rFonts w:hint="eastAsia"/>
                <w:color w:val="auto"/>
                <w:kern w:val="0"/>
                <w:szCs w:val="21"/>
              </w:rPr>
              <w:t>位于鄂尔多斯市</w:t>
            </w:r>
            <w:r>
              <w:rPr>
                <w:color w:val="auto"/>
              </w:rPr>
              <w:t>蒙苏经济开发区零碳产业园工业废水处理厂</w:t>
            </w:r>
            <w:r>
              <w:rPr>
                <w:rFonts w:hint="eastAsia"/>
                <w:color w:val="auto"/>
              </w:rPr>
              <w:t>厂区内</w:t>
            </w:r>
            <w:r>
              <w:rPr>
                <w:color w:val="auto"/>
                <w:kern w:val="0"/>
                <w:szCs w:val="21"/>
              </w:rPr>
              <w:t>，用地范围内无生态环境保护目标，因此不开展生态现状调查。</w:t>
            </w:r>
          </w:p>
          <w:p w14:paraId="4B624889">
            <w:pPr>
              <w:adjustRightInd w:val="0"/>
              <w:snapToGrid w:val="0"/>
              <w:jc w:val="left"/>
              <w:rPr>
                <w:b/>
                <w:bCs/>
                <w:color w:val="auto"/>
                <w:kern w:val="0"/>
                <w:szCs w:val="21"/>
              </w:rPr>
            </w:pPr>
            <w:r>
              <w:rPr>
                <w:b/>
                <w:bCs/>
                <w:color w:val="auto"/>
                <w:kern w:val="0"/>
                <w:szCs w:val="21"/>
              </w:rPr>
              <w:t>5.地下水、土壤环境</w:t>
            </w:r>
          </w:p>
          <w:p w14:paraId="5EE3466D">
            <w:pPr>
              <w:adjustRightInd w:val="0"/>
              <w:snapToGrid w:val="0"/>
              <w:ind w:firstLine="480" w:firstLineChars="200"/>
              <w:jc w:val="left"/>
              <w:rPr>
                <w:color w:val="auto"/>
                <w:kern w:val="0"/>
                <w:szCs w:val="21"/>
              </w:rPr>
            </w:pPr>
            <w:r>
              <w:rPr>
                <w:rFonts w:hint="eastAsia"/>
                <w:color w:val="auto"/>
                <w:kern w:val="0"/>
                <w:szCs w:val="21"/>
              </w:rPr>
              <w:t>依照《建设项目环境影响报告表编制技术指南（污染影响类）》（试行），地下水、土壤环境原则上不开展环境质量现状调查。建设项目存在土壤、地下水污染途径的，应结合污染源、保护目标分布情况开展现状调查以留作背景值。</w:t>
            </w:r>
          </w:p>
          <w:p w14:paraId="3EBE4C1A">
            <w:pPr>
              <w:adjustRightInd w:val="0"/>
              <w:snapToGrid w:val="0"/>
              <w:ind w:firstLine="480" w:firstLineChars="200"/>
              <w:jc w:val="left"/>
              <w:rPr>
                <w:color w:val="auto"/>
                <w:kern w:val="0"/>
                <w:szCs w:val="21"/>
              </w:rPr>
            </w:pPr>
            <w:r>
              <w:rPr>
                <w:color w:val="auto"/>
                <w:kern w:val="0"/>
                <w:szCs w:val="21"/>
              </w:rPr>
              <w:t>本项目</w:t>
            </w:r>
            <w:r>
              <w:rPr>
                <w:rFonts w:hint="eastAsia"/>
                <w:color w:val="auto"/>
                <w:kern w:val="0"/>
                <w:szCs w:val="21"/>
              </w:rPr>
              <w:t>地面进行了硬化，</w:t>
            </w:r>
            <w:r>
              <w:rPr>
                <w:color w:val="auto"/>
                <w:kern w:val="0"/>
                <w:szCs w:val="21"/>
              </w:rPr>
              <w:t>正常状况下无地下水和土壤污染源和污染途径，因此本项目不单独开展地下水和土壤环境质量现状调查。</w:t>
            </w:r>
          </w:p>
        </w:tc>
      </w:tr>
      <w:tr w14:paraId="79C96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17" w:type="dxa"/>
            <w:vAlign w:val="center"/>
          </w:tcPr>
          <w:p w14:paraId="6A4F9DD5">
            <w:pPr>
              <w:adjustRightInd w:val="0"/>
              <w:snapToGrid w:val="0"/>
              <w:jc w:val="center"/>
              <w:rPr>
                <w:color w:val="auto"/>
                <w:kern w:val="0"/>
                <w:szCs w:val="21"/>
              </w:rPr>
            </w:pPr>
            <w:r>
              <w:rPr>
                <w:color w:val="auto"/>
                <w:kern w:val="0"/>
                <w:szCs w:val="21"/>
              </w:rPr>
              <w:t>环境</w:t>
            </w:r>
          </w:p>
          <w:p w14:paraId="69717AF9">
            <w:pPr>
              <w:adjustRightInd w:val="0"/>
              <w:snapToGrid w:val="0"/>
              <w:jc w:val="center"/>
              <w:rPr>
                <w:color w:val="auto"/>
                <w:kern w:val="0"/>
                <w:szCs w:val="21"/>
              </w:rPr>
            </w:pPr>
            <w:r>
              <w:rPr>
                <w:color w:val="auto"/>
                <w:kern w:val="0"/>
                <w:szCs w:val="21"/>
              </w:rPr>
              <w:t>保护</w:t>
            </w:r>
          </w:p>
          <w:p w14:paraId="4FB2E9BC">
            <w:pPr>
              <w:adjustRightInd w:val="0"/>
              <w:snapToGrid w:val="0"/>
              <w:jc w:val="center"/>
              <w:rPr>
                <w:color w:val="auto"/>
                <w:kern w:val="0"/>
                <w:szCs w:val="21"/>
              </w:rPr>
            </w:pPr>
            <w:r>
              <w:rPr>
                <w:color w:val="auto"/>
                <w:kern w:val="0"/>
                <w:szCs w:val="21"/>
              </w:rPr>
              <w:t>目标</w:t>
            </w:r>
          </w:p>
        </w:tc>
        <w:tc>
          <w:tcPr>
            <w:tcW w:w="8244" w:type="dxa"/>
            <w:vAlign w:val="center"/>
          </w:tcPr>
          <w:p w14:paraId="2AEC0EC9">
            <w:pPr>
              <w:adjustRightInd w:val="0"/>
              <w:snapToGrid w:val="0"/>
              <w:ind w:firstLine="480" w:firstLineChars="200"/>
              <w:rPr>
                <w:color w:val="auto"/>
              </w:rPr>
            </w:pPr>
            <w:r>
              <w:rPr>
                <w:rFonts w:hint="eastAsia"/>
                <w:color w:val="auto"/>
              </w:rPr>
              <w:t>本项目位于</w:t>
            </w:r>
            <w:r>
              <w:rPr>
                <w:color w:val="auto"/>
              </w:rPr>
              <w:t>鄂尔多斯市蒙苏经济开发区零碳产业园工业废水处理厂</w:t>
            </w:r>
            <w:r>
              <w:rPr>
                <w:rFonts w:hint="eastAsia"/>
                <w:color w:val="auto"/>
              </w:rPr>
              <w:t>厂区内。根据现场踏勘，本项目选址及评价范围内无自然保护区、饮用水水源地、风景名胜区和文物古迹保护单位等敏感保护目标。</w:t>
            </w:r>
          </w:p>
          <w:p w14:paraId="3A434D21">
            <w:pPr>
              <w:adjustRightInd w:val="0"/>
              <w:snapToGrid w:val="0"/>
              <w:rPr>
                <w:b/>
                <w:bCs/>
                <w:color w:val="auto"/>
                <w:kern w:val="0"/>
                <w:szCs w:val="21"/>
              </w:rPr>
            </w:pPr>
            <w:r>
              <w:rPr>
                <w:b/>
                <w:bCs/>
                <w:color w:val="auto"/>
                <w:kern w:val="0"/>
                <w:szCs w:val="21"/>
              </w:rPr>
              <w:t>1.大气环境</w:t>
            </w:r>
          </w:p>
          <w:p w14:paraId="2345F314">
            <w:pPr>
              <w:adjustRightInd w:val="0"/>
              <w:snapToGrid w:val="0"/>
              <w:ind w:firstLine="480" w:firstLineChars="200"/>
              <w:rPr>
                <w:color w:val="auto"/>
                <w:kern w:val="0"/>
                <w:szCs w:val="21"/>
              </w:rPr>
            </w:pPr>
            <w:r>
              <w:rPr>
                <w:color w:val="auto"/>
                <w:kern w:val="0"/>
                <w:szCs w:val="21"/>
              </w:rPr>
              <w:t>本项目厂界外500米范围内无自然保护区、风景名胜区、居住区、文化区和农村地区中人群较集中的区域等保护目标</w:t>
            </w:r>
            <w:r>
              <w:rPr>
                <w:rFonts w:hint="eastAsia"/>
                <w:color w:val="auto"/>
                <w:kern w:val="0"/>
                <w:szCs w:val="21"/>
              </w:rPr>
              <w:t>，基本为其它工业项目和开发区道路等距项目区，</w:t>
            </w:r>
            <w:r>
              <w:rPr>
                <w:color w:val="auto"/>
                <w:kern w:val="0"/>
                <w:szCs w:val="21"/>
              </w:rPr>
              <w:t>最近居民为</w:t>
            </w:r>
            <w:r>
              <w:rPr>
                <w:rFonts w:hint="eastAsia"/>
                <w:color w:val="auto"/>
                <w:kern w:val="0"/>
                <w:szCs w:val="21"/>
              </w:rPr>
              <w:t>蒸汽锅炉间厂界外979.0</w:t>
            </w:r>
            <w:r>
              <w:rPr>
                <w:color w:val="auto"/>
                <w:kern w:val="0"/>
                <w:szCs w:val="21"/>
              </w:rPr>
              <w:t>m处</w:t>
            </w:r>
            <w:r>
              <w:rPr>
                <w:rFonts w:hint="eastAsia"/>
                <w:color w:val="auto"/>
                <w:kern w:val="0"/>
                <w:szCs w:val="21"/>
              </w:rPr>
              <w:t>阿格图四队</w:t>
            </w:r>
            <w:r>
              <w:rPr>
                <w:color w:val="auto"/>
                <w:kern w:val="0"/>
                <w:szCs w:val="21"/>
              </w:rPr>
              <w:t>。</w:t>
            </w:r>
          </w:p>
          <w:p w14:paraId="631240D8">
            <w:pPr>
              <w:adjustRightInd w:val="0"/>
              <w:snapToGrid w:val="0"/>
              <w:rPr>
                <w:b/>
                <w:bCs/>
                <w:color w:val="auto"/>
                <w:kern w:val="0"/>
                <w:szCs w:val="21"/>
              </w:rPr>
            </w:pPr>
            <w:r>
              <w:rPr>
                <w:b/>
                <w:bCs/>
                <w:color w:val="auto"/>
                <w:kern w:val="0"/>
                <w:szCs w:val="21"/>
              </w:rPr>
              <w:t>2.声环境</w:t>
            </w:r>
          </w:p>
          <w:p w14:paraId="3C17A219">
            <w:pPr>
              <w:adjustRightInd w:val="0"/>
              <w:snapToGrid w:val="0"/>
              <w:ind w:firstLine="480" w:firstLineChars="200"/>
              <w:rPr>
                <w:color w:val="auto"/>
                <w:kern w:val="0"/>
                <w:szCs w:val="21"/>
              </w:rPr>
            </w:pPr>
            <w:r>
              <w:rPr>
                <w:color w:val="auto"/>
                <w:kern w:val="0"/>
                <w:szCs w:val="21"/>
              </w:rPr>
              <w:t>本项目厂界外50米范围内无声环境保护目标。</w:t>
            </w:r>
          </w:p>
          <w:p w14:paraId="5021EC95">
            <w:pPr>
              <w:adjustRightInd w:val="0"/>
              <w:snapToGrid w:val="0"/>
              <w:rPr>
                <w:b/>
                <w:bCs/>
                <w:color w:val="auto"/>
                <w:kern w:val="0"/>
                <w:szCs w:val="21"/>
              </w:rPr>
            </w:pPr>
            <w:r>
              <w:rPr>
                <w:b/>
                <w:bCs/>
                <w:color w:val="auto"/>
                <w:kern w:val="0"/>
                <w:szCs w:val="21"/>
              </w:rPr>
              <w:t>3.地下水环境</w:t>
            </w:r>
          </w:p>
          <w:p w14:paraId="2E561809">
            <w:pPr>
              <w:adjustRightInd w:val="0"/>
              <w:snapToGrid w:val="0"/>
              <w:ind w:firstLine="480" w:firstLineChars="200"/>
              <w:rPr>
                <w:color w:val="auto"/>
                <w:kern w:val="0"/>
                <w:szCs w:val="21"/>
              </w:rPr>
            </w:pPr>
            <w:r>
              <w:rPr>
                <w:color w:val="auto"/>
                <w:kern w:val="0"/>
                <w:szCs w:val="21"/>
              </w:rPr>
              <w:t>本项目厂界外500米范围内无地下水集中式饮用水水源和热水、矿泉水、温泉等特殊地下水资源。</w:t>
            </w:r>
          </w:p>
          <w:p w14:paraId="0A565AC5">
            <w:pPr>
              <w:adjustRightInd w:val="0"/>
              <w:snapToGrid w:val="0"/>
              <w:rPr>
                <w:b/>
                <w:bCs/>
                <w:color w:val="auto"/>
                <w:kern w:val="0"/>
                <w:szCs w:val="21"/>
              </w:rPr>
            </w:pPr>
            <w:r>
              <w:rPr>
                <w:b/>
                <w:bCs/>
                <w:color w:val="auto"/>
                <w:kern w:val="0"/>
                <w:szCs w:val="21"/>
              </w:rPr>
              <w:t>4.</w:t>
            </w:r>
            <w:r>
              <w:rPr>
                <w:rFonts w:hint="eastAsia"/>
                <w:b/>
                <w:bCs/>
                <w:color w:val="auto"/>
                <w:kern w:val="0"/>
                <w:szCs w:val="21"/>
              </w:rPr>
              <w:t>生态环境</w:t>
            </w:r>
          </w:p>
          <w:p w14:paraId="05AAA958">
            <w:pPr>
              <w:ind w:firstLine="480" w:firstLineChars="200"/>
              <w:rPr>
                <w:color w:val="auto"/>
              </w:rPr>
            </w:pPr>
            <w:r>
              <w:rPr>
                <w:rFonts w:hint="eastAsia"/>
                <w:color w:val="auto"/>
              </w:rPr>
              <w:t>本项目用地范围内无生态环境保护目标。</w:t>
            </w:r>
          </w:p>
          <w:p w14:paraId="415D388F">
            <w:pPr>
              <w:pStyle w:val="52"/>
              <w:rPr>
                <w:color w:val="auto"/>
              </w:rPr>
            </w:pPr>
            <w:r>
              <w:rPr>
                <w:color w:val="auto"/>
              </w:rPr>
              <w:t>表</w:t>
            </w:r>
            <w:r>
              <w:rPr>
                <w:rFonts w:hint="eastAsia"/>
                <w:color w:val="auto"/>
              </w:rPr>
              <w:t>3-3  环境保护目标一览表</w:t>
            </w:r>
          </w:p>
          <w:tbl>
            <w:tblPr>
              <w:tblStyle w:val="1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74"/>
              <w:gridCol w:w="885"/>
              <w:gridCol w:w="7"/>
              <w:gridCol w:w="711"/>
              <w:gridCol w:w="724"/>
              <w:gridCol w:w="681"/>
              <w:gridCol w:w="681"/>
              <w:gridCol w:w="814"/>
              <w:gridCol w:w="5"/>
              <w:gridCol w:w="466"/>
              <w:gridCol w:w="37"/>
              <w:gridCol w:w="466"/>
              <w:gridCol w:w="1877"/>
            </w:tblGrid>
            <w:tr w14:paraId="123F09A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Merge w:val="restart"/>
                  <w:vAlign w:val="center"/>
                </w:tcPr>
                <w:p w14:paraId="6C00A260">
                  <w:pPr>
                    <w:pStyle w:val="25"/>
                    <w:jc w:val="center"/>
                    <w:rPr>
                      <w:color w:val="auto"/>
                    </w:rPr>
                  </w:pPr>
                  <w:r>
                    <w:rPr>
                      <w:color w:val="auto"/>
                    </w:rPr>
                    <w:t>环境要素</w:t>
                  </w:r>
                </w:p>
              </w:tc>
              <w:tc>
                <w:tcPr>
                  <w:tcW w:w="551" w:type="pct"/>
                  <w:vMerge w:val="restart"/>
                  <w:vAlign w:val="center"/>
                </w:tcPr>
                <w:p w14:paraId="02AB69B9">
                  <w:pPr>
                    <w:pStyle w:val="25"/>
                    <w:jc w:val="center"/>
                    <w:rPr>
                      <w:color w:val="auto"/>
                    </w:rPr>
                  </w:pPr>
                  <w:r>
                    <w:rPr>
                      <w:color w:val="auto"/>
                    </w:rPr>
                    <w:t>名称</w:t>
                  </w:r>
                </w:p>
              </w:tc>
              <w:tc>
                <w:tcPr>
                  <w:tcW w:w="898" w:type="pct"/>
                  <w:gridSpan w:val="3"/>
                  <w:vAlign w:val="center"/>
                </w:tcPr>
                <w:p w14:paraId="09DC429E">
                  <w:pPr>
                    <w:pStyle w:val="25"/>
                    <w:jc w:val="center"/>
                    <w:rPr>
                      <w:color w:val="auto"/>
                    </w:rPr>
                  </w:pPr>
                  <w:r>
                    <w:rPr>
                      <w:color w:val="auto"/>
                    </w:rPr>
                    <w:t>坐标</w:t>
                  </w:r>
                </w:p>
              </w:tc>
              <w:tc>
                <w:tcPr>
                  <w:tcW w:w="424" w:type="pct"/>
                  <w:vMerge w:val="restart"/>
                  <w:vAlign w:val="center"/>
                </w:tcPr>
                <w:p w14:paraId="508AAA58">
                  <w:pPr>
                    <w:pStyle w:val="25"/>
                    <w:jc w:val="center"/>
                    <w:rPr>
                      <w:color w:val="auto"/>
                    </w:rPr>
                  </w:pPr>
                  <w:r>
                    <w:rPr>
                      <w:color w:val="auto"/>
                    </w:rPr>
                    <w:t>保护对象</w:t>
                  </w:r>
                </w:p>
              </w:tc>
              <w:tc>
                <w:tcPr>
                  <w:tcW w:w="424" w:type="pct"/>
                  <w:vMerge w:val="restart"/>
                  <w:vAlign w:val="center"/>
                </w:tcPr>
                <w:p w14:paraId="604A94C9">
                  <w:pPr>
                    <w:pStyle w:val="25"/>
                    <w:jc w:val="center"/>
                    <w:rPr>
                      <w:color w:val="auto"/>
                    </w:rPr>
                  </w:pPr>
                  <w:r>
                    <w:rPr>
                      <w:color w:val="auto"/>
                    </w:rPr>
                    <w:t>保护内容</w:t>
                  </w:r>
                </w:p>
              </w:tc>
              <w:tc>
                <w:tcPr>
                  <w:tcW w:w="510" w:type="pct"/>
                  <w:gridSpan w:val="2"/>
                  <w:vMerge w:val="restart"/>
                  <w:vAlign w:val="center"/>
                </w:tcPr>
                <w:p w14:paraId="457D550F">
                  <w:pPr>
                    <w:pStyle w:val="25"/>
                    <w:jc w:val="center"/>
                    <w:rPr>
                      <w:color w:val="auto"/>
                    </w:rPr>
                  </w:pPr>
                  <w:r>
                    <w:rPr>
                      <w:color w:val="auto"/>
                    </w:rPr>
                    <w:t>环境功能区</w:t>
                  </w:r>
                </w:p>
              </w:tc>
              <w:tc>
                <w:tcPr>
                  <w:tcW w:w="290" w:type="pct"/>
                  <w:vMerge w:val="restart"/>
                  <w:vAlign w:val="center"/>
                </w:tcPr>
                <w:p w14:paraId="38C0F86B">
                  <w:pPr>
                    <w:pStyle w:val="25"/>
                    <w:jc w:val="center"/>
                    <w:rPr>
                      <w:color w:val="auto"/>
                    </w:rPr>
                  </w:pPr>
                  <w:r>
                    <w:rPr>
                      <w:color w:val="auto"/>
                    </w:rPr>
                    <w:t>相对厂址方位</w:t>
                  </w:r>
                </w:p>
              </w:tc>
              <w:tc>
                <w:tcPr>
                  <w:tcW w:w="313" w:type="pct"/>
                  <w:gridSpan w:val="2"/>
                  <w:vMerge w:val="restart"/>
                  <w:vAlign w:val="center"/>
                </w:tcPr>
                <w:p w14:paraId="7A11F21E">
                  <w:pPr>
                    <w:pStyle w:val="25"/>
                    <w:jc w:val="center"/>
                    <w:rPr>
                      <w:color w:val="auto"/>
                    </w:rPr>
                  </w:pPr>
                  <w:r>
                    <w:rPr>
                      <w:rFonts w:hint="eastAsia"/>
                      <w:color w:val="auto"/>
                    </w:rPr>
                    <w:t>相对厂界距离/m</w:t>
                  </w:r>
                </w:p>
              </w:tc>
              <w:tc>
                <w:tcPr>
                  <w:tcW w:w="1169" w:type="pct"/>
                  <w:vMerge w:val="restart"/>
                  <w:vAlign w:val="center"/>
                </w:tcPr>
                <w:p w14:paraId="73D80950">
                  <w:pPr>
                    <w:pStyle w:val="25"/>
                    <w:jc w:val="center"/>
                    <w:rPr>
                      <w:color w:val="auto"/>
                    </w:rPr>
                  </w:pPr>
                  <w:r>
                    <w:rPr>
                      <w:color w:val="auto"/>
                    </w:rPr>
                    <w:t>保护级别</w:t>
                  </w:r>
                </w:p>
              </w:tc>
            </w:tr>
            <w:tr w14:paraId="2ABE63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Merge w:val="continue"/>
                  <w:vAlign w:val="center"/>
                </w:tcPr>
                <w:p w14:paraId="1416223A">
                  <w:pPr>
                    <w:pStyle w:val="25"/>
                    <w:jc w:val="center"/>
                    <w:rPr>
                      <w:color w:val="auto"/>
                    </w:rPr>
                  </w:pPr>
                </w:p>
              </w:tc>
              <w:tc>
                <w:tcPr>
                  <w:tcW w:w="551" w:type="pct"/>
                  <w:vMerge w:val="continue"/>
                  <w:vAlign w:val="center"/>
                </w:tcPr>
                <w:p w14:paraId="1D6EF293">
                  <w:pPr>
                    <w:pStyle w:val="25"/>
                    <w:jc w:val="center"/>
                    <w:rPr>
                      <w:color w:val="auto"/>
                    </w:rPr>
                  </w:pPr>
                </w:p>
              </w:tc>
              <w:tc>
                <w:tcPr>
                  <w:tcW w:w="447" w:type="pct"/>
                  <w:gridSpan w:val="2"/>
                  <w:vAlign w:val="center"/>
                </w:tcPr>
                <w:p w14:paraId="48DFDF5E">
                  <w:pPr>
                    <w:pStyle w:val="25"/>
                    <w:jc w:val="center"/>
                    <w:rPr>
                      <w:color w:val="auto"/>
                    </w:rPr>
                  </w:pPr>
                  <w:r>
                    <w:rPr>
                      <w:rFonts w:hint="eastAsia"/>
                      <w:color w:val="auto"/>
                    </w:rPr>
                    <w:t>X</w:t>
                  </w:r>
                </w:p>
              </w:tc>
              <w:tc>
                <w:tcPr>
                  <w:tcW w:w="450" w:type="pct"/>
                  <w:vAlign w:val="center"/>
                </w:tcPr>
                <w:p w14:paraId="67C47B81">
                  <w:pPr>
                    <w:pStyle w:val="25"/>
                    <w:jc w:val="center"/>
                    <w:rPr>
                      <w:color w:val="auto"/>
                    </w:rPr>
                  </w:pPr>
                  <w:r>
                    <w:rPr>
                      <w:rFonts w:hint="eastAsia"/>
                      <w:color w:val="auto"/>
                    </w:rPr>
                    <w:t>Y</w:t>
                  </w:r>
                </w:p>
              </w:tc>
              <w:tc>
                <w:tcPr>
                  <w:tcW w:w="424" w:type="pct"/>
                  <w:vMerge w:val="continue"/>
                  <w:vAlign w:val="center"/>
                </w:tcPr>
                <w:p w14:paraId="504B819E">
                  <w:pPr>
                    <w:pStyle w:val="25"/>
                    <w:jc w:val="center"/>
                    <w:rPr>
                      <w:color w:val="auto"/>
                    </w:rPr>
                  </w:pPr>
                </w:p>
              </w:tc>
              <w:tc>
                <w:tcPr>
                  <w:tcW w:w="424" w:type="pct"/>
                  <w:vMerge w:val="continue"/>
                  <w:vAlign w:val="center"/>
                </w:tcPr>
                <w:p w14:paraId="290C8AF9">
                  <w:pPr>
                    <w:pStyle w:val="25"/>
                    <w:jc w:val="center"/>
                    <w:rPr>
                      <w:color w:val="auto"/>
                    </w:rPr>
                  </w:pPr>
                </w:p>
              </w:tc>
              <w:tc>
                <w:tcPr>
                  <w:tcW w:w="510" w:type="pct"/>
                  <w:gridSpan w:val="2"/>
                  <w:vMerge w:val="continue"/>
                  <w:vAlign w:val="center"/>
                </w:tcPr>
                <w:p w14:paraId="263E26A6">
                  <w:pPr>
                    <w:pStyle w:val="25"/>
                    <w:jc w:val="center"/>
                    <w:rPr>
                      <w:color w:val="auto"/>
                    </w:rPr>
                  </w:pPr>
                </w:p>
              </w:tc>
              <w:tc>
                <w:tcPr>
                  <w:tcW w:w="290" w:type="pct"/>
                  <w:vMerge w:val="continue"/>
                  <w:vAlign w:val="center"/>
                </w:tcPr>
                <w:p w14:paraId="0AB94D8D">
                  <w:pPr>
                    <w:pStyle w:val="25"/>
                    <w:jc w:val="center"/>
                    <w:rPr>
                      <w:color w:val="auto"/>
                    </w:rPr>
                  </w:pPr>
                </w:p>
              </w:tc>
              <w:tc>
                <w:tcPr>
                  <w:tcW w:w="313" w:type="pct"/>
                  <w:gridSpan w:val="2"/>
                  <w:vMerge w:val="continue"/>
                  <w:vAlign w:val="center"/>
                </w:tcPr>
                <w:p w14:paraId="0B42187E">
                  <w:pPr>
                    <w:pStyle w:val="25"/>
                    <w:jc w:val="center"/>
                    <w:rPr>
                      <w:color w:val="auto"/>
                    </w:rPr>
                  </w:pPr>
                </w:p>
              </w:tc>
              <w:tc>
                <w:tcPr>
                  <w:tcW w:w="1169" w:type="pct"/>
                  <w:vMerge w:val="continue"/>
                  <w:vAlign w:val="center"/>
                </w:tcPr>
                <w:p w14:paraId="1C34907B">
                  <w:pPr>
                    <w:pStyle w:val="25"/>
                    <w:jc w:val="center"/>
                    <w:rPr>
                      <w:color w:val="auto"/>
                    </w:rPr>
                  </w:pPr>
                </w:p>
              </w:tc>
            </w:tr>
            <w:tr w14:paraId="0ACE9CE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Align w:val="center"/>
                </w:tcPr>
                <w:p w14:paraId="2C7E3C55">
                  <w:pPr>
                    <w:pStyle w:val="25"/>
                    <w:jc w:val="center"/>
                    <w:rPr>
                      <w:color w:val="auto"/>
                    </w:rPr>
                  </w:pPr>
                  <w:r>
                    <w:rPr>
                      <w:color w:val="auto"/>
                    </w:rPr>
                    <w:t>大气环境</w:t>
                  </w:r>
                </w:p>
              </w:tc>
              <w:tc>
                <w:tcPr>
                  <w:tcW w:w="3411" w:type="pct"/>
                  <w:gridSpan w:val="11"/>
                  <w:vAlign w:val="center"/>
                </w:tcPr>
                <w:p w14:paraId="6B7D696D">
                  <w:pPr>
                    <w:pStyle w:val="25"/>
                    <w:jc w:val="center"/>
                    <w:rPr>
                      <w:color w:val="auto"/>
                    </w:rPr>
                  </w:pPr>
                  <w:r>
                    <w:rPr>
                      <w:color w:val="auto"/>
                    </w:rPr>
                    <w:t>项目所在厂区厂界周边500米范围内无自然保护区、风景名胜区、居住区、文化区和农村地区中人群较集中的区域等保护目标</w:t>
                  </w:r>
                </w:p>
              </w:tc>
              <w:tc>
                <w:tcPr>
                  <w:tcW w:w="1169" w:type="pct"/>
                  <w:vAlign w:val="center"/>
                </w:tcPr>
                <w:p w14:paraId="1122028A">
                  <w:pPr>
                    <w:pStyle w:val="25"/>
                    <w:jc w:val="center"/>
                    <w:rPr>
                      <w:color w:val="auto"/>
                    </w:rPr>
                  </w:pPr>
                  <w:r>
                    <w:rPr>
                      <w:color w:val="auto"/>
                    </w:rPr>
                    <w:t>《环境空气质量标 准》（GB3095-2012）二级</w:t>
                  </w:r>
                </w:p>
              </w:tc>
            </w:tr>
            <w:tr w14:paraId="0021B4A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Align w:val="center"/>
                </w:tcPr>
                <w:p w14:paraId="6976C3D4">
                  <w:pPr>
                    <w:pStyle w:val="25"/>
                    <w:jc w:val="center"/>
                    <w:rPr>
                      <w:color w:val="auto"/>
                    </w:rPr>
                  </w:pPr>
                  <w:r>
                    <w:rPr>
                      <w:color w:val="auto"/>
                    </w:rPr>
                    <w:t>声环境</w:t>
                  </w:r>
                </w:p>
              </w:tc>
              <w:tc>
                <w:tcPr>
                  <w:tcW w:w="3411" w:type="pct"/>
                  <w:gridSpan w:val="11"/>
                  <w:vAlign w:val="center"/>
                </w:tcPr>
                <w:p w14:paraId="3C1BC426">
                  <w:pPr>
                    <w:pStyle w:val="25"/>
                    <w:jc w:val="center"/>
                    <w:rPr>
                      <w:color w:val="auto"/>
                    </w:rPr>
                  </w:pPr>
                  <w:r>
                    <w:rPr>
                      <w:rFonts w:hint="eastAsia"/>
                      <w:color w:val="auto"/>
                    </w:rPr>
                    <w:t>项目所在厂区厂界外50米范围内无声环境保护目标</w:t>
                  </w:r>
                </w:p>
              </w:tc>
              <w:tc>
                <w:tcPr>
                  <w:tcW w:w="1169" w:type="pct"/>
                  <w:vAlign w:val="center"/>
                </w:tcPr>
                <w:p w14:paraId="593D46FA">
                  <w:pPr>
                    <w:pStyle w:val="25"/>
                    <w:jc w:val="center"/>
                    <w:rPr>
                      <w:color w:val="auto"/>
                    </w:rPr>
                  </w:pPr>
                  <w:r>
                    <w:rPr>
                      <w:color w:val="auto"/>
                    </w:rPr>
                    <w:t>《声环境质量标准》（GB3096-2008）</w:t>
                  </w:r>
                  <w:r>
                    <w:rPr>
                      <w:rFonts w:hint="eastAsia"/>
                      <w:color w:val="auto"/>
                    </w:rPr>
                    <w:t>3</w:t>
                  </w:r>
                  <w:r>
                    <w:rPr>
                      <w:color w:val="auto"/>
                    </w:rPr>
                    <w:t>类标准</w:t>
                  </w:r>
                </w:p>
              </w:tc>
            </w:tr>
            <w:tr w14:paraId="74D621B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Align w:val="center"/>
                </w:tcPr>
                <w:p w14:paraId="7AF54EC2">
                  <w:pPr>
                    <w:pStyle w:val="25"/>
                    <w:jc w:val="center"/>
                    <w:rPr>
                      <w:color w:val="auto"/>
                    </w:rPr>
                  </w:pPr>
                  <w:r>
                    <w:rPr>
                      <w:color w:val="auto"/>
                    </w:rPr>
                    <w:t>地下水环境</w:t>
                  </w:r>
                </w:p>
              </w:tc>
              <w:tc>
                <w:tcPr>
                  <w:tcW w:w="3411" w:type="pct"/>
                  <w:gridSpan w:val="11"/>
                  <w:vAlign w:val="center"/>
                </w:tcPr>
                <w:p w14:paraId="47D6BBDA">
                  <w:pPr>
                    <w:pStyle w:val="25"/>
                    <w:jc w:val="center"/>
                    <w:rPr>
                      <w:color w:val="auto"/>
                    </w:rPr>
                  </w:pPr>
                  <w:r>
                    <w:rPr>
                      <w:color w:val="auto"/>
                    </w:rPr>
                    <w:t>项目所在厂区厂界外500米范围内无地下水集中式饮用水水源和热水、矿泉水、温泉等特殊地下水资源</w:t>
                  </w:r>
                </w:p>
              </w:tc>
              <w:tc>
                <w:tcPr>
                  <w:tcW w:w="1169" w:type="pct"/>
                  <w:vAlign w:val="center"/>
                </w:tcPr>
                <w:p w14:paraId="40EDB0F8">
                  <w:pPr>
                    <w:pStyle w:val="25"/>
                    <w:jc w:val="center"/>
                    <w:rPr>
                      <w:color w:val="auto"/>
                    </w:rPr>
                  </w:pPr>
                  <w:r>
                    <w:rPr>
                      <w:color w:val="auto"/>
                    </w:rPr>
                    <w:t>《地下水质量标准》（GB/T14848-2017）Ⅲ类标准</w:t>
                  </w:r>
                </w:p>
              </w:tc>
            </w:tr>
            <w:tr w14:paraId="22E7D7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Align w:val="center"/>
                </w:tcPr>
                <w:p w14:paraId="42099607">
                  <w:pPr>
                    <w:pStyle w:val="25"/>
                    <w:jc w:val="center"/>
                    <w:rPr>
                      <w:color w:val="auto"/>
                    </w:rPr>
                  </w:pPr>
                  <w:r>
                    <w:rPr>
                      <w:rFonts w:hint="eastAsia"/>
                      <w:color w:val="auto"/>
                    </w:rPr>
                    <w:t>生态环境</w:t>
                  </w:r>
                </w:p>
              </w:tc>
              <w:tc>
                <w:tcPr>
                  <w:tcW w:w="3411" w:type="pct"/>
                  <w:gridSpan w:val="11"/>
                  <w:vAlign w:val="center"/>
                </w:tcPr>
                <w:p w14:paraId="1A706091">
                  <w:pPr>
                    <w:pStyle w:val="25"/>
                    <w:jc w:val="center"/>
                    <w:rPr>
                      <w:color w:val="auto"/>
                    </w:rPr>
                  </w:pPr>
                  <w:r>
                    <w:rPr>
                      <w:color w:val="auto"/>
                    </w:rPr>
                    <w:t>项目用地范围内</w:t>
                  </w:r>
                  <w:r>
                    <w:rPr>
                      <w:rFonts w:hint="eastAsia"/>
                      <w:color w:val="auto"/>
                    </w:rPr>
                    <w:t>无生态环境保护目标</w:t>
                  </w:r>
                </w:p>
              </w:tc>
              <w:tc>
                <w:tcPr>
                  <w:tcW w:w="1169" w:type="pct"/>
                  <w:vAlign w:val="center"/>
                </w:tcPr>
                <w:p w14:paraId="2F6F8067">
                  <w:pPr>
                    <w:pStyle w:val="25"/>
                    <w:jc w:val="center"/>
                    <w:rPr>
                      <w:color w:val="auto"/>
                    </w:rPr>
                  </w:pPr>
                  <w:r>
                    <w:rPr>
                      <w:rFonts w:hint="eastAsia"/>
                      <w:color w:val="auto"/>
                    </w:rPr>
                    <w:t>/</w:t>
                  </w:r>
                </w:p>
              </w:tc>
            </w:tr>
            <w:tr w14:paraId="282209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19" w:type="pct"/>
                  <w:vAlign w:val="center"/>
                </w:tcPr>
                <w:p w14:paraId="74243E00">
                  <w:pPr>
                    <w:pStyle w:val="25"/>
                    <w:jc w:val="center"/>
                    <w:rPr>
                      <w:rFonts w:hint="default" w:eastAsia="宋体"/>
                      <w:color w:val="auto"/>
                      <w:lang w:val="en-US" w:eastAsia="zh-CN"/>
                    </w:rPr>
                  </w:pPr>
                  <w:r>
                    <w:rPr>
                      <w:rFonts w:hint="eastAsia"/>
                      <w:color w:val="auto"/>
                      <w:lang w:val="en-US" w:eastAsia="zh-CN"/>
                    </w:rPr>
                    <w:t>地表水环境</w:t>
                  </w:r>
                </w:p>
              </w:tc>
              <w:tc>
                <w:tcPr>
                  <w:tcW w:w="555" w:type="pct"/>
                  <w:gridSpan w:val="2"/>
                  <w:vAlign w:val="center"/>
                </w:tcPr>
                <w:p w14:paraId="6F968067">
                  <w:pPr>
                    <w:pStyle w:val="25"/>
                    <w:jc w:val="center"/>
                    <w:rPr>
                      <w:color w:val="auto"/>
                    </w:rPr>
                  </w:pPr>
                  <w:r>
                    <w:rPr>
                      <w:rFonts w:hint="eastAsia" w:cs="Times New Roman"/>
                      <w:color w:val="auto"/>
                      <w:sz w:val="21"/>
                      <w:szCs w:val="21"/>
                      <w:lang w:val="en-US" w:eastAsia="zh-CN"/>
                    </w:rPr>
                    <w:t>伊力概河</w:t>
                  </w:r>
                </w:p>
              </w:tc>
              <w:tc>
                <w:tcPr>
                  <w:tcW w:w="2249" w:type="pct"/>
                  <w:gridSpan w:val="5"/>
                  <w:vAlign w:val="center"/>
                </w:tcPr>
                <w:p w14:paraId="05912833">
                  <w:pPr>
                    <w:pStyle w:val="25"/>
                    <w:jc w:val="center"/>
                    <w:rPr>
                      <w:rFonts w:hint="eastAsia" w:cs="Times New Roman"/>
                      <w:color w:val="auto"/>
                      <w:sz w:val="21"/>
                      <w:szCs w:val="21"/>
                      <w:lang w:val="en-US" w:eastAsia="zh-CN"/>
                    </w:rPr>
                  </w:pPr>
                  <w:r>
                    <w:rPr>
                      <w:rFonts w:hint="eastAsia" w:cs="Times New Roman"/>
                      <w:color w:val="auto"/>
                      <w:spacing w:val="14"/>
                      <w:sz w:val="21"/>
                      <w:szCs w:val="21"/>
                      <w:lang w:val="en-US" w:eastAsia="zh-CN"/>
                    </w:rPr>
                    <w:t>江苏产业园河段</w:t>
                  </w:r>
                </w:p>
              </w:tc>
              <w:tc>
                <w:tcPr>
                  <w:tcW w:w="316" w:type="pct"/>
                  <w:gridSpan w:val="3"/>
                  <w:vAlign w:val="center"/>
                </w:tcPr>
                <w:p w14:paraId="0F5CAE88">
                  <w:pPr>
                    <w:pStyle w:val="25"/>
                    <w:jc w:val="center"/>
                    <w:rPr>
                      <w:rFonts w:hint="default" w:cs="Times New Roman"/>
                      <w:color w:val="auto"/>
                      <w:sz w:val="21"/>
                      <w:szCs w:val="21"/>
                      <w:lang w:val="en-US" w:eastAsia="zh-CN"/>
                    </w:rPr>
                  </w:pPr>
                  <w:r>
                    <w:rPr>
                      <w:rFonts w:hint="eastAsia" w:cs="Times New Roman"/>
                      <w:color w:val="auto"/>
                      <w:sz w:val="21"/>
                      <w:szCs w:val="21"/>
                      <w:lang w:val="en-US" w:eastAsia="zh-CN"/>
                    </w:rPr>
                    <w:t>NW</w:t>
                  </w:r>
                </w:p>
              </w:tc>
              <w:tc>
                <w:tcPr>
                  <w:tcW w:w="290" w:type="pct"/>
                  <w:vAlign w:val="center"/>
                </w:tcPr>
                <w:p w14:paraId="5EFD6ACF">
                  <w:pPr>
                    <w:pStyle w:val="25"/>
                    <w:jc w:val="center"/>
                    <w:rPr>
                      <w:rFonts w:hint="default" w:cs="Times New Roman"/>
                      <w:color w:val="auto"/>
                      <w:sz w:val="21"/>
                      <w:szCs w:val="21"/>
                      <w:lang w:val="en-US" w:eastAsia="zh-CN"/>
                    </w:rPr>
                  </w:pPr>
                  <w:r>
                    <w:rPr>
                      <w:rFonts w:hint="eastAsia" w:cs="Times New Roman"/>
                      <w:color w:val="auto"/>
                      <w:sz w:val="21"/>
                      <w:szCs w:val="21"/>
                      <w:lang w:val="en-US" w:eastAsia="zh-CN"/>
                    </w:rPr>
                    <w:t>360</w:t>
                  </w:r>
                </w:p>
              </w:tc>
              <w:tc>
                <w:tcPr>
                  <w:tcW w:w="1169" w:type="pct"/>
                  <w:vAlign w:val="center"/>
                </w:tcPr>
                <w:p w14:paraId="5B8CC974">
                  <w:pPr>
                    <w:pStyle w:val="25"/>
                    <w:jc w:val="center"/>
                    <w:rPr>
                      <w:rFonts w:hint="eastAsia" w:eastAsia="宋体"/>
                      <w:color w:val="auto"/>
                      <w:lang w:val="en-US" w:eastAsia="zh-CN"/>
                    </w:rPr>
                  </w:pPr>
                  <w:r>
                    <w:rPr>
                      <w:rFonts w:hint="eastAsia"/>
                      <w:color w:val="auto"/>
                      <w:kern w:val="0"/>
                      <w:sz w:val="21"/>
                      <w:szCs w:val="21"/>
                      <w:lang w:eastAsia="zh-CN"/>
                    </w:rPr>
                    <w:t>《地表水环境质量标准》（</w:t>
                  </w:r>
                  <w:r>
                    <w:rPr>
                      <w:rFonts w:hint="eastAsia"/>
                      <w:color w:val="auto"/>
                      <w:kern w:val="0"/>
                      <w:sz w:val="21"/>
                      <w:szCs w:val="21"/>
                    </w:rPr>
                    <w:t>GB3838-2002</w:t>
                  </w:r>
                  <w:r>
                    <w:rPr>
                      <w:rFonts w:hint="eastAsia"/>
                      <w:color w:val="auto"/>
                      <w:kern w:val="0"/>
                      <w:sz w:val="21"/>
                      <w:szCs w:val="21"/>
                      <w:lang w:val="en-US" w:eastAsia="zh-CN"/>
                    </w:rPr>
                    <w:t xml:space="preserve"> </w:t>
                  </w:r>
                  <w:r>
                    <w:rPr>
                      <w:rFonts w:hint="eastAsia"/>
                      <w:color w:val="auto"/>
                      <w:kern w:val="0"/>
                      <w:sz w:val="21"/>
                      <w:szCs w:val="21"/>
                      <w:lang w:eastAsia="zh-CN"/>
                    </w:rPr>
                    <w:t>）</w:t>
                  </w:r>
                  <w:r>
                    <w:rPr>
                      <w:rFonts w:hint="eastAsia"/>
                      <w:color w:val="auto"/>
                      <w:kern w:val="0"/>
                      <w:sz w:val="21"/>
                      <w:szCs w:val="21"/>
                    </w:rPr>
                    <w:t>Ⅲ类</w:t>
                  </w:r>
                  <w:r>
                    <w:rPr>
                      <w:rFonts w:hint="eastAsia"/>
                      <w:color w:val="auto"/>
                      <w:kern w:val="0"/>
                      <w:sz w:val="21"/>
                      <w:szCs w:val="21"/>
                      <w:lang w:val="en-US" w:eastAsia="zh-CN"/>
                    </w:rPr>
                    <w:t>标准</w:t>
                  </w:r>
                </w:p>
              </w:tc>
            </w:tr>
          </w:tbl>
          <w:p w14:paraId="5B827AFF">
            <w:pPr>
              <w:adjustRightInd w:val="0"/>
              <w:snapToGrid w:val="0"/>
              <w:ind w:firstLine="480" w:firstLineChars="200"/>
              <w:rPr>
                <w:color w:val="auto"/>
                <w:kern w:val="0"/>
                <w:szCs w:val="21"/>
              </w:rPr>
            </w:pPr>
          </w:p>
        </w:tc>
      </w:tr>
      <w:tr w14:paraId="0F17A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17" w:type="dxa"/>
            <w:tcMar>
              <w:left w:w="28" w:type="dxa"/>
              <w:right w:w="28" w:type="dxa"/>
            </w:tcMar>
            <w:vAlign w:val="center"/>
          </w:tcPr>
          <w:p w14:paraId="33EF06DC">
            <w:pPr>
              <w:adjustRightInd w:val="0"/>
              <w:snapToGrid w:val="0"/>
              <w:jc w:val="center"/>
              <w:rPr>
                <w:color w:val="auto"/>
                <w:kern w:val="0"/>
                <w:szCs w:val="21"/>
              </w:rPr>
            </w:pPr>
            <w:r>
              <w:rPr>
                <w:color w:val="auto"/>
                <w:kern w:val="0"/>
                <w:szCs w:val="21"/>
              </w:rPr>
              <w:t>污染</w:t>
            </w:r>
          </w:p>
          <w:p w14:paraId="5388E758">
            <w:pPr>
              <w:adjustRightInd w:val="0"/>
              <w:snapToGrid w:val="0"/>
              <w:jc w:val="center"/>
              <w:rPr>
                <w:color w:val="auto"/>
                <w:kern w:val="0"/>
                <w:szCs w:val="21"/>
              </w:rPr>
            </w:pPr>
            <w:r>
              <w:rPr>
                <w:color w:val="auto"/>
                <w:kern w:val="0"/>
                <w:szCs w:val="21"/>
              </w:rPr>
              <w:t>物排</w:t>
            </w:r>
          </w:p>
          <w:p w14:paraId="317BD3FC">
            <w:pPr>
              <w:adjustRightInd w:val="0"/>
              <w:snapToGrid w:val="0"/>
              <w:jc w:val="center"/>
              <w:rPr>
                <w:color w:val="auto"/>
                <w:kern w:val="0"/>
                <w:szCs w:val="21"/>
              </w:rPr>
            </w:pPr>
            <w:r>
              <w:rPr>
                <w:color w:val="auto"/>
                <w:kern w:val="0"/>
                <w:szCs w:val="21"/>
              </w:rPr>
              <w:t>放控</w:t>
            </w:r>
          </w:p>
          <w:p w14:paraId="3727C79F">
            <w:pPr>
              <w:adjustRightInd w:val="0"/>
              <w:snapToGrid w:val="0"/>
              <w:jc w:val="center"/>
              <w:rPr>
                <w:color w:val="auto"/>
                <w:kern w:val="0"/>
                <w:szCs w:val="21"/>
              </w:rPr>
            </w:pPr>
            <w:r>
              <w:rPr>
                <w:color w:val="auto"/>
                <w:kern w:val="0"/>
                <w:szCs w:val="21"/>
              </w:rPr>
              <w:t>制标</w:t>
            </w:r>
          </w:p>
          <w:p w14:paraId="4582D0FE">
            <w:pPr>
              <w:adjustRightInd w:val="0"/>
              <w:snapToGrid w:val="0"/>
              <w:jc w:val="center"/>
              <w:rPr>
                <w:color w:val="auto"/>
                <w:kern w:val="0"/>
                <w:szCs w:val="21"/>
              </w:rPr>
            </w:pPr>
            <w:r>
              <w:rPr>
                <w:color w:val="auto"/>
                <w:kern w:val="0"/>
                <w:szCs w:val="21"/>
              </w:rPr>
              <w:t>准</w:t>
            </w:r>
          </w:p>
        </w:tc>
        <w:tc>
          <w:tcPr>
            <w:tcW w:w="8244" w:type="dxa"/>
            <w:vAlign w:val="center"/>
          </w:tcPr>
          <w:p w14:paraId="67EFAECA">
            <w:pPr>
              <w:adjustRightInd w:val="0"/>
              <w:snapToGrid w:val="0"/>
              <w:rPr>
                <w:b/>
                <w:bCs/>
                <w:color w:val="auto"/>
                <w:kern w:val="0"/>
                <w:szCs w:val="21"/>
              </w:rPr>
            </w:pPr>
            <w:r>
              <w:rPr>
                <w:b/>
                <w:bCs/>
                <w:color w:val="auto"/>
                <w:kern w:val="0"/>
                <w:szCs w:val="21"/>
              </w:rPr>
              <w:t>1.废气排放标准</w:t>
            </w:r>
          </w:p>
          <w:p w14:paraId="0D751264">
            <w:pPr>
              <w:ind w:firstLine="480"/>
              <w:rPr>
                <w:color w:val="auto"/>
              </w:rPr>
            </w:pPr>
            <w:r>
              <w:rPr>
                <w:rFonts w:hint="eastAsia"/>
                <w:color w:val="auto"/>
              </w:rPr>
              <w:t>燃烧废气排放执行《锅炉大气污染物排放标准》（GB13271-2014）表2新建锅炉大气污染物排放浓度限值中燃气锅炉排放限值。</w:t>
            </w:r>
          </w:p>
          <w:p w14:paraId="2D395D37">
            <w:pPr>
              <w:pStyle w:val="52"/>
              <w:ind w:firstLine="480"/>
              <w:rPr>
                <w:color w:val="auto"/>
              </w:rPr>
            </w:pPr>
            <w:r>
              <w:rPr>
                <w:rFonts w:hint="eastAsia"/>
                <w:color w:val="auto"/>
              </w:rPr>
              <w:t>表3</w:t>
            </w:r>
            <w:r>
              <w:rPr>
                <w:color w:val="auto"/>
              </w:rPr>
              <w:t>-</w:t>
            </w:r>
            <w:r>
              <w:rPr>
                <w:rFonts w:hint="eastAsia"/>
                <w:color w:val="auto"/>
              </w:rPr>
              <w:t>4</w:t>
            </w:r>
            <w:r>
              <w:rPr>
                <w:color w:val="auto"/>
              </w:rPr>
              <w:t xml:space="preserve"> </w:t>
            </w:r>
            <w:r>
              <w:rPr>
                <w:rFonts w:hint="eastAsia"/>
                <w:color w:val="auto"/>
              </w:rPr>
              <w:t xml:space="preserve"> 锅炉大气污染物排放标准</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3134"/>
              <w:gridCol w:w="2636"/>
            </w:tblGrid>
            <w:tr w14:paraId="1034840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6" w:type="pct"/>
                  <w:vAlign w:val="center"/>
                </w:tcPr>
                <w:p w14:paraId="03BF83DE">
                  <w:pPr>
                    <w:pStyle w:val="25"/>
                    <w:jc w:val="center"/>
                    <w:rPr>
                      <w:b/>
                      <w:color w:val="auto"/>
                    </w:rPr>
                  </w:pPr>
                  <w:r>
                    <w:rPr>
                      <w:b/>
                      <w:color w:val="auto"/>
                    </w:rPr>
                    <w:t>污染因子</w:t>
                  </w:r>
                </w:p>
              </w:tc>
              <w:tc>
                <w:tcPr>
                  <w:tcW w:w="1951" w:type="pct"/>
                  <w:vAlign w:val="center"/>
                </w:tcPr>
                <w:p w14:paraId="4B52E549">
                  <w:pPr>
                    <w:pStyle w:val="25"/>
                    <w:jc w:val="center"/>
                    <w:rPr>
                      <w:b/>
                      <w:color w:val="auto"/>
                    </w:rPr>
                  </w:pPr>
                  <w:r>
                    <w:rPr>
                      <w:rFonts w:hint="eastAsia"/>
                      <w:b/>
                      <w:color w:val="auto"/>
                    </w:rPr>
                    <w:t>燃油锅炉</w:t>
                  </w:r>
                  <w:r>
                    <w:rPr>
                      <w:b/>
                      <w:color w:val="auto"/>
                    </w:rPr>
                    <w:t>标准限值（mg/m</w:t>
                  </w:r>
                  <w:r>
                    <w:rPr>
                      <w:b/>
                      <w:color w:val="auto"/>
                      <w:vertAlign w:val="superscript"/>
                    </w:rPr>
                    <w:t>3</w:t>
                  </w:r>
                  <w:r>
                    <w:rPr>
                      <w:b/>
                      <w:color w:val="auto"/>
                    </w:rPr>
                    <w:t>）</w:t>
                  </w:r>
                </w:p>
              </w:tc>
              <w:tc>
                <w:tcPr>
                  <w:tcW w:w="1641" w:type="pct"/>
                  <w:vAlign w:val="center"/>
                </w:tcPr>
                <w:p w14:paraId="6F7960B5">
                  <w:pPr>
                    <w:pStyle w:val="25"/>
                    <w:jc w:val="center"/>
                    <w:rPr>
                      <w:b/>
                      <w:color w:val="auto"/>
                    </w:rPr>
                  </w:pPr>
                  <w:r>
                    <w:rPr>
                      <w:b/>
                      <w:color w:val="auto"/>
                    </w:rPr>
                    <w:t>执行标准</w:t>
                  </w:r>
                </w:p>
              </w:tc>
            </w:tr>
            <w:tr w14:paraId="7EAFE53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6" w:type="pct"/>
                  <w:vAlign w:val="center"/>
                </w:tcPr>
                <w:p w14:paraId="57BB424B">
                  <w:pPr>
                    <w:pStyle w:val="25"/>
                    <w:jc w:val="center"/>
                    <w:rPr>
                      <w:color w:val="auto"/>
                    </w:rPr>
                  </w:pPr>
                  <w:r>
                    <w:rPr>
                      <w:color w:val="auto"/>
                    </w:rPr>
                    <w:t>颗粒物</w:t>
                  </w:r>
                </w:p>
              </w:tc>
              <w:tc>
                <w:tcPr>
                  <w:tcW w:w="1951" w:type="pct"/>
                  <w:vAlign w:val="center"/>
                </w:tcPr>
                <w:p w14:paraId="00B26B17">
                  <w:pPr>
                    <w:pStyle w:val="25"/>
                    <w:jc w:val="center"/>
                    <w:rPr>
                      <w:color w:val="auto"/>
                    </w:rPr>
                  </w:pPr>
                  <w:r>
                    <w:rPr>
                      <w:rFonts w:hint="eastAsia"/>
                      <w:color w:val="auto"/>
                    </w:rPr>
                    <w:t>20</w:t>
                  </w:r>
                </w:p>
              </w:tc>
              <w:tc>
                <w:tcPr>
                  <w:tcW w:w="1641" w:type="pct"/>
                  <w:vMerge w:val="restart"/>
                  <w:vAlign w:val="center"/>
                </w:tcPr>
                <w:p w14:paraId="56A46917">
                  <w:pPr>
                    <w:pStyle w:val="25"/>
                    <w:jc w:val="center"/>
                    <w:rPr>
                      <w:color w:val="auto"/>
                    </w:rPr>
                  </w:pPr>
                  <w:r>
                    <w:rPr>
                      <w:rFonts w:hint="eastAsia"/>
                      <w:color w:val="auto"/>
                    </w:rPr>
                    <w:t>烟囱或烟道</w:t>
                  </w:r>
                </w:p>
              </w:tc>
            </w:tr>
            <w:tr w14:paraId="7B605F9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6" w:type="pct"/>
                  <w:vAlign w:val="center"/>
                </w:tcPr>
                <w:p w14:paraId="1DF6349E">
                  <w:pPr>
                    <w:pStyle w:val="25"/>
                    <w:jc w:val="center"/>
                    <w:rPr>
                      <w:color w:val="auto"/>
                    </w:rPr>
                  </w:pPr>
                  <w:r>
                    <w:rPr>
                      <w:rFonts w:hint="eastAsia"/>
                      <w:color w:val="auto"/>
                    </w:rPr>
                    <w:t>S</w:t>
                  </w:r>
                  <w:r>
                    <w:rPr>
                      <w:color w:val="auto"/>
                    </w:rPr>
                    <w:t>O</w:t>
                  </w:r>
                  <w:r>
                    <w:rPr>
                      <w:color w:val="auto"/>
                      <w:vertAlign w:val="subscript"/>
                    </w:rPr>
                    <w:t>2</w:t>
                  </w:r>
                </w:p>
              </w:tc>
              <w:tc>
                <w:tcPr>
                  <w:tcW w:w="1951" w:type="pct"/>
                  <w:vAlign w:val="center"/>
                </w:tcPr>
                <w:p w14:paraId="0B8D841B">
                  <w:pPr>
                    <w:pStyle w:val="25"/>
                    <w:jc w:val="center"/>
                    <w:rPr>
                      <w:color w:val="auto"/>
                    </w:rPr>
                  </w:pPr>
                  <w:r>
                    <w:rPr>
                      <w:rFonts w:hint="eastAsia"/>
                      <w:color w:val="auto"/>
                    </w:rPr>
                    <w:t>50</w:t>
                  </w:r>
                </w:p>
              </w:tc>
              <w:tc>
                <w:tcPr>
                  <w:tcW w:w="1641" w:type="pct"/>
                  <w:vMerge w:val="continue"/>
                  <w:vAlign w:val="center"/>
                </w:tcPr>
                <w:p w14:paraId="1207AA98">
                  <w:pPr>
                    <w:pStyle w:val="25"/>
                    <w:jc w:val="center"/>
                    <w:rPr>
                      <w:color w:val="auto"/>
                    </w:rPr>
                  </w:pPr>
                </w:p>
              </w:tc>
            </w:tr>
            <w:tr w14:paraId="1B6E9A8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6" w:type="pct"/>
                  <w:vAlign w:val="center"/>
                </w:tcPr>
                <w:p w14:paraId="54AA04C1">
                  <w:pPr>
                    <w:pStyle w:val="25"/>
                    <w:jc w:val="center"/>
                    <w:rPr>
                      <w:color w:val="auto"/>
                    </w:rPr>
                  </w:pPr>
                  <w:r>
                    <w:rPr>
                      <w:rFonts w:hint="eastAsia"/>
                      <w:color w:val="auto"/>
                    </w:rPr>
                    <w:t>N</w:t>
                  </w:r>
                  <w:r>
                    <w:rPr>
                      <w:color w:val="auto"/>
                    </w:rPr>
                    <w:t>O</w:t>
                  </w:r>
                  <w:r>
                    <w:rPr>
                      <w:rFonts w:hint="eastAsia"/>
                      <w:color w:val="auto"/>
                    </w:rPr>
                    <w:t>x</w:t>
                  </w:r>
                </w:p>
              </w:tc>
              <w:tc>
                <w:tcPr>
                  <w:tcW w:w="1951" w:type="pct"/>
                  <w:vAlign w:val="center"/>
                </w:tcPr>
                <w:p w14:paraId="22FFAE6D">
                  <w:pPr>
                    <w:pStyle w:val="25"/>
                    <w:jc w:val="center"/>
                    <w:rPr>
                      <w:color w:val="auto"/>
                    </w:rPr>
                  </w:pPr>
                  <w:r>
                    <w:rPr>
                      <w:rFonts w:hint="eastAsia"/>
                      <w:color w:val="auto"/>
                    </w:rPr>
                    <w:t>2</w:t>
                  </w:r>
                  <w:r>
                    <w:rPr>
                      <w:color w:val="auto"/>
                    </w:rPr>
                    <w:t>0</w:t>
                  </w:r>
                  <w:r>
                    <w:rPr>
                      <w:rFonts w:hint="eastAsia"/>
                      <w:color w:val="auto"/>
                    </w:rPr>
                    <w:t>0</w:t>
                  </w:r>
                </w:p>
              </w:tc>
              <w:tc>
                <w:tcPr>
                  <w:tcW w:w="1641" w:type="pct"/>
                  <w:vMerge w:val="continue"/>
                  <w:vAlign w:val="center"/>
                </w:tcPr>
                <w:p w14:paraId="2A53953D">
                  <w:pPr>
                    <w:pStyle w:val="25"/>
                    <w:jc w:val="center"/>
                    <w:rPr>
                      <w:color w:val="auto"/>
                    </w:rPr>
                  </w:pPr>
                </w:p>
              </w:tc>
            </w:tr>
            <w:tr w14:paraId="010B24D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06" w:type="pct"/>
                  <w:vAlign w:val="center"/>
                </w:tcPr>
                <w:p w14:paraId="44C4D443">
                  <w:pPr>
                    <w:pStyle w:val="25"/>
                    <w:jc w:val="center"/>
                    <w:rPr>
                      <w:color w:val="auto"/>
                    </w:rPr>
                  </w:pPr>
                  <w:r>
                    <w:rPr>
                      <w:rFonts w:hint="eastAsia"/>
                      <w:color w:val="auto"/>
                    </w:rPr>
                    <w:t>烟气黑度</w:t>
                  </w:r>
                </w:p>
              </w:tc>
              <w:tc>
                <w:tcPr>
                  <w:tcW w:w="1951" w:type="pct"/>
                  <w:vAlign w:val="center"/>
                </w:tcPr>
                <w:p w14:paraId="4BC50783">
                  <w:pPr>
                    <w:pStyle w:val="25"/>
                    <w:jc w:val="center"/>
                    <w:rPr>
                      <w:color w:val="auto"/>
                    </w:rPr>
                  </w:pPr>
                  <w:r>
                    <w:rPr>
                      <w:rFonts w:hint="eastAsia"/>
                      <w:color w:val="auto"/>
                    </w:rPr>
                    <w:t>≤</w:t>
                  </w:r>
                  <w:r>
                    <w:rPr>
                      <w:color w:val="auto"/>
                    </w:rPr>
                    <w:t>1</w:t>
                  </w:r>
                </w:p>
              </w:tc>
              <w:tc>
                <w:tcPr>
                  <w:tcW w:w="1641" w:type="pct"/>
                  <w:vAlign w:val="center"/>
                </w:tcPr>
                <w:p w14:paraId="479A3197">
                  <w:pPr>
                    <w:pStyle w:val="25"/>
                    <w:jc w:val="center"/>
                    <w:rPr>
                      <w:color w:val="auto"/>
                    </w:rPr>
                  </w:pPr>
                  <w:r>
                    <w:rPr>
                      <w:rFonts w:hint="eastAsia"/>
                      <w:color w:val="auto"/>
                    </w:rPr>
                    <w:t>烟囱排放口</w:t>
                  </w:r>
                </w:p>
              </w:tc>
            </w:tr>
          </w:tbl>
          <w:p w14:paraId="5BABEC9E">
            <w:pPr>
              <w:adjustRightInd w:val="0"/>
              <w:snapToGrid w:val="0"/>
              <w:rPr>
                <w:b/>
                <w:bCs/>
                <w:color w:val="auto"/>
                <w:kern w:val="0"/>
                <w:szCs w:val="21"/>
              </w:rPr>
            </w:pPr>
            <w:r>
              <w:rPr>
                <w:rFonts w:hint="eastAsia"/>
                <w:b/>
                <w:bCs/>
                <w:color w:val="auto"/>
                <w:kern w:val="0"/>
                <w:szCs w:val="21"/>
              </w:rPr>
              <w:t>2</w:t>
            </w:r>
            <w:r>
              <w:rPr>
                <w:b/>
                <w:bCs/>
                <w:color w:val="auto"/>
                <w:kern w:val="0"/>
                <w:szCs w:val="21"/>
              </w:rPr>
              <w:t>.</w:t>
            </w:r>
            <w:r>
              <w:rPr>
                <w:rFonts w:hint="eastAsia"/>
                <w:b/>
                <w:bCs/>
                <w:color w:val="auto"/>
                <w:kern w:val="0"/>
                <w:szCs w:val="21"/>
              </w:rPr>
              <w:t>废水排放标准</w:t>
            </w:r>
          </w:p>
          <w:p w14:paraId="40356048">
            <w:pPr>
              <w:adjustRightInd w:val="0"/>
              <w:snapToGrid w:val="0"/>
              <w:ind w:firstLine="480" w:firstLineChars="200"/>
              <w:rPr>
                <w:b/>
                <w:bCs/>
                <w:color w:val="auto"/>
                <w:kern w:val="0"/>
                <w:szCs w:val="21"/>
              </w:rPr>
            </w:pPr>
            <w:r>
              <w:rPr>
                <w:rFonts w:hint="eastAsia"/>
                <w:color w:val="auto"/>
                <w:kern w:val="0"/>
                <w:szCs w:val="21"/>
              </w:rPr>
              <w:t>本项目产生锅炉排污废水、软水制备排污废水均排入废水处理厂隆基废水处理系统</w:t>
            </w:r>
            <w:r>
              <w:rPr>
                <w:rFonts w:hint="eastAsia"/>
                <w:color w:val="auto"/>
                <w:kern w:val="0"/>
                <w:szCs w:val="21"/>
                <w:lang w:eastAsia="zh-CN"/>
              </w:rPr>
              <w:t>，</w:t>
            </w:r>
            <w:r>
              <w:rPr>
                <w:rFonts w:hint="eastAsia"/>
                <w:color w:val="auto"/>
                <w:kern w:val="0"/>
                <w:szCs w:val="21"/>
              </w:rPr>
              <w:t>处理</w:t>
            </w:r>
            <w:r>
              <w:rPr>
                <w:color w:val="auto"/>
              </w:rPr>
              <w:t>后满足《城市污水再生利用</w:t>
            </w:r>
            <w:r>
              <w:rPr>
                <w:rFonts w:hint="eastAsia"/>
                <w:color w:val="auto"/>
              </w:rPr>
              <w:t xml:space="preserve">  </w:t>
            </w:r>
            <w:r>
              <w:rPr>
                <w:color w:val="auto"/>
              </w:rPr>
              <w:t>工业用水水质》（GB/T19923-2005）中直流冷却、洗涤（循环冷却）用水标准</w:t>
            </w:r>
            <w:r>
              <w:rPr>
                <w:rFonts w:hint="eastAsia"/>
                <w:color w:val="auto"/>
              </w:rPr>
              <w:t>，</w:t>
            </w:r>
            <w:r>
              <w:rPr>
                <w:color w:val="auto"/>
              </w:rPr>
              <w:t>最终回用于</w:t>
            </w:r>
            <w:r>
              <w:rPr>
                <w:rFonts w:hint="eastAsia"/>
                <w:color w:val="auto"/>
                <w:lang w:val="en-US" w:eastAsia="zh-CN"/>
              </w:rPr>
              <w:t>隆基生产</w:t>
            </w:r>
            <w:r>
              <w:rPr>
                <w:color w:val="auto"/>
              </w:rPr>
              <w:t>用水。</w:t>
            </w:r>
          </w:p>
          <w:p w14:paraId="643B1542">
            <w:pPr>
              <w:adjustRightInd w:val="0"/>
              <w:snapToGrid w:val="0"/>
              <w:rPr>
                <w:b/>
                <w:bCs/>
                <w:color w:val="auto"/>
                <w:kern w:val="0"/>
                <w:szCs w:val="21"/>
              </w:rPr>
            </w:pPr>
            <w:r>
              <w:rPr>
                <w:rFonts w:hint="eastAsia"/>
                <w:b/>
                <w:bCs/>
                <w:color w:val="auto"/>
                <w:kern w:val="0"/>
                <w:szCs w:val="21"/>
              </w:rPr>
              <w:t>3</w:t>
            </w:r>
            <w:r>
              <w:rPr>
                <w:b/>
                <w:bCs/>
                <w:color w:val="auto"/>
                <w:kern w:val="0"/>
                <w:szCs w:val="21"/>
              </w:rPr>
              <w:t>.噪声排放标准</w:t>
            </w:r>
          </w:p>
          <w:p w14:paraId="396CD8C8">
            <w:pPr>
              <w:adjustRightInd w:val="0"/>
              <w:snapToGrid w:val="0"/>
              <w:ind w:firstLine="480" w:firstLineChars="200"/>
              <w:rPr>
                <w:color w:val="auto"/>
                <w:kern w:val="0"/>
                <w:szCs w:val="21"/>
              </w:rPr>
            </w:pPr>
            <w:r>
              <w:rPr>
                <w:color w:val="auto"/>
                <w:kern w:val="0"/>
                <w:szCs w:val="21"/>
              </w:rPr>
              <w:t>运营期厂界噪声执行《工业企业厂界环境噪声排放标准》（GB12348-2008）3类标准，具体指标见表</w:t>
            </w:r>
            <w:r>
              <w:rPr>
                <w:rFonts w:hint="eastAsia"/>
                <w:color w:val="auto"/>
                <w:kern w:val="0"/>
                <w:szCs w:val="21"/>
              </w:rPr>
              <w:t>3-5</w:t>
            </w:r>
            <w:r>
              <w:rPr>
                <w:color w:val="auto"/>
                <w:kern w:val="0"/>
                <w:szCs w:val="21"/>
              </w:rPr>
              <w:t>。</w:t>
            </w:r>
          </w:p>
          <w:p w14:paraId="3D35ECFB">
            <w:pPr>
              <w:pStyle w:val="52"/>
              <w:rPr>
                <w:color w:val="auto"/>
              </w:rPr>
            </w:pPr>
            <w:r>
              <w:rPr>
                <w:color w:val="auto"/>
              </w:rPr>
              <w:t>表</w:t>
            </w:r>
            <w:r>
              <w:rPr>
                <w:rFonts w:hint="eastAsia"/>
                <w:color w:val="auto"/>
              </w:rPr>
              <w:t>3-5</w:t>
            </w:r>
            <w:r>
              <w:rPr>
                <w:color w:val="auto"/>
              </w:rPr>
              <w:t xml:space="preserve">  厂界噪声排放标准</w:t>
            </w:r>
          </w:p>
          <w:tbl>
            <w:tblPr>
              <w:tblStyle w:val="57"/>
              <w:tblW w:w="7974" w:type="dxa"/>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563"/>
              <w:gridCol w:w="1414"/>
              <w:gridCol w:w="4017"/>
            </w:tblGrid>
            <w:tr w14:paraId="4B8D493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Merge w:val="restart"/>
                  <w:vAlign w:val="center"/>
                </w:tcPr>
                <w:p w14:paraId="7AFA4CE3">
                  <w:pPr>
                    <w:pStyle w:val="25"/>
                    <w:jc w:val="center"/>
                    <w:rPr>
                      <w:b/>
                      <w:color w:val="auto"/>
                    </w:rPr>
                  </w:pPr>
                  <w:r>
                    <w:rPr>
                      <w:b/>
                      <w:color w:val="auto"/>
                    </w:rPr>
                    <w:t>时期</w:t>
                  </w:r>
                </w:p>
              </w:tc>
              <w:tc>
                <w:tcPr>
                  <w:tcW w:w="2977" w:type="dxa"/>
                  <w:gridSpan w:val="2"/>
                  <w:vAlign w:val="center"/>
                </w:tcPr>
                <w:p w14:paraId="3093F4E7">
                  <w:pPr>
                    <w:pStyle w:val="25"/>
                    <w:jc w:val="center"/>
                    <w:rPr>
                      <w:b/>
                      <w:color w:val="auto"/>
                    </w:rPr>
                  </w:pPr>
                  <w:r>
                    <w:rPr>
                      <w:b/>
                      <w:color w:val="auto"/>
                    </w:rPr>
                    <w:t>标准值dB（A）</w:t>
                  </w:r>
                </w:p>
              </w:tc>
              <w:tc>
                <w:tcPr>
                  <w:tcW w:w="4017" w:type="dxa"/>
                  <w:vMerge w:val="restart"/>
                  <w:vAlign w:val="center"/>
                </w:tcPr>
                <w:p w14:paraId="64E3616B">
                  <w:pPr>
                    <w:pStyle w:val="25"/>
                    <w:jc w:val="center"/>
                    <w:rPr>
                      <w:b/>
                      <w:color w:val="auto"/>
                    </w:rPr>
                  </w:pPr>
                  <w:r>
                    <w:rPr>
                      <w:b/>
                      <w:color w:val="auto"/>
                    </w:rPr>
                    <w:t>标准来源</w:t>
                  </w:r>
                </w:p>
              </w:tc>
            </w:tr>
            <w:tr w14:paraId="40052AA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Merge w:val="continue"/>
                  <w:vAlign w:val="center"/>
                </w:tcPr>
                <w:p w14:paraId="7AEBB903">
                  <w:pPr>
                    <w:pStyle w:val="25"/>
                    <w:jc w:val="center"/>
                    <w:rPr>
                      <w:color w:val="auto"/>
                    </w:rPr>
                  </w:pPr>
                </w:p>
              </w:tc>
              <w:tc>
                <w:tcPr>
                  <w:tcW w:w="1563" w:type="dxa"/>
                  <w:vAlign w:val="center"/>
                </w:tcPr>
                <w:p w14:paraId="00F57AFB">
                  <w:pPr>
                    <w:pStyle w:val="25"/>
                    <w:jc w:val="center"/>
                    <w:rPr>
                      <w:b/>
                      <w:color w:val="auto"/>
                    </w:rPr>
                  </w:pPr>
                  <w:r>
                    <w:rPr>
                      <w:b/>
                      <w:color w:val="auto"/>
                    </w:rPr>
                    <w:t>昼间</w:t>
                  </w:r>
                </w:p>
              </w:tc>
              <w:tc>
                <w:tcPr>
                  <w:tcW w:w="1414" w:type="dxa"/>
                  <w:vAlign w:val="center"/>
                </w:tcPr>
                <w:p w14:paraId="68067284">
                  <w:pPr>
                    <w:pStyle w:val="25"/>
                    <w:jc w:val="center"/>
                    <w:rPr>
                      <w:b/>
                      <w:color w:val="auto"/>
                    </w:rPr>
                  </w:pPr>
                  <w:r>
                    <w:rPr>
                      <w:b/>
                      <w:color w:val="auto"/>
                    </w:rPr>
                    <w:t>夜间</w:t>
                  </w:r>
                </w:p>
              </w:tc>
              <w:tc>
                <w:tcPr>
                  <w:tcW w:w="4017" w:type="dxa"/>
                  <w:vMerge w:val="continue"/>
                  <w:vAlign w:val="center"/>
                </w:tcPr>
                <w:p w14:paraId="24CEB538">
                  <w:pPr>
                    <w:pStyle w:val="25"/>
                    <w:jc w:val="center"/>
                    <w:rPr>
                      <w:b/>
                      <w:color w:val="auto"/>
                    </w:rPr>
                  </w:pPr>
                </w:p>
              </w:tc>
            </w:tr>
            <w:tr w14:paraId="57ACA1C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vAlign w:val="center"/>
                </w:tcPr>
                <w:p w14:paraId="56F2AB6E">
                  <w:pPr>
                    <w:pStyle w:val="25"/>
                    <w:jc w:val="center"/>
                    <w:rPr>
                      <w:color w:val="auto"/>
                    </w:rPr>
                  </w:pPr>
                  <w:r>
                    <w:rPr>
                      <w:color w:val="auto"/>
                    </w:rPr>
                    <w:t>运营期</w:t>
                  </w:r>
                </w:p>
              </w:tc>
              <w:tc>
                <w:tcPr>
                  <w:tcW w:w="1563" w:type="dxa"/>
                  <w:vAlign w:val="center"/>
                </w:tcPr>
                <w:p w14:paraId="21E9D8AA">
                  <w:pPr>
                    <w:pStyle w:val="25"/>
                    <w:jc w:val="center"/>
                    <w:rPr>
                      <w:color w:val="auto"/>
                    </w:rPr>
                  </w:pPr>
                  <w:r>
                    <w:rPr>
                      <w:color w:val="auto"/>
                    </w:rPr>
                    <w:t>65</w:t>
                  </w:r>
                </w:p>
              </w:tc>
              <w:tc>
                <w:tcPr>
                  <w:tcW w:w="1414" w:type="dxa"/>
                  <w:vAlign w:val="center"/>
                </w:tcPr>
                <w:p w14:paraId="72A09C4B">
                  <w:pPr>
                    <w:pStyle w:val="25"/>
                    <w:jc w:val="center"/>
                    <w:rPr>
                      <w:color w:val="auto"/>
                    </w:rPr>
                  </w:pPr>
                  <w:r>
                    <w:rPr>
                      <w:color w:val="auto"/>
                    </w:rPr>
                    <w:t>55</w:t>
                  </w:r>
                </w:p>
              </w:tc>
              <w:tc>
                <w:tcPr>
                  <w:tcW w:w="4017" w:type="dxa"/>
                  <w:vAlign w:val="center"/>
                </w:tcPr>
                <w:p w14:paraId="4D458904">
                  <w:pPr>
                    <w:pStyle w:val="25"/>
                    <w:jc w:val="center"/>
                    <w:rPr>
                      <w:color w:val="auto"/>
                    </w:rPr>
                  </w:pPr>
                  <w:r>
                    <w:rPr>
                      <w:color w:val="auto"/>
                      <w:kern w:val="0"/>
                    </w:rPr>
                    <w:t>《工业企业厂界环境噪声排放标准》</w:t>
                  </w:r>
                  <w:r>
                    <w:rPr>
                      <w:color w:val="auto"/>
                    </w:rPr>
                    <w:t xml:space="preserve">GB12348-2008  </w:t>
                  </w:r>
                  <w:r>
                    <w:rPr>
                      <w:rFonts w:hint="eastAsia"/>
                      <w:color w:val="auto"/>
                    </w:rPr>
                    <w:t>3</w:t>
                  </w:r>
                  <w:r>
                    <w:rPr>
                      <w:color w:val="auto"/>
                    </w:rPr>
                    <w:t>类标准</w:t>
                  </w:r>
                </w:p>
              </w:tc>
            </w:tr>
          </w:tbl>
          <w:p w14:paraId="14C65AC5">
            <w:pPr>
              <w:adjustRightInd w:val="0"/>
              <w:snapToGrid w:val="0"/>
              <w:rPr>
                <w:b/>
                <w:bCs/>
                <w:color w:val="auto"/>
                <w:kern w:val="0"/>
                <w:szCs w:val="21"/>
              </w:rPr>
            </w:pPr>
            <w:r>
              <w:rPr>
                <w:rFonts w:hint="eastAsia"/>
                <w:b/>
                <w:bCs/>
                <w:color w:val="auto"/>
                <w:kern w:val="0"/>
                <w:szCs w:val="21"/>
              </w:rPr>
              <w:t>4</w:t>
            </w:r>
            <w:r>
              <w:rPr>
                <w:b/>
                <w:bCs/>
                <w:color w:val="auto"/>
                <w:kern w:val="0"/>
                <w:szCs w:val="21"/>
              </w:rPr>
              <w:t>.固体废物存储、处置标准</w:t>
            </w:r>
          </w:p>
          <w:p w14:paraId="23FF39F4">
            <w:pPr>
              <w:ind w:firstLine="480" w:firstLineChars="200"/>
              <w:rPr>
                <w:color w:val="auto"/>
              </w:rPr>
            </w:pPr>
            <w:r>
              <w:rPr>
                <w:rFonts w:hint="default" w:ascii="Times New Roman" w:hAnsi="Times New Roman" w:eastAsia="宋体" w:cs="Times New Roman"/>
                <w:color w:val="auto"/>
              </w:rPr>
              <w:t>项目产生的固体废物污染控制执行《一般工业固体废物贮存和填埋污染控制标准》（GB 18599-2020）、《危险废物贮存污染控制标准》（GB 18597-2023）。</w:t>
            </w:r>
          </w:p>
        </w:tc>
      </w:tr>
      <w:tr w14:paraId="4FC54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4" w:hRule="atLeast"/>
          <w:jc w:val="center"/>
        </w:trPr>
        <w:tc>
          <w:tcPr>
            <w:tcW w:w="817" w:type="dxa"/>
            <w:vAlign w:val="center"/>
          </w:tcPr>
          <w:p w14:paraId="38303152">
            <w:pPr>
              <w:adjustRightInd w:val="0"/>
              <w:snapToGrid w:val="0"/>
              <w:spacing w:line="276" w:lineRule="auto"/>
              <w:jc w:val="center"/>
              <w:rPr>
                <w:color w:val="auto"/>
                <w:kern w:val="0"/>
                <w:szCs w:val="21"/>
              </w:rPr>
            </w:pPr>
            <w:r>
              <w:rPr>
                <w:color w:val="auto"/>
                <w:kern w:val="0"/>
                <w:szCs w:val="21"/>
              </w:rPr>
              <w:t>总量控制指标</w:t>
            </w:r>
          </w:p>
        </w:tc>
        <w:tc>
          <w:tcPr>
            <w:tcW w:w="8244" w:type="dxa"/>
            <w:vAlign w:val="center"/>
          </w:tcPr>
          <w:p w14:paraId="3F8D0D04">
            <w:pPr>
              <w:adjustRightInd w:val="0"/>
              <w:snapToGrid w:val="0"/>
              <w:ind w:firstLine="480"/>
              <w:rPr>
                <w:color w:val="auto"/>
                <w:kern w:val="0"/>
                <w:szCs w:val="21"/>
              </w:rPr>
            </w:pPr>
            <w:r>
              <w:rPr>
                <w:rFonts w:hint="eastAsia"/>
                <w:color w:val="auto"/>
              </w:rPr>
              <w:t>按照我国对总量控制的有关要求，总量控制指标的项目为SO</w:t>
            </w:r>
            <w:r>
              <w:rPr>
                <w:color w:val="auto"/>
                <w:vertAlign w:val="subscript"/>
              </w:rPr>
              <w:t>2</w:t>
            </w:r>
            <w:r>
              <w:rPr>
                <w:rFonts w:hint="eastAsia"/>
                <w:color w:val="auto"/>
              </w:rPr>
              <w:t>、NO</w:t>
            </w:r>
            <w:r>
              <w:rPr>
                <w:color w:val="auto"/>
                <w:vertAlign w:val="subscript"/>
              </w:rPr>
              <w:t>X</w:t>
            </w:r>
            <w:r>
              <w:rPr>
                <w:rFonts w:hint="eastAsia"/>
                <w:color w:val="auto"/>
              </w:rPr>
              <w:t>、</w:t>
            </w:r>
            <w:r>
              <w:rPr>
                <w:rFonts w:hint="eastAsia"/>
                <w:color w:val="auto"/>
                <w:lang w:val="en-US" w:eastAsia="zh-CN"/>
              </w:rPr>
              <w:t>VOCs、</w:t>
            </w:r>
            <w:r>
              <w:rPr>
                <w:rFonts w:hint="eastAsia"/>
                <w:color w:val="auto"/>
              </w:rPr>
              <w:t>COD、氨氮。项目涉及到总量控制指标的有燃气锅炉产生的NO</w:t>
            </w:r>
            <w:r>
              <w:rPr>
                <w:rFonts w:hint="eastAsia"/>
                <w:color w:val="auto"/>
                <w:vertAlign w:val="subscript"/>
              </w:rPr>
              <w:t>X</w:t>
            </w:r>
            <w:r>
              <w:rPr>
                <w:rFonts w:hint="eastAsia"/>
                <w:color w:val="auto"/>
              </w:rPr>
              <w:t>、S</w:t>
            </w:r>
            <w:r>
              <w:rPr>
                <w:color w:val="auto"/>
              </w:rPr>
              <w:t>O</w:t>
            </w:r>
            <w:r>
              <w:rPr>
                <w:color w:val="auto"/>
                <w:vertAlign w:val="subscript"/>
              </w:rPr>
              <w:t>2</w:t>
            </w:r>
            <w:r>
              <w:rPr>
                <w:rFonts w:hint="eastAsia"/>
                <w:color w:val="auto"/>
              </w:rPr>
              <w:t>，</w:t>
            </w:r>
            <w:r>
              <w:rPr>
                <w:rFonts w:hint="eastAsia"/>
                <w:color w:val="auto"/>
                <w:kern w:val="0"/>
                <w:szCs w:val="21"/>
              </w:rPr>
              <w:t>本项目产生生产废水均排入园区废水处理厂</w:t>
            </w:r>
            <w:r>
              <w:rPr>
                <w:color w:val="auto"/>
              </w:rPr>
              <w:t>隆基废水处理系统</w:t>
            </w:r>
            <w:r>
              <w:rPr>
                <w:rFonts w:hint="eastAsia"/>
                <w:color w:val="auto"/>
                <w:kern w:val="0"/>
                <w:szCs w:val="21"/>
              </w:rPr>
              <w:t>，不外排，</w:t>
            </w:r>
            <w:r>
              <w:rPr>
                <w:rFonts w:hint="eastAsia"/>
                <w:color w:val="auto"/>
              </w:rPr>
              <w:t>因此本项目不需单独申请COD和氨氮总量控制指标。</w:t>
            </w:r>
          </w:p>
          <w:p w14:paraId="6178313D">
            <w:pPr>
              <w:adjustRightInd w:val="0"/>
              <w:snapToGrid w:val="0"/>
              <w:ind w:firstLine="480" w:firstLineChars="200"/>
              <w:rPr>
                <w:color w:val="auto"/>
              </w:rPr>
            </w:pPr>
            <w:r>
              <w:rPr>
                <w:color w:val="auto"/>
              </w:rPr>
              <w:t>根据</w:t>
            </w:r>
            <w:r>
              <w:rPr>
                <w:rFonts w:hint="eastAsia"/>
                <w:color w:val="auto"/>
              </w:rPr>
              <w:t>《鄂尔多斯蒙苏经济开发区零碳产业园工业废水处理厂及水资源再生利用项目环境影响报告书》</w:t>
            </w:r>
            <w:r>
              <w:rPr>
                <w:color w:val="auto"/>
              </w:rPr>
              <w:t>，</w:t>
            </w:r>
            <w:r>
              <w:rPr>
                <w:rFonts w:hint="eastAsia"/>
                <w:b/>
                <w:bCs/>
                <w:color w:val="auto"/>
              </w:rPr>
              <w:t>二</w:t>
            </w:r>
            <w:r>
              <w:rPr>
                <w:rFonts w:hint="eastAsia"/>
                <w:color w:val="auto"/>
              </w:rPr>
              <w:t>氧化硫</w:t>
            </w:r>
            <w:r>
              <w:rPr>
                <w:color w:val="auto"/>
              </w:rPr>
              <w:t>排放量为</w:t>
            </w:r>
            <w:r>
              <w:rPr>
                <w:rFonts w:hint="eastAsia"/>
                <w:color w:val="auto"/>
              </w:rPr>
              <w:t>0.11</w:t>
            </w:r>
            <w:r>
              <w:rPr>
                <w:color w:val="auto"/>
              </w:rPr>
              <w:t>吨/年，</w:t>
            </w:r>
            <w:r>
              <w:rPr>
                <w:rFonts w:hint="eastAsia"/>
                <w:color w:val="auto"/>
              </w:rPr>
              <w:t>氮氧化物</w:t>
            </w:r>
            <w:r>
              <w:rPr>
                <w:color w:val="auto"/>
              </w:rPr>
              <w:t>排放量为</w:t>
            </w:r>
            <w:r>
              <w:rPr>
                <w:rFonts w:hint="eastAsia"/>
                <w:color w:val="auto"/>
              </w:rPr>
              <w:t>0.13</w:t>
            </w:r>
            <w:r>
              <w:rPr>
                <w:color w:val="auto"/>
              </w:rPr>
              <w:t>吨/年。</w:t>
            </w:r>
          </w:p>
          <w:p w14:paraId="0E5B578B">
            <w:pPr>
              <w:adjustRightInd w:val="0"/>
              <w:snapToGrid w:val="0"/>
              <w:ind w:firstLine="480" w:firstLineChars="200"/>
              <w:rPr>
                <w:color w:val="auto"/>
              </w:rPr>
            </w:pPr>
            <w:r>
              <w:rPr>
                <w:color w:val="auto"/>
              </w:rPr>
              <w:t>根据伊金霍洛旗澎源供水有限责任公司202</w:t>
            </w:r>
            <w:r>
              <w:rPr>
                <w:rFonts w:hint="eastAsia"/>
                <w:color w:val="auto"/>
              </w:rPr>
              <w:t>4</w:t>
            </w:r>
            <w:r>
              <w:rPr>
                <w:color w:val="auto"/>
              </w:rPr>
              <w:t>年</w:t>
            </w:r>
            <w:r>
              <w:rPr>
                <w:rFonts w:hint="eastAsia"/>
                <w:color w:val="auto"/>
              </w:rPr>
              <w:t>1</w:t>
            </w:r>
            <w:r>
              <w:rPr>
                <w:color w:val="auto"/>
              </w:rPr>
              <w:t>月</w:t>
            </w:r>
            <w:r>
              <w:rPr>
                <w:rFonts w:hint="eastAsia"/>
                <w:color w:val="auto"/>
              </w:rPr>
              <w:t>13</w:t>
            </w:r>
            <w:r>
              <w:rPr>
                <w:color w:val="auto"/>
              </w:rPr>
              <w:t>日申领的排污许可证（</w:t>
            </w:r>
            <w:r>
              <w:rPr>
                <w:rFonts w:hint="eastAsia"/>
                <w:color w:val="auto"/>
              </w:rPr>
              <w:t>91150627MABQHD2X15001V</w:t>
            </w:r>
            <w:r>
              <w:rPr>
                <w:color w:val="auto"/>
              </w:rPr>
              <w:t>），</w:t>
            </w:r>
            <w:r>
              <w:rPr>
                <w:rFonts w:hint="eastAsia"/>
                <w:color w:val="auto"/>
              </w:rPr>
              <w:t>氮氧化物</w:t>
            </w:r>
            <w:r>
              <w:rPr>
                <w:color w:val="auto"/>
              </w:rPr>
              <w:t>排放量为</w:t>
            </w:r>
            <w:r>
              <w:rPr>
                <w:rFonts w:hint="eastAsia"/>
                <w:color w:val="auto"/>
              </w:rPr>
              <w:t>0.13</w:t>
            </w:r>
            <w:r>
              <w:rPr>
                <w:color w:val="auto"/>
              </w:rPr>
              <w:t>吨/年。</w:t>
            </w:r>
          </w:p>
          <w:p w14:paraId="3FF46752">
            <w:pPr>
              <w:adjustRightInd w:val="0"/>
              <w:snapToGrid w:val="0"/>
              <w:ind w:firstLine="480" w:firstLineChars="200"/>
              <w:rPr>
                <w:rFonts w:hint="eastAsia"/>
                <w:color w:val="auto"/>
                <w:lang w:eastAsia="zh-CN"/>
              </w:rPr>
            </w:pPr>
            <w:r>
              <w:rPr>
                <w:rFonts w:hint="eastAsia"/>
                <w:color w:val="auto"/>
                <w:kern w:val="0"/>
              </w:rPr>
              <w:t>本项目本次</w:t>
            </w:r>
            <w:r>
              <w:rPr>
                <w:rFonts w:hint="eastAsia"/>
                <w:color w:val="auto"/>
                <w:kern w:val="0"/>
                <w:lang w:val="en-US" w:eastAsia="zh-CN"/>
              </w:rPr>
              <w:t>变更</w:t>
            </w:r>
            <w:r>
              <w:rPr>
                <w:rFonts w:hint="eastAsia"/>
                <w:color w:val="auto"/>
                <w:kern w:val="0"/>
              </w:rPr>
              <w:t>后采用2台天然气锅炉生产供汽使用（一用一备），锅炉按照</w:t>
            </w:r>
            <w:r>
              <w:rPr>
                <w:rFonts w:hint="eastAsia"/>
                <w:color w:val="auto"/>
                <w:kern w:val="0"/>
                <w:lang w:val="en-US" w:eastAsia="zh-CN"/>
              </w:rPr>
              <w:t>每日运行时间24小时</w:t>
            </w:r>
            <w:r>
              <w:rPr>
                <w:rFonts w:hint="eastAsia"/>
                <w:color w:val="auto"/>
                <w:kern w:val="0"/>
              </w:rPr>
              <w:t>进行评价，年运行365天。经计算，建议申请大气污染物排放总量</w:t>
            </w:r>
            <w:r>
              <w:rPr>
                <w:rFonts w:hint="eastAsia"/>
                <w:color w:val="auto"/>
              </w:rPr>
              <w:t>NOx：</w:t>
            </w:r>
            <w:r>
              <w:rPr>
                <w:rFonts w:hint="eastAsia"/>
                <w:color w:val="auto"/>
                <w:lang w:val="en-US" w:eastAsia="zh-CN"/>
              </w:rPr>
              <w:t>2.522</w:t>
            </w:r>
            <w:r>
              <w:rPr>
                <w:rFonts w:hint="eastAsia"/>
                <w:color w:val="auto"/>
              </w:rPr>
              <w:t>t/a，S</w:t>
            </w:r>
            <w:r>
              <w:rPr>
                <w:color w:val="auto"/>
              </w:rPr>
              <w:t>O</w:t>
            </w:r>
            <w:r>
              <w:rPr>
                <w:color w:val="auto"/>
                <w:vertAlign w:val="subscript"/>
              </w:rPr>
              <w:t>2</w:t>
            </w:r>
            <w:r>
              <w:rPr>
                <w:rFonts w:hint="eastAsia"/>
                <w:color w:val="auto"/>
              </w:rPr>
              <w:t>：0.333 t/a</w:t>
            </w:r>
            <w:r>
              <w:rPr>
                <w:rFonts w:hint="eastAsia"/>
                <w:color w:val="auto"/>
                <w:lang w:eastAsia="zh-CN"/>
              </w:rPr>
              <w:t>。</w:t>
            </w:r>
          </w:p>
          <w:p w14:paraId="75228298">
            <w:pPr>
              <w:adjustRightInd w:val="0"/>
              <w:snapToGrid w:val="0"/>
              <w:ind w:firstLine="480" w:firstLineChars="200"/>
              <w:rPr>
                <w:rFonts w:hint="eastAsia" w:ascii="Times New Roman" w:hAnsi="Times New Roman" w:eastAsia="宋体" w:cs="Times New Roman"/>
                <w:color w:val="auto"/>
                <w:kern w:val="0"/>
                <w:lang w:eastAsia="zh-CN"/>
              </w:rPr>
            </w:pPr>
          </w:p>
          <w:p w14:paraId="09ABD09C">
            <w:pPr>
              <w:adjustRightInd w:val="0"/>
              <w:snapToGrid w:val="0"/>
              <w:ind w:firstLine="480" w:firstLineChars="200"/>
              <w:rPr>
                <w:rFonts w:hint="eastAsia" w:ascii="Times New Roman" w:hAnsi="Times New Roman" w:eastAsia="宋体" w:cs="Times New Roman"/>
                <w:color w:val="auto"/>
                <w:kern w:val="0"/>
                <w:lang w:eastAsia="zh-CN"/>
              </w:rPr>
            </w:pPr>
          </w:p>
          <w:p w14:paraId="29D90492">
            <w:pPr>
              <w:adjustRightInd w:val="0"/>
              <w:snapToGrid w:val="0"/>
              <w:ind w:firstLine="480" w:firstLineChars="200"/>
              <w:rPr>
                <w:rFonts w:hint="eastAsia" w:ascii="Times New Roman" w:hAnsi="Times New Roman" w:eastAsia="宋体" w:cs="Times New Roman"/>
                <w:color w:val="auto"/>
                <w:kern w:val="0"/>
                <w:lang w:eastAsia="zh-CN"/>
              </w:rPr>
            </w:pPr>
          </w:p>
          <w:p w14:paraId="7FFD782B">
            <w:pPr>
              <w:adjustRightInd w:val="0"/>
              <w:snapToGrid w:val="0"/>
              <w:ind w:firstLine="480" w:firstLineChars="200"/>
              <w:rPr>
                <w:rFonts w:hint="eastAsia" w:ascii="Times New Roman" w:hAnsi="Times New Roman" w:eastAsia="宋体" w:cs="Times New Roman"/>
                <w:color w:val="auto"/>
                <w:kern w:val="0"/>
                <w:lang w:eastAsia="zh-CN"/>
              </w:rPr>
            </w:pPr>
          </w:p>
          <w:p w14:paraId="49D998D5">
            <w:pPr>
              <w:adjustRightInd w:val="0"/>
              <w:snapToGrid w:val="0"/>
              <w:ind w:firstLine="480" w:firstLineChars="200"/>
              <w:rPr>
                <w:rFonts w:hint="eastAsia" w:ascii="Times New Roman" w:hAnsi="Times New Roman" w:eastAsia="宋体" w:cs="Times New Roman"/>
                <w:color w:val="auto"/>
                <w:kern w:val="0"/>
                <w:lang w:eastAsia="zh-CN"/>
              </w:rPr>
            </w:pPr>
          </w:p>
          <w:p w14:paraId="29A20B34">
            <w:pPr>
              <w:adjustRightInd w:val="0"/>
              <w:snapToGrid w:val="0"/>
              <w:ind w:firstLine="480" w:firstLineChars="200"/>
              <w:rPr>
                <w:rFonts w:hint="eastAsia" w:ascii="Times New Roman" w:hAnsi="Times New Roman" w:eastAsia="宋体" w:cs="Times New Roman"/>
                <w:color w:val="auto"/>
                <w:kern w:val="0"/>
                <w:lang w:eastAsia="zh-CN"/>
              </w:rPr>
            </w:pPr>
          </w:p>
          <w:p w14:paraId="2D8C0FB0">
            <w:pPr>
              <w:adjustRightInd w:val="0"/>
              <w:snapToGrid w:val="0"/>
              <w:ind w:firstLine="480" w:firstLineChars="200"/>
              <w:rPr>
                <w:rFonts w:hint="eastAsia" w:ascii="Times New Roman" w:hAnsi="Times New Roman" w:eastAsia="宋体" w:cs="Times New Roman"/>
                <w:color w:val="auto"/>
                <w:kern w:val="0"/>
                <w:lang w:eastAsia="zh-CN"/>
              </w:rPr>
            </w:pPr>
          </w:p>
          <w:p w14:paraId="746DA06C">
            <w:pPr>
              <w:adjustRightInd w:val="0"/>
              <w:snapToGrid w:val="0"/>
              <w:ind w:firstLine="480" w:firstLineChars="200"/>
              <w:rPr>
                <w:rFonts w:hint="eastAsia" w:ascii="Times New Roman" w:hAnsi="Times New Roman" w:eastAsia="宋体" w:cs="Times New Roman"/>
                <w:color w:val="auto"/>
                <w:kern w:val="0"/>
                <w:lang w:eastAsia="zh-CN"/>
              </w:rPr>
            </w:pPr>
          </w:p>
          <w:p w14:paraId="650B500B">
            <w:pPr>
              <w:adjustRightInd w:val="0"/>
              <w:snapToGrid w:val="0"/>
              <w:ind w:firstLine="480" w:firstLineChars="200"/>
              <w:rPr>
                <w:rFonts w:hint="eastAsia" w:ascii="Times New Roman" w:hAnsi="Times New Roman" w:eastAsia="宋体" w:cs="Times New Roman"/>
                <w:color w:val="auto"/>
                <w:kern w:val="0"/>
                <w:lang w:eastAsia="zh-CN"/>
              </w:rPr>
            </w:pPr>
          </w:p>
          <w:p w14:paraId="3340FE13">
            <w:pPr>
              <w:adjustRightInd w:val="0"/>
              <w:snapToGrid w:val="0"/>
              <w:ind w:firstLine="480" w:firstLineChars="200"/>
              <w:rPr>
                <w:rFonts w:hint="eastAsia" w:ascii="Times New Roman" w:hAnsi="Times New Roman" w:eastAsia="宋体" w:cs="Times New Roman"/>
                <w:color w:val="auto"/>
                <w:kern w:val="0"/>
                <w:lang w:eastAsia="zh-CN"/>
              </w:rPr>
            </w:pPr>
          </w:p>
          <w:p w14:paraId="0FE76EB4">
            <w:pPr>
              <w:adjustRightInd w:val="0"/>
              <w:snapToGrid w:val="0"/>
              <w:ind w:firstLine="480" w:firstLineChars="200"/>
              <w:rPr>
                <w:rFonts w:hint="eastAsia" w:ascii="Times New Roman" w:hAnsi="Times New Roman" w:eastAsia="宋体" w:cs="Times New Roman"/>
                <w:color w:val="auto"/>
                <w:kern w:val="0"/>
                <w:lang w:eastAsia="zh-CN"/>
              </w:rPr>
            </w:pPr>
          </w:p>
          <w:p w14:paraId="3E0A25BD">
            <w:pPr>
              <w:adjustRightInd w:val="0"/>
              <w:snapToGrid w:val="0"/>
              <w:ind w:firstLine="480" w:firstLineChars="200"/>
              <w:rPr>
                <w:rFonts w:hint="eastAsia" w:ascii="Times New Roman" w:hAnsi="Times New Roman" w:eastAsia="宋体" w:cs="Times New Roman"/>
                <w:color w:val="auto"/>
                <w:kern w:val="0"/>
                <w:lang w:eastAsia="zh-CN"/>
              </w:rPr>
            </w:pPr>
          </w:p>
          <w:p w14:paraId="3824A1E9">
            <w:pPr>
              <w:adjustRightInd w:val="0"/>
              <w:snapToGrid w:val="0"/>
              <w:ind w:firstLine="480" w:firstLineChars="200"/>
              <w:rPr>
                <w:rFonts w:hint="eastAsia" w:ascii="Times New Roman" w:hAnsi="Times New Roman" w:eastAsia="宋体" w:cs="Times New Roman"/>
                <w:color w:val="auto"/>
                <w:kern w:val="0"/>
                <w:lang w:eastAsia="zh-CN"/>
              </w:rPr>
            </w:pPr>
          </w:p>
          <w:p w14:paraId="70456DC5">
            <w:pPr>
              <w:adjustRightInd w:val="0"/>
              <w:snapToGrid w:val="0"/>
              <w:ind w:firstLine="480" w:firstLineChars="200"/>
              <w:rPr>
                <w:rFonts w:hint="eastAsia"/>
                <w:lang w:eastAsia="zh-CN"/>
              </w:rPr>
            </w:pPr>
          </w:p>
        </w:tc>
      </w:tr>
    </w:tbl>
    <w:p w14:paraId="0A763E84">
      <w:pPr>
        <w:pStyle w:val="15"/>
        <w:jc w:val="center"/>
        <w:outlineLvl w:val="0"/>
        <w:rPr>
          <w:rFonts w:ascii="Times New Roman" w:hAnsi="Times New Roman" w:eastAsia="黑体"/>
          <w:snapToGrid w:val="0"/>
          <w:color w:val="auto"/>
          <w:sz w:val="30"/>
          <w:szCs w:val="30"/>
        </w:rPr>
      </w:pPr>
      <w:r>
        <w:rPr>
          <w:rFonts w:ascii="Times New Roman" w:hAnsi="Times New Roman"/>
          <w:snapToGrid w:val="0"/>
          <w:color w:val="auto"/>
          <w:sz w:val="36"/>
          <w:szCs w:val="36"/>
        </w:rPr>
        <w:br w:type="page"/>
      </w:r>
      <w:r>
        <w:rPr>
          <w:rFonts w:ascii="Times New Roman" w:hAnsi="Times New Roman" w:eastAsia="黑体"/>
          <w:snapToGrid w:val="0"/>
          <w:color w:val="auto"/>
          <w:sz w:val="30"/>
          <w:szCs w:val="30"/>
        </w:rPr>
        <w:t>四、主要环境影响和保护措施</w:t>
      </w:r>
    </w:p>
    <w:tbl>
      <w:tblPr>
        <w:tblStyle w:val="1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201"/>
      </w:tblGrid>
      <w:tr w14:paraId="1A7E1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Mar>
              <w:left w:w="28" w:type="dxa"/>
              <w:right w:w="28" w:type="dxa"/>
            </w:tcMar>
            <w:vAlign w:val="center"/>
          </w:tcPr>
          <w:p w14:paraId="739C5802">
            <w:pPr>
              <w:pStyle w:val="15"/>
              <w:adjustRightInd w:val="0"/>
              <w:snapToGrid w:val="0"/>
              <w:spacing w:before="0" w:beforeAutospacing="0" w:after="0" w:afterAutospacing="0"/>
              <w:jc w:val="center"/>
              <w:rPr>
                <w:rFonts w:ascii="Times New Roman" w:hAnsi="Times New Roman"/>
                <w:color w:val="auto"/>
                <w:kern w:val="2"/>
                <w:szCs w:val="24"/>
                <w:highlight w:val="none"/>
              </w:rPr>
            </w:pPr>
            <w:bookmarkStart w:id="18" w:name="_Hlk71798348"/>
            <w:r>
              <w:rPr>
                <w:rFonts w:ascii="Times New Roman" w:hAnsi="Times New Roman"/>
                <w:color w:val="auto"/>
                <w:kern w:val="2"/>
                <w:szCs w:val="24"/>
                <w:highlight w:val="none"/>
              </w:rPr>
              <w:t>施工</w:t>
            </w:r>
          </w:p>
          <w:p w14:paraId="63572800">
            <w:pPr>
              <w:pStyle w:val="15"/>
              <w:adjustRightInd w:val="0"/>
              <w:snapToGrid w:val="0"/>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期环</w:t>
            </w:r>
          </w:p>
          <w:p w14:paraId="5E01E719">
            <w:pPr>
              <w:pStyle w:val="15"/>
              <w:adjustRightInd w:val="0"/>
              <w:snapToGrid w:val="0"/>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境保</w:t>
            </w:r>
          </w:p>
          <w:p w14:paraId="05D0476C">
            <w:pPr>
              <w:pStyle w:val="15"/>
              <w:adjustRightInd w:val="0"/>
              <w:snapToGrid w:val="0"/>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护措</w:t>
            </w:r>
          </w:p>
          <w:p w14:paraId="5F5A6D84">
            <w:pPr>
              <w:pStyle w:val="15"/>
              <w:adjustRightInd w:val="0"/>
              <w:snapToGrid w:val="0"/>
              <w:spacing w:before="0" w:beforeAutospacing="0" w:after="0" w:afterAutospacing="0"/>
              <w:jc w:val="center"/>
              <w:rPr>
                <w:rFonts w:ascii="Times New Roman" w:hAnsi="Times New Roman"/>
                <w:bCs/>
                <w:color w:val="auto"/>
                <w:kern w:val="2"/>
                <w:sz w:val="21"/>
                <w:szCs w:val="21"/>
                <w:highlight w:val="none"/>
              </w:rPr>
            </w:pPr>
            <w:r>
              <w:rPr>
                <w:rFonts w:ascii="Times New Roman" w:hAnsi="Times New Roman"/>
                <w:color w:val="auto"/>
                <w:kern w:val="2"/>
                <w:szCs w:val="24"/>
                <w:highlight w:val="none"/>
              </w:rPr>
              <w:t>施</w:t>
            </w:r>
          </w:p>
        </w:tc>
        <w:tc>
          <w:tcPr>
            <w:tcW w:w="8201" w:type="dxa"/>
            <w:vAlign w:val="center"/>
          </w:tcPr>
          <w:p w14:paraId="23C03A51">
            <w:pPr>
              <w:pStyle w:val="8"/>
              <w:ind w:firstLine="480" w:firstLineChars="200"/>
              <w:rPr>
                <w:color w:val="auto"/>
                <w:highlight w:val="none"/>
              </w:rPr>
            </w:pPr>
            <w:r>
              <w:rPr>
                <w:bCs/>
                <w:color w:val="auto"/>
                <w:szCs w:val="21"/>
                <w:highlight w:val="none"/>
              </w:rPr>
              <w:t>本项目</w:t>
            </w:r>
            <w:r>
              <w:rPr>
                <w:rFonts w:hint="eastAsia"/>
                <w:bCs/>
                <w:color w:val="auto"/>
                <w:szCs w:val="21"/>
                <w:highlight w:val="none"/>
              </w:rPr>
              <w:t>蒸汽锅炉间已建成，</w:t>
            </w:r>
            <w:r>
              <w:rPr>
                <w:rFonts w:hint="eastAsia"/>
                <w:color w:val="auto"/>
                <w:highlight w:val="none"/>
              </w:rPr>
              <w:t>根据</w:t>
            </w:r>
            <w:r>
              <w:rPr>
                <w:rFonts w:hint="eastAsia"/>
                <w:color w:val="auto"/>
                <w:highlight w:val="none"/>
                <w:lang w:val="en-US" w:eastAsia="zh-CN"/>
              </w:rPr>
              <w:t>建设单位</w:t>
            </w:r>
            <w:r>
              <w:rPr>
                <w:color w:val="auto"/>
                <w:highlight w:val="none"/>
              </w:rPr>
              <w:t>隆基废水处理系统</w:t>
            </w:r>
            <w:r>
              <w:rPr>
                <w:rFonts w:hint="eastAsia"/>
                <w:color w:val="auto"/>
                <w:highlight w:val="none"/>
                <w:lang w:val="en-US" w:eastAsia="zh-CN"/>
              </w:rPr>
              <w:t>实际运行情况</w:t>
            </w:r>
            <w:r>
              <w:rPr>
                <w:rFonts w:hint="eastAsia"/>
                <w:color w:val="auto"/>
                <w:highlight w:val="none"/>
              </w:rPr>
              <w:t>，浓盐水蒸发结晶</w:t>
            </w:r>
            <w:r>
              <w:rPr>
                <w:rFonts w:hint="eastAsia"/>
                <w:color w:val="auto"/>
                <w:highlight w:val="none"/>
                <w:lang w:val="en-US" w:eastAsia="zh-CN"/>
              </w:rPr>
              <w:t>系统蒸汽消耗量</w:t>
            </w:r>
            <w:r>
              <w:rPr>
                <w:rFonts w:hint="eastAsia"/>
                <w:color w:val="auto"/>
                <w:highlight w:val="none"/>
              </w:rPr>
              <w:t>较原环评增加，本次</w:t>
            </w:r>
            <w:r>
              <w:rPr>
                <w:rFonts w:hint="eastAsia"/>
                <w:color w:val="auto"/>
                <w:highlight w:val="none"/>
                <w:lang w:val="en-US" w:eastAsia="zh-CN"/>
              </w:rPr>
              <w:t>变更</w:t>
            </w:r>
            <w:r>
              <w:rPr>
                <w:rFonts w:hint="eastAsia"/>
                <w:color w:val="auto"/>
                <w:highlight w:val="none"/>
              </w:rPr>
              <w:t>后锅炉运行时间增加至24小时每日。无施工期土建工程。</w:t>
            </w:r>
          </w:p>
        </w:tc>
      </w:tr>
      <w:tr w14:paraId="57F441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23" w:hRule="atLeast"/>
          <w:jc w:val="center"/>
        </w:trPr>
        <w:tc>
          <w:tcPr>
            <w:tcW w:w="780" w:type="dxa"/>
            <w:tcMar>
              <w:left w:w="28" w:type="dxa"/>
              <w:right w:w="28" w:type="dxa"/>
            </w:tcMar>
            <w:vAlign w:val="center"/>
          </w:tcPr>
          <w:p w14:paraId="20531201">
            <w:pPr>
              <w:adjustRightInd w:val="0"/>
              <w:snapToGrid w:val="0"/>
              <w:jc w:val="center"/>
              <w:rPr>
                <w:bCs/>
                <w:color w:val="auto"/>
                <w:szCs w:val="21"/>
                <w:highlight w:val="none"/>
              </w:rPr>
            </w:pPr>
            <w:r>
              <w:rPr>
                <w:bCs/>
                <w:color w:val="auto"/>
                <w:szCs w:val="21"/>
                <w:highlight w:val="none"/>
              </w:rPr>
              <w:t>运营</w:t>
            </w:r>
          </w:p>
          <w:p w14:paraId="500F283B">
            <w:pPr>
              <w:adjustRightInd w:val="0"/>
              <w:snapToGrid w:val="0"/>
              <w:jc w:val="center"/>
              <w:rPr>
                <w:bCs/>
                <w:color w:val="auto"/>
                <w:szCs w:val="21"/>
                <w:highlight w:val="none"/>
              </w:rPr>
            </w:pPr>
            <w:r>
              <w:rPr>
                <w:bCs/>
                <w:color w:val="auto"/>
                <w:szCs w:val="21"/>
                <w:highlight w:val="none"/>
              </w:rPr>
              <w:t>期环</w:t>
            </w:r>
          </w:p>
          <w:p w14:paraId="0CB28C2A">
            <w:pPr>
              <w:adjustRightInd w:val="0"/>
              <w:snapToGrid w:val="0"/>
              <w:jc w:val="center"/>
              <w:rPr>
                <w:bCs/>
                <w:color w:val="auto"/>
                <w:szCs w:val="21"/>
                <w:highlight w:val="none"/>
              </w:rPr>
            </w:pPr>
            <w:r>
              <w:rPr>
                <w:bCs/>
                <w:color w:val="auto"/>
                <w:szCs w:val="21"/>
                <w:highlight w:val="none"/>
              </w:rPr>
              <w:t>境影</w:t>
            </w:r>
          </w:p>
          <w:p w14:paraId="03F9A292">
            <w:pPr>
              <w:adjustRightInd w:val="0"/>
              <w:snapToGrid w:val="0"/>
              <w:jc w:val="center"/>
              <w:rPr>
                <w:bCs/>
                <w:color w:val="auto"/>
                <w:szCs w:val="21"/>
                <w:highlight w:val="none"/>
              </w:rPr>
            </w:pPr>
            <w:r>
              <w:rPr>
                <w:bCs/>
                <w:color w:val="auto"/>
                <w:szCs w:val="21"/>
                <w:highlight w:val="none"/>
              </w:rPr>
              <w:t>响和</w:t>
            </w:r>
          </w:p>
          <w:p w14:paraId="45F054E9">
            <w:pPr>
              <w:adjustRightInd w:val="0"/>
              <w:snapToGrid w:val="0"/>
              <w:jc w:val="center"/>
              <w:rPr>
                <w:bCs/>
                <w:color w:val="auto"/>
                <w:szCs w:val="21"/>
                <w:highlight w:val="none"/>
              </w:rPr>
            </w:pPr>
            <w:r>
              <w:rPr>
                <w:bCs/>
                <w:color w:val="auto"/>
                <w:szCs w:val="21"/>
                <w:highlight w:val="none"/>
              </w:rPr>
              <w:t>保护</w:t>
            </w:r>
          </w:p>
          <w:p w14:paraId="4AB4F989">
            <w:pPr>
              <w:adjustRightInd w:val="0"/>
              <w:snapToGrid w:val="0"/>
              <w:jc w:val="center"/>
              <w:rPr>
                <w:bCs/>
                <w:color w:val="auto"/>
                <w:szCs w:val="21"/>
                <w:highlight w:val="none"/>
              </w:rPr>
            </w:pPr>
            <w:r>
              <w:rPr>
                <w:bCs/>
                <w:color w:val="auto"/>
                <w:szCs w:val="21"/>
                <w:highlight w:val="none"/>
              </w:rPr>
              <w:t>措施</w:t>
            </w:r>
          </w:p>
        </w:tc>
        <w:tc>
          <w:tcPr>
            <w:tcW w:w="8201" w:type="dxa"/>
            <w:vAlign w:val="center"/>
          </w:tcPr>
          <w:p w14:paraId="24A4D9DD">
            <w:pPr>
              <w:adjustRightInd w:val="0"/>
              <w:snapToGrid w:val="0"/>
              <w:ind w:firstLine="440" w:firstLineChars="200"/>
              <w:rPr>
                <w:bCs/>
                <w:color w:val="auto"/>
                <w:spacing w:val="-10"/>
                <w:szCs w:val="21"/>
                <w:highlight w:val="none"/>
              </w:rPr>
            </w:pPr>
            <w:r>
              <w:rPr>
                <w:rFonts w:hint="eastAsia"/>
                <w:bCs/>
                <w:color w:val="auto"/>
                <w:spacing w:val="-10"/>
                <w:szCs w:val="21"/>
                <w:highlight w:val="none"/>
              </w:rPr>
              <w:t>废水处理厂厂区现有员工兼顾本项目的运维管理，不新增劳动定员，无新增生活废水及生活垃圾产生。通过工艺分析，本项目运营期产生的污染物主要包括锅炉废气、生产废水、噪声及固废，则具体产污分析如下：</w:t>
            </w:r>
          </w:p>
          <w:p w14:paraId="76830EAC">
            <w:pPr>
              <w:adjustRightInd w:val="0"/>
              <w:snapToGrid w:val="0"/>
              <w:rPr>
                <w:b/>
                <w:color w:val="auto"/>
                <w:spacing w:val="-10"/>
                <w:szCs w:val="21"/>
                <w:highlight w:val="none"/>
              </w:rPr>
            </w:pPr>
            <w:r>
              <w:rPr>
                <w:b/>
                <w:color w:val="auto"/>
                <w:spacing w:val="-10"/>
                <w:szCs w:val="21"/>
                <w:highlight w:val="none"/>
              </w:rPr>
              <w:t>1.废气</w:t>
            </w:r>
          </w:p>
          <w:p w14:paraId="296B20CF">
            <w:pPr>
              <w:adjustRightInd w:val="0"/>
              <w:snapToGrid w:val="0"/>
              <w:ind w:firstLine="480" w:firstLineChars="200"/>
              <w:rPr>
                <w:color w:val="auto"/>
                <w:highlight w:val="none"/>
              </w:rPr>
            </w:pPr>
            <w:r>
              <w:rPr>
                <w:rFonts w:hint="eastAsia"/>
                <w:color w:val="auto"/>
                <w:highlight w:val="none"/>
              </w:rPr>
              <w:t>1）源强分析</w:t>
            </w:r>
          </w:p>
          <w:p w14:paraId="5246224B">
            <w:pPr>
              <w:adjustRightInd w:val="0"/>
              <w:snapToGrid w:val="0"/>
              <w:ind w:firstLine="480" w:firstLineChars="200"/>
              <w:rPr>
                <w:color w:val="auto"/>
                <w:highlight w:val="none"/>
              </w:rPr>
            </w:pPr>
            <w:r>
              <w:rPr>
                <w:color w:val="auto"/>
                <w:highlight w:val="none"/>
              </w:rPr>
              <w:t>项目</w:t>
            </w:r>
            <w:r>
              <w:rPr>
                <w:rFonts w:hint="eastAsia"/>
                <w:color w:val="auto"/>
                <w:highlight w:val="none"/>
              </w:rPr>
              <w:t>运营期大气污染</w:t>
            </w:r>
            <w:r>
              <w:rPr>
                <w:color w:val="auto"/>
                <w:highlight w:val="none"/>
              </w:rPr>
              <w:t>主要为</w:t>
            </w:r>
            <w:r>
              <w:rPr>
                <w:rFonts w:hint="eastAsia"/>
                <w:color w:val="auto"/>
                <w:highlight w:val="none"/>
              </w:rPr>
              <w:t>锅炉燃烧废气</w:t>
            </w:r>
            <w:r>
              <w:rPr>
                <w:color w:val="auto"/>
                <w:highlight w:val="none"/>
              </w:rPr>
              <w:t>。</w:t>
            </w:r>
          </w:p>
          <w:p w14:paraId="275DA70C">
            <w:pPr>
              <w:adjustRightInd w:val="0"/>
              <w:snapToGrid w:val="0"/>
              <w:ind w:firstLine="480" w:firstLineChars="200"/>
              <w:rPr>
                <w:color w:val="auto"/>
                <w:highlight w:val="none"/>
              </w:rPr>
            </w:pPr>
            <w:r>
              <w:rPr>
                <w:color w:val="auto"/>
                <w:highlight w:val="none"/>
              </w:rPr>
              <w:t>本项目设</w:t>
            </w:r>
            <w:r>
              <w:rPr>
                <w:rFonts w:hint="eastAsia"/>
                <w:color w:val="auto"/>
                <w:highlight w:val="none"/>
              </w:rPr>
              <w:t>2</w:t>
            </w:r>
            <w:r>
              <w:rPr>
                <w:color w:val="auto"/>
                <w:highlight w:val="none"/>
              </w:rPr>
              <w:t>台</w:t>
            </w:r>
            <w:r>
              <w:rPr>
                <w:rFonts w:hint="eastAsia"/>
                <w:color w:val="auto"/>
                <w:highlight w:val="none"/>
              </w:rPr>
              <w:t>1</w:t>
            </w:r>
            <w:r>
              <w:rPr>
                <w:rFonts w:hint="eastAsia"/>
                <w:color w:val="auto"/>
                <w:highlight w:val="none"/>
                <w:lang w:val="en-US" w:eastAsia="zh-CN"/>
              </w:rPr>
              <w:t>2t</w:t>
            </w:r>
            <w:r>
              <w:rPr>
                <w:color w:val="auto"/>
                <w:highlight w:val="none"/>
              </w:rPr>
              <w:t>/h</w:t>
            </w:r>
            <w:r>
              <w:rPr>
                <w:rFonts w:hint="eastAsia"/>
                <w:color w:val="auto"/>
                <w:highlight w:val="none"/>
              </w:rPr>
              <w:t>天然气锅炉（一用一备</w:t>
            </w:r>
            <w:r>
              <w:rPr>
                <w:rFonts w:hint="eastAsia"/>
                <w:color w:val="auto"/>
                <w:highlight w:val="none"/>
                <w:lang w:eastAsia="zh-CN"/>
              </w:rPr>
              <w:t>，</w:t>
            </w:r>
            <w:r>
              <w:rPr>
                <w:rFonts w:hint="eastAsia"/>
                <w:color w:val="auto"/>
                <w:highlight w:val="none"/>
                <w:lang w:val="en-US" w:eastAsia="zh-CN"/>
              </w:rPr>
              <w:t>两台锅炉不同时运行</w:t>
            </w:r>
            <w:r>
              <w:rPr>
                <w:rFonts w:hint="eastAsia"/>
                <w:color w:val="auto"/>
                <w:highlight w:val="none"/>
              </w:rPr>
              <w:t>），</w:t>
            </w:r>
            <w:r>
              <w:rPr>
                <w:color w:val="auto"/>
                <w:highlight w:val="none"/>
              </w:rPr>
              <w:t>燃料为</w:t>
            </w:r>
            <w:r>
              <w:rPr>
                <w:rFonts w:hint="eastAsia"/>
                <w:color w:val="auto"/>
                <w:highlight w:val="none"/>
              </w:rPr>
              <w:t>天然气</w:t>
            </w:r>
            <w:r>
              <w:rPr>
                <w:rFonts w:hint="eastAsia"/>
                <w:bCs/>
                <w:color w:val="auto"/>
                <w:highlight w:val="none"/>
              </w:rPr>
              <w:t>，</w:t>
            </w:r>
            <w:r>
              <w:rPr>
                <w:color w:val="auto"/>
                <w:highlight w:val="none"/>
              </w:rPr>
              <w:t>天然气消耗量为</w:t>
            </w:r>
            <w:r>
              <w:rPr>
                <w:rFonts w:hint="eastAsia"/>
                <w:color w:val="auto"/>
                <w:highlight w:val="none"/>
              </w:rPr>
              <w:t>950</w:t>
            </w:r>
            <w:r>
              <w:rPr>
                <w:color w:val="auto"/>
                <w:highlight w:val="none"/>
              </w:rPr>
              <w:t>Nm</w:t>
            </w:r>
            <w:r>
              <w:rPr>
                <w:color w:val="auto"/>
                <w:highlight w:val="none"/>
                <w:vertAlign w:val="superscript"/>
              </w:rPr>
              <w:t>3</w:t>
            </w:r>
            <w:r>
              <w:rPr>
                <w:color w:val="auto"/>
                <w:highlight w:val="none"/>
              </w:rPr>
              <w:t>/（h·台）</w:t>
            </w:r>
            <w:r>
              <w:rPr>
                <w:rFonts w:hint="eastAsia"/>
                <w:color w:val="auto"/>
                <w:highlight w:val="none"/>
              </w:rPr>
              <w:t>，</w:t>
            </w:r>
            <w:r>
              <w:rPr>
                <w:color w:val="auto"/>
                <w:highlight w:val="none"/>
              </w:rPr>
              <w:t>锅炉每天运行</w:t>
            </w:r>
            <w:r>
              <w:rPr>
                <w:rFonts w:hint="eastAsia"/>
                <w:color w:val="auto"/>
                <w:highlight w:val="none"/>
              </w:rPr>
              <w:t>24</w:t>
            </w:r>
            <w:r>
              <w:rPr>
                <w:color w:val="auto"/>
                <w:highlight w:val="none"/>
              </w:rPr>
              <w:t>小时，全年运行</w:t>
            </w:r>
            <w:r>
              <w:rPr>
                <w:rFonts w:hint="eastAsia"/>
                <w:color w:val="auto"/>
                <w:highlight w:val="none"/>
              </w:rPr>
              <w:t>365</w:t>
            </w:r>
            <w:r>
              <w:rPr>
                <w:color w:val="auto"/>
                <w:highlight w:val="none"/>
              </w:rPr>
              <w:t>d，则</w:t>
            </w:r>
            <w:r>
              <w:rPr>
                <w:rFonts w:hint="eastAsia"/>
                <w:color w:val="auto"/>
                <w:highlight w:val="none"/>
              </w:rPr>
              <w:t>每台锅炉</w:t>
            </w:r>
            <w:r>
              <w:rPr>
                <w:color w:val="auto"/>
                <w:highlight w:val="none"/>
              </w:rPr>
              <w:t>天然气消耗量为</w:t>
            </w:r>
            <w:r>
              <w:rPr>
                <w:rFonts w:hint="eastAsia"/>
                <w:color w:val="auto"/>
                <w:highlight w:val="none"/>
              </w:rPr>
              <w:t>832.2万</w:t>
            </w:r>
            <w:r>
              <w:rPr>
                <w:color w:val="auto"/>
                <w:highlight w:val="none"/>
              </w:rPr>
              <w:t>m</w:t>
            </w:r>
            <w:r>
              <w:rPr>
                <w:color w:val="auto"/>
                <w:highlight w:val="none"/>
                <w:vertAlign w:val="superscript"/>
              </w:rPr>
              <w:t>3</w:t>
            </w:r>
            <w:r>
              <w:rPr>
                <w:color w:val="auto"/>
                <w:highlight w:val="none"/>
              </w:rPr>
              <w:t>/a</w:t>
            </w:r>
            <w:r>
              <w:rPr>
                <w:rFonts w:hint="eastAsia"/>
                <w:color w:val="auto"/>
                <w:highlight w:val="none"/>
              </w:rPr>
              <w:t>。两台锅炉各配套建设1套低氮燃烧器、1根</w:t>
            </w:r>
            <w:r>
              <w:rPr>
                <w:rFonts w:hint="eastAsia"/>
                <w:color w:val="auto"/>
                <w:highlight w:val="none"/>
                <w:lang w:val="en-US" w:eastAsia="zh-CN"/>
              </w:rPr>
              <w:t>12</w:t>
            </w:r>
            <w:r>
              <w:rPr>
                <w:rFonts w:hint="eastAsia"/>
                <w:color w:val="auto"/>
                <w:highlight w:val="none"/>
              </w:rPr>
              <w:t>m高排气筒，</w:t>
            </w:r>
            <w:r>
              <w:rPr>
                <w:color w:val="auto"/>
                <w:highlight w:val="none"/>
              </w:rPr>
              <w:t>燃烧废气通过</w:t>
            </w:r>
            <w:r>
              <w:rPr>
                <w:rFonts w:hint="eastAsia"/>
                <w:color w:val="auto"/>
                <w:highlight w:val="none"/>
                <w:lang w:val="en-US" w:eastAsia="zh-CN"/>
              </w:rPr>
              <w:t>12</w:t>
            </w:r>
            <w:r>
              <w:rPr>
                <w:rFonts w:hint="eastAsia"/>
                <w:color w:val="auto"/>
                <w:highlight w:val="none"/>
              </w:rPr>
              <w:t>m高</w:t>
            </w:r>
            <w:r>
              <w:rPr>
                <w:color w:val="auto"/>
                <w:highlight w:val="none"/>
              </w:rPr>
              <w:t>排气筒排放。</w:t>
            </w:r>
          </w:p>
          <w:p w14:paraId="4FBE48A7">
            <w:pPr>
              <w:pStyle w:val="24"/>
              <w:ind w:firstLine="480"/>
              <w:rPr>
                <w:color w:val="auto"/>
                <w:highlight w:val="none"/>
              </w:rPr>
            </w:pPr>
            <w:r>
              <w:rPr>
                <w:rFonts w:hint="eastAsia"/>
                <w:color w:val="auto"/>
                <w:highlight w:val="none"/>
              </w:rPr>
              <w:t>①工业废气量：</w:t>
            </w:r>
            <w:r>
              <w:rPr>
                <w:color w:val="auto"/>
                <w:highlight w:val="none"/>
              </w:rPr>
              <w:t>根据</w:t>
            </w:r>
            <w:r>
              <w:rPr>
                <w:rFonts w:hint="eastAsia"/>
                <w:color w:val="auto"/>
                <w:kern w:val="0"/>
                <w:sz w:val="24"/>
                <w:szCs w:val="24"/>
                <w:highlight w:val="none"/>
                <w:lang w:eastAsia="zh-CN"/>
              </w:rPr>
              <w:t>《排放源统计调查产排污核算方法和系数手册》中“4430锅炉产排污量核算系数手册”、“工业锅炉（热力生产和供应行业）产污系数表-燃气工业锅炉-天然气”，燃气锅炉工业废气量为107753标立方米-万立方米/t-原料，</w:t>
            </w:r>
            <w:r>
              <w:rPr>
                <w:rFonts w:hint="eastAsia"/>
                <w:color w:val="auto"/>
                <w:szCs w:val="24"/>
                <w:highlight w:val="none"/>
              </w:rPr>
              <w:t>本项目天然气使用量832.2万</w:t>
            </w:r>
            <w:r>
              <w:rPr>
                <w:color w:val="auto"/>
                <w:szCs w:val="24"/>
                <w:highlight w:val="none"/>
              </w:rPr>
              <w:t>m</w:t>
            </w:r>
            <w:r>
              <w:rPr>
                <w:color w:val="auto"/>
                <w:szCs w:val="24"/>
                <w:highlight w:val="none"/>
                <w:vertAlign w:val="superscript"/>
              </w:rPr>
              <w:t>3</w:t>
            </w:r>
            <w:r>
              <w:rPr>
                <w:color w:val="auto"/>
                <w:szCs w:val="24"/>
                <w:highlight w:val="none"/>
              </w:rPr>
              <w:t>/a</w:t>
            </w:r>
            <w:r>
              <w:rPr>
                <w:rFonts w:hint="eastAsia"/>
                <w:color w:val="auto"/>
                <w:szCs w:val="24"/>
                <w:highlight w:val="none"/>
              </w:rPr>
              <w:t>-台，故工业废气量为</w:t>
            </w:r>
            <w:r>
              <w:rPr>
                <w:rFonts w:hint="eastAsia"/>
                <w:color w:val="auto"/>
                <w:szCs w:val="24"/>
                <w:highlight w:val="none"/>
                <w:lang w:val="en-US" w:eastAsia="zh-CN"/>
              </w:rPr>
              <w:t>89672046.6</w:t>
            </w:r>
            <w:r>
              <w:rPr>
                <w:rFonts w:hint="eastAsia"/>
                <w:color w:val="auto"/>
                <w:szCs w:val="24"/>
                <w:highlight w:val="none"/>
              </w:rPr>
              <w:t>Nm</w:t>
            </w:r>
            <w:r>
              <w:rPr>
                <w:rFonts w:hint="eastAsia"/>
                <w:color w:val="auto"/>
                <w:szCs w:val="24"/>
                <w:highlight w:val="none"/>
                <w:vertAlign w:val="superscript"/>
              </w:rPr>
              <w:t>3</w:t>
            </w:r>
            <w:r>
              <w:rPr>
                <w:rFonts w:hint="eastAsia"/>
                <w:color w:val="auto"/>
                <w:szCs w:val="24"/>
                <w:highlight w:val="none"/>
              </w:rPr>
              <w:t>/a。</w:t>
            </w:r>
          </w:p>
          <w:p w14:paraId="02CAC3D9">
            <w:pPr>
              <w:adjustRightInd w:val="0"/>
              <w:snapToGrid w:val="0"/>
              <w:ind w:firstLine="480" w:firstLineChars="200"/>
              <w:rPr>
                <w:color w:val="auto"/>
                <w:highlight w:val="none"/>
              </w:rPr>
            </w:pPr>
            <w:r>
              <w:rPr>
                <w:color w:val="auto"/>
                <w:highlight w:val="none"/>
              </w:rPr>
              <w:t>②本项目燃烧炉使用天然气燃料燃烧会产生氮氧化物、二氧化硫、烟尘，根据</w:t>
            </w:r>
            <w:r>
              <w:rPr>
                <w:rFonts w:hint="eastAsia"/>
                <w:color w:val="auto"/>
                <w:kern w:val="0"/>
                <w:sz w:val="24"/>
                <w:szCs w:val="24"/>
                <w:highlight w:val="none"/>
                <w:lang w:eastAsia="zh-CN"/>
              </w:rPr>
              <w:t>《排放源统计调查产排污核算方法和系数手册》</w:t>
            </w:r>
            <w:r>
              <w:rPr>
                <w:color w:val="auto"/>
                <w:highlight w:val="none"/>
              </w:rPr>
              <w:t>中燃天然气工业锅炉的废气产排污系</w:t>
            </w:r>
            <w:r>
              <w:rPr>
                <w:rFonts w:hint="eastAsia"/>
                <w:color w:val="auto"/>
                <w:highlight w:val="none"/>
              </w:rPr>
              <w:t>数</w:t>
            </w:r>
            <w:r>
              <w:rPr>
                <w:color w:val="auto"/>
                <w:highlight w:val="none"/>
              </w:rPr>
              <w:t>可知，污染物产生系数见表</w:t>
            </w:r>
            <w:r>
              <w:rPr>
                <w:rFonts w:hint="eastAsia"/>
                <w:color w:val="auto"/>
                <w:highlight w:val="none"/>
              </w:rPr>
              <w:t>4-1</w:t>
            </w:r>
            <w:r>
              <w:rPr>
                <w:color w:val="auto"/>
                <w:highlight w:val="none"/>
              </w:rPr>
              <w:t xml:space="preserve">。则项目污染物排放情况见下表 </w:t>
            </w:r>
            <w:r>
              <w:rPr>
                <w:rFonts w:hint="eastAsia"/>
                <w:color w:val="auto"/>
                <w:highlight w:val="none"/>
              </w:rPr>
              <w:t>4-1</w:t>
            </w:r>
            <w:r>
              <w:rPr>
                <w:color w:val="auto"/>
                <w:highlight w:val="none"/>
              </w:rPr>
              <w:t>。</w:t>
            </w:r>
          </w:p>
          <w:p w14:paraId="5152FD8A">
            <w:pPr>
              <w:pStyle w:val="52"/>
              <w:rPr>
                <w:color w:val="auto"/>
                <w:highlight w:val="none"/>
              </w:rPr>
            </w:pPr>
          </w:p>
          <w:p w14:paraId="5A88665A">
            <w:pPr>
              <w:pStyle w:val="52"/>
              <w:rPr>
                <w:color w:val="auto"/>
                <w:highlight w:val="none"/>
              </w:rPr>
            </w:pPr>
            <w:r>
              <w:rPr>
                <w:color w:val="auto"/>
                <w:highlight w:val="none"/>
              </w:rPr>
              <w:t>表</w:t>
            </w:r>
            <w:r>
              <w:rPr>
                <w:rFonts w:hint="eastAsia"/>
                <w:color w:val="auto"/>
                <w:highlight w:val="none"/>
              </w:rPr>
              <w:t xml:space="preserve">4-1 </w:t>
            </w:r>
            <w:r>
              <w:rPr>
                <w:color w:val="auto"/>
                <w:highlight w:val="none"/>
              </w:rPr>
              <w:t xml:space="preserve"> </w:t>
            </w:r>
            <w:r>
              <w:rPr>
                <w:rFonts w:hint="eastAsia"/>
                <w:color w:val="auto"/>
                <w:highlight w:val="none"/>
              </w:rPr>
              <w:t>工业锅炉产排污系数表</w:t>
            </w:r>
          </w:p>
          <w:tbl>
            <w:tblPr>
              <w:tblStyle w:val="57"/>
              <w:tblW w:w="4995"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73"/>
              <w:gridCol w:w="707"/>
              <w:gridCol w:w="850"/>
              <w:gridCol w:w="850"/>
              <w:gridCol w:w="956"/>
              <w:gridCol w:w="1055"/>
              <w:gridCol w:w="921"/>
              <w:gridCol w:w="921"/>
              <w:gridCol w:w="944"/>
            </w:tblGrid>
            <w:tr w14:paraId="19AE642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85" w:type="pct"/>
                  <w:vAlign w:val="center"/>
                </w:tcPr>
                <w:p w14:paraId="75868A0E">
                  <w:pPr>
                    <w:spacing w:line="240" w:lineRule="auto"/>
                    <w:jc w:val="center"/>
                    <w:rPr>
                      <w:b w:val="0"/>
                      <w:color w:val="auto"/>
                      <w:sz w:val="21"/>
                      <w:szCs w:val="21"/>
                      <w:highlight w:val="none"/>
                    </w:rPr>
                  </w:pPr>
                  <w:r>
                    <w:rPr>
                      <w:rFonts w:hint="eastAsia"/>
                      <w:b/>
                      <w:color w:val="auto"/>
                      <w:sz w:val="21"/>
                      <w:szCs w:val="21"/>
                      <w:highlight w:val="none"/>
                    </w:rPr>
                    <w:t>产品名称</w:t>
                  </w:r>
                </w:p>
              </w:tc>
              <w:tc>
                <w:tcPr>
                  <w:tcW w:w="443" w:type="pct"/>
                  <w:vAlign w:val="center"/>
                </w:tcPr>
                <w:p w14:paraId="69DCBD25">
                  <w:pPr>
                    <w:spacing w:line="240" w:lineRule="auto"/>
                    <w:jc w:val="center"/>
                    <w:rPr>
                      <w:b w:val="0"/>
                      <w:color w:val="auto"/>
                      <w:sz w:val="21"/>
                      <w:szCs w:val="21"/>
                      <w:highlight w:val="none"/>
                    </w:rPr>
                  </w:pPr>
                  <w:r>
                    <w:rPr>
                      <w:rFonts w:hint="eastAsia"/>
                      <w:b/>
                      <w:color w:val="auto"/>
                      <w:sz w:val="21"/>
                      <w:szCs w:val="21"/>
                      <w:highlight w:val="none"/>
                    </w:rPr>
                    <w:t>燃料名称</w:t>
                  </w:r>
                </w:p>
              </w:tc>
              <w:tc>
                <w:tcPr>
                  <w:tcW w:w="533" w:type="pct"/>
                  <w:vAlign w:val="center"/>
                </w:tcPr>
                <w:p w14:paraId="20C2723B">
                  <w:pPr>
                    <w:spacing w:line="240" w:lineRule="auto"/>
                    <w:jc w:val="center"/>
                    <w:rPr>
                      <w:b w:val="0"/>
                      <w:color w:val="auto"/>
                      <w:sz w:val="21"/>
                      <w:szCs w:val="21"/>
                      <w:highlight w:val="none"/>
                    </w:rPr>
                  </w:pPr>
                  <w:r>
                    <w:rPr>
                      <w:rFonts w:hint="eastAsia"/>
                      <w:b/>
                      <w:color w:val="auto"/>
                      <w:sz w:val="21"/>
                      <w:szCs w:val="21"/>
                      <w:highlight w:val="none"/>
                    </w:rPr>
                    <w:t>工艺名称</w:t>
                  </w:r>
                </w:p>
              </w:tc>
              <w:tc>
                <w:tcPr>
                  <w:tcW w:w="533" w:type="pct"/>
                  <w:vAlign w:val="center"/>
                </w:tcPr>
                <w:p w14:paraId="6FABE504">
                  <w:pPr>
                    <w:spacing w:line="240" w:lineRule="auto"/>
                    <w:jc w:val="center"/>
                    <w:rPr>
                      <w:b w:val="0"/>
                      <w:color w:val="auto"/>
                      <w:sz w:val="21"/>
                      <w:szCs w:val="21"/>
                      <w:highlight w:val="none"/>
                    </w:rPr>
                  </w:pPr>
                  <w:r>
                    <w:rPr>
                      <w:rFonts w:hint="eastAsia"/>
                      <w:b/>
                      <w:color w:val="auto"/>
                      <w:sz w:val="21"/>
                      <w:szCs w:val="21"/>
                      <w:highlight w:val="none"/>
                    </w:rPr>
                    <w:t>规模等级</w:t>
                  </w:r>
                </w:p>
              </w:tc>
              <w:tc>
                <w:tcPr>
                  <w:tcW w:w="599" w:type="pct"/>
                  <w:vAlign w:val="center"/>
                </w:tcPr>
                <w:p w14:paraId="0B0C99DE">
                  <w:pPr>
                    <w:spacing w:line="240" w:lineRule="auto"/>
                    <w:jc w:val="center"/>
                    <w:rPr>
                      <w:b w:val="0"/>
                      <w:color w:val="auto"/>
                      <w:sz w:val="21"/>
                      <w:szCs w:val="21"/>
                      <w:highlight w:val="none"/>
                    </w:rPr>
                  </w:pPr>
                  <w:r>
                    <w:rPr>
                      <w:rFonts w:hint="eastAsia"/>
                      <w:b/>
                      <w:color w:val="auto"/>
                      <w:sz w:val="21"/>
                      <w:szCs w:val="21"/>
                      <w:highlight w:val="none"/>
                    </w:rPr>
                    <w:t>污染物指标</w:t>
                  </w:r>
                </w:p>
              </w:tc>
              <w:tc>
                <w:tcPr>
                  <w:tcW w:w="661" w:type="pct"/>
                  <w:vAlign w:val="center"/>
                </w:tcPr>
                <w:p w14:paraId="0163F5DE">
                  <w:pPr>
                    <w:spacing w:line="240" w:lineRule="auto"/>
                    <w:jc w:val="center"/>
                    <w:rPr>
                      <w:b w:val="0"/>
                      <w:color w:val="auto"/>
                      <w:sz w:val="21"/>
                      <w:szCs w:val="21"/>
                      <w:highlight w:val="none"/>
                    </w:rPr>
                  </w:pPr>
                  <w:r>
                    <w:rPr>
                      <w:rFonts w:hint="eastAsia"/>
                      <w:b/>
                      <w:color w:val="auto"/>
                      <w:sz w:val="21"/>
                      <w:szCs w:val="21"/>
                      <w:highlight w:val="none"/>
                    </w:rPr>
                    <w:t>单位</w:t>
                  </w:r>
                </w:p>
              </w:tc>
              <w:tc>
                <w:tcPr>
                  <w:tcW w:w="577" w:type="pct"/>
                  <w:vAlign w:val="center"/>
                </w:tcPr>
                <w:p w14:paraId="549BF656">
                  <w:pPr>
                    <w:spacing w:line="240" w:lineRule="auto"/>
                    <w:jc w:val="center"/>
                    <w:rPr>
                      <w:b w:val="0"/>
                      <w:color w:val="auto"/>
                      <w:sz w:val="21"/>
                      <w:szCs w:val="21"/>
                      <w:highlight w:val="none"/>
                    </w:rPr>
                  </w:pPr>
                  <w:r>
                    <w:rPr>
                      <w:rFonts w:hint="eastAsia"/>
                      <w:b/>
                      <w:color w:val="auto"/>
                      <w:sz w:val="21"/>
                      <w:szCs w:val="21"/>
                      <w:highlight w:val="none"/>
                    </w:rPr>
                    <w:t>产污系数</w:t>
                  </w:r>
                </w:p>
              </w:tc>
              <w:tc>
                <w:tcPr>
                  <w:tcW w:w="577" w:type="pct"/>
                  <w:vAlign w:val="center"/>
                </w:tcPr>
                <w:p w14:paraId="5FA1B11A">
                  <w:pPr>
                    <w:spacing w:line="240" w:lineRule="auto"/>
                    <w:jc w:val="center"/>
                    <w:rPr>
                      <w:b w:val="0"/>
                      <w:color w:val="auto"/>
                      <w:sz w:val="21"/>
                      <w:szCs w:val="21"/>
                      <w:highlight w:val="none"/>
                    </w:rPr>
                  </w:pPr>
                  <w:r>
                    <w:rPr>
                      <w:rFonts w:hint="eastAsia"/>
                      <w:b/>
                      <w:color w:val="auto"/>
                      <w:sz w:val="21"/>
                      <w:szCs w:val="21"/>
                      <w:highlight w:val="none"/>
                    </w:rPr>
                    <w:t>末端治理技术名称</w:t>
                  </w:r>
                </w:p>
              </w:tc>
              <w:tc>
                <w:tcPr>
                  <w:tcW w:w="586" w:type="pct"/>
                  <w:vAlign w:val="center"/>
                </w:tcPr>
                <w:p w14:paraId="783129E5">
                  <w:pPr>
                    <w:spacing w:line="240" w:lineRule="auto"/>
                    <w:jc w:val="center"/>
                    <w:rPr>
                      <w:rFonts w:hint="eastAsia" w:eastAsia="宋体"/>
                      <w:b w:val="0"/>
                      <w:color w:val="auto"/>
                      <w:sz w:val="21"/>
                      <w:szCs w:val="21"/>
                      <w:highlight w:val="none"/>
                      <w:lang w:eastAsia="zh-CN"/>
                    </w:rPr>
                  </w:pPr>
                  <w:r>
                    <w:rPr>
                      <w:rFonts w:hint="eastAsia"/>
                      <w:b/>
                      <w:color w:val="auto"/>
                      <w:sz w:val="21"/>
                      <w:szCs w:val="21"/>
                      <w:highlight w:val="none"/>
                      <w:lang w:val="en-US" w:eastAsia="zh-CN"/>
                    </w:rPr>
                    <w:t>去除效率</w:t>
                  </w:r>
                </w:p>
              </w:tc>
            </w:tr>
            <w:tr w14:paraId="17C781E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85" w:type="pct"/>
                  <w:vMerge w:val="restart"/>
                  <w:vAlign w:val="center"/>
                </w:tcPr>
                <w:p w14:paraId="4CA578A1">
                  <w:pPr>
                    <w:spacing w:line="240" w:lineRule="auto"/>
                    <w:jc w:val="center"/>
                    <w:rPr>
                      <w:color w:val="auto"/>
                      <w:sz w:val="21"/>
                      <w:szCs w:val="21"/>
                      <w:highlight w:val="none"/>
                    </w:rPr>
                  </w:pPr>
                  <w:r>
                    <w:rPr>
                      <w:rFonts w:hint="eastAsia"/>
                      <w:color w:val="auto"/>
                      <w:sz w:val="21"/>
                      <w:szCs w:val="21"/>
                      <w:highlight w:val="none"/>
                    </w:rPr>
                    <w:t>蒸汽/热水/其他</w:t>
                  </w:r>
                </w:p>
              </w:tc>
              <w:tc>
                <w:tcPr>
                  <w:tcW w:w="443" w:type="pct"/>
                  <w:vMerge w:val="restart"/>
                  <w:vAlign w:val="center"/>
                </w:tcPr>
                <w:p w14:paraId="62C2A2CB">
                  <w:pPr>
                    <w:spacing w:line="240" w:lineRule="auto"/>
                    <w:jc w:val="center"/>
                    <w:rPr>
                      <w:color w:val="auto"/>
                      <w:sz w:val="21"/>
                      <w:szCs w:val="21"/>
                      <w:highlight w:val="none"/>
                    </w:rPr>
                  </w:pPr>
                  <w:r>
                    <w:rPr>
                      <w:rFonts w:hint="eastAsia"/>
                      <w:color w:val="auto"/>
                      <w:sz w:val="21"/>
                      <w:szCs w:val="21"/>
                      <w:highlight w:val="none"/>
                    </w:rPr>
                    <w:t>天然气</w:t>
                  </w:r>
                </w:p>
              </w:tc>
              <w:tc>
                <w:tcPr>
                  <w:tcW w:w="533" w:type="pct"/>
                  <w:vMerge w:val="restart"/>
                  <w:vAlign w:val="center"/>
                </w:tcPr>
                <w:p w14:paraId="3DBCA557">
                  <w:pPr>
                    <w:spacing w:line="240" w:lineRule="auto"/>
                    <w:jc w:val="center"/>
                    <w:rPr>
                      <w:color w:val="auto"/>
                      <w:sz w:val="21"/>
                      <w:szCs w:val="21"/>
                      <w:highlight w:val="none"/>
                    </w:rPr>
                  </w:pPr>
                  <w:r>
                    <w:rPr>
                      <w:rFonts w:hint="eastAsia"/>
                      <w:color w:val="auto"/>
                      <w:sz w:val="21"/>
                      <w:szCs w:val="21"/>
                      <w:highlight w:val="none"/>
                    </w:rPr>
                    <w:t>室燃炉</w:t>
                  </w:r>
                </w:p>
              </w:tc>
              <w:tc>
                <w:tcPr>
                  <w:tcW w:w="533" w:type="pct"/>
                  <w:vMerge w:val="restart"/>
                  <w:vAlign w:val="center"/>
                </w:tcPr>
                <w:p w14:paraId="60006B8D">
                  <w:pPr>
                    <w:spacing w:line="240" w:lineRule="auto"/>
                    <w:jc w:val="center"/>
                    <w:rPr>
                      <w:color w:val="auto"/>
                      <w:sz w:val="21"/>
                      <w:szCs w:val="21"/>
                      <w:highlight w:val="none"/>
                    </w:rPr>
                  </w:pPr>
                  <w:r>
                    <w:rPr>
                      <w:rFonts w:hint="eastAsia"/>
                      <w:color w:val="auto"/>
                      <w:sz w:val="21"/>
                      <w:szCs w:val="21"/>
                      <w:highlight w:val="none"/>
                    </w:rPr>
                    <w:t>所有规模</w:t>
                  </w:r>
                </w:p>
              </w:tc>
              <w:tc>
                <w:tcPr>
                  <w:tcW w:w="599" w:type="pct"/>
                  <w:vAlign w:val="center"/>
                </w:tcPr>
                <w:p w14:paraId="5AA35F95">
                  <w:pPr>
                    <w:spacing w:line="240" w:lineRule="auto"/>
                    <w:jc w:val="center"/>
                    <w:rPr>
                      <w:color w:val="auto"/>
                      <w:sz w:val="21"/>
                      <w:szCs w:val="21"/>
                      <w:highlight w:val="none"/>
                    </w:rPr>
                  </w:pPr>
                  <w:r>
                    <w:rPr>
                      <w:rFonts w:hint="eastAsia"/>
                      <w:color w:val="auto"/>
                      <w:sz w:val="21"/>
                      <w:szCs w:val="21"/>
                      <w:highlight w:val="none"/>
                    </w:rPr>
                    <w:t>二氧化硫</w:t>
                  </w:r>
                </w:p>
              </w:tc>
              <w:tc>
                <w:tcPr>
                  <w:tcW w:w="661" w:type="pct"/>
                  <w:vAlign w:val="center"/>
                </w:tcPr>
                <w:p w14:paraId="0D913444">
                  <w:pPr>
                    <w:spacing w:line="240" w:lineRule="auto"/>
                    <w:jc w:val="center"/>
                    <w:rPr>
                      <w:color w:val="auto"/>
                      <w:sz w:val="21"/>
                      <w:szCs w:val="21"/>
                      <w:highlight w:val="none"/>
                    </w:rPr>
                  </w:pPr>
                  <w:r>
                    <w:rPr>
                      <w:rFonts w:hint="eastAsia"/>
                      <w:color w:val="auto"/>
                      <w:sz w:val="21"/>
                      <w:szCs w:val="21"/>
                      <w:highlight w:val="none"/>
                    </w:rPr>
                    <w:t>千克/万立方米-原料</w:t>
                  </w:r>
                </w:p>
              </w:tc>
              <w:tc>
                <w:tcPr>
                  <w:tcW w:w="577" w:type="pct"/>
                  <w:vAlign w:val="center"/>
                </w:tcPr>
                <w:p w14:paraId="58A19042">
                  <w:pPr>
                    <w:spacing w:line="240" w:lineRule="auto"/>
                    <w:jc w:val="center"/>
                    <w:rPr>
                      <w:color w:val="auto"/>
                      <w:sz w:val="21"/>
                      <w:szCs w:val="21"/>
                      <w:highlight w:val="none"/>
                    </w:rPr>
                  </w:pPr>
                  <w:r>
                    <w:rPr>
                      <w:rFonts w:hint="eastAsia"/>
                      <w:color w:val="auto"/>
                      <w:sz w:val="21"/>
                      <w:szCs w:val="21"/>
                      <w:highlight w:val="none"/>
                    </w:rPr>
                    <w:t>0.02S</w:t>
                  </w:r>
                </w:p>
              </w:tc>
              <w:tc>
                <w:tcPr>
                  <w:tcW w:w="577" w:type="pct"/>
                  <w:vAlign w:val="center"/>
                </w:tcPr>
                <w:p w14:paraId="17071509">
                  <w:pPr>
                    <w:spacing w:line="240" w:lineRule="auto"/>
                    <w:jc w:val="center"/>
                    <w:rPr>
                      <w:color w:val="auto"/>
                      <w:sz w:val="21"/>
                      <w:szCs w:val="21"/>
                      <w:highlight w:val="none"/>
                    </w:rPr>
                  </w:pPr>
                  <w:r>
                    <w:rPr>
                      <w:rFonts w:hint="eastAsia"/>
                      <w:color w:val="auto"/>
                      <w:sz w:val="21"/>
                      <w:szCs w:val="21"/>
                      <w:highlight w:val="none"/>
                    </w:rPr>
                    <w:t>直排</w:t>
                  </w:r>
                </w:p>
              </w:tc>
              <w:tc>
                <w:tcPr>
                  <w:tcW w:w="586" w:type="pct"/>
                  <w:vAlign w:val="center"/>
                </w:tcPr>
                <w:p w14:paraId="566924B7">
                  <w:pPr>
                    <w:spacing w:line="240" w:lineRule="auto"/>
                    <w:jc w:val="center"/>
                    <w:rPr>
                      <w:rFonts w:hint="eastAsia" w:eastAsia="宋体"/>
                      <w:color w:val="auto"/>
                      <w:sz w:val="21"/>
                      <w:szCs w:val="21"/>
                      <w:highlight w:val="none"/>
                      <w:lang w:eastAsia="zh-CN"/>
                    </w:rPr>
                  </w:pPr>
                  <w:r>
                    <w:rPr>
                      <w:rFonts w:hint="eastAsia"/>
                      <w:color w:val="auto"/>
                      <w:sz w:val="21"/>
                      <w:szCs w:val="21"/>
                      <w:highlight w:val="none"/>
                      <w:lang w:val="en-US" w:eastAsia="zh-CN"/>
                    </w:rPr>
                    <w:t>0</w:t>
                  </w:r>
                </w:p>
              </w:tc>
            </w:tr>
            <w:tr w14:paraId="7B62E41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85" w:type="pct"/>
                  <w:vMerge w:val="continue"/>
                  <w:vAlign w:val="center"/>
                </w:tcPr>
                <w:p w14:paraId="11F45CFF">
                  <w:pPr>
                    <w:spacing w:line="240" w:lineRule="auto"/>
                    <w:jc w:val="center"/>
                    <w:rPr>
                      <w:color w:val="auto"/>
                      <w:sz w:val="21"/>
                      <w:szCs w:val="21"/>
                      <w:highlight w:val="none"/>
                    </w:rPr>
                  </w:pPr>
                </w:p>
              </w:tc>
              <w:tc>
                <w:tcPr>
                  <w:tcW w:w="443" w:type="pct"/>
                  <w:vMerge w:val="continue"/>
                  <w:vAlign w:val="center"/>
                </w:tcPr>
                <w:p w14:paraId="68D83906">
                  <w:pPr>
                    <w:spacing w:line="240" w:lineRule="auto"/>
                    <w:jc w:val="center"/>
                    <w:rPr>
                      <w:color w:val="auto"/>
                      <w:sz w:val="21"/>
                      <w:szCs w:val="21"/>
                      <w:highlight w:val="none"/>
                    </w:rPr>
                  </w:pPr>
                </w:p>
              </w:tc>
              <w:tc>
                <w:tcPr>
                  <w:tcW w:w="533" w:type="pct"/>
                  <w:vMerge w:val="continue"/>
                  <w:vAlign w:val="center"/>
                </w:tcPr>
                <w:p w14:paraId="795AF833">
                  <w:pPr>
                    <w:spacing w:line="240" w:lineRule="auto"/>
                    <w:jc w:val="center"/>
                    <w:rPr>
                      <w:color w:val="auto"/>
                      <w:sz w:val="21"/>
                      <w:szCs w:val="21"/>
                      <w:highlight w:val="none"/>
                    </w:rPr>
                  </w:pPr>
                </w:p>
              </w:tc>
              <w:tc>
                <w:tcPr>
                  <w:tcW w:w="533" w:type="pct"/>
                  <w:vMerge w:val="continue"/>
                  <w:vAlign w:val="center"/>
                </w:tcPr>
                <w:p w14:paraId="12B89C5A">
                  <w:pPr>
                    <w:spacing w:line="240" w:lineRule="auto"/>
                    <w:jc w:val="center"/>
                    <w:rPr>
                      <w:color w:val="auto"/>
                      <w:sz w:val="21"/>
                      <w:szCs w:val="21"/>
                      <w:highlight w:val="none"/>
                    </w:rPr>
                  </w:pPr>
                </w:p>
              </w:tc>
              <w:tc>
                <w:tcPr>
                  <w:tcW w:w="599" w:type="pct"/>
                  <w:vAlign w:val="center"/>
                </w:tcPr>
                <w:p w14:paraId="1A00364D">
                  <w:pPr>
                    <w:spacing w:line="240" w:lineRule="auto"/>
                    <w:jc w:val="center"/>
                    <w:rPr>
                      <w:color w:val="auto"/>
                      <w:sz w:val="21"/>
                      <w:szCs w:val="21"/>
                      <w:highlight w:val="none"/>
                    </w:rPr>
                  </w:pPr>
                  <w:r>
                    <w:rPr>
                      <w:rFonts w:hint="eastAsia"/>
                      <w:color w:val="auto"/>
                      <w:sz w:val="21"/>
                      <w:szCs w:val="21"/>
                      <w:highlight w:val="none"/>
                    </w:rPr>
                    <w:t>氮氧化物</w:t>
                  </w:r>
                </w:p>
              </w:tc>
              <w:tc>
                <w:tcPr>
                  <w:tcW w:w="661" w:type="pct"/>
                  <w:vAlign w:val="center"/>
                </w:tcPr>
                <w:p w14:paraId="477C3172">
                  <w:pPr>
                    <w:spacing w:line="240" w:lineRule="auto"/>
                    <w:jc w:val="center"/>
                    <w:rPr>
                      <w:color w:val="auto"/>
                      <w:sz w:val="21"/>
                      <w:szCs w:val="21"/>
                      <w:highlight w:val="none"/>
                    </w:rPr>
                  </w:pPr>
                  <w:r>
                    <w:rPr>
                      <w:rFonts w:hint="eastAsia"/>
                      <w:color w:val="auto"/>
                      <w:sz w:val="21"/>
                      <w:szCs w:val="21"/>
                      <w:highlight w:val="none"/>
                    </w:rPr>
                    <w:t>千克/万立方米-原料</w:t>
                  </w:r>
                </w:p>
              </w:tc>
              <w:tc>
                <w:tcPr>
                  <w:tcW w:w="577" w:type="pct"/>
                  <w:vAlign w:val="center"/>
                </w:tcPr>
                <w:p w14:paraId="5211A3D6">
                  <w:pPr>
                    <w:spacing w:line="240" w:lineRule="auto"/>
                    <w:jc w:val="center"/>
                    <w:rPr>
                      <w:color w:val="auto"/>
                      <w:sz w:val="21"/>
                      <w:szCs w:val="21"/>
                      <w:highlight w:val="none"/>
                    </w:rPr>
                  </w:pPr>
                  <w:r>
                    <w:rPr>
                      <w:rFonts w:hint="eastAsia"/>
                      <w:color w:val="auto"/>
                      <w:sz w:val="21"/>
                      <w:szCs w:val="21"/>
                      <w:highlight w:val="none"/>
                      <w:lang w:val="en-US" w:eastAsia="zh-CN"/>
                    </w:rPr>
                    <w:t>3.03</w:t>
                  </w:r>
                  <w:r>
                    <w:rPr>
                      <w:rFonts w:hint="eastAsia"/>
                      <w:color w:val="auto"/>
                      <w:sz w:val="21"/>
                      <w:szCs w:val="21"/>
                      <w:highlight w:val="none"/>
                    </w:rPr>
                    <w:t>（</w:t>
                  </w:r>
                  <w:r>
                    <w:rPr>
                      <w:rFonts w:hint="eastAsia"/>
                      <w:color w:val="auto"/>
                      <w:sz w:val="21"/>
                      <w:szCs w:val="21"/>
                      <w:highlight w:val="none"/>
                      <w:lang w:val="en-US" w:eastAsia="zh-CN"/>
                    </w:rPr>
                    <w:t>低氮燃烧-国际领先</w:t>
                  </w:r>
                  <w:r>
                    <w:rPr>
                      <w:rFonts w:hint="eastAsia"/>
                      <w:color w:val="auto"/>
                      <w:sz w:val="21"/>
                      <w:szCs w:val="21"/>
                      <w:highlight w:val="none"/>
                    </w:rPr>
                    <w:t>）</w:t>
                  </w:r>
                </w:p>
              </w:tc>
              <w:tc>
                <w:tcPr>
                  <w:tcW w:w="577" w:type="pct"/>
                  <w:vAlign w:val="center"/>
                </w:tcPr>
                <w:p w14:paraId="4B3DF699">
                  <w:pPr>
                    <w:spacing w:line="240" w:lineRule="auto"/>
                    <w:jc w:val="center"/>
                    <w:rPr>
                      <w:color w:val="auto"/>
                      <w:sz w:val="21"/>
                      <w:szCs w:val="21"/>
                      <w:highlight w:val="none"/>
                    </w:rPr>
                  </w:pPr>
                  <w:r>
                    <w:rPr>
                      <w:rFonts w:hint="eastAsia"/>
                      <w:color w:val="auto"/>
                      <w:sz w:val="21"/>
                      <w:szCs w:val="21"/>
                      <w:highlight w:val="none"/>
                    </w:rPr>
                    <w:t>直排</w:t>
                  </w:r>
                </w:p>
              </w:tc>
              <w:tc>
                <w:tcPr>
                  <w:tcW w:w="586" w:type="pct"/>
                  <w:vAlign w:val="center"/>
                </w:tcPr>
                <w:p w14:paraId="02499771">
                  <w:pPr>
                    <w:spacing w:line="240" w:lineRule="auto"/>
                    <w:jc w:val="center"/>
                    <w:rPr>
                      <w:rFonts w:hint="eastAsia" w:eastAsia="宋体"/>
                      <w:color w:val="auto"/>
                      <w:sz w:val="21"/>
                      <w:szCs w:val="21"/>
                      <w:highlight w:val="none"/>
                      <w:lang w:eastAsia="zh-CN"/>
                    </w:rPr>
                  </w:pPr>
                  <w:r>
                    <w:rPr>
                      <w:rFonts w:hint="eastAsia"/>
                      <w:color w:val="auto"/>
                      <w:sz w:val="21"/>
                      <w:szCs w:val="21"/>
                      <w:highlight w:val="none"/>
                      <w:lang w:val="en-US" w:eastAsia="zh-CN"/>
                    </w:rPr>
                    <w:t>0</w:t>
                  </w:r>
                </w:p>
              </w:tc>
            </w:tr>
            <w:tr w14:paraId="3D45AD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9"/>
                  <w:vAlign w:val="center"/>
                </w:tcPr>
                <w:p w14:paraId="5CB9E596">
                  <w:pPr>
                    <w:spacing w:line="240" w:lineRule="auto"/>
                    <w:jc w:val="center"/>
                    <w:rPr>
                      <w:color w:val="auto"/>
                      <w:sz w:val="21"/>
                      <w:szCs w:val="21"/>
                      <w:highlight w:val="none"/>
                    </w:rPr>
                  </w:pPr>
                  <w:r>
                    <w:rPr>
                      <w:rFonts w:hint="eastAsia"/>
                      <w:color w:val="auto"/>
                      <w:sz w:val="21"/>
                      <w:szCs w:val="21"/>
                      <w:highlight w:val="none"/>
                    </w:rPr>
                    <w:t>注：产排污系数表中二氧化硫的产排污系数是以含硫量（S）的形式表示的，其中含硫量 （S）是指燃气硫分含量，单位为毫克/立方米。本项目燃料天然气中含硫量（S）为20 毫克/ 立方米，则 S=20。</w:t>
                  </w:r>
                </w:p>
              </w:tc>
            </w:tr>
          </w:tbl>
          <w:p w14:paraId="2D5C0F54">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根据《环境影响评价工程师职业资格登记培训教材（社会区域类）》中P123表4-12油、气燃料的污染物排放因子数据，燃烧1万立方米天然气产生1.4kg烟尘排放。</w:t>
            </w:r>
          </w:p>
          <w:p w14:paraId="6B67CFAF">
            <w:pPr>
              <w:pStyle w:val="72"/>
              <w:numPr>
                <w:ilvl w:val="0"/>
                <w:numId w:val="3"/>
              </w:numPr>
              <w:spacing w:line="360" w:lineRule="auto"/>
              <w:ind w:left="0"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颗粒物</w:t>
            </w:r>
          </w:p>
          <w:p w14:paraId="6CD0DBEE">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锅炉烟气中颗粒物的产生与排放量计算如下：</w:t>
            </w:r>
          </w:p>
          <w:p w14:paraId="7BCE7340">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产生与排放量：</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×1.4/10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1.165</w:t>
            </w:r>
            <w:r>
              <w:rPr>
                <w:rFonts w:ascii="Times New Roman" w:hAnsi="Times New Roman"/>
                <w:color w:val="auto"/>
                <w:sz w:val="24"/>
                <w:szCs w:val="24"/>
                <w:highlight w:val="none"/>
              </w:rPr>
              <w:t>t/a</w:t>
            </w:r>
          </w:p>
          <w:p w14:paraId="23987E96">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产生与排放速率：</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×1.4×10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8760</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0.133</w:t>
            </w:r>
            <w:r>
              <w:rPr>
                <w:rFonts w:ascii="Times New Roman" w:hAnsi="Times New Roman"/>
                <w:color w:val="auto"/>
                <w:sz w:val="24"/>
                <w:szCs w:val="24"/>
                <w:highlight w:val="none"/>
              </w:rPr>
              <w:t>kg/h</w:t>
            </w:r>
          </w:p>
          <w:p w14:paraId="691F8B35">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产生与排放浓度：</w:t>
            </w:r>
          </w:p>
          <w:p w14:paraId="3AD56E93">
            <w:pPr>
              <w:pStyle w:val="7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×1.4/10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×10</w:t>
            </w:r>
            <w:r>
              <w:rPr>
                <w:rFonts w:hint="eastAsia" w:ascii="Times New Roman" w:hAnsi="Times New Roman"/>
                <w:color w:val="auto"/>
                <w:sz w:val="24"/>
                <w:szCs w:val="24"/>
                <w:highlight w:val="none"/>
                <w:vertAlign w:val="superscript"/>
              </w:rPr>
              <w:t>9</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89672046.6</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12.99</w:t>
            </w:r>
            <w:r>
              <w:rPr>
                <w:rFonts w:ascii="Times New Roman" w:hAnsi="Times New Roman"/>
                <w:color w:val="auto"/>
                <w:sz w:val="24"/>
                <w:szCs w:val="24"/>
                <w:highlight w:val="none"/>
                <w:lang w:bidi="ar"/>
              </w:rPr>
              <w:t>mg/Nm</w:t>
            </w:r>
            <w:r>
              <w:rPr>
                <w:rFonts w:ascii="Times New Roman" w:hAnsi="Times New Roman"/>
                <w:color w:val="auto"/>
                <w:sz w:val="24"/>
                <w:szCs w:val="24"/>
                <w:highlight w:val="none"/>
                <w:vertAlign w:val="superscript"/>
                <w:lang w:bidi="ar"/>
              </w:rPr>
              <w:t>3</w:t>
            </w:r>
          </w:p>
          <w:p w14:paraId="0D2E1DA4">
            <w:pPr>
              <w:pStyle w:val="72"/>
              <w:numPr>
                <w:ilvl w:val="0"/>
                <w:numId w:val="3"/>
              </w:numPr>
              <w:spacing w:line="360" w:lineRule="auto"/>
              <w:ind w:left="0"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二氧化硫</w:t>
            </w:r>
          </w:p>
          <w:p w14:paraId="74CC4756">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锅炉烟气中</w:t>
            </w:r>
            <w:r>
              <w:rPr>
                <w:rFonts w:hint="eastAsia" w:ascii="Times New Roman" w:hAnsi="Times New Roman"/>
                <w:color w:val="auto"/>
                <w:sz w:val="24"/>
                <w:szCs w:val="24"/>
                <w:highlight w:val="none"/>
              </w:rPr>
              <w:t>二氧化硫</w:t>
            </w:r>
            <w:r>
              <w:rPr>
                <w:rFonts w:ascii="Times New Roman" w:hAnsi="Times New Roman"/>
                <w:color w:val="auto"/>
                <w:sz w:val="24"/>
                <w:szCs w:val="24"/>
                <w:highlight w:val="none"/>
              </w:rPr>
              <w:t>的产生与排放量计算如下：</w:t>
            </w:r>
          </w:p>
          <w:p w14:paraId="7DE5C9D6">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产生与排放量：</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0.02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20</w:t>
            </w:r>
            <w:r>
              <w:rPr>
                <w:rFonts w:ascii="Times New Roman" w:hAnsi="Times New Roman"/>
                <w:color w:val="auto"/>
                <w:sz w:val="24"/>
                <w:szCs w:val="24"/>
                <w:highlight w:val="none"/>
              </w:rPr>
              <w:t>/10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0.333</w:t>
            </w:r>
            <w:r>
              <w:rPr>
                <w:rFonts w:ascii="Times New Roman" w:hAnsi="Times New Roman"/>
                <w:color w:val="auto"/>
                <w:sz w:val="24"/>
                <w:szCs w:val="24"/>
                <w:highlight w:val="none"/>
              </w:rPr>
              <w:t>t/a</w:t>
            </w:r>
          </w:p>
          <w:p w14:paraId="26429CC4">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产生与排放速率：</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0.02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20</w:t>
            </w:r>
            <w:r>
              <w:rPr>
                <w:rFonts w:ascii="Times New Roman" w:hAnsi="Times New Roman"/>
                <w:color w:val="auto"/>
                <w:sz w:val="24"/>
                <w:szCs w:val="24"/>
                <w:highlight w:val="none"/>
              </w:rPr>
              <w:t>×10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8760</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0.038</w:t>
            </w:r>
            <w:r>
              <w:rPr>
                <w:rFonts w:ascii="Times New Roman" w:hAnsi="Times New Roman"/>
                <w:color w:val="auto"/>
                <w:sz w:val="24"/>
                <w:szCs w:val="24"/>
                <w:highlight w:val="none"/>
              </w:rPr>
              <w:t>kg/h</w:t>
            </w:r>
          </w:p>
          <w:p w14:paraId="3D5357CC">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产生与排放浓度：</w:t>
            </w:r>
          </w:p>
          <w:p w14:paraId="29DCE717">
            <w:pPr>
              <w:pStyle w:val="7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0.02</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20</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10</w:t>
            </w:r>
            <w:r>
              <w:rPr>
                <w:rFonts w:hint="eastAsia" w:ascii="Times New Roman" w:hAnsi="Times New Roman"/>
                <w:color w:val="auto"/>
                <w:sz w:val="24"/>
                <w:szCs w:val="24"/>
                <w:highlight w:val="none"/>
                <w:vertAlign w:val="superscript"/>
              </w:rPr>
              <w:t>3</w:t>
            </w:r>
            <w:r>
              <w:rPr>
                <w:rFonts w:ascii="Times New Roman" w:hAnsi="Times New Roman"/>
                <w:color w:val="auto"/>
                <w:sz w:val="24"/>
                <w:szCs w:val="24"/>
                <w:highlight w:val="none"/>
              </w:rPr>
              <w:t>×10</w:t>
            </w:r>
            <w:r>
              <w:rPr>
                <w:rFonts w:hint="eastAsia" w:ascii="Times New Roman" w:hAnsi="Times New Roman"/>
                <w:color w:val="auto"/>
                <w:sz w:val="24"/>
                <w:szCs w:val="24"/>
                <w:highlight w:val="none"/>
                <w:vertAlign w:val="superscript"/>
              </w:rPr>
              <w:t>9</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89672046.6</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3.</w:t>
            </w:r>
            <w:r>
              <w:rPr>
                <w:rFonts w:hint="eastAsia" w:ascii="Times New Roman" w:hAnsi="Times New Roman"/>
                <w:color w:val="auto"/>
                <w:sz w:val="24"/>
                <w:szCs w:val="24"/>
                <w:highlight w:val="none"/>
                <w:lang w:val="en-US" w:eastAsia="zh-CN"/>
              </w:rPr>
              <w:t>712</w:t>
            </w:r>
            <w:r>
              <w:rPr>
                <w:rFonts w:ascii="Times New Roman" w:hAnsi="Times New Roman"/>
                <w:color w:val="auto"/>
                <w:sz w:val="24"/>
                <w:szCs w:val="24"/>
                <w:highlight w:val="none"/>
                <w:lang w:bidi="ar"/>
              </w:rPr>
              <w:t>mg/Nm</w:t>
            </w:r>
            <w:r>
              <w:rPr>
                <w:rFonts w:ascii="Times New Roman" w:hAnsi="Times New Roman"/>
                <w:color w:val="auto"/>
                <w:sz w:val="24"/>
                <w:szCs w:val="24"/>
                <w:highlight w:val="none"/>
                <w:vertAlign w:val="superscript"/>
                <w:lang w:bidi="ar"/>
              </w:rPr>
              <w:t>3</w:t>
            </w:r>
          </w:p>
          <w:p w14:paraId="64760C15">
            <w:pPr>
              <w:pStyle w:val="72"/>
              <w:numPr>
                <w:ilvl w:val="0"/>
                <w:numId w:val="3"/>
              </w:numPr>
              <w:spacing w:line="360" w:lineRule="auto"/>
              <w:ind w:left="0"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氮氧化物</w:t>
            </w:r>
          </w:p>
          <w:p w14:paraId="627ECF53">
            <w:pPr>
              <w:pStyle w:val="7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本项目燃气锅炉采用低氮燃烧技术。</w:t>
            </w:r>
          </w:p>
          <w:p w14:paraId="7CB7E818">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锅炉烟气中</w:t>
            </w:r>
            <w:r>
              <w:rPr>
                <w:rFonts w:hint="eastAsia" w:ascii="Times New Roman" w:hAnsi="Times New Roman"/>
                <w:color w:val="auto"/>
                <w:sz w:val="24"/>
                <w:szCs w:val="24"/>
                <w:highlight w:val="none"/>
              </w:rPr>
              <w:t>氮氧化物</w:t>
            </w:r>
            <w:r>
              <w:rPr>
                <w:rFonts w:ascii="Times New Roman" w:hAnsi="Times New Roman"/>
                <w:color w:val="auto"/>
                <w:sz w:val="24"/>
                <w:szCs w:val="24"/>
                <w:highlight w:val="none"/>
              </w:rPr>
              <w:t>的产生与排放量计算如下：</w:t>
            </w:r>
          </w:p>
          <w:p w14:paraId="32069C0A">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w:t>
            </w:r>
            <w:r>
              <w:rPr>
                <w:rFonts w:hint="eastAsia" w:ascii="Times New Roman" w:hAnsi="Times New Roman"/>
                <w:color w:val="auto"/>
                <w:sz w:val="24"/>
                <w:szCs w:val="24"/>
                <w:highlight w:val="none"/>
                <w:lang w:val="en-US" w:eastAsia="zh-CN"/>
              </w:rPr>
              <w:t>与排放</w:t>
            </w:r>
            <w:r>
              <w:rPr>
                <w:rFonts w:ascii="Times New Roman" w:hAnsi="Times New Roman"/>
                <w:color w:val="auto"/>
                <w:sz w:val="24"/>
                <w:szCs w:val="24"/>
                <w:highlight w:val="none"/>
              </w:rPr>
              <w:t>量：</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3.03</w:t>
            </w:r>
            <w:r>
              <w:rPr>
                <w:rFonts w:ascii="Times New Roman" w:hAnsi="Times New Roman"/>
                <w:color w:val="auto"/>
                <w:sz w:val="24"/>
                <w:szCs w:val="24"/>
                <w:highlight w:val="none"/>
              </w:rPr>
              <w:t>/10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2.522</w:t>
            </w:r>
            <w:r>
              <w:rPr>
                <w:rFonts w:ascii="Times New Roman" w:hAnsi="Times New Roman"/>
                <w:color w:val="auto"/>
                <w:sz w:val="24"/>
                <w:szCs w:val="24"/>
                <w:highlight w:val="none"/>
              </w:rPr>
              <w:t>t/a</w:t>
            </w:r>
          </w:p>
          <w:p w14:paraId="52CE27C6">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产生与排放速率：</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3.03</w:t>
            </w:r>
            <w:r>
              <w:rPr>
                <w:rFonts w:ascii="Times New Roman" w:hAnsi="Times New Roman"/>
                <w:color w:val="auto"/>
                <w:sz w:val="24"/>
                <w:szCs w:val="24"/>
                <w:highlight w:val="none"/>
              </w:rPr>
              <w:t>×10</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8760</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0.288kg/h</w:t>
            </w:r>
          </w:p>
          <w:p w14:paraId="32ED2504">
            <w:pPr>
              <w:pStyle w:val="7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产生</w:t>
            </w:r>
            <w:r>
              <w:rPr>
                <w:rFonts w:hint="eastAsia" w:ascii="Times New Roman" w:hAnsi="Times New Roman"/>
                <w:color w:val="auto"/>
                <w:sz w:val="24"/>
                <w:szCs w:val="24"/>
                <w:highlight w:val="none"/>
                <w:lang w:val="en-US" w:eastAsia="zh-CN"/>
              </w:rPr>
              <w:t>与排放</w:t>
            </w:r>
            <w:r>
              <w:rPr>
                <w:rFonts w:ascii="Times New Roman" w:hAnsi="Times New Roman"/>
                <w:color w:val="auto"/>
                <w:sz w:val="24"/>
                <w:szCs w:val="24"/>
                <w:highlight w:val="none"/>
              </w:rPr>
              <w:t>浓度：</w:t>
            </w:r>
            <w:r>
              <w:rPr>
                <w:rFonts w:hint="eastAsia" w:ascii="Times New Roman" w:hAnsi="Times New Roman"/>
                <w:color w:val="auto"/>
                <w:sz w:val="24"/>
                <w:szCs w:val="24"/>
                <w:highlight w:val="none"/>
              </w:rPr>
              <w:t>832.2</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3.03</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10</w:t>
            </w:r>
            <w:r>
              <w:rPr>
                <w:rFonts w:hint="eastAsia" w:ascii="Times New Roman" w:hAnsi="Times New Roman"/>
                <w:color w:val="auto"/>
                <w:sz w:val="24"/>
                <w:szCs w:val="24"/>
                <w:highlight w:val="none"/>
                <w:vertAlign w:val="superscript"/>
              </w:rPr>
              <w:t>3</w:t>
            </w:r>
            <w:r>
              <w:rPr>
                <w:rFonts w:ascii="Times New Roman" w:hAnsi="Times New Roman"/>
                <w:color w:val="auto"/>
                <w:sz w:val="24"/>
                <w:szCs w:val="24"/>
                <w:highlight w:val="none"/>
              </w:rPr>
              <w:t>×10</w:t>
            </w:r>
            <w:r>
              <w:rPr>
                <w:rFonts w:hint="eastAsia" w:ascii="Times New Roman" w:hAnsi="Times New Roman"/>
                <w:color w:val="auto"/>
                <w:sz w:val="24"/>
                <w:szCs w:val="24"/>
                <w:highlight w:val="none"/>
                <w:vertAlign w:val="superscript"/>
                <w:lang w:val="en-US" w:eastAsia="zh-CN"/>
              </w:rPr>
              <w:t>9</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89672046.</w:t>
            </w:r>
            <w:r>
              <w:rPr>
                <w:rFonts w:hint="eastAsia" w:ascii="Times New Roman" w:hAnsi="Times New Roman"/>
                <w:color w:val="auto"/>
                <w:sz w:val="24"/>
                <w:szCs w:val="24"/>
                <w:highlight w:val="none"/>
                <w:lang w:val="en-US" w:eastAsia="zh-CN"/>
              </w:rPr>
              <w:t>6</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28.12</w:t>
            </w:r>
            <w:r>
              <w:rPr>
                <w:rFonts w:ascii="Times New Roman" w:hAnsi="Times New Roman"/>
                <w:color w:val="auto"/>
                <w:sz w:val="24"/>
                <w:szCs w:val="24"/>
                <w:highlight w:val="none"/>
                <w:lang w:bidi="ar"/>
              </w:rPr>
              <w:t>mg/Nm</w:t>
            </w:r>
            <w:r>
              <w:rPr>
                <w:rFonts w:ascii="Times New Roman" w:hAnsi="Times New Roman"/>
                <w:color w:val="auto"/>
                <w:sz w:val="24"/>
                <w:szCs w:val="24"/>
                <w:highlight w:val="none"/>
                <w:vertAlign w:val="superscript"/>
                <w:lang w:bidi="ar"/>
              </w:rPr>
              <w:t>3</w:t>
            </w:r>
          </w:p>
          <w:p w14:paraId="10EF5B2C">
            <w:pPr>
              <w:pStyle w:val="52"/>
              <w:ind w:firstLine="480" w:firstLineChars="200"/>
              <w:jc w:val="left"/>
              <w:rPr>
                <w:rFonts w:eastAsia="宋体"/>
                <w:bCs w:val="0"/>
                <w:color w:val="auto"/>
                <w:szCs w:val="24"/>
                <w:highlight w:val="none"/>
              </w:rPr>
            </w:pPr>
            <w:r>
              <w:rPr>
                <w:rFonts w:eastAsia="宋体"/>
                <w:color w:val="auto"/>
                <w:szCs w:val="24"/>
                <w:highlight w:val="none"/>
              </w:rPr>
              <w:t>锅炉废气主要污染物二氧化硫、氮氧化物、</w:t>
            </w:r>
            <w:r>
              <w:rPr>
                <w:rFonts w:hint="eastAsia" w:eastAsia="宋体"/>
                <w:color w:val="auto"/>
                <w:szCs w:val="24"/>
                <w:highlight w:val="none"/>
              </w:rPr>
              <w:t>颗粒物</w:t>
            </w:r>
            <w:r>
              <w:rPr>
                <w:rFonts w:eastAsia="宋体"/>
                <w:color w:val="auto"/>
                <w:szCs w:val="24"/>
                <w:highlight w:val="none"/>
              </w:rPr>
              <w:t>，本项目锅炉废气经 1 根</w:t>
            </w:r>
            <w:r>
              <w:rPr>
                <w:rFonts w:hint="eastAsia" w:eastAsia="宋体"/>
                <w:color w:val="auto"/>
                <w:szCs w:val="24"/>
                <w:highlight w:val="none"/>
                <w:lang w:val="en-US" w:eastAsia="zh-CN"/>
              </w:rPr>
              <w:t>12</w:t>
            </w:r>
            <w:r>
              <w:rPr>
                <w:rFonts w:eastAsia="宋体"/>
                <w:color w:val="auto"/>
                <w:szCs w:val="24"/>
                <w:highlight w:val="none"/>
              </w:rPr>
              <w:t>m 高排气筒(DA00</w:t>
            </w:r>
            <w:r>
              <w:rPr>
                <w:rFonts w:hint="eastAsia" w:eastAsia="宋体"/>
                <w:color w:val="auto"/>
                <w:szCs w:val="24"/>
                <w:highlight w:val="none"/>
              </w:rPr>
              <w:t>1</w:t>
            </w:r>
            <w:r>
              <w:rPr>
                <w:rFonts w:eastAsia="宋体"/>
                <w:color w:val="auto"/>
                <w:szCs w:val="24"/>
                <w:highlight w:val="none"/>
              </w:rPr>
              <w:t>)排放。产生情况如下</w:t>
            </w:r>
            <w:r>
              <w:rPr>
                <w:rFonts w:hint="eastAsia" w:eastAsia="宋体"/>
                <w:color w:val="auto"/>
                <w:szCs w:val="24"/>
                <w:highlight w:val="none"/>
              </w:rPr>
              <w:t>表。</w:t>
            </w:r>
          </w:p>
          <w:p w14:paraId="5467E331">
            <w:pPr>
              <w:pStyle w:val="52"/>
              <w:rPr>
                <w:color w:val="auto"/>
                <w:highlight w:val="none"/>
              </w:rPr>
            </w:pPr>
            <w:r>
              <w:rPr>
                <w:color w:val="auto"/>
                <w:highlight w:val="none"/>
              </w:rPr>
              <w:t>表</w:t>
            </w:r>
            <w:r>
              <w:rPr>
                <w:rFonts w:hint="eastAsia"/>
                <w:color w:val="auto"/>
                <w:highlight w:val="none"/>
              </w:rPr>
              <w:t xml:space="preserve">4-2 </w:t>
            </w:r>
            <w:r>
              <w:rPr>
                <w:color w:val="auto"/>
                <w:highlight w:val="none"/>
              </w:rPr>
              <w:t xml:space="preserve"> </w:t>
            </w:r>
            <w:r>
              <w:rPr>
                <w:rFonts w:hint="eastAsia"/>
                <w:color w:val="auto"/>
                <w:highlight w:val="none"/>
              </w:rPr>
              <w:t>燃天然气工业锅炉燃烧废气污染物产排情况一览表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65"/>
              <w:gridCol w:w="764"/>
              <w:gridCol w:w="853"/>
              <w:gridCol w:w="764"/>
              <w:gridCol w:w="725"/>
              <w:gridCol w:w="627"/>
              <w:gridCol w:w="839"/>
              <w:gridCol w:w="726"/>
              <w:gridCol w:w="724"/>
              <w:gridCol w:w="715"/>
              <w:gridCol w:w="477"/>
            </w:tblGrid>
            <w:tr w14:paraId="2BCA99C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pct"/>
                  <w:vAlign w:val="center"/>
                </w:tcPr>
                <w:p w14:paraId="3379D6FF">
                  <w:pPr>
                    <w:spacing w:line="240" w:lineRule="auto"/>
                    <w:jc w:val="center"/>
                    <w:rPr>
                      <w:b w:val="0"/>
                      <w:color w:val="auto"/>
                      <w:sz w:val="21"/>
                      <w:szCs w:val="21"/>
                      <w:highlight w:val="none"/>
                    </w:rPr>
                  </w:pPr>
                  <w:r>
                    <w:rPr>
                      <w:rFonts w:hint="eastAsia"/>
                      <w:b/>
                      <w:color w:val="auto"/>
                      <w:sz w:val="21"/>
                      <w:szCs w:val="21"/>
                      <w:highlight w:val="none"/>
                    </w:rPr>
                    <w:t>污染物</w:t>
                  </w:r>
                </w:p>
              </w:tc>
              <w:tc>
                <w:tcPr>
                  <w:tcW w:w="478" w:type="pct"/>
                  <w:vAlign w:val="center"/>
                </w:tcPr>
                <w:p w14:paraId="7484C258">
                  <w:pPr>
                    <w:spacing w:line="240" w:lineRule="auto"/>
                    <w:jc w:val="center"/>
                    <w:rPr>
                      <w:b w:val="0"/>
                      <w:color w:val="auto"/>
                      <w:sz w:val="21"/>
                      <w:szCs w:val="21"/>
                      <w:highlight w:val="none"/>
                    </w:rPr>
                  </w:pPr>
                  <w:r>
                    <w:rPr>
                      <w:rFonts w:hint="eastAsia"/>
                      <w:b/>
                      <w:color w:val="auto"/>
                      <w:sz w:val="21"/>
                      <w:szCs w:val="21"/>
                      <w:highlight w:val="none"/>
                    </w:rPr>
                    <w:t>废气量（万m</w:t>
                  </w:r>
                  <w:r>
                    <w:rPr>
                      <w:rFonts w:hint="eastAsia"/>
                      <w:b/>
                      <w:color w:val="auto"/>
                      <w:sz w:val="21"/>
                      <w:szCs w:val="21"/>
                      <w:highlight w:val="none"/>
                      <w:vertAlign w:val="superscript"/>
                    </w:rPr>
                    <w:t>3</w:t>
                  </w:r>
                  <w:r>
                    <w:rPr>
                      <w:rFonts w:hint="eastAsia"/>
                      <w:b/>
                      <w:color w:val="auto"/>
                      <w:sz w:val="21"/>
                      <w:szCs w:val="21"/>
                      <w:highlight w:val="none"/>
                    </w:rPr>
                    <w:t>/a）</w:t>
                  </w:r>
                </w:p>
              </w:tc>
              <w:tc>
                <w:tcPr>
                  <w:tcW w:w="534" w:type="pct"/>
                  <w:vAlign w:val="center"/>
                </w:tcPr>
                <w:p w14:paraId="7C1E7ECF">
                  <w:pPr>
                    <w:spacing w:line="240" w:lineRule="auto"/>
                    <w:jc w:val="center"/>
                    <w:rPr>
                      <w:b/>
                      <w:color w:val="auto"/>
                      <w:sz w:val="21"/>
                      <w:szCs w:val="21"/>
                      <w:highlight w:val="none"/>
                    </w:rPr>
                  </w:pPr>
                  <w:r>
                    <w:rPr>
                      <w:rFonts w:hint="eastAsia"/>
                      <w:b/>
                      <w:color w:val="auto"/>
                      <w:sz w:val="21"/>
                      <w:szCs w:val="21"/>
                      <w:highlight w:val="none"/>
                    </w:rPr>
                    <w:t>产生</w:t>
                  </w:r>
                </w:p>
                <w:p w14:paraId="5EDCB501">
                  <w:pPr>
                    <w:spacing w:line="240" w:lineRule="auto"/>
                    <w:jc w:val="center"/>
                    <w:rPr>
                      <w:b w:val="0"/>
                      <w:color w:val="auto"/>
                      <w:sz w:val="21"/>
                      <w:szCs w:val="21"/>
                      <w:highlight w:val="none"/>
                    </w:rPr>
                  </w:pPr>
                  <w:r>
                    <w:rPr>
                      <w:rFonts w:hint="eastAsia"/>
                      <w:b/>
                      <w:color w:val="auto"/>
                      <w:sz w:val="21"/>
                      <w:szCs w:val="21"/>
                      <w:highlight w:val="none"/>
                    </w:rPr>
                    <w:t>浓度mg</w:t>
                  </w:r>
                  <w:r>
                    <w:rPr>
                      <w:b/>
                      <w:color w:val="auto"/>
                      <w:sz w:val="21"/>
                      <w:szCs w:val="21"/>
                      <w:highlight w:val="none"/>
                    </w:rPr>
                    <w:t>/</w:t>
                  </w:r>
                  <w:r>
                    <w:rPr>
                      <w:rFonts w:hint="eastAsia"/>
                      <w:b/>
                      <w:color w:val="auto"/>
                      <w:sz w:val="21"/>
                      <w:szCs w:val="21"/>
                      <w:highlight w:val="none"/>
                    </w:rPr>
                    <w:t>m</w:t>
                  </w:r>
                  <w:r>
                    <w:rPr>
                      <w:rFonts w:hint="eastAsia"/>
                      <w:b/>
                      <w:color w:val="auto"/>
                      <w:sz w:val="21"/>
                      <w:szCs w:val="21"/>
                      <w:highlight w:val="none"/>
                      <w:vertAlign w:val="superscript"/>
                    </w:rPr>
                    <w:t>3</w:t>
                  </w:r>
                </w:p>
              </w:tc>
              <w:tc>
                <w:tcPr>
                  <w:tcW w:w="478" w:type="pct"/>
                  <w:vAlign w:val="center"/>
                </w:tcPr>
                <w:p w14:paraId="0DE9ECC7">
                  <w:pPr>
                    <w:spacing w:line="240" w:lineRule="auto"/>
                    <w:jc w:val="center"/>
                    <w:rPr>
                      <w:b/>
                      <w:color w:val="auto"/>
                      <w:sz w:val="21"/>
                      <w:szCs w:val="21"/>
                      <w:highlight w:val="none"/>
                    </w:rPr>
                  </w:pPr>
                  <w:r>
                    <w:rPr>
                      <w:rFonts w:hint="eastAsia"/>
                      <w:b/>
                      <w:color w:val="auto"/>
                      <w:sz w:val="21"/>
                      <w:szCs w:val="21"/>
                      <w:highlight w:val="none"/>
                    </w:rPr>
                    <w:t>产生量t/a</w:t>
                  </w:r>
                </w:p>
              </w:tc>
              <w:tc>
                <w:tcPr>
                  <w:tcW w:w="454" w:type="pct"/>
                  <w:vAlign w:val="center"/>
                </w:tcPr>
                <w:p w14:paraId="126B6E63">
                  <w:pPr>
                    <w:spacing w:line="240" w:lineRule="auto"/>
                    <w:jc w:val="center"/>
                    <w:rPr>
                      <w:b/>
                      <w:color w:val="auto"/>
                      <w:sz w:val="21"/>
                      <w:szCs w:val="21"/>
                      <w:highlight w:val="none"/>
                    </w:rPr>
                  </w:pPr>
                  <w:r>
                    <w:rPr>
                      <w:rFonts w:hint="eastAsia"/>
                      <w:b/>
                      <w:color w:val="auto"/>
                      <w:sz w:val="21"/>
                      <w:szCs w:val="21"/>
                      <w:highlight w:val="none"/>
                    </w:rPr>
                    <w:t>产生</w:t>
                  </w:r>
                </w:p>
                <w:p w14:paraId="574408D9">
                  <w:pPr>
                    <w:spacing w:line="240" w:lineRule="auto"/>
                    <w:jc w:val="center"/>
                    <w:rPr>
                      <w:b w:val="0"/>
                      <w:color w:val="auto"/>
                      <w:sz w:val="21"/>
                      <w:szCs w:val="21"/>
                      <w:highlight w:val="none"/>
                    </w:rPr>
                  </w:pPr>
                  <w:r>
                    <w:rPr>
                      <w:rFonts w:hint="eastAsia"/>
                      <w:b/>
                      <w:color w:val="auto"/>
                      <w:sz w:val="21"/>
                      <w:szCs w:val="21"/>
                      <w:highlight w:val="none"/>
                    </w:rPr>
                    <w:t>速率kg/h</w:t>
                  </w:r>
                </w:p>
              </w:tc>
              <w:tc>
                <w:tcPr>
                  <w:tcW w:w="392" w:type="pct"/>
                  <w:vAlign w:val="center"/>
                </w:tcPr>
                <w:p w14:paraId="6C0A5150">
                  <w:pPr>
                    <w:spacing w:line="240" w:lineRule="auto"/>
                    <w:jc w:val="center"/>
                    <w:rPr>
                      <w:b w:val="0"/>
                      <w:color w:val="auto"/>
                      <w:sz w:val="21"/>
                      <w:szCs w:val="21"/>
                      <w:highlight w:val="none"/>
                    </w:rPr>
                  </w:pPr>
                  <w:r>
                    <w:rPr>
                      <w:rFonts w:hint="eastAsia"/>
                      <w:b/>
                      <w:color w:val="auto"/>
                      <w:sz w:val="21"/>
                      <w:szCs w:val="21"/>
                      <w:highlight w:val="none"/>
                    </w:rPr>
                    <w:t>去除效率</w:t>
                  </w:r>
                </w:p>
              </w:tc>
              <w:tc>
                <w:tcPr>
                  <w:tcW w:w="525" w:type="pct"/>
                  <w:vAlign w:val="center"/>
                </w:tcPr>
                <w:p w14:paraId="033977D7">
                  <w:pPr>
                    <w:spacing w:line="240" w:lineRule="auto"/>
                    <w:jc w:val="center"/>
                    <w:rPr>
                      <w:b/>
                      <w:color w:val="auto"/>
                      <w:sz w:val="21"/>
                      <w:szCs w:val="21"/>
                      <w:highlight w:val="none"/>
                    </w:rPr>
                  </w:pPr>
                  <w:r>
                    <w:rPr>
                      <w:rFonts w:hint="eastAsia"/>
                      <w:b/>
                      <w:color w:val="auto"/>
                      <w:sz w:val="21"/>
                      <w:szCs w:val="21"/>
                      <w:highlight w:val="none"/>
                    </w:rPr>
                    <w:t>排放</w:t>
                  </w:r>
                </w:p>
                <w:p w14:paraId="78A41DA5">
                  <w:pPr>
                    <w:spacing w:line="240" w:lineRule="auto"/>
                    <w:jc w:val="center"/>
                    <w:rPr>
                      <w:b w:val="0"/>
                      <w:color w:val="auto"/>
                      <w:sz w:val="21"/>
                      <w:szCs w:val="21"/>
                      <w:highlight w:val="none"/>
                    </w:rPr>
                  </w:pPr>
                  <w:r>
                    <w:rPr>
                      <w:rFonts w:hint="eastAsia"/>
                      <w:b/>
                      <w:color w:val="auto"/>
                      <w:sz w:val="21"/>
                      <w:szCs w:val="21"/>
                      <w:highlight w:val="none"/>
                    </w:rPr>
                    <w:t>浓度mg</w:t>
                  </w:r>
                  <w:r>
                    <w:rPr>
                      <w:b/>
                      <w:color w:val="auto"/>
                      <w:sz w:val="21"/>
                      <w:szCs w:val="21"/>
                      <w:highlight w:val="none"/>
                    </w:rPr>
                    <w:t>/</w:t>
                  </w:r>
                  <w:r>
                    <w:rPr>
                      <w:rFonts w:hint="eastAsia"/>
                      <w:b/>
                      <w:color w:val="auto"/>
                      <w:sz w:val="21"/>
                      <w:szCs w:val="21"/>
                      <w:highlight w:val="none"/>
                    </w:rPr>
                    <w:t>m</w:t>
                  </w:r>
                  <w:r>
                    <w:rPr>
                      <w:rFonts w:hint="eastAsia"/>
                      <w:b/>
                      <w:color w:val="auto"/>
                      <w:sz w:val="21"/>
                      <w:szCs w:val="21"/>
                      <w:highlight w:val="none"/>
                      <w:vertAlign w:val="superscript"/>
                    </w:rPr>
                    <w:t>3</w:t>
                  </w:r>
                </w:p>
              </w:tc>
              <w:tc>
                <w:tcPr>
                  <w:tcW w:w="454" w:type="pct"/>
                  <w:vAlign w:val="center"/>
                </w:tcPr>
                <w:p w14:paraId="2862B919">
                  <w:pPr>
                    <w:spacing w:line="240" w:lineRule="auto"/>
                    <w:jc w:val="center"/>
                    <w:rPr>
                      <w:b w:val="0"/>
                      <w:color w:val="auto"/>
                      <w:sz w:val="21"/>
                      <w:szCs w:val="21"/>
                      <w:highlight w:val="none"/>
                    </w:rPr>
                  </w:pPr>
                  <w:r>
                    <w:rPr>
                      <w:rFonts w:hint="eastAsia"/>
                      <w:b/>
                      <w:color w:val="auto"/>
                      <w:sz w:val="21"/>
                      <w:szCs w:val="21"/>
                      <w:highlight w:val="none"/>
                    </w:rPr>
                    <w:t>排放量t/a</w:t>
                  </w:r>
                </w:p>
              </w:tc>
              <w:tc>
                <w:tcPr>
                  <w:tcW w:w="453" w:type="pct"/>
                  <w:vAlign w:val="center"/>
                </w:tcPr>
                <w:p w14:paraId="28A34DD3">
                  <w:pPr>
                    <w:spacing w:line="240" w:lineRule="auto"/>
                    <w:jc w:val="center"/>
                    <w:rPr>
                      <w:b w:val="0"/>
                      <w:color w:val="auto"/>
                      <w:sz w:val="21"/>
                      <w:szCs w:val="21"/>
                      <w:highlight w:val="none"/>
                    </w:rPr>
                  </w:pPr>
                  <w:r>
                    <w:rPr>
                      <w:rFonts w:hint="eastAsia"/>
                      <w:b/>
                      <w:color w:val="auto"/>
                      <w:sz w:val="21"/>
                      <w:szCs w:val="21"/>
                      <w:highlight w:val="none"/>
                    </w:rPr>
                    <w:t>排放速率kg/h</w:t>
                  </w:r>
                </w:p>
              </w:tc>
              <w:tc>
                <w:tcPr>
                  <w:tcW w:w="448" w:type="pct"/>
                  <w:vAlign w:val="center"/>
                </w:tcPr>
                <w:p w14:paraId="4B17A6A9">
                  <w:pPr>
                    <w:spacing w:line="240" w:lineRule="auto"/>
                    <w:jc w:val="center"/>
                    <w:rPr>
                      <w:b w:val="0"/>
                      <w:color w:val="auto"/>
                      <w:sz w:val="21"/>
                      <w:szCs w:val="21"/>
                      <w:highlight w:val="none"/>
                    </w:rPr>
                  </w:pPr>
                  <w:r>
                    <w:rPr>
                      <w:rFonts w:hint="eastAsia"/>
                      <w:b/>
                      <w:color w:val="auto"/>
                      <w:sz w:val="21"/>
                      <w:szCs w:val="21"/>
                      <w:highlight w:val="none"/>
                    </w:rPr>
                    <w:t>排放口名称</w:t>
                  </w:r>
                </w:p>
              </w:tc>
              <w:tc>
                <w:tcPr>
                  <w:tcW w:w="298" w:type="pct"/>
                  <w:vAlign w:val="center"/>
                </w:tcPr>
                <w:p w14:paraId="31BB4C31">
                  <w:pPr>
                    <w:spacing w:line="240" w:lineRule="auto"/>
                    <w:jc w:val="center"/>
                    <w:rPr>
                      <w:b w:val="0"/>
                      <w:color w:val="auto"/>
                      <w:sz w:val="21"/>
                      <w:szCs w:val="21"/>
                      <w:highlight w:val="none"/>
                    </w:rPr>
                  </w:pPr>
                  <w:r>
                    <w:rPr>
                      <w:rFonts w:hint="eastAsia"/>
                      <w:b/>
                      <w:color w:val="auto"/>
                      <w:sz w:val="21"/>
                      <w:szCs w:val="21"/>
                      <w:highlight w:val="none"/>
                    </w:rPr>
                    <w:t>核算方法</w:t>
                  </w:r>
                </w:p>
              </w:tc>
            </w:tr>
            <w:tr w14:paraId="485AD7D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pct"/>
                  <w:vAlign w:val="center"/>
                </w:tcPr>
                <w:p w14:paraId="3C486E2E">
                  <w:pPr>
                    <w:spacing w:line="240" w:lineRule="auto"/>
                    <w:jc w:val="center"/>
                    <w:rPr>
                      <w:color w:val="auto"/>
                      <w:sz w:val="21"/>
                      <w:szCs w:val="21"/>
                      <w:highlight w:val="none"/>
                    </w:rPr>
                  </w:pPr>
                  <w:r>
                    <w:rPr>
                      <w:rFonts w:hint="eastAsia"/>
                      <w:color w:val="auto"/>
                      <w:sz w:val="21"/>
                      <w:szCs w:val="21"/>
                      <w:highlight w:val="none"/>
                    </w:rPr>
                    <w:t>TSP</w:t>
                  </w:r>
                </w:p>
              </w:tc>
              <w:tc>
                <w:tcPr>
                  <w:tcW w:w="478" w:type="pct"/>
                  <w:vMerge w:val="restart"/>
                  <w:vAlign w:val="center"/>
                </w:tcPr>
                <w:p w14:paraId="6015ED7B">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89672046.6</w:t>
                  </w:r>
                </w:p>
              </w:tc>
              <w:tc>
                <w:tcPr>
                  <w:tcW w:w="534" w:type="pct"/>
                  <w:vAlign w:val="center"/>
                </w:tcPr>
                <w:p w14:paraId="3AB42FFC">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12.99</w:t>
                  </w:r>
                </w:p>
              </w:tc>
              <w:tc>
                <w:tcPr>
                  <w:tcW w:w="478" w:type="pct"/>
                  <w:vAlign w:val="center"/>
                </w:tcPr>
                <w:p w14:paraId="66E125B7">
                  <w:pPr>
                    <w:spacing w:line="240" w:lineRule="auto"/>
                    <w:jc w:val="center"/>
                    <w:rPr>
                      <w:color w:val="auto"/>
                      <w:sz w:val="21"/>
                      <w:szCs w:val="21"/>
                      <w:highlight w:val="none"/>
                    </w:rPr>
                  </w:pPr>
                  <w:r>
                    <w:rPr>
                      <w:rFonts w:hint="eastAsia"/>
                      <w:color w:val="auto"/>
                      <w:sz w:val="21"/>
                      <w:szCs w:val="21"/>
                      <w:highlight w:val="none"/>
                    </w:rPr>
                    <w:t>1.165</w:t>
                  </w:r>
                </w:p>
              </w:tc>
              <w:tc>
                <w:tcPr>
                  <w:tcW w:w="454" w:type="pct"/>
                  <w:vAlign w:val="center"/>
                </w:tcPr>
                <w:p w14:paraId="49ED04FE">
                  <w:pPr>
                    <w:spacing w:line="240" w:lineRule="auto"/>
                    <w:jc w:val="center"/>
                    <w:rPr>
                      <w:color w:val="auto"/>
                      <w:sz w:val="21"/>
                      <w:szCs w:val="21"/>
                      <w:highlight w:val="none"/>
                    </w:rPr>
                  </w:pPr>
                  <w:r>
                    <w:rPr>
                      <w:rFonts w:hint="eastAsia"/>
                      <w:color w:val="auto"/>
                      <w:sz w:val="21"/>
                      <w:szCs w:val="21"/>
                      <w:highlight w:val="none"/>
                    </w:rPr>
                    <w:t>0.133</w:t>
                  </w:r>
                </w:p>
              </w:tc>
              <w:tc>
                <w:tcPr>
                  <w:tcW w:w="392" w:type="pct"/>
                  <w:vAlign w:val="center"/>
                </w:tcPr>
                <w:p w14:paraId="1BE9680C">
                  <w:pPr>
                    <w:spacing w:line="240" w:lineRule="auto"/>
                    <w:jc w:val="center"/>
                    <w:rPr>
                      <w:color w:val="auto"/>
                      <w:sz w:val="21"/>
                      <w:szCs w:val="21"/>
                      <w:highlight w:val="none"/>
                    </w:rPr>
                  </w:pPr>
                  <w:r>
                    <w:rPr>
                      <w:rFonts w:hint="eastAsia"/>
                      <w:color w:val="auto"/>
                      <w:sz w:val="21"/>
                      <w:szCs w:val="21"/>
                      <w:highlight w:val="none"/>
                    </w:rPr>
                    <w:t>/</w:t>
                  </w:r>
                </w:p>
              </w:tc>
              <w:tc>
                <w:tcPr>
                  <w:tcW w:w="525" w:type="pct"/>
                  <w:vAlign w:val="center"/>
                </w:tcPr>
                <w:p w14:paraId="6178DE50">
                  <w:pPr>
                    <w:spacing w:line="240" w:lineRule="auto"/>
                    <w:jc w:val="center"/>
                    <w:rPr>
                      <w:color w:val="auto"/>
                      <w:sz w:val="21"/>
                      <w:szCs w:val="21"/>
                      <w:highlight w:val="none"/>
                    </w:rPr>
                  </w:pPr>
                  <w:r>
                    <w:rPr>
                      <w:rFonts w:hint="eastAsia"/>
                      <w:color w:val="auto"/>
                      <w:sz w:val="21"/>
                      <w:szCs w:val="21"/>
                      <w:highlight w:val="none"/>
                      <w:lang w:val="en-US" w:eastAsia="zh-CN"/>
                    </w:rPr>
                    <w:t>12.99</w:t>
                  </w:r>
                </w:p>
              </w:tc>
              <w:tc>
                <w:tcPr>
                  <w:tcW w:w="454" w:type="pct"/>
                  <w:vAlign w:val="center"/>
                </w:tcPr>
                <w:p w14:paraId="7D367F92">
                  <w:pPr>
                    <w:spacing w:line="240" w:lineRule="auto"/>
                    <w:jc w:val="center"/>
                    <w:rPr>
                      <w:color w:val="auto"/>
                      <w:sz w:val="21"/>
                      <w:szCs w:val="21"/>
                      <w:highlight w:val="none"/>
                    </w:rPr>
                  </w:pPr>
                  <w:r>
                    <w:rPr>
                      <w:rFonts w:hint="eastAsia"/>
                      <w:color w:val="auto"/>
                      <w:sz w:val="21"/>
                      <w:szCs w:val="21"/>
                      <w:highlight w:val="none"/>
                    </w:rPr>
                    <w:t>1.165</w:t>
                  </w:r>
                </w:p>
              </w:tc>
              <w:tc>
                <w:tcPr>
                  <w:tcW w:w="453" w:type="pct"/>
                  <w:vAlign w:val="center"/>
                </w:tcPr>
                <w:p w14:paraId="5EE35B18">
                  <w:pPr>
                    <w:spacing w:line="240" w:lineRule="auto"/>
                    <w:jc w:val="center"/>
                    <w:rPr>
                      <w:color w:val="auto"/>
                      <w:sz w:val="21"/>
                      <w:szCs w:val="21"/>
                      <w:highlight w:val="none"/>
                    </w:rPr>
                  </w:pPr>
                  <w:r>
                    <w:rPr>
                      <w:rFonts w:hint="eastAsia"/>
                      <w:color w:val="auto"/>
                      <w:sz w:val="21"/>
                      <w:szCs w:val="21"/>
                      <w:highlight w:val="none"/>
                    </w:rPr>
                    <w:t>0.133</w:t>
                  </w:r>
                </w:p>
              </w:tc>
              <w:tc>
                <w:tcPr>
                  <w:tcW w:w="448" w:type="pct"/>
                  <w:vMerge w:val="restart"/>
                  <w:vAlign w:val="center"/>
                </w:tcPr>
                <w:p w14:paraId="2D626CA5">
                  <w:pPr>
                    <w:spacing w:line="240" w:lineRule="auto"/>
                    <w:jc w:val="center"/>
                    <w:rPr>
                      <w:color w:val="auto"/>
                      <w:sz w:val="21"/>
                      <w:szCs w:val="21"/>
                      <w:highlight w:val="none"/>
                    </w:rPr>
                  </w:pPr>
                  <w:r>
                    <w:rPr>
                      <w:rFonts w:hint="eastAsia"/>
                      <w:color w:val="auto"/>
                      <w:sz w:val="21"/>
                      <w:szCs w:val="21"/>
                      <w:highlight w:val="none"/>
                    </w:rPr>
                    <w:t>DA001天然气锅炉排口</w:t>
                  </w:r>
                </w:p>
              </w:tc>
              <w:tc>
                <w:tcPr>
                  <w:tcW w:w="298" w:type="pct"/>
                  <w:vMerge w:val="restart"/>
                  <w:vAlign w:val="center"/>
                </w:tcPr>
                <w:p w14:paraId="756F3E17">
                  <w:pPr>
                    <w:spacing w:line="240" w:lineRule="auto"/>
                    <w:jc w:val="center"/>
                    <w:rPr>
                      <w:color w:val="auto"/>
                      <w:sz w:val="21"/>
                      <w:szCs w:val="21"/>
                      <w:highlight w:val="none"/>
                    </w:rPr>
                  </w:pPr>
                  <w:r>
                    <w:rPr>
                      <w:rFonts w:hint="eastAsia"/>
                      <w:color w:val="auto"/>
                      <w:sz w:val="21"/>
                      <w:szCs w:val="21"/>
                      <w:highlight w:val="none"/>
                    </w:rPr>
                    <w:t>产污系数法</w:t>
                  </w:r>
                </w:p>
              </w:tc>
            </w:tr>
            <w:tr w14:paraId="5D631CB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pct"/>
                  <w:vAlign w:val="center"/>
                </w:tcPr>
                <w:p w14:paraId="2946733C">
                  <w:pPr>
                    <w:spacing w:line="240" w:lineRule="auto"/>
                    <w:jc w:val="center"/>
                    <w:rPr>
                      <w:color w:val="auto"/>
                      <w:sz w:val="21"/>
                      <w:szCs w:val="21"/>
                      <w:highlight w:val="none"/>
                    </w:rPr>
                  </w:pPr>
                  <w:r>
                    <w:rPr>
                      <w:rFonts w:hint="eastAsia"/>
                      <w:color w:val="auto"/>
                      <w:sz w:val="21"/>
                      <w:szCs w:val="21"/>
                      <w:highlight w:val="none"/>
                    </w:rPr>
                    <w:t>SO</w:t>
                  </w:r>
                  <w:r>
                    <w:rPr>
                      <w:rFonts w:hint="eastAsia"/>
                      <w:color w:val="auto"/>
                      <w:sz w:val="21"/>
                      <w:szCs w:val="21"/>
                      <w:highlight w:val="none"/>
                      <w:vertAlign w:val="subscript"/>
                    </w:rPr>
                    <w:t>2</w:t>
                  </w:r>
                </w:p>
              </w:tc>
              <w:tc>
                <w:tcPr>
                  <w:tcW w:w="478" w:type="pct"/>
                  <w:vMerge w:val="continue"/>
                  <w:vAlign w:val="center"/>
                </w:tcPr>
                <w:p w14:paraId="67333A12">
                  <w:pPr>
                    <w:spacing w:line="240" w:lineRule="auto"/>
                    <w:jc w:val="center"/>
                    <w:rPr>
                      <w:color w:val="auto"/>
                      <w:sz w:val="21"/>
                      <w:szCs w:val="21"/>
                      <w:highlight w:val="none"/>
                    </w:rPr>
                  </w:pPr>
                </w:p>
              </w:tc>
              <w:tc>
                <w:tcPr>
                  <w:tcW w:w="534" w:type="pct"/>
                  <w:vAlign w:val="center"/>
                </w:tcPr>
                <w:p w14:paraId="7F5C78C7">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3.712</w:t>
                  </w:r>
                </w:p>
              </w:tc>
              <w:tc>
                <w:tcPr>
                  <w:tcW w:w="478" w:type="pct"/>
                  <w:vAlign w:val="center"/>
                </w:tcPr>
                <w:p w14:paraId="079F3943">
                  <w:pPr>
                    <w:spacing w:line="240" w:lineRule="auto"/>
                    <w:jc w:val="center"/>
                    <w:rPr>
                      <w:color w:val="auto"/>
                      <w:sz w:val="21"/>
                      <w:szCs w:val="21"/>
                      <w:highlight w:val="none"/>
                    </w:rPr>
                  </w:pPr>
                  <w:r>
                    <w:rPr>
                      <w:rFonts w:hint="eastAsia"/>
                      <w:color w:val="auto"/>
                      <w:sz w:val="21"/>
                      <w:szCs w:val="21"/>
                      <w:highlight w:val="none"/>
                    </w:rPr>
                    <w:t>0.333</w:t>
                  </w:r>
                </w:p>
              </w:tc>
              <w:tc>
                <w:tcPr>
                  <w:tcW w:w="454" w:type="pct"/>
                  <w:vAlign w:val="center"/>
                </w:tcPr>
                <w:p w14:paraId="27AFB694">
                  <w:pPr>
                    <w:spacing w:line="240" w:lineRule="auto"/>
                    <w:jc w:val="center"/>
                    <w:rPr>
                      <w:color w:val="auto"/>
                      <w:sz w:val="21"/>
                      <w:szCs w:val="21"/>
                      <w:highlight w:val="none"/>
                    </w:rPr>
                  </w:pPr>
                  <w:r>
                    <w:rPr>
                      <w:rFonts w:hint="eastAsia"/>
                      <w:color w:val="auto"/>
                      <w:sz w:val="21"/>
                      <w:szCs w:val="21"/>
                      <w:highlight w:val="none"/>
                    </w:rPr>
                    <w:t>0.038</w:t>
                  </w:r>
                </w:p>
              </w:tc>
              <w:tc>
                <w:tcPr>
                  <w:tcW w:w="392" w:type="pct"/>
                  <w:vAlign w:val="center"/>
                </w:tcPr>
                <w:p w14:paraId="2A186853">
                  <w:pPr>
                    <w:spacing w:line="240" w:lineRule="auto"/>
                    <w:jc w:val="center"/>
                    <w:rPr>
                      <w:color w:val="auto"/>
                      <w:sz w:val="21"/>
                      <w:szCs w:val="21"/>
                      <w:highlight w:val="none"/>
                    </w:rPr>
                  </w:pPr>
                  <w:r>
                    <w:rPr>
                      <w:rFonts w:hint="eastAsia"/>
                      <w:color w:val="auto"/>
                      <w:sz w:val="21"/>
                      <w:szCs w:val="21"/>
                      <w:highlight w:val="none"/>
                    </w:rPr>
                    <w:t>/</w:t>
                  </w:r>
                </w:p>
              </w:tc>
              <w:tc>
                <w:tcPr>
                  <w:tcW w:w="525" w:type="pct"/>
                  <w:vAlign w:val="center"/>
                </w:tcPr>
                <w:p w14:paraId="39E506F4">
                  <w:pPr>
                    <w:spacing w:line="240" w:lineRule="auto"/>
                    <w:jc w:val="center"/>
                    <w:rPr>
                      <w:rFonts w:hint="default"/>
                      <w:color w:val="auto"/>
                      <w:sz w:val="21"/>
                      <w:szCs w:val="21"/>
                      <w:highlight w:val="none"/>
                      <w:lang w:val="en-US"/>
                    </w:rPr>
                  </w:pPr>
                  <w:r>
                    <w:rPr>
                      <w:rFonts w:hint="eastAsia"/>
                      <w:color w:val="auto"/>
                      <w:sz w:val="21"/>
                      <w:szCs w:val="21"/>
                      <w:highlight w:val="none"/>
                      <w:lang w:val="en-US" w:eastAsia="zh-CN"/>
                    </w:rPr>
                    <w:t>3.712</w:t>
                  </w:r>
                </w:p>
              </w:tc>
              <w:tc>
                <w:tcPr>
                  <w:tcW w:w="454" w:type="pct"/>
                  <w:vAlign w:val="center"/>
                </w:tcPr>
                <w:p w14:paraId="0405DFF6">
                  <w:pPr>
                    <w:spacing w:line="240" w:lineRule="auto"/>
                    <w:jc w:val="center"/>
                    <w:rPr>
                      <w:color w:val="auto"/>
                      <w:sz w:val="21"/>
                      <w:szCs w:val="21"/>
                      <w:highlight w:val="none"/>
                    </w:rPr>
                  </w:pPr>
                  <w:r>
                    <w:rPr>
                      <w:rFonts w:hint="eastAsia"/>
                      <w:color w:val="auto"/>
                      <w:sz w:val="21"/>
                      <w:szCs w:val="21"/>
                      <w:highlight w:val="none"/>
                    </w:rPr>
                    <w:t>0.333</w:t>
                  </w:r>
                </w:p>
              </w:tc>
              <w:tc>
                <w:tcPr>
                  <w:tcW w:w="453" w:type="pct"/>
                  <w:vAlign w:val="center"/>
                </w:tcPr>
                <w:p w14:paraId="193F7246">
                  <w:pPr>
                    <w:spacing w:line="240" w:lineRule="auto"/>
                    <w:jc w:val="center"/>
                    <w:rPr>
                      <w:color w:val="auto"/>
                      <w:sz w:val="21"/>
                      <w:szCs w:val="21"/>
                      <w:highlight w:val="none"/>
                    </w:rPr>
                  </w:pPr>
                  <w:r>
                    <w:rPr>
                      <w:rFonts w:hint="eastAsia"/>
                      <w:color w:val="auto"/>
                      <w:sz w:val="21"/>
                      <w:szCs w:val="21"/>
                      <w:highlight w:val="none"/>
                    </w:rPr>
                    <w:t>0.038</w:t>
                  </w:r>
                </w:p>
              </w:tc>
              <w:tc>
                <w:tcPr>
                  <w:tcW w:w="448" w:type="pct"/>
                  <w:vMerge w:val="continue"/>
                  <w:vAlign w:val="center"/>
                </w:tcPr>
                <w:p w14:paraId="4F077249">
                  <w:pPr>
                    <w:spacing w:line="240" w:lineRule="auto"/>
                    <w:jc w:val="center"/>
                    <w:rPr>
                      <w:color w:val="auto"/>
                      <w:sz w:val="21"/>
                      <w:szCs w:val="21"/>
                      <w:highlight w:val="none"/>
                    </w:rPr>
                  </w:pPr>
                </w:p>
              </w:tc>
              <w:tc>
                <w:tcPr>
                  <w:tcW w:w="298" w:type="pct"/>
                  <w:vMerge w:val="continue"/>
                  <w:vAlign w:val="center"/>
                </w:tcPr>
                <w:p w14:paraId="78467B38">
                  <w:pPr>
                    <w:spacing w:line="240" w:lineRule="auto"/>
                    <w:jc w:val="center"/>
                    <w:rPr>
                      <w:color w:val="auto"/>
                      <w:sz w:val="21"/>
                      <w:szCs w:val="21"/>
                      <w:highlight w:val="none"/>
                    </w:rPr>
                  </w:pPr>
                </w:p>
              </w:tc>
            </w:tr>
            <w:tr w14:paraId="3423415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pct"/>
                  <w:vAlign w:val="center"/>
                </w:tcPr>
                <w:p w14:paraId="1876B917">
                  <w:pPr>
                    <w:spacing w:line="240" w:lineRule="auto"/>
                    <w:jc w:val="center"/>
                    <w:rPr>
                      <w:color w:val="auto"/>
                      <w:sz w:val="21"/>
                      <w:szCs w:val="21"/>
                      <w:highlight w:val="none"/>
                    </w:rPr>
                  </w:pPr>
                  <w:r>
                    <w:rPr>
                      <w:rFonts w:hint="eastAsia"/>
                      <w:color w:val="auto"/>
                      <w:sz w:val="21"/>
                      <w:szCs w:val="21"/>
                      <w:highlight w:val="none"/>
                    </w:rPr>
                    <w:t>NOx</w:t>
                  </w:r>
                </w:p>
              </w:tc>
              <w:tc>
                <w:tcPr>
                  <w:tcW w:w="478" w:type="pct"/>
                  <w:vMerge w:val="continue"/>
                  <w:vAlign w:val="center"/>
                </w:tcPr>
                <w:p w14:paraId="1ADD6DEF">
                  <w:pPr>
                    <w:spacing w:line="240" w:lineRule="auto"/>
                    <w:jc w:val="center"/>
                    <w:rPr>
                      <w:color w:val="auto"/>
                      <w:sz w:val="21"/>
                      <w:szCs w:val="21"/>
                      <w:highlight w:val="none"/>
                    </w:rPr>
                  </w:pPr>
                </w:p>
              </w:tc>
              <w:tc>
                <w:tcPr>
                  <w:tcW w:w="534" w:type="pct"/>
                  <w:vAlign w:val="center"/>
                </w:tcPr>
                <w:p w14:paraId="6E72794E">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28.120</w:t>
                  </w:r>
                </w:p>
              </w:tc>
              <w:tc>
                <w:tcPr>
                  <w:tcW w:w="478" w:type="pct"/>
                  <w:vAlign w:val="center"/>
                </w:tcPr>
                <w:p w14:paraId="25925C29">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2.522</w:t>
                  </w:r>
                </w:p>
              </w:tc>
              <w:tc>
                <w:tcPr>
                  <w:tcW w:w="454" w:type="pct"/>
                  <w:vAlign w:val="center"/>
                </w:tcPr>
                <w:p w14:paraId="0F8BA45E">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0.288</w:t>
                  </w:r>
                </w:p>
              </w:tc>
              <w:tc>
                <w:tcPr>
                  <w:tcW w:w="392" w:type="pct"/>
                  <w:vAlign w:val="center"/>
                </w:tcPr>
                <w:p w14:paraId="77BF7B72">
                  <w:pPr>
                    <w:spacing w:line="240" w:lineRule="auto"/>
                    <w:jc w:val="center"/>
                    <w:rPr>
                      <w:rFonts w:hint="eastAsia" w:eastAsia="宋体"/>
                      <w:color w:val="auto"/>
                      <w:sz w:val="21"/>
                      <w:szCs w:val="21"/>
                      <w:highlight w:val="none"/>
                      <w:lang w:eastAsia="zh-CN"/>
                    </w:rPr>
                  </w:pPr>
                  <w:r>
                    <w:rPr>
                      <w:rFonts w:hint="eastAsia"/>
                      <w:color w:val="auto"/>
                      <w:sz w:val="21"/>
                      <w:szCs w:val="21"/>
                      <w:highlight w:val="none"/>
                      <w:lang w:val="en-US" w:eastAsia="zh-CN"/>
                    </w:rPr>
                    <w:t>/</w:t>
                  </w:r>
                </w:p>
              </w:tc>
              <w:tc>
                <w:tcPr>
                  <w:tcW w:w="525" w:type="pct"/>
                  <w:vAlign w:val="center"/>
                </w:tcPr>
                <w:p w14:paraId="24B477E2">
                  <w:pPr>
                    <w:spacing w:line="240" w:lineRule="auto"/>
                    <w:jc w:val="center"/>
                    <w:rPr>
                      <w:rFonts w:hint="default"/>
                      <w:color w:val="auto"/>
                      <w:sz w:val="21"/>
                      <w:szCs w:val="21"/>
                      <w:highlight w:val="none"/>
                      <w:lang w:val="en-US"/>
                    </w:rPr>
                  </w:pPr>
                  <w:r>
                    <w:rPr>
                      <w:rFonts w:hint="eastAsia"/>
                      <w:color w:val="auto"/>
                      <w:sz w:val="21"/>
                      <w:szCs w:val="21"/>
                      <w:highlight w:val="none"/>
                      <w:lang w:val="en-US" w:eastAsia="zh-CN"/>
                    </w:rPr>
                    <w:t>28.120</w:t>
                  </w:r>
                </w:p>
              </w:tc>
              <w:tc>
                <w:tcPr>
                  <w:tcW w:w="454" w:type="pct"/>
                  <w:vAlign w:val="center"/>
                </w:tcPr>
                <w:p w14:paraId="017F6D1C">
                  <w:pPr>
                    <w:spacing w:line="240" w:lineRule="auto"/>
                    <w:jc w:val="center"/>
                    <w:rPr>
                      <w:rFonts w:hint="default"/>
                      <w:color w:val="auto"/>
                      <w:sz w:val="21"/>
                      <w:szCs w:val="21"/>
                      <w:highlight w:val="none"/>
                      <w:lang w:val="en-US"/>
                    </w:rPr>
                  </w:pPr>
                  <w:r>
                    <w:rPr>
                      <w:rFonts w:hint="eastAsia"/>
                      <w:color w:val="auto"/>
                      <w:sz w:val="21"/>
                      <w:szCs w:val="21"/>
                      <w:highlight w:val="none"/>
                      <w:lang w:val="en-US" w:eastAsia="zh-CN"/>
                    </w:rPr>
                    <w:t>2.522</w:t>
                  </w:r>
                </w:p>
              </w:tc>
              <w:tc>
                <w:tcPr>
                  <w:tcW w:w="453" w:type="pct"/>
                  <w:vAlign w:val="center"/>
                </w:tcPr>
                <w:p w14:paraId="6B8BCA16">
                  <w:pPr>
                    <w:spacing w:line="240" w:lineRule="auto"/>
                    <w:jc w:val="center"/>
                    <w:rPr>
                      <w:color w:val="auto"/>
                      <w:sz w:val="21"/>
                      <w:szCs w:val="21"/>
                      <w:highlight w:val="none"/>
                    </w:rPr>
                  </w:pPr>
                  <w:r>
                    <w:rPr>
                      <w:rFonts w:hint="eastAsia"/>
                      <w:color w:val="auto"/>
                      <w:sz w:val="21"/>
                      <w:szCs w:val="21"/>
                      <w:highlight w:val="none"/>
                      <w:lang w:val="en-US" w:eastAsia="zh-CN"/>
                    </w:rPr>
                    <w:t>0.288</w:t>
                  </w:r>
                </w:p>
              </w:tc>
              <w:tc>
                <w:tcPr>
                  <w:tcW w:w="448" w:type="pct"/>
                  <w:vMerge w:val="continue"/>
                  <w:vAlign w:val="center"/>
                </w:tcPr>
                <w:p w14:paraId="3C97C485">
                  <w:pPr>
                    <w:spacing w:line="240" w:lineRule="auto"/>
                    <w:jc w:val="center"/>
                    <w:rPr>
                      <w:color w:val="auto"/>
                      <w:sz w:val="21"/>
                      <w:szCs w:val="21"/>
                      <w:highlight w:val="none"/>
                    </w:rPr>
                  </w:pPr>
                </w:p>
              </w:tc>
              <w:tc>
                <w:tcPr>
                  <w:tcW w:w="298" w:type="pct"/>
                  <w:vMerge w:val="continue"/>
                  <w:vAlign w:val="center"/>
                </w:tcPr>
                <w:p w14:paraId="485DDA84">
                  <w:pPr>
                    <w:spacing w:line="240" w:lineRule="auto"/>
                    <w:jc w:val="center"/>
                    <w:rPr>
                      <w:color w:val="auto"/>
                      <w:sz w:val="21"/>
                      <w:szCs w:val="21"/>
                      <w:highlight w:val="none"/>
                    </w:rPr>
                  </w:pPr>
                </w:p>
              </w:tc>
            </w:tr>
          </w:tbl>
          <w:p w14:paraId="117EF6F5">
            <w:pPr>
              <w:numPr>
                <w:ilvl w:val="0"/>
                <w:numId w:val="4"/>
              </w:numPr>
              <w:adjustRightInd w:val="0"/>
              <w:snapToGrid w:val="0"/>
              <w:ind w:firstLine="480" w:firstLineChars="200"/>
              <w:rPr>
                <w:color w:val="auto"/>
                <w:highlight w:val="none"/>
              </w:rPr>
            </w:pPr>
            <w:r>
              <w:rPr>
                <w:rFonts w:hint="eastAsia"/>
                <w:color w:val="auto"/>
                <w:highlight w:val="none"/>
              </w:rPr>
              <w:t>污染物核算</w:t>
            </w:r>
          </w:p>
          <w:p w14:paraId="00A3FA30">
            <w:pPr>
              <w:adjustRightInd w:val="0"/>
              <w:snapToGrid w:val="0"/>
              <w:ind w:left="480"/>
              <w:rPr>
                <w:color w:val="auto"/>
                <w:highlight w:val="none"/>
              </w:rPr>
            </w:pPr>
            <w:r>
              <w:rPr>
                <w:rFonts w:hint="eastAsia"/>
                <w:color w:val="auto"/>
                <w:highlight w:val="none"/>
              </w:rPr>
              <w:t>本项目大气污染物有组织排放量核算见下表4</w:t>
            </w:r>
            <w:r>
              <w:rPr>
                <w:color w:val="auto"/>
                <w:highlight w:val="none"/>
              </w:rPr>
              <w:t>-</w:t>
            </w:r>
            <w:r>
              <w:rPr>
                <w:rFonts w:hint="eastAsia"/>
                <w:color w:val="auto"/>
                <w:highlight w:val="none"/>
              </w:rPr>
              <w:t>3。</w:t>
            </w:r>
          </w:p>
          <w:p w14:paraId="7F64067A">
            <w:pPr>
              <w:pStyle w:val="52"/>
              <w:rPr>
                <w:color w:val="auto"/>
                <w:highlight w:val="none"/>
              </w:rPr>
            </w:pPr>
            <w:r>
              <w:rPr>
                <w:rFonts w:hint="eastAsia"/>
                <w:color w:val="auto"/>
                <w:highlight w:val="none"/>
              </w:rPr>
              <w:t>表4</w:t>
            </w:r>
            <w:r>
              <w:rPr>
                <w:color w:val="auto"/>
                <w:highlight w:val="none"/>
              </w:rPr>
              <w:t>-</w:t>
            </w:r>
            <w:r>
              <w:rPr>
                <w:rFonts w:hint="eastAsia"/>
                <w:color w:val="auto"/>
                <w:highlight w:val="none"/>
              </w:rPr>
              <w:t>3</w:t>
            </w:r>
            <w:r>
              <w:rPr>
                <w:color w:val="auto"/>
                <w:highlight w:val="none"/>
              </w:rPr>
              <w:t xml:space="preserve"> </w:t>
            </w:r>
            <w:r>
              <w:rPr>
                <w:rFonts w:hint="eastAsia"/>
                <w:color w:val="auto"/>
                <w:highlight w:val="none"/>
              </w:rPr>
              <w:t>大气污染物有组织排放量核算表</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53"/>
              <w:gridCol w:w="356"/>
              <w:gridCol w:w="711"/>
              <w:gridCol w:w="485"/>
              <w:gridCol w:w="880"/>
              <w:gridCol w:w="762"/>
              <w:gridCol w:w="762"/>
              <w:gridCol w:w="861"/>
              <w:gridCol w:w="438"/>
              <w:gridCol w:w="888"/>
              <w:gridCol w:w="719"/>
              <w:gridCol w:w="770"/>
            </w:tblGrid>
            <w:tr w14:paraId="2166E98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21" w:type="pct"/>
                  <w:vMerge w:val="restart"/>
                  <w:vAlign w:val="center"/>
                </w:tcPr>
                <w:p w14:paraId="7C133283">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序号</w:t>
                  </w:r>
                </w:p>
              </w:tc>
              <w:tc>
                <w:tcPr>
                  <w:tcW w:w="668" w:type="pct"/>
                  <w:gridSpan w:val="2"/>
                  <w:vMerge w:val="restart"/>
                  <w:vAlign w:val="center"/>
                </w:tcPr>
                <w:p w14:paraId="027413A4">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污染源</w:t>
                  </w:r>
                </w:p>
              </w:tc>
              <w:tc>
                <w:tcPr>
                  <w:tcW w:w="303" w:type="pct"/>
                  <w:vMerge w:val="restart"/>
                  <w:vAlign w:val="center"/>
                </w:tcPr>
                <w:p w14:paraId="6BA07732">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排放口编号</w:t>
                  </w:r>
                </w:p>
              </w:tc>
              <w:tc>
                <w:tcPr>
                  <w:tcW w:w="551" w:type="pct"/>
                  <w:vMerge w:val="restart"/>
                  <w:vAlign w:val="center"/>
                </w:tcPr>
                <w:p w14:paraId="46D4BA7B">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产生浓度</w:t>
                  </w:r>
                  <w:r>
                    <w:rPr>
                      <w:b/>
                      <w:bCs/>
                      <w:color w:val="auto"/>
                      <w:kern w:val="0"/>
                      <w:sz w:val="21"/>
                      <w:szCs w:val="21"/>
                      <w:highlight w:val="none"/>
                    </w:rPr>
                    <w:t>mg/m</w:t>
                  </w:r>
                  <w:r>
                    <w:rPr>
                      <w:b/>
                      <w:bCs/>
                      <w:color w:val="auto"/>
                      <w:kern w:val="0"/>
                      <w:sz w:val="21"/>
                      <w:szCs w:val="21"/>
                      <w:highlight w:val="none"/>
                      <w:vertAlign w:val="superscript"/>
                    </w:rPr>
                    <w:t>3</w:t>
                  </w:r>
                </w:p>
              </w:tc>
              <w:tc>
                <w:tcPr>
                  <w:tcW w:w="477" w:type="pct"/>
                  <w:vMerge w:val="restart"/>
                  <w:vAlign w:val="center"/>
                </w:tcPr>
                <w:p w14:paraId="697B1611">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产生速率</w:t>
                  </w:r>
                  <w:r>
                    <w:rPr>
                      <w:b/>
                      <w:bCs/>
                      <w:color w:val="auto"/>
                      <w:kern w:val="0"/>
                      <w:sz w:val="21"/>
                      <w:szCs w:val="21"/>
                      <w:highlight w:val="none"/>
                    </w:rPr>
                    <w:t>kg/h</w:t>
                  </w:r>
                </w:p>
              </w:tc>
              <w:tc>
                <w:tcPr>
                  <w:tcW w:w="477" w:type="pct"/>
                  <w:vMerge w:val="restart"/>
                  <w:vAlign w:val="center"/>
                </w:tcPr>
                <w:p w14:paraId="760C2A53">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产生量</w:t>
                  </w:r>
                  <w:r>
                    <w:rPr>
                      <w:b/>
                      <w:bCs/>
                      <w:color w:val="auto"/>
                      <w:kern w:val="0"/>
                      <w:sz w:val="21"/>
                      <w:szCs w:val="21"/>
                      <w:highlight w:val="none"/>
                    </w:rPr>
                    <w:t>t/a</w:t>
                  </w:r>
                </w:p>
              </w:tc>
              <w:tc>
                <w:tcPr>
                  <w:tcW w:w="539" w:type="pct"/>
                  <w:vMerge w:val="restart"/>
                  <w:vAlign w:val="center"/>
                </w:tcPr>
                <w:p w14:paraId="5C040BB1">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拟采取措施</w:t>
                  </w:r>
                </w:p>
              </w:tc>
              <w:tc>
                <w:tcPr>
                  <w:tcW w:w="274" w:type="pct"/>
                  <w:vMerge w:val="restart"/>
                  <w:vAlign w:val="center"/>
                </w:tcPr>
                <w:p w14:paraId="41B3C6AF">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去除效率</w:t>
                  </w:r>
                </w:p>
              </w:tc>
              <w:tc>
                <w:tcPr>
                  <w:tcW w:w="556" w:type="pct"/>
                  <w:vMerge w:val="restart"/>
                  <w:vAlign w:val="center"/>
                </w:tcPr>
                <w:p w14:paraId="6EF20154">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排放浓度</w:t>
                  </w:r>
                  <w:r>
                    <w:rPr>
                      <w:b/>
                      <w:bCs/>
                      <w:color w:val="auto"/>
                      <w:kern w:val="0"/>
                      <w:sz w:val="21"/>
                      <w:szCs w:val="21"/>
                      <w:highlight w:val="none"/>
                    </w:rPr>
                    <w:t>mg/m</w:t>
                  </w:r>
                  <w:r>
                    <w:rPr>
                      <w:b/>
                      <w:bCs/>
                      <w:color w:val="auto"/>
                      <w:kern w:val="0"/>
                      <w:sz w:val="21"/>
                      <w:szCs w:val="21"/>
                      <w:highlight w:val="none"/>
                      <w:vertAlign w:val="superscript"/>
                    </w:rPr>
                    <w:t>3</w:t>
                  </w:r>
                </w:p>
              </w:tc>
              <w:tc>
                <w:tcPr>
                  <w:tcW w:w="450" w:type="pct"/>
                  <w:vMerge w:val="restart"/>
                  <w:vAlign w:val="center"/>
                </w:tcPr>
                <w:p w14:paraId="469EFA04">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排放速率kg/h</w:t>
                  </w:r>
                </w:p>
              </w:tc>
              <w:tc>
                <w:tcPr>
                  <w:tcW w:w="482" w:type="pct"/>
                  <w:vMerge w:val="restart"/>
                  <w:vAlign w:val="center"/>
                </w:tcPr>
                <w:p w14:paraId="400F48CF">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排放量</w:t>
                  </w:r>
                  <w:r>
                    <w:rPr>
                      <w:b/>
                      <w:bCs/>
                      <w:color w:val="auto"/>
                      <w:kern w:val="0"/>
                      <w:sz w:val="21"/>
                      <w:szCs w:val="21"/>
                      <w:highlight w:val="none"/>
                    </w:rPr>
                    <w:t>t/a</w:t>
                  </w:r>
                </w:p>
              </w:tc>
            </w:tr>
            <w:tr w14:paraId="3E178EC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21" w:type="pct"/>
                  <w:vMerge w:val="continue"/>
                  <w:vAlign w:val="center"/>
                </w:tcPr>
                <w:p w14:paraId="65BDE002">
                  <w:pPr>
                    <w:widowControl/>
                    <w:spacing w:line="240" w:lineRule="auto"/>
                    <w:jc w:val="left"/>
                    <w:rPr>
                      <w:rFonts w:hint="eastAsia" w:ascii="宋体" w:hAnsi="宋体" w:cs="宋体"/>
                      <w:b/>
                      <w:bCs/>
                      <w:color w:val="auto"/>
                      <w:kern w:val="0"/>
                      <w:sz w:val="21"/>
                      <w:szCs w:val="21"/>
                      <w:highlight w:val="none"/>
                    </w:rPr>
                  </w:pPr>
                </w:p>
              </w:tc>
              <w:tc>
                <w:tcPr>
                  <w:tcW w:w="668" w:type="pct"/>
                  <w:gridSpan w:val="2"/>
                  <w:vMerge w:val="continue"/>
                  <w:vAlign w:val="center"/>
                </w:tcPr>
                <w:p w14:paraId="155D547D">
                  <w:pPr>
                    <w:widowControl/>
                    <w:spacing w:line="240" w:lineRule="auto"/>
                    <w:jc w:val="left"/>
                    <w:rPr>
                      <w:rFonts w:hint="eastAsia" w:ascii="宋体" w:hAnsi="宋体" w:cs="宋体"/>
                      <w:b/>
                      <w:bCs/>
                      <w:color w:val="auto"/>
                      <w:kern w:val="0"/>
                      <w:sz w:val="21"/>
                      <w:szCs w:val="21"/>
                      <w:highlight w:val="none"/>
                    </w:rPr>
                  </w:pPr>
                </w:p>
              </w:tc>
              <w:tc>
                <w:tcPr>
                  <w:tcW w:w="303" w:type="pct"/>
                  <w:vMerge w:val="continue"/>
                  <w:vAlign w:val="center"/>
                </w:tcPr>
                <w:p w14:paraId="74898650">
                  <w:pPr>
                    <w:widowControl/>
                    <w:spacing w:line="240" w:lineRule="auto"/>
                    <w:jc w:val="left"/>
                    <w:rPr>
                      <w:rFonts w:hint="eastAsia" w:ascii="宋体" w:hAnsi="宋体" w:cs="宋体"/>
                      <w:b/>
                      <w:bCs/>
                      <w:color w:val="auto"/>
                      <w:kern w:val="0"/>
                      <w:sz w:val="21"/>
                      <w:szCs w:val="21"/>
                      <w:highlight w:val="none"/>
                    </w:rPr>
                  </w:pPr>
                </w:p>
              </w:tc>
              <w:tc>
                <w:tcPr>
                  <w:tcW w:w="551" w:type="pct"/>
                  <w:vMerge w:val="continue"/>
                  <w:vAlign w:val="center"/>
                </w:tcPr>
                <w:p w14:paraId="092B3ACA">
                  <w:pPr>
                    <w:widowControl/>
                    <w:spacing w:line="240" w:lineRule="auto"/>
                    <w:jc w:val="left"/>
                    <w:rPr>
                      <w:rFonts w:hint="eastAsia" w:ascii="宋体" w:hAnsi="宋体" w:cs="宋体"/>
                      <w:b/>
                      <w:bCs/>
                      <w:color w:val="auto"/>
                      <w:kern w:val="0"/>
                      <w:sz w:val="21"/>
                      <w:szCs w:val="21"/>
                      <w:highlight w:val="none"/>
                    </w:rPr>
                  </w:pPr>
                </w:p>
              </w:tc>
              <w:tc>
                <w:tcPr>
                  <w:tcW w:w="477" w:type="pct"/>
                  <w:vMerge w:val="continue"/>
                  <w:vAlign w:val="center"/>
                </w:tcPr>
                <w:p w14:paraId="345212E2">
                  <w:pPr>
                    <w:widowControl/>
                    <w:spacing w:line="240" w:lineRule="auto"/>
                    <w:jc w:val="left"/>
                    <w:rPr>
                      <w:rFonts w:hint="eastAsia" w:ascii="宋体" w:hAnsi="宋体" w:cs="宋体"/>
                      <w:b/>
                      <w:bCs/>
                      <w:color w:val="auto"/>
                      <w:kern w:val="0"/>
                      <w:sz w:val="21"/>
                      <w:szCs w:val="21"/>
                      <w:highlight w:val="none"/>
                    </w:rPr>
                  </w:pPr>
                </w:p>
              </w:tc>
              <w:tc>
                <w:tcPr>
                  <w:tcW w:w="477" w:type="pct"/>
                  <w:vMerge w:val="continue"/>
                  <w:vAlign w:val="center"/>
                </w:tcPr>
                <w:p w14:paraId="69EE949A">
                  <w:pPr>
                    <w:widowControl/>
                    <w:spacing w:line="240" w:lineRule="auto"/>
                    <w:jc w:val="left"/>
                    <w:rPr>
                      <w:rFonts w:hint="eastAsia" w:ascii="宋体" w:hAnsi="宋体" w:cs="宋体"/>
                      <w:b/>
                      <w:bCs/>
                      <w:color w:val="auto"/>
                      <w:kern w:val="0"/>
                      <w:sz w:val="21"/>
                      <w:szCs w:val="21"/>
                      <w:highlight w:val="none"/>
                    </w:rPr>
                  </w:pPr>
                </w:p>
              </w:tc>
              <w:tc>
                <w:tcPr>
                  <w:tcW w:w="539" w:type="pct"/>
                  <w:vMerge w:val="continue"/>
                  <w:vAlign w:val="center"/>
                </w:tcPr>
                <w:p w14:paraId="15FA8D2E">
                  <w:pPr>
                    <w:widowControl/>
                    <w:spacing w:line="240" w:lineRule="auto"/>
                    <w:jc w:val="left"/>
                    <w:rPr>
                      <w:rFonts w:hint="eastAsia" w:ascii="宋体" w:hAnsi="宋体" w:cs="宋体"/>
                      <w:b/>
                      <w:bCs/>
                      <w:color w:val="auto"/>
                      <w:kern w:val="0"/>
                      <w:sz w:val="21"/>
                      <w:szCs w:val="21"/>
                      <w:highlight w:val="none"/>
                    </w:rPr>
                  </w:pPr>
                </w:p>
              </w:tc>
              <w:tc>
                <w:tcPr>
                  <w:tcW w:w="274" w:type="pct"/>
                  <w:vMerge w:val="continue"/>
                  <w:vAlign w:val="center"/>
                </w:tcPr>
                <w:p w14:paraId="1FA71490">
                  <w:pPr>
                    <w:widowControl/>
                    <w:spacing w:line="240" w:lineRule="auto"/>
                    <w:jc w:val="left"/>
                    <w:rPr>
                      <w:rFonts w:hint="eastAsia" w:ascii="宋体" w:hAnsi="宋体" w:cs="宋体"/>
                      <w:b/>
                      <w:bCs/>
                      <w:color w:val="auto"/>
                      <w:kern w:val="0"/>
                      <w:sz w:val="21"/>
                      <w:szCs w:val="21"/>
                      <w:highlight w:val="none"/>
                    </w:rPr>
                  </w:pPr>
                </w:p>
              </w:tc>
              <w:tc>
                <w:tcPr>
                  <w:tcW w:w="556" w:type="pct"/>
                  <w:vMerge w:val="continue"/>
                  <w:vAlign w:val="center"/>
                </w:tcPr>
                <w:p w14:paraId="157AA458">
                  <w:pPr>
                    <w:widowControl/>
                    <w:spacing w:line="240" w:lineRule="auto"/>
                    <w:jc w:val="left"/>
                    <w:rPr>
                      <w:rFonts w:hint="eastAsia" w:ascii="宋体" w:hAnsi="宋体" w:cs="宋体"/>
                      <w:b/>
                      <w:bCs/>
                      <w:color w:val="auto"/>
                      <w:kern w:val="0"/>
                      <w:sz w:val="21"/>
                      <w:szCs w:val="21"/>
                      <w:highlight w:val="none"/>
                    </w:rPr>
                  </w:pPr>
                </w:p>
              </w:tc>
              <w:tc>
                <w:tcPr>
                  <w:tcW w:w="450" w:type="pct"/>
                  <w:vMerge w:val="continue"/>
                  <w:vAlign w:val="center"/>
                </w:tcPr>
                <w:p w14:paraId="65DE1825">
                  <w:pPr>
                    <w:widowControl/>
                    <w:spacing w:line="240" w:lineRule="auto"/>
                    <w:jc w:val="left"/>
                    <w:rPr>
                      <w:rFonts w:hint="eastAsia" w:ascii="宋体" w:hAnsi="宋体" w:cs="宋体"/>
                      <w:b/>
                      <w:bCs/>
                      <w:color w:val="auto"/>
                      <w:kern w:val="0"/>
                      <w:sz w:val="21"/>
                      <w:szCs w:val="21"/>
                      <w:highlight w:val="none"/>
                    </w:rPr>
                  </w:pPr>
                </w:p>
              </w:tc>
              <w:tc>
                <w:tcPr>
                  <w:tcW w:w="482" w:type="pct"/>
                  <w:vMerge w:val="continue"/>
                  <w:vAlign w:val="center"/>
                </w:tcPr>
                <w:p w14:paraId="761283B3">
                  <w:pPr>
                    <w:widowControl/>
                    <w:spacing w:line="240" w:lineRule="auto"/>
                    <w:jc w:val="left"/>
                    <w:rPr>
                      <w:rFonts w:hint="eastAsia" w:ascii="宋体" w:hAnsi="宋体" w:cs="宋体"/>
                      <w:b/>
                      <w:bCs/>
                      <w:color w:val="auto"/>
                      <w:kern w:val="0"/>
                      <w:sz w:val="21"/>
                      <w:szCs w:val="21"/>
                      <w:highlight w:val="none"/>
                    </w:rPr>
                  </w:pPr>
                </w:p>
              </w:tc>
            </w:tr>
            <w:tr w14:paraId="64443C9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221" w:type="pct"/>
                  <w:vAlign w:val="center"/>
                </w:tcPr>
                <w:p w14:paraId="6537ADA8">
                  <w:pPr>
                    <w:widowControl/>
                    <w:spacing w:line="240" w:lineRule="auto"/>
                    <w:jc w:val="center"/>
                    <w:rPr>
                      <w:rFonts w:eastAsia="等线"/>
                      <w:color w:val="auto"/>
                      <w:kern w:val="0"/>
                      <w:sz w:val="21"/>
                      <w:szCs w:val="21"/>
                      <w:highlight w:val="none"/>
                    </w:rPr>
                  </w:pPr>
                  <w:r>
                    <w:rPr>
                      <w:rFonts w:hint="eastAsia" w:eastAsia="等线"/>
                      <w:color w:val="auto"/>
                      <w:kern w:val="0"/>
                      <w:sz w:val="21"/>
                      <w:szCs w:val="21"/>
                      <w:highlight w:val="none"/>
                    </w:rPr>
                    <w:t>1</w:t>
                  </w:r>
                </w:p>
              </w:tc>
              <w:tc>
                <w:tcPr>
                  <w:tcW w:w="222" w:type="pct"/>
                  <w:vMerge w:val="restart"/>
                  <w:vAlign w:val="center"/>
                </w:tcPr>
                <w:p w14:paraId="51272784">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锅炉废气</w:t>
                  </w:r>
                </w:p>
              </w:tc>
              <w:tc>
                <w:tcPr>
                  <w:tcW w:w="445" w:type="pct"/>
                  <w:vAlign w:val="center"/>
                </w:tcPr>
                <w:p w14:paraId="058AB8BD">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颗粒物</w:t>
                  </w:r>
                </w:p>
              </w:tc>
              <w:tc>
                <w:tcPr>
                  <w:tcW w:w="303" w:type="pct"/>
                  <w:vMerge w:val="restart"/>
                  <w:vAlign w:val="center"/>
                </w:tcPr>
                <w:p w14:paraId="5918FD94">
                  <w:pPr>
                    <w:widowControl/>
                    <w:spacing w:line="240" w:lineRule="auto"/>
                    <w:jc w:val="center"/>
                    <w:rPr>
                      <w:rFonts w:eastAsia="等线"/>
                      <w:color w:val="auto"/>
                      <w:kern w:val="0"/>
                      <w:sz w:val="21"/>
                      <w:szCs w:val="21"/>
                      <w:highlight w:val="none"/>
                    </w:rPr>
                  </w:pPr>
                  <w:r>
                    <w:rPr>
                      <w:rFonts w:eastAsia="等线"/>
                      <w:color w:val="auto"/>
                      <w:kern w:val="0"/>
                      <w:sz w:val="21"/>
                      <w:szCs w:val="21"/>
                      <w:highlight w:val="none"/>
                    </w:rPr>
                    <w:t>DA00</w:t>
                  </w:r>
                  <w:r>
                    <w:rPr>
                      <w:rFonts w:hint="eastAsia" w:eastAsia="等线"/>
                      <w:color w:val="auto"/>
                      <w:kern w:val="0"/>
                      <w:sz w:val="21"/>
                      <w:szCs w:val="21"/>
                      <w:highlight w:val="none"/>
                    </w:rPr>
                    <w:t>1</w:t>
                  </w:r>
                  <w:r>
                    <w:rPr>
                      <w:rFonts w:hint="eastAsia" w:ascii="宋体" w:hAnsi="宋体"/>
                      <w:color w:val="auto"/>
                      <w:kern w:val="0"/>
                      <w:sz w:val="21"/>
                      <w:szCs w:val="21"/>
                      <w:highlight w:val="none"/>
                    </w:rPr>
                    <w:t>排气筒</w:t>
                  </w:r>
                </w:p>
              </w:tc>
              <w:tc>
                <w:tcPr>
                  <w:tcW w:w="551" w:type="pct"/>
                  <w:vAlign w:val="center"/>
                </w:tcPr>
                <w:p w14:paraId="03BEB967">
                  <w:pPr>
                    <w:spacing w:line="240" w:lineRule="auto"/>
                    <w:jc w:val="center"/>
                    <w:rPr>
                      <w:rFonts w:eastAsia="等线"/>
                      <w:color w:val="auto"/>
                      <w:kern w:val="0"/>
                      <w:sz w:val="21"/>
                      <w:szCs w:val="21"/>
                      <w:highlight w:val="none"/>
                    </w:rPr>
                  </w:pPr>
                  <w:r>
                    <w:rPr>
                      <w:rFonts w:hint="eastAsia"/>
                      <w:color w:val="auto"/>
                      <w:sz w:val="21"/>
                      <w:szCs w:val="21"/>
                      <w:highlight w:val="none"/>
                      <w:lang w:val="en-US" w:eastAsia="zh-CN"/>
                    </w:rPr>
                    <w:t>12.99</w:t>
                  </w:r>
                </w:p>
              </w:tc>
              <w:tc>
                <w:tcPr>
                  <w:tcW w:w="477" w:type="pct"/>
                  <w:vAlign w:val="center"/>
                </w:tcPr>
                <w:p w14:paraId="23EB52A1">
                  <w:pPr>
                    <w:spacing w:line="240" w:lineRule="auto"/>
                    <w:jc w:val="center"/>
                    <w:rPr>
                      <w:color w:val="auto"/>
                      <w:sz w:val="21"/>
                      <w:szCs w:val="21"/>
                      <w:highlight w:val="none"/>
                    </w:rPr>
                  </w:pPr>
                  <w:r>
                    <w:rPr>
                      <w:rFonts w:hint="eastAsia"/>
                      <w:color w:val="auto"/>
                      <w:sz w:val="21"/>
                      <w:szCs w:val="21"/>
                      <w:highlight w:val="none"/>
                    </w:rPr>
                    <w:t>0.133</w:t>
                  </w:r>
                </w:p>
              </w:tc>
              <w:tc>
                <w:tcPr>
                  <w:tcW w:w="477" w:type="pct"/>
                  <w:vAlign w:val="center"/>
                </w:tcPr>
                <w:p w14:paraId="31318A6A">
                  <w:pPr>
                    <w:spacing w:line="240" w:lineRule="auto"/>
                    <w:jc w:val="center"/>
                    <w:rPr>
                      <w:rFonts w:eastAsia="等线"/>
                      <w:color w:val="auto"/>
                      <w:kern w:val="0"/>
                      <w:sz w:val="21"/>
                      <w:szCs w:val="21"/>
                      <w:highlight w:val="none"/>
                    </w:rPr>
                  </w:pPr>
                  <w:r>
                    <w:rPr>
                      <w:rFonts w:hint="eastAsia"/>
                      <w:color w:val="auto"/>
                      <w:sz w:val="21"/>
                      <w:szCs w:val="21"/>
                      <w:highlight w:val="none"/>
                    </w:rPr>
                    <w:t>1.165</w:t>
                  </w:r>
                </w:p>
              </w:tc>
              <w:tc>
                <w:tcPr>
                  <w:tcW w:w="539" w:type="pct"/>
                  <w:vMerge w:val="restart"/>
                  <w:vAlign w:val="center"/>
                </w:tcPr>
                <w:p w14:paraId="57772E00">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锅炉废气</w:t>
                  </w:r>
                  <w:r>
                    <w:rPr>
                      <w:color w:val="auto"/>
                      <w:kern w:val="0"/>
                      <w:sz w:val="21"/>
                      <w:szCs w:val="21"/>
                      <w:highlight w:val="none"/>
                    </w:rPr>
                    <w:t>经</w:t>
                  </w:r>
                  <w:r>
                    <w:rPr>
                      <w:rFonts w:hint="eastAsia"/>
                      <w:color w:val="auto"/>
                      <w:kern w:val="0"/>
                      <w:sz w:val="21"/>
                      <w:szCs w:val="21"/>
                      <w:highlight w:val="none"/>
                      <w:lang w:val="en-US" w:eastAsia="zh-CN"/>
                    </w:rPr>
                    <w:t>12</w:t>
                  </w:r>
                  <w:r>
                    <w:rPr>
                      <w:color w:val="auto"/>
                      <w:kern w:val="0"/>
                      <w:sz w:val="21"/>
                      <w:szCs w:val="21"/>
                      <w:highlight w:val="none"/>
                    </w:rPr>
                    <w:t>m高排气筒（DA00</w:t>
                  </w:r>
                  <w:r>
                    <w:rPr>
                      <w:rFonts w:hint="eastAsia"/>
                      <w:color w:val="auto"/>
                      <w:kern w:val="0"/>
                      <w:sz w:val="21"/>
                      <w:szCs w:val="21"/>
                      <w:highlight w:val="none"/>
                    </w:rPr>
                    <w:t>1</w:t>
                  </w:r>
                  <w:r>
                    <w:rPr>
                      <w:color w:val="auto"/>
                      <w:kern w:val="0"/>
                      <w:sz w:val="21"/>
                      <w:szCs w:val="21"/>
                      <w:highlight w:val="none"/>
                    </w:rPr>
                    <w:t>）</w:t>
                  </w:r>
                  <w:r>
                    <w:rPr>
                      <w:rFonts w:hint="eastAsia" w:ascii="宋体" w:hAnsi="宋体" w:cs="宋体"/>
                      <w:color w:val="auto"/>
                      <w:kern w:val="0"/>
                      <w:sz w:val="21"/>
                      <w:szCs w:val="21"/>
                      <w:highlight w:val="none"/>
                    </w:rPr>
                    <w:t>排放</w:t>
                  </w:r>
                </w:p>
              </w:tc>
              <w:tc>
                <w:tcPr>
                  <w:tcW w:w="274" w:type="pct"/>
                  <w:vAlign w:val="center"/>
                </w:tcPr>
                <w:p w14:paraId="7AE5E66D">
                  <w:pPr>
                    <w:spacing w:line="240" w:lineRule="auto"/>
                    <w:jc w:val="center"/>
                    <w:rPr>
                      <w:rFonts w:eastAsia="等线"/>
                      <w:color w:val="auto"/>
                      <w:kern w:val="0"/>
                      <w:sz w:val="21"/>
                      <w:szCs w:val="21"/>
                      <w:highlight w:val="none"/>
                    </w:rPr>
                  </w:pPr>
                  <w:r>
                    <w:rPr>
                      <w:rFonts w:hint="eastAsia"/>
                      <w:color w:val="auto"/>
                      <w:sz w:val="21"/>
                      <w:szCs w:val="21"/>
                      <w:highlight w:val="none"/>
                    </w:rPr>
                    <w:t>/</w:t>
                  </w:r>
                </w:p>
              </w:tc>
              <w:tc>
                <w:tcPr>
                  <w:tcW w:w="556" w:type="pct"/>
                  <w:vAlign w:val="center"/>
                </w:tcPr>
                <w:p w14:paraId="5B7476ED">
                  <w:pPr>
                    <w:spacing w:line="240" w:lineRule="auto"/>
                    <w:jc w:val="center"/>
                    <w:rPr>
                      <w:rFonts w:eastAsia="等线"/>
                      <w:color w:val="auto"/>
                      <w:kern w:val="0"/>
                      <w:sz w:val="21"/>
                      <w:szCs w:val="21"/>
                      <w:highlight w:val="none"/>
                    </w:rPr>
                  </w:pPr>
                  <w:r>
                    <w:rPr>
                      <w:rFonts w:hint="eastAsia"/>
                      <w:color w:val="auto"/>
                      <w:sz w:val="21"/>
                      <w:szCs w:val="21"/>
                      <w:highlight w:val="none"/>
                      <w:lang w:val="en-US" w:eastAsia="zh-CN"/>
                    </w:rPr>
                    <w:t>12.99</w:t>
                  </w:r>
                </w:p>
              </w:tc>
              <w:tc>
                <w:tcPr>
                  <w:tcW w:w="450" w:type="pct"/>
                  <w:vAlign w:val="center"/>
                </w:tcPr>
                <w:p w14:paraId="3E075042">
                  <w:pPr>
                    <w:spacing w:line="240" w:lineRule="auto"/>
                    <w:jc w:val="center"/>
                    <w:rPr>
                      <w:rFonts w:eastAsia="等线"/>
                      <w:color w:val="auto"/>
                      <w:kern w:val="0"/>
                      <w:sz w:val="21"/>
                      <w:szCs w:val="21"/>
                      <w:highlight w:val="none"/>
                    </w:rPr>
                  </w:pPr>
                  <w:r>
                    <w:rPr>
                      <w:rFonts w:hint="eastAsia"/>
                      <w:color w:val="auto"/>
                      <w:sz w:val="21"/>
                      <w:szCs w:val="21"/>
                      <w:highlight w:val="none"/>
                    </w:rPr>
                    <w:t>0.133</w:t>
                  </w:r>
                </w:p>
              </w:tc>
              <w:tc>
                <w:tcPr>
                  <w:tcW w:w="482" w:type="pct"/>
                  <w:vAlign w:val="center"/>
                </w:tcPr>
                <w:p w14:paraId="54E531E1">
                  <w:pPr>
                    <w:spacing w:line="240" w:lineRule="auto"/>
                    <w:jc w:val="center"/>
                    <w:rPr>
                      <w:rFonts w:eastAsia="等线"/>
                      <w:color w:val="auto"/>
                      <w:kern w:val="0"/>
                      <w:sz w:val="21"/>
                      <w:szCs w:val="21"/>
                      <w:highlight w:val="none"/>
                    </w:rPr>
                  </w:pPr>
                  <w:r>
                    <w:rPr>
                      <w:rFonts w:hint="eastAsia"/>
                      <w:color w:val="auto"/>
                      <w:sz w:val="21"/>
                      <w:szCs w:val="21"/>
                      <w:highlight w:val="none"/>
                    </w:rPr>
                    <w:t>1.165</w:t>
                  </w:r>
                </w:p>
              </w:tc>
            </w:tr>
            <w:tr w14:paraId="4190052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21" w:type="pct"/>
                  <w:vAlign w:val="center"/>
                </w:tcPr>
                <w:p w14:paraId="092E8BCF">
                  <w:pPr>
                    <w:widowControl/>
                    <w:spacing w:line="240" w:lineRule="auto"/>
                    <w:jc w:val="center"/>
                    <w:rPr>
                      <w:rFonts w:eastAsia="等线"/>
                      <w:color w:val="auto"/>
                      <w:kern w:val="0"/>
                      <w:sz w:val="21"/>
                      <w:szCs w:val="21"/>
                      <w:highlight w:val="none"/>
                    </w:rPr>
                  </w:pPr>
                  <w:r>
                    <w:rPr>
                      <w:rFonts w:hint="eastAsia" w:eastAsia="等线"/>
                      <w:color w:val="auto"/>
                      <w:kern w:val="0"/>
                      <w:sz w:val="21"/>
                      <w:szCs w:val="21"/>
                      <w:highlight w:val="none"/>
                    </w:rPr>
                    <w:t>2</w:t>
                  </w:r>
                </w:p>
              </w:tc>
              <w:tc>
                <w:tcPr>
                  <w:tcW w:w="222" w:type="pct"/>
                  <w:vMerge w:val="continue"/>
                  <w:vAlign w:val="center"/>
                </w:tcPr>
                <w:p w14:paraId="272AF163">
                  <w:pPr>
                    <w:widowControl/>
                    <w:spacing w:line="240" w:lineRule="auto"/>
                    <w:jc w:val="left"/>
                    <w:rPr>
                      <w:rFonts w:hint="eastAsia" w:ascii="宋体" w:hAnsi="宋体" w:cs="宋体"/>
                      <w:color w:val="auto"/>
                      <w:kern w:val="0"/>
                      <w:sz w:val="21"/>
                      <w:szCs w:val="21"/>
                      <w:highlight w:val="none"/>
                    </w:rPr>
                  </w:pPr>
                </w:p>
              </w:tc>
              <w:tc>
                <w:tcPr>
                  <w:tcW w:w="445" w:type="pct"/>
                  <w:vAlign w:val="center"/>
                </w:tcPr>
                <w:p w14:paraId="31B7361B">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二氧化硫</w:t>
                  </w:r>
                </w:p>
              </w:tc>
              <w:tc>
                <w:tcPr>
                  <w:tcW w:w="303" w:type="pct"/>
                  <w:vMerge w:val="continue"/>
                  <w:vAlign w:val="center"/>
                </w:tcPr>
                <w:p w14:paraId="4ADBFCE3">
                  <w:pPr>
                    <w:widowControl/>
                    <w:spacing w:line="240" w:lineRule="auto"/>
                    <w:jc w:val="left"/>
                    <w:rPr>
                      <w:rFonts w:eastAsia="等线"/>
                      <w:color w:val="auto"/>
                      <w:kern w:val="0"/>
                      <w:sz w:val="21"/>
                      <w:szCs w:val="21"/>
                      <w:highlight w:val="none"/>
                    </w:rPr>
                  </w:pPr>
                </w:p>
              </w:tc>
              <w:tc>
                <w:tcPr>
                  <w:tcW w:w="551" w:type="pct"/>
                  <w:vAlign w:val="center"/>
                </w:tcPr>
                <w:p w14:paraId="556D9237">
                  <w:pPr>
                    <w:spacing w:line="240" w:lineRule="auto"/>
                    <w:jc w:val="center"/>
                    <w:rPr>
                      <w:rFonts w:hint="default" w:eastAsia="等线"/>
                      <w:color w:val="auto"/>
                      <w:kern w:val="0"/>
                      <w:sz w:val="21"/>
                      <w:szCs w:val="21"/>
                      <w:highlight w:val="none"/>
                      <w:lang w:val="en-US"/>
                    </w:rPr>
                  </w:pPr>
                  <w:r>
                    <w:rPr>
                      <w:rFonts w:hint="eastAsia"/>
                      <w:color w:val="auto"/>
                      <w:sz w:val="21"/>
                      <w:szCs w:val="21"/>
                      <w:highlight w:val="none"/>
                      <w:lang w:val="en-US" w:eastAsia="zh-CN"/>
                    </w:rPr>
                    <w:t>3.712</w:t>
                  </w:r>
                </w:p>
              </w:tc>
              <w:tc>
                <w:tcPr>
                  <w:tcW w:w="477" w:type="pct"/>
                  <w:vAlign w:val="center"/>
                </w:tcPr>
                <w:p w14:paraId="1879B2C7">
                  <w:pPr>
                    <w:spacing w:line="240" w:lineRule="auto"/>
                    <w:jc w:val="center"/>
                    <w:rPr>
                      <w:color w:val="auto"/>
                      <w:sz w:val="21"/>
                      <w:szCs w:val="21"/>
                      <w:highlight w:val="none"/>
                    </w:rPr>
                  </w:pPr>
                  <w:r>
                    <w:rPr>
                      <w:rFonts w:hint="eastAsia"/>
                      <w:color w:val="auto"/>
                      <w:sz w:val="21"/>
                      <w:szCs w:val="21"/>
                      <w:highlight w:val="none"/>
                    </w:rPr>
                    <w:t>0.038</w:t>
                  </w:r>
                </w:p>
              </w:tc>
              <w:tc>
                <w:tcPr>
                  <w:tcW w:w="477" w:type="pct"/>
                  <w:vAlign w:val="center"/>
                </w:tcPr>
                <w:p w14:paraId="4F8F81E8">
                  <w:pPr>
                    <w:spacing w:line="240" w:lineRule="auto"/>
                    <w:jc w:val="center"/>
                    <w:rPr>
                      <w:rFonts w:eastAsia="等线"/>
                      <w:color w:val="auto"/>
                      <w:kern w:val="0"/>
                      <w:sz w:val="21"/>
                      <w:szCs w:val="21"/>
                      <w:highlight w:val="none"/>
                    </w:rPr>
                  </w:pPr>
                  <w:r>
                    <w:rPr>
                      <w:rFonts w:hint="eastAsia"/>
                      <w:color w:val="auto"/>
                      <w:sz w:val="21"/>
                      <w:szCs w:val="21"/>
                      <w:highlight w:val="none"/>
                    </w:rPr>
                    <w:t>0.333</w:t>
                  </w:r>
                </w:p>
              </w:tc>
              <w:tc>
                <w:tcPr>
                  <w:tcW w:w="539" w:type="pct"/>
                  <w:vMerge w:val="continue"/>
                  <w:vAlign w:val="center"/>
                </w:tcPr>
                <w:p w14:paraId="544721D2">
                  <w:pPr>
                    <w:widowControl/>
                    <w:spacing w:line="240" w:lineRule="auto"/>
                    <w:jc w:val="left"/>
                    <w:rPr>
                      <w:rFonts w:hint="eastAsia" w:ascii="宋体" w:hAnsi="宋体" w:cs="宋体"/>
                      <w:color w:val="auto"/>
                      <w:kern w:val="0"/>
                      <w:sz w:val="21"/>
                      <w:szCs w:val="21"/>
                      <w:highlight w:val="none"/>
                    </w:rPr>
                  </w:pPr>
                </w:p>
              </w:tc>
              <w:tc>
                <w:tcPr>
                  <w:tcW w:w="274" w:type="pct"/>
                  <w:vAlign w:val="center"/>
                </w:tcPr>
                <w:p w14:paraId="7E4F16F2">
                  <w:pPr>
                    <w:spacing w:line="240" w:lineRule="auto"/>
                    <w:jc w:val="center"/>
                    <w:rPr>
                      <w:rFonts w:eastAsia="等线"/>
                      <w:color w:val="auto"/>
                      <w:kern w:val="0"/>
                      <w:sz w:val="21"/>
                      <w:szCs w:val="21"/>
                      <w:highlight w:val="none"/>
                    </w:rPr>
                  </w:pPr>
                  <w:r>
                    <w:rPr>
                      <w:rFonts w:hint="eastAsia"/>
                      <w:color w:val="auto"/>
                      <w:sz w:val="21"/>
                      <w:szCs w:val="21"/>
                      <w:highlight w:val="none"/>
                    </w:rPr>
                    <w:t>/</w:t>
                  </w:r>
                </w:p>
              </w:tc>
              <w:tc>
                <w:tcPr>
                  <w:tcW w:w="556" w:type="pct"/>
                  <w:vAlign w:val="center"/>
                </w:tcPr>
                <w:p w14:paraId="19AACD67">
                  <w:pPr>
                    <w:spacing w:line="240" w:lineRule="auto"/>
                    <w:jc w:val="center"/>
                    <w:rPr>
                      <w:rFonts w:hint="default" w:eastAsia="等线"/>
                      <w:color w:val="auto"/>
                      <w:kern w:val="0"/>
                      <w:sz w:val="21"/>
                      <w:szCs w:val="21"/>
                      <w:highlight w:val="none"/>
                      <w:lang w:val="en-US"/>
                    </w:rPr>
                  </w:pPr>
                  <w:r>
                    <w:rPr>
                      <w:rFonts w:hint="eastAsia"/>
                      <w:color w:val="auto"/>
                      <w:sz w:val="21"/>
                      <w:szCs w:val="21"/>
                      <w:highlight w:val="none"/>
                      <w:lang w:val="en-US" w:eastAsia="zh-CN"/>
                    </w:rPr>
                    <w:t>3.712</w:t>
                  </w:r>
                </w:p>
              </w:tc>
              <w:tc>
                <w:tcPr>
                  <w:tcW w:w="450" w:type="pct"/>
                  <w:vAlign w:val="center"/>
                </w:tcPr>
                <w:p w14:paraId="2CA5A181">
                  <w:pPr>
                    <w:spacing w:line="240" w:lineRule="auto"/>
                    <w:jc w:val="center"/>
                    <w:rPr>
                      <w:rFonts w:eastAsia="等线"/>
                      <w:color w:val="auto"/>
                      <w:kern w:val="0"/>
                      <w:sz w:val="21"/>
                      <w:szCs w:val="21"/>
                      <w:highlight w:val="none"/>
                    </w:rPr>
                  </w:pPr>
                  <w:r>
                    <w:rPr>
                      <w:rFonts w:hint="eastAsia"/>
                      <w:color w:val="auto"/>
                      <w:sz w:val="21"/>
                      <w:szCs w:val="21"/>
                      <w:highlight w:val="none"/>
                    </w:rPr>
                    <w:t>0.038</w:t>
                  </w:r>
                </w:p>
              </w:tc>
              <w:tc>
                <w:tcPr>
                  <w:tcW w:w="482" w:type="pct"/>
                  <w:vAlign w:val="center"/>
                </w:tcPr>
                <w:p w14:paraId="02E9D8E5">
                  <w:pPr>
                    <w:spacing w:line="240" w:lineRule="auto"/>
                    <w:jc w:val="center"/>
                    <w:rPr>
                      <w:rFonts w:eastAsia="等线"/>
                      <w:color w:val="auto"/>
                      <w:kern w:val="0"/>
                      <w:sz w:val="21"/>
                      <w:szCs w:val="21"/>
                      <w:highlight w:val="none"/>
                    </w:rPr>
                  </w:pPr>
                  <w:r>
                    <w:rPr>
                      <w:rFonts w:hint="eastAsia"/>
                      <w:color w:val="auto"/>
                      <w:sz w:val="21"/>
                      <w:szCs w:val="21"/>
                      <w:highlight w:val="none"/>
                    </w:rPr>
                    <w:t>0.333</w:t>
                  </w:r>
                </w:p>
              </w:tc>
            </w:tr>
            <w:tr w14:paraId="1840674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21" w:type="pct"/>
                  <w:vAlign w:val="center"/>
                </w:tcPr>
                <w:p w14:paraId="2258AFF8">
                  <w:pPr>
                    <w:widowControl/>
                    <w:spacing w:line="240" w:lineRule="auto"/>
                    <w:rPr>
                      <w:rFonts w:eastAsia="等线"/>
                      <w:color w:val="auto"/>
                      <w:kern w:val="0"/>
                      <w:sz w:val="21"/>
                      <w:szCs w:val="21"/>
                      <w:highlight w:val="none"/>
                    </w:rPr>
                  </w:pPr>
                  <w:r>
                    <w:rPr>
                      <w:rFonts w:hint="eastAsia" w:eastAsia="等线"/>
                      <w:color w:val="auto"/>
                      <w:kern w:val="0"/>
                      <w:sz w:val="21"/>
                      <w:szCs w:val="21"/>
                      <w:highlight w:val="none"/>
                    </w:rPr>
                    <w:t>3</w:t>
                  </w:r>
                </w:p>
              </w:tc>
              <w:tc>
                <w:tcPr>
                  <w:tcW w:w="222" w:type="pct"/>
                  <w:vMerge w:val="continue"/>
                  <w:vAlign w:val="center"/>
                </w:tcPr>
                <w:p w14:paraId="7BF13D6F">
                  <w:pPr>
                    <w:widowControl/>
                    <w:spacing w:line="240" w:lineRule="auto"/>
                    <w:jc w:val="left"/>
                    <w:rPr>
                      <w:rFonts w:hint="eastAsia" w:ascii="宋体" w:hAnsi="宋体" w:cs="宋体"/>
                      <w:color w:val="auto"/>
                      <w:kern w:val="0"/>
                      <w:sz w:val="21"/>
                      <w:szCs w:val="21"/>
                      <w:highlight w:val="none"/>
                    </w:rPr>
                  </w:pPr>
                </w:p>
              </w:tc>
              <w:tc>
                <w:tcPr>
                  <w:tcW w:w="445" w:type="pct"/>
                  <w:vAlign w:val="center"/>
                </w:tcPr>
                <w:p w14:paraId="62AA0E15">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氮氧化物</w:t>
                  </w:r>
                </w:p>
              </w:tc>
              <w:tc>
                <w:tcPr>
                  <w:tcW w:w="303" w:type="pct"/>
                  <w:vMerge w:val="continue"/>
                  <w:vAlign w:val="center"/>
                </w:tcPr>
                <w:p w14:paraId="71124AF5">
                  <w:pPr>
                    <w:widowControl/>
                    <w:spacing w:line="240" w:lineRule="auto"/>
                    <w:jc w:val="left"/>
                    <w:rPr>
                      <w:rFonts w:eastAsia="等线"/>
                      <w:color w:val="auto"/>
                      <w:kern w:val="0"/>
                      <w:sz w:val="21"/>
                      <w:szCs w:val="21"/>
                      <w:highlight w:val="none"/>
                    </w:rPr>
                  </w:pPr>
                </w:p>
              </w:tc>
              <w:tc>
                <w:tcPr>
                  <w:tcW w:w="551" w:type="pct"/>
                  <w:vAlign w:val="center"/>
                </w:tcPr>
                <w:p w14:paraId="11BFDA27">
                  <w:pPr>
                    <w:spacing w:line="240" w:lineRule="auto"/>
                    <w:jc w:val="center"/>
                    <w:rPr>
                      <w:rFonts w:eastAsia="等线"/>
                      <w:color w:val="auto"/>
                      <w:kern w:val="0"/>
                      <w:sz w:val="21"/>
                      <w:szCs w:val="21"/>
                      <w:highlight w:val="none"/>
                    </w:rPr>
                  </w:pPr>
                  <w:r>
                    <w:rPr>
                      <w:rFonts w:hint="eastAsia"/>
                      <w:color w:val="auto"/>
                      <w:sz w:val="21"/>
                      <w:szCs w:val="21"/>
                      <w:highlight w:val="none"/>
                      <w:lang w:val="en-US" w:eastAsia="zh-CN"/>
                    </w:rPr>
                    <w:t>28.12</w:t>
                  </w:r>
                </w:p>
              </w:tc>
              <w:tc>
                <w:tcPr>
                  <w:tcW w:w="477" w:type="pct"/>
                  <w:vAlign w:val="center"/>
                </w:tcPr>
                <w:p w14:paraId="6499654D">
                  <w:pPr>
                    <w:spacing w:line="240" w:lineRule="auto"/>
                    <w:jc w:val="center"/>
                    <w:rPr>
                      <w:color w:val="auto"/>
                      <w:sz w:val="21"/>
                      <w:szCs w:val="21"/>
                      <w:highlight w:val="none"/>
                    </w:rPr>
                  </w:pPr>
                  <w:r>
                    <w:rPr>
                      <w:rFonts w:hint="eastAsia"/>
                      <w:color w:val="auto"/>
                      <w:sz w:val="21"/>
                      <w:szCs w:val="21"/>
                      <w:highlight w:val="none"/>
                      <w:lang w:val="en-US" w:eastAsia="zh-CN"/>
                    </w:rPr>
                    <w:t>0.288</w:t>
                  </w:r>
                </w:p>
              </w:tc>
              <w:tc>
                <w:tcPr>
                  <w:tcW w:w="477" w:type="pct"/>
                  <w:vAlign w:val="center"/>
                </w:tcPr>
                <w:p w14:paraId="7833CDB5">
                  <w:pPr>
                    <w:spacing w:line="240" w:lineRule="auto"/>
                    <w:jc w:val="center"/>
                    <w:rPr>
                      <w:rFonts w:hint="default" w:eastAsia="等线"/>
                      <w:color w:val="auto"/>
                      <w:kern w:val="0"/>
                      <w:sz w:val="21"/>
                      <w:szCs w:val="21"/>
                      <w:highlight w:val="none"/>
                      <w:lang w:val="en-US"/>
                    </w:rPr>
                  </w:pPr>
                  <w:r>
                    <w:rPr>
                      <w:rFonts w:hint="eastAsia"/>
                      <w:color w:val="auto"/>
                      <w:sz w:val="21"/>
                      <w:szCs w:val="21"/>
                      <w:highlight w:val="none"/>
                      <w:lang w:val="en-US" w:eastAsia="zh-CN"/>
                    </w:rPr>
                    <w:t>2.522</w:t>
                  </w:r>
                </w:p>
              </w:tc>
              <w:tc>
                <w:tcPr>
                  <w:tcW w:w="539" w:type="pct"/>
                  <w:vMerge w:val="continue"/>
                  <w:vAlign w:val="center"/>
                </w:tcPr>
                <w:p w14:paraId="6F6099E3">
                  <w:pPr>
                    <w:widowControl/>
                    <w:spacing w:line="240" w:lineRule="auto"/>
                    <w:jc w:val="left"/>
                    <w:rPr>
                      <w:rFonts w:hint="eastAsia" w:ascii="宋体" w:hAnsi="宋体" w:cs="宋体"/>
                      <w:color w:val="auto"/>
                      <w:kern w:val="0"/>
                      <w:sz w:val="21"/>
                      <w:szCs w:val="21"/>
                      <w:highlight w:val="none"/>
                    </w:rPr>
                  </w:pPr>
                </w:p>
              </w:tc>
              <w:tc>
                <w:tcPr>
                  <w:tcW w:w="274" w:type="pct"/>
                  <w:vAlign w:val="center"/>
                </w:tcPr>
                <w:p w14:paraId="34E317D2">
                  <w:pPr>
                    <w:spacing w:line="240" w:lineRule="auto"/>
                    <w:jc w:val="center"/>
                    <w:rPr>
                      <w:rFonts w:hint="eastAsia" w:eastAsia="等线"/>
                      <w:color w:val="auto"/>
                      <w:kern w:val="0"/>
                      <w:sz w:val="21"/>
                      <w:szCs w:val="21"/>
                      <w:highlight w:val="none"/>
                      <w:lang w:val="en-US" w:eastAsia="zh-CN"/>
                    </w:rPr>
                  </w:pPr>
                  <w:r>
                    <w:rPr>
                      <w:rFonts w:hint="eastAsia" w:eastAsia="等线"/>
                      <w:color w:val="auto"/>
                      <w:kern w:val="0"/>
                      <w:sz w:val="21"/>
                      <w:szCs w:val="21"/>
                      <w:highlight w:val="none"/>
                      <w:lang w:val="en-US" w:eastAsia="zh-CN"/>
                    </w:rPr>
                    <w:t>/</w:t>
                  </w:r>
                </w:p>
              </w:tc>
              <w:tc>
                <w:tcPr>
                  <w:tcW w:w="556" w:type="pct"/>
                  <w:vAlign w:val="center"/>
                </w:tcPr>
                <w:p w14:paraId="68A4F7C9">
                  <w:pPr>
                    <w:spacing w:line="240" w:lineRule="auto"/>
                    <w:jc w:val="center"/>
                    <w:rPr>
                      <w:rFonts w:eastAsia="等线"/>
                      <w:color w:val="auto"/>
                      <w:kern w:val="0"/>
                      <w:sz w:val="21"/>
                      <w:szCs w:val="21"/>
                      <w:highlight w:val="none"/>
                    </w:rPr>
                  </w:pPr>
                  <w:r>
                    <w:rPr>
                      <w:rFonts w:hint="eastAsia"/>
                      <w:color w:val="auto"/>
                      <w:sz w:val="21"/>
                      <w:szCs w:val="21"/>
                      <w:highlight w:val="none"/>
                      <w:lang w:val="en-US" w:eastAsia="zh-CN"/>
                    </w:rPr>
                    <w:t>28.12</w:t>
                  </w:r>
                </w:p>
              </w:tc>
              <w:tc>
                <w:tcPr>
                  <w:tcW w:w="450" w:type="pct"/>
                  <w:vAlign w:val="center"/>
                </w:tcPr>
                <w:p w14:paraId="563C6DD7">
                  <w:pPr>
                    <w:spacing w:line="240" w:lineRule="auto"/>
                    <w:jc w:val="center"/>
                    <w:rPr>
                      <w:rFonts w:eastAsia="等线"/>
                      <w:color w:val="auto"/>
                      <w:kern w:val="0"/>
                      <w:sz w:val="21"/>
                      <w:szCs w:val="21"/>
                      <w:highlight w:val="none"/>
                    </w:rPr>
                  </w:pPr>
                  <w:r>
                    <w:rPr>
                      <w:rFonts w:hint="eastAsia"/>
                      <w:color w:val="auto"/>
                      <w:sz w:val="21"/>
                      <w:szCs w:val="21"/>
                      <w:highlight w:val="none"/>
                      <w:lang w:val="en-US" w:eastAsia="zh-CN"/>
                    </w:rPr>
                    <w:t>0.288</w:t>
                  </w:r>
                </w:p>
              </w:tc>
              <w:tc>
                <w:tcPr>
                  <w:tcW w:w="482" w:type="pct"/>
                  <w:vAlign w:val="center"/>
                </w:tcPr>
                <w:p w14:paraId="5D24B44F">
                  <w:pPr>
                    <w:spacing w:line="240" w:lineRule="auto"/>
                    <w:jc w:val="center"/>
                    <w:rPr>
                      <w:rFonts w:hint="default" w:eastAsia="等线"/>
                      <w:color w:val="auto"/>
                      <w:kern w:val="0"/>
                      <w:sz w:val="21"/>
                      <w:szCs w:val="21"/>
                      <w:highlight w:val="none"/>
                      <w:lang w:val="en-US"/>
                    </w:rPr>
                  </w:pPr>
                  <w:r>
                    <w:rPr>
                      <w:rFonts w:hint="eastAsia"/>
                      <w:color w:val="auto"/>
                      <w:sz w:val="21"/>
                      <w:szCs w:val="21"/>
                      <w:highlight w:val="none"/>
                      <w:lang w:val="en-US" w:eastAsia="zh-CN"/>
                    </w:rPr>
                    <w:t>2.522</w:t>
                  </w:r>
                </w:p>
              </w:tc>
            </w:tr>
            <w:tr w14:paraId="05449FA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43" w:type="pct"/>
                  <w:gridSpan w:val="2"/>
                  <w:vMerge w:val="restart"/>
                  <w:vAlign w:val="center"/>
                </w:tcPr>
                <w:p w14:paraId="368E8BB4">
                  <w:pPr>
                    <w:pStyle w:val="25"/>
                    <w:jc w:val="center"/>
                    <w:rPr>
                      <w:color w:val="auto"/>
                      <w:highlight w:val="none"/>
                    </w:rPr>
                  </w:pPr>
                  <w:r>
                    <w:rPr>
                      <w:rFonts w:hint="eastAsia"/>
                      <w:color w:val="auto"/>
                      <w:highlight w:val="none"/>
                    </w:rPr>
                    <w:t>一般排放口合计</w:t>
                  </w:r>
                </w:p>
              </w:tc>
              <w:tc>
                <w:tcPr>
                  <w:tcW w:w="4073" w:type="pct"/>
                  <w:gridSpan w:val="9"/>
                  <w:vAlign w:val="center"/>
                </w:tcPr>
                <w:p w14:paraId="5550B095">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颗粒物</w:t>
                  </w:r>
                </w:p>
              </w:tc>
              <w:tc>
                <w:tcPr>
                  <w:tcW w:w="482" w:type="pct"/>
                  <w:vAlign w:val="center"/>
                </w:tcPr>
                <w:p w14:paraId="6700315A">
                  <w:pPr>
                    <w:spacing w:line="240" w:lineRule="auto"/>
                    <w:jc w:val="center"/>
                    <w:rPr>
                      <w:color w:val="auto"/>
                      <w:sz w:val="21"/>
                      <w:szCs w:val="21"/>
                      <w:highlight w:val="none"/>
                    </w:rPr>
                  </w:pPr>
                  <w:r>
                    <w:rPr>
                      <w:rFonts w:hint="eastAsia"/>
                      <w:color w:val="auto"/>
                      <w:sz w:val="21"/>
                      <w:szCs w:val="21"/>
                      <w:highlight w:val="none"/>
                    </w:rPr>
                    <w:t>1.165</w:t>
                  </w:r>
                </w:p>
              </w:tc>
            </w:tr>
            <w:tr w14:paraId="5A2C1F0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43" w:type="pct"/>
                  <w:gridSpan w:val="2"/>
                  <w:vMerge w:val="continue"/>
                  <w:vAlign w:val="center"/>
                </w:tcPr>
                <w:p w14:paraId="559F0F0E">
                  <w:pPr>
                    <w:pStyle w:val="25"/>
                    <w:jc w:val="center"/>
                    <w:rPr>
                      <w:color w:val="auto"/>
                      <w:highlight w:val="none"/>
                    </w:rPr>
                  </w:pPr>
                </w:p>
              </w:tc>
              <w:tc>
                <w:tcPr>
                  <w:tcW w:w="4073" w:type="pct"/>
                  <w:gridSpan w:val="9"/>
                  <w:vAlign w:val="center"/>
                </w:tcPr>
                <w:p w14:paraId="13325BD4">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二氧化硫</w:t>
                  </w:r>
                </w:p>
              </w:tc>
              <w:tc>
                <w:tcPr>
                  <w:tcW w:w="482" w:type="pct"/>
                  <w:vAlign w:val="center"/>
                </w:tcPr>
                <w:p w14:paraId="45712D9D">
                  <w:pPr>
                    <w:spacing w:line="240" w:lineRule="auto"/>
                    <w:jc w:val="center"/>
                    <w:rPr>
                      <w:color w:val="auto"/>
                      <w:sz w:val="21"/>
                      <w:szCs w:val="21"/>
                      <w:highlight w:val="none"/>
                    </w:rPr>
                  </w:pPr>
                  <w:r>
                    <w:rPr>
                      <w:rFonts w:hint="eastAsia"/>
                      <w:color w:val="auto"/>
                      <w:sz w:val="21"/>
                      <w:szCs w:val="21"/>
                      <w:highlight w:val="none"/>
                    </w:rPr>
                    <w:t>0.333</w:t>
                  </w:r>
                </w:p>
              </w:tc>
            </w:tr>
            <w:tr w14:paraId="5BCD144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3" w:type="pct"/>
                  <w:gridSpan w:val="2"/>
                  <w:vMerge w:val="continue"/>
                  <w:vAlign w:val="center"/>
                </w:tcPr>
                <w:p w14:paraId="48C84D06">
                  <w:pPr>
                    <w:pStyle w:val="25"/>
                    <w:jc w:val="center"/>
                    <w:rPr>
                      <w:color w:val="auto"/>
                      <w:highlight w:val="none"/>
                    </w:rPr>
                  </w:pPr>
                </w:p>
              </w:tc>
              <w:tc>
                <w:tcPr>
                  <w:tcW w:w="4073" w:type="pct"/>
                  <w:gridSpan w:val="9"/>
                  <w:vAlign w:val="center"/>
                </w:tcPr>
                <w:p w14:paraId="63C8889F">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氮氧化物</w:t>
                  </w:r>
                </w:p>
              </w:tc>
              <w:tc>
                <w:tcPr>
                  <w:tcW w:w="482" w:type="pct"/>
                  <w:vAlign w:val="center"/>
                </w:tcPr>
                <w:p w14:paraId="79ABDF08">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2.522</w:t>
                  </w:r>
                </w:p>
              </w:tc>
            </w:tr>
            <w:tr w14:paraId="5AB51CC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43" w:type="pct"/>
                  <w:gridSpan w:val="2"/>
                  <w:vMerge w:val="restart"/>
                  <w:vAlign w:val="center"/>
                </w:tcPr>
                <w:p w14:paraId="233E4C65">
                  <w:pPr>
                    <w:pStyle w:val="25"/>
                    <w:jc w:val="center"/>
                    <w:rPr>
                      <w:color w:val="auto"/>
                      <w:highlight w:val="none"/>
                    </w:rPr>
                  </w:pPr>
                  <w:r>
                    <w:rPr>
                      <w:color w:val="auto"/>
                      <w:highlight w:val="none"/>
                    </w:rPr>
                    <w:t>有组织排放总计</w:t>
                  </w:r>
                </w:p>
              </w:tc>
              <w:tc>
                <w:tcPr>
                  <w:tcW w:w="4073" w:type="pct"/>
                  <w:gridSpan w:val="9"/>
                  <w:vAlign w:val="center"/>
                </w:tcPr>
                <w:p w14:paraId="73C517A0">
                  <w:pPr>
                    <w:widowControl/>
                    <w:spacing w:line="240" w:lineRule="auto"/>
                    <w:jc w:val="center"/>
                    <w:rPr>
                      <w:rFonts w:eastAsia="等线"/>
                      <w:color w:val="auto"/>
                      <w:kern w:val="0"/>
                      <w:sz w:val="21"/>
                      <w:szCs w:val="21"/>
                      <w:highlight w:val="none"/>
                    </w:rPr>
                  </w:pPr>
                  <w:r>
                    <w:rPr>
                      <w:rFonts w:hint="eastAsia" w:ascii="宋体" w:hAnsi="宋体" w:cs="宋体"/>
                      <w:color w:val="auto"/>
                      <w:kern w:val="0"/>
                      <w:sz w:val="21"/>
                      <w:szCs w:val="21"/>
                      <w:highlight w:val="none"/>
                    </w:rPr>
                    <w:t>颗粒物</w:t>
                  </w:r>
                </w:p>
              </w:tc>
              <w:tc>
                <w:tcPr>
                  <w:tcW w:w="482" w:type="pct"/>
                  <w:vAlign w:val="center"/>
                </w:tcPr>
                <w:p w14:paraId="258504F9">
                  <w:pPr>
                    <w:spacing w:line="240" w:lineRule="auto"/>
                    <w:jc w:val="center"/>
                    <w:rPr>
                      <w:rFonts w:eastAsia="等线"/>
                      <w:color w:val="auto"/>
                      <w:kern w:val="0"/>
                      <w:sz w:val="21"/>
                      <w:szCs w:val="21"/>
                      <w:highlight w:val="none"/>
                    </w:rPr>
                  </w:pPr>
                  <w:r>
                    <w:rPr>
                      <w:rFonts w:hint="eastAsia"/>
                      <w:color w:val="auto"/>
                      <w:sz w:val="21"/>
                      <w:szCs w:val="21"/>
                      <w:highlight w:val="none"/>
                    </w:rPr>
                    <w:t>1.165</w:t>
                  </w:r>
                </w:p>
              </w:tc>
            </w:tr>
            <w:tr w14:paraId="6CE9565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43" w:type="pct"/>
                  <w:gridSpan w:val="2"/>
                  <w:vMerge w:val="continue"/>
                  <w:vAlign w:val="center"/>
                </w:tcPr>
                <w:p w14:paraId="2EC85DDF">
                  <w:pPr>
                    <w:widowControl/>
                    <w:spacing w:line="240" w:lineRule="auto"/>
                    <w:jc w:val="left"/>
                    <w:rPr>
                      <w:rFonts w:hint="eastAsia" w:ascii="宋体" w:hAnsi="宋体" w:cs="宋体"/>
                      <w:color w:val="auto"/>
                      <w:kern w:val="0"/>
                      <w:sz w:val="21"/>
                      <w:szCs w:val="21"/>
                      <w:highlight w:val="none"/>
                    </w:rPr>
                  </w:pPr>
                </w:p>
              </w:tc>
              <w:tc>
                <w:tcPr>
                  <w:tcW w:w="4073" w:type="pct"/>
                  <w:gridSpan w:val="9"/>
                  <w:vAlign w:val="center"/>
                </w:tcPr>
                <w:p w14:paraId="3E3876A3">
                  <w:pPr>
                    <w:widowControl/>
                    <w:spacing w:line="240" w:lineRule="auto"/>
                    <w:jc w:val="center"/>
                    <w:rPr>
                      <w:rFonts w:eastAsia="等线"/>
                      <w:color w:val="auto"/>
                      <w:kern w:val="0"/>
                      <w:sz w:val="21"/>
                      <w:szCs w:val="21"/>
                      <w:highlight w:val="none"/>
                    </w:rPr>
                  </w:pPr>
                  <w:r>
                    <w:rPr>
                      <w:rFonts w:hint="eastAsia" w:ascii="宋体" w:hAnsi="宋体" w:cs="宋体"/>
                      <w:color w:val="auto"/>
                      <w:kern w:val="0"/>
                      <w:sz w:val="21"/>
                      <w:szCs w:val="21"/>
                      <w:highlight w:val="none"/>
                    </w:rPr>
                    <w:t>二氧化硫</w:t>
                  </w:r>
                </w:p>
              </w:tc>
              <w:tc>
                <w:tcPr>
                  <w:tcW w:w="482" w:type="pct"/>
                  <w:vAlign w:val="center"/>
                </w:tcPr>
                <w:p w14:paraId="67A54DE5">
                  <w:pPr>
                    <w:spacing w:line="240" w:lineRule="auto"/>
                    <w:jc w:val="center"/>
                    <w:rPr>
                      <w:rFonts w:eastAsia="等线"/>
                      <w:color w:val="auto"/>
                      <w:kern w:val="0"/>
                      <w:sz w:val="21"/>
                      <w:szCs w:val="21"/>
                      <w:highlight w:val="none"/>
                    </w:rPr>
                  </w:pPr>
                  <w:r>
                    <w:rPr>
                      <w:rFonts w:hint="eastAsia"/>
                      <w:color w:val="auto"/>
                      <w:sz w:val="21"/>
                      <w:szCs w:val="21"/>
                      <w:highlight w:val="none"/>
                    </w:rPr>
                    <w:t>0.333</w:t>
                  </w:r>
                </w:p>
              </w:tc>
            </w:tr>
            <w:tr w14:paraId="35A2F7E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443" w:type="pct"/>
                  <w:gridSpan w:val="2"/>
                  <w:vMerge w:val="continue"/>
                  <w:vAlign w:val="center"/>
                </w:tcPr>
                <w:p w14:paraId="46AC0C12">
                  <w:pPr>
                    <w:widowControl/>
                    <w:spacing w:line="240" w:lineRule="auto"/>
                    <w:jc w:val="left"/>
                    <w:rPr>
                      <w:rFonts w:hint="eastAsia" w:ascii="宋体" w:hAnsi="宋体" w:cs="宋体"/>
                      <w:color w:val="auto"/>
                      <w:kern w:val="0"/>
                      <w:sz w:val="21"/>
                      <w:szCs w:val="21"/>
                      <w:highlight w:val="none"/>
                    </w:rPr>
                  </w:pPr>
                </w:p>
              </w:tc>
              <w:tc>
                <w:tcPr>
                  <w:tcW w:w="4073" w:type="pct"/>
                  <w:gridSpan w:val="9"/>
                  <w:vAlign w:val="center"/>
                </w:tcPr>
                <w:p w14:paraId="68E1383A">
                  <w:pPr>
                    <w:widowControl/>
                    <w:spacing w:line="240" w:lineRule="auto"/>
                    <w:jc w:val="center"/>
                    <w:rPr>
                      <w:rFonts w:eastAsia="等线"/>
                      <w:color w:val="auto"/>
                      <w:kern w:val="0"/>
                      <w:sz w:val="21"/>
                      <w:szCs w:val="21"/>
                      <w:highlight w:val="none"/>
                    </w:rPr>
                  </w:pPr>
                  <w:r>
                    <w:rPr>
                      <w:rFonts w:hint="eastAsia" w:ascii="宋体" w:hAnsi="宋体" w:cs="宋体"/>
                      <w:color w:val="auto"/>
                      <w:kern w:val="0"/>
                      <w:sz w:val="21"/>
                      <w:szCs w:val="21"/>
                      <w:highlight w:val="none"/>
                    </w:rPr>
                    <w:t>氮氧化物</w:t>
                  </w:r>
                </w:p>
              </w:tc>
              <w:tc>
                <w:tcPr>
                  <w:tcW w:w="482" w:type="pct"/>
                  <w:vAlign w:val="center"/>
                </w:tcPr>
                <w:p w14:paraId="400C0421">
                  <w:pPr>
                    <w:spacing w:line="240" w:lineRule="auto"/>
                    <w:jc w:val="center"/>
                    <w:rPr>
                      <w:rFonts w:hint="default" w:eastAsia="等线"/>
                      <w:color w:val="auto"/>
                      <w:kern w:val="0"/>
                      <w:sz w:val="21"/>
                      <w:szCs w:val="21"/>
                      <w:highlight w:val="none"/>
                      <w:lang w:val="en-US"/>
                    </w:rPr>
                  </w:pPr>
                  <w:r>
                    <w:rPr>
                      <w:rFonts w:hint="eastAsia"/>
                      <w:color w:val="auto"/>
                      <w:sz w:val="21"/>
                      <w:szCs w:val="21"/>
                      <w:highlight w:val="none"/>
                      <w:lang w:val="en-US" w:eastAsia="zh-CN"/>
                    </w:rPr>
                    <w:t>2.522</w:t>
                  </w:r>
                </w:p>
              </w:tc>
            </w:tr>
          </w:tbl>
          <w:p w14:paraId="2C03E5B5">
            <w:pPr>
              <w:pStyle w:val="52"/>
              <w:rPr>
                <w:color w:val="auto"/>
                <w:highlight w:val="none"/>
              </w:rPr>
            </w:pPr>
            <w:r>
              <w:rPr>
                <w:rFonts w:hint="eastAsia"/>
                <w:color w:val="auto"/>
                <w:highlight w:val="none"/>
              </w:rPr>
              <w:t>表4</w:t>
            </w:r>
            <w:r>
              <w:rPr>
                <w:color w:val="auto"/>
                <w:highlight w:val="none"/>
              </w:rPr>
              <w:t>-</w:t>
            </w:r>
            <w:r>
              <w:rPr>
                <w:rFonts w:hint="eastAsia"/>
                <w:color w:val="auto"/>
                <w:highlight w:val="none"/>
              </w:rPr>
              <w:t>4</w:t>
            </w:r>
            <w:r>
              <w:rPr>
                <w:color w:val="auto"/>
                <w:highlight w:val="none"/>
              </w:rPr>
              <w:t xml:space="preserve"> </w:t>
            </w:r>
            <w:r>
              <w:rPr>
                <w:rFonts w:hint="eastAsia"/>
                <w:color w:val="auto"/>
                <w:highlight w:val="none"/>
              </w:rPr>
              <w:t>项目大气污染物年排放量核算表</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1"/>
              <w:gridCol w:w="4904"/>
              <w:gridCol w:w="2370"/>
            </w:tblGrid>
            <w:tr w14:paraId="161B276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445" w:type="pct"/>
                  <w:vAlign w:val="center"/>
                </w:tcPr>
                <w:p w14:paraId="035327CB">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序号</w:t>
                  </w:r>
                </w:p>
              </w:tc>
              <w:tc>
                <w:tcPr>
                  <w:tcW w:w="3070" w:type="pct"/>
                  <w:vAlign w:val="center"/>
                </w:tcPr>
                <w:p w14:paraId="0834B7D6">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污染物</w:t>
                  </w:r>
                </w:p>
              </w:tc>
              <w:tc>
                <w:tcPr>
                  <w:tcW w:w="1483" w:type="pct"/>
                  <w:vAlign w:val="center"/>
                </w:tcPr>
                <w:p w14:paraId="58350070">
                  <w:pPr>
                    <w:widowControl/>
                    <w:spacing w:line="240" w:lineRule="auto"/>
                    <w:jc w:val="center"/>
                    <w:rPr>
                      <w:rFonts w:hint="eastAsia" w:ascii="宋体" w:hAnsi="宋体" w:cs="宋体"/>
                      <w:b w:val="0"/>
                      <w:bCs/>
                      <w:color w:val="auto"/>
                      <w:kern w:val="0"/>
                      <w:sz w:val="21"/>
                      <w:szCs w:val="21"/>
                      <w:highlight w:val="none"/>
                    </w:rPr>
                  </w:pPr>
                  <w:r>
                    <w:rPr>
                      <w:rFonts w:hint="eastAsia" w:ascii="宋体" w:hAnsi="宋体" w:cs="宋体"/>
                      <w:b/>
                      <w:bCs/>
                      <w:color w:val="auto"/>
                      <w:kern w:val="0"/>
                      <w:sz w:val="21"/>
                      <w:szCs w:val="21"/>
                      <w:highlight w:val="none"/>
                    </w:rPr>
                    <w:t>排放量</w:t>
                  </w:r>
                  <w:r>
                    <w:rPr>
                      <w:b/>
                      <w:bCs/>
                      <w:color w:val="auto"/>
                      <w:kern w:val="0"/>
                      <w:sz w:val="21"/>
                      <w:szCs w:val="21"/>
                      <w:highlight w:val="none"/>
                    </w:rPr>
                    <w:t>t/a</w:t>
                  </w:r>
                </w:p>
              </w:tc>
            </w:tr>
            <w:tr w14:paraId="3A85048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45" w:type="pct"/>
                  <w:vAlign w:val="center"/>
                </w:tcPr>
                <w:p w14:paraId="1A3382DB">
                  <w:pPr>
                    <w:pStyle w:val="25"/>
                    <w:jc w:val="center"/>
                    <w:rPr>
                      <w:color w:val="auto"/>
                      <w:highlight w:val="none"/>
                    </w:rPr>
                  </w:pPr>
                  <w:r>
                    <w:rPr>
                      <w:rFonts w:hint="eastAsia"/>
                      <w:color w:val="auto"/>
                      <w:highlight w:val="none"/>
                    </w:rPr>
                    <w:t>1</w:t>
                  </w:r>
                </w:p>
              </w:tc>
              <w:tc>
                <w:tcPr>
                  <w:tcW w:w="3070" w:type="pct"/>
                  <w:vAlign w:val="center"/>
                </w:tcPr>
                <w:p w14:paraId="7A20FFBB">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颗粒物</w:t>
                  </w:r>
                </w:p>
              </w:tc>
              <w:tc>
                <w:tcPr>
                  <w:tcW w:w="2366" w:type="dxa"/>
                  <w:vAlign w:val="center"/>
                </w:tcPr>
                <w:p w14:paraId="781C22F9">
                  <w:pPr>
                    <w:spacing w:line="240" w:lineRule="auto"/>
                    <w:jc w:val="center"/>
                    <w:rPr>
                      <w:color w:val="auto"/>
                      <w:sz w:val="21"/>
                      <w:szCs w:val="21"/>
                      <w:highlight w:val="none"/>
                    </w:rPr>
                  </w:pPr>
                  <w:r>
                    <w:rPr>
                      <w:rFonts w:hint="eastAsia"/>
                      <w:color w:val="auto"/>
                      <w:sz w:val="21"/>
                      <w:szCs w:val="21"/>
                      <w:highlight w:val="none"/>
                    </w:rPr>
                    <w:t>1.165</w:t>
                  </w:r>
                </w:p>
              </w:tc>
            </w:tr>
            <w:tr w14:paraId="3F2CB0F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45" w:type="pct"/>
                  <w:vAlign w:val="center"/>
                </w:tcPr>
                <w:p w14:paraId="2AC295BB">
                  <w:pPr>
                    <w:pStyle w:val="25"/>
                    <w:jc w:val="center"/>
                    <w:rPr>
                      <w:color w:val="auto"/>
                      <w:highlight w:val="none"/>
                    </w:rPr>
                  </w:pPr>
                  <w:r>
                    <w:rPr>
                      <w:rFonts w:hint="eastAsia"/>
                      <w:color w:val="auto"/>
                      <w:highlight w:val="none"/>
                    </w:rPr>
                    <w:t>2</w:t>
                  </w:r>
                </w:p>
              </w:tc>
              <w:tc>
                <w:tcPr>
                  <w:tcW w:w="3070" w:type="pct"/>
                  <w:vAlign w:val="center"/>
                </w:tcPr>
                <w:p w14:paraId="6275E818">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二氧化硫</w:t>
                  </w:r>
                </w:p>
              </w:tc>
              <w:tc>
                <w:tcPr>
                  <w:tcW w:w="2366" w:type="dxa"/>
                  <w:vAlign w:val="center"/>
                </w:tcPr>
                <w:p w14:paraId="3313EEB0">
                  <w:pPr>
                    <w:spacing w:line="240" w:lineRule="auto"/>
                    <w:jc w:val="center"/>
                    <w:rPr>
                      <w:color w:val="auto"/>
                      <w:sz w:val="21"/>
                      <w:szCs w:val="21"/>
                      <w:highlight w:val="none"/>
                    </w:rPr>
                  </w:pPr>
                  <w:r>
                    <w:rPr>
                      <w:rFonts w:hint="eastAsia"/>
                      <w:color w:val="auto"/>
                      <w:sz w:val="21"/>
                      <w:szCs w:val="21"/>
                      <w:highlight w:val="none"/>
                    </w:rPr>
                    <w:t>0.333</w:t>
                  </w:r>
                </w:p>
              </w:tc>
            </w:tr>
            <w:tr w14:paraId="0D8275A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45" w:type="pct"/>
                  <w:vAlign w:val="center"/>
                </w:tcPr>
                <w:p w14:paraId="54377DBC">
                  <w:pPr>
                    <w:pStyle w:val="25"/>
                    <w:jc w:val="center"/>
                    <w:rPr>
                      <w:color w:val="auto"/>
                      <w:highlight w:val="none"/>
                    </w:rPr>
                  </w:pPr>
                  <w:r>
                    <w:rPr>
                      <w:rFonts w:hint="eastAsia"/>
                      <w:color w:val="auto"/>
                      <w:highlight w:val="none"/>
                    </w:rPr>
                    <w:t>3</w:t>
                  </w:r>
                </w:p>
              </w:tc>
              <w:tc>
                <w:tcPr>
                  <w:tcW w:w="3070" w:type="pct"/>
                  <w:vAlign w:val="center"/>
                </w:tcPr>
                <w:p w14:paraId="6EE32A76">
                  <w:pPr>
                    <w:widowControl/>
                    <w:spacing w:line="24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氮氧化物</w:t>
                  </w:r>
                </w:p>
              </w:tc>
              <w:tc>
                <w:tcPr>
                  <w:tcW w:w="2366" w:type="dxa"/>
                  <w:vAlign w:val="center"/>
                </w:tcPr>
                <w:p w14:paraId="6995CF04">
                  <w:pPr>
                    <w:spacing w:line="240" w:lineRule="auto"/>
                    <w:jc w:val="center"/>
                    <w:rPr>
                      <w:rFonts w:hint="default"/>
                      <w:color w:val="auto"/>
                      <w:sz w:val="21"/>
                      <w:szCs w:val="21"/>
                      <w:highlight w:val="none"/>
                      <w:lang w:val="en-US"/>
                    </w:rPr>
                  </w:pPr>
                  <w:r>
                    <w:rPr>
                      <w:rFonts w:hint="eastAsia"/>
                      <w:color w:val="auto"/>
                      <w:sz w:val="21"/>
                      <w:szCs w:val="21"/>
                      <w:highlight w:val="none"/>
                      <w:lang w:val="en-US" w:eastAsia="zh-CN"/>
                    </w:rPr>
                    <w:t>2.522</w:t>
                  </w:r>
                </w:p>
              </w:tc>
            </w:tr>
          </w:tbl>
          <w:p w14:paraId="4488211C">
            <w:pPr>
              <w:numPr>
                <w:ilvl w:val="0"/>
                <w:numId w:val="4"/>
              </w:numPr>
              <w:adjustRightInd w:val="0"/>
              <w:snapToGrid w:val="0"/>
              <w:ind w:firstLine="480" w:firstLineChars="200"/>
              <w:rPr>
                <w:color w:val="auto"/>
                <w:highlight w:val="none"/>
              </w:rPr>
            </w:pPr>
            <w:r>
              <w:rPr>
                <w:rFonts w:hint="eastAsia"/>
                <w:color w:val="auto"/>
                <w:highlight w:val="none"/>
              </w:rPr>
              <w:t>排放口基本情况</w:t>
            </w:r>
          </w:p>
          <w:p w14:paraId="4F32B363">
            <w:pPr>
              <w:tabs>
                <w:tab w:val="left" w:pos="360"/>
              </w:tabs>
              <w:ind w:firstLine="480"/>
              <w:rPr>
                <w:color w:val="auto"/>
                <w:highlight w:val="none"/>
              </w:rPr>
            </w:pPr>
            <w:r>
              <w:rPr>
                <w:rFonts w:hint="eastAsia"/>
                <w:color w:val="auto"/>
                <w:highlight w:val="none"/>
              </w:rPr>
              <w:t>本项目废气排放口情况见表4</w:t>
            </w:r>
            <w:r>
              <w:rPr>
                <w:color w:val="auto"/>
                <w:highlight w:val="none"/>
              </w:rPr>
              <w:t>-</w:t>
            </w:r>
            <w:r>
              <w:rPr>
                <w:rFonts w:hint="eastAsia"/>
                <w:color w:val="auto"/>
                <w:highlight w:val="none"/>
              </w:rPr>
              <w:t>5。</w:t>
            </w:r>
          </w:p>
          <w:p w14:paraId="46C793E9">
            <w:pPr>
              <w:pStyle w:val="52"/>
              <w:rPr>
                <w:color w:val="auto"/>
                <w:highlight w:val="none"/>
              </w:rPr>
            </w:pPr>
            <w:r>
              <w:rPr>
                <w:rFonts w:hint="eastAsia"/>
                <w:color w:val="auto"/>
                <w:highlight w:val="none"/>
              </w:rPr>
              <w:t>表4</w:t>
            </w:r>
            <w:r>
              <w:rPr>
                <w:color w:val="auto"/>
                <w:highlight w:val="none"/>
              </w:rPr>
              <w:t xml:space="preserve">-5 </w:t>
            </w:r>
            <w:r>
              <w:rPr>
                <w:rFonts w:hint="eastAsia"/>
                <w:color w:val="auto"/>
                <w:highlight w:val="none"/>
              </w:rPr>
              <w:t>本项目废气排放口情况一览表</w:t>
            </w:r>
          </w:p>
          <w:tbl>
            <w:tblPr>
              <w:tblStyle w:val="57"/>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50"/>
              <w:gridCol w:w="387"/>
              <w:gridCol w:w="387"/>
              <w:gridCol w:w="740"/>
              <w:gridCol w:w="1137"/>
              <w:gridCol w:w="625"/>
              <w:gridCol w:w="505"/>
              <w:gridCol w:w="668"/>
              <w:gridCol w:w="450"/>
              <w:gridCol w:w="456"/>
              <w:gridCol w:w="537"/>
              <w:gridCol w:w="511"/>
              <w:gridCol w:w="832"/>
            </w:tblGrid>
            <w:tr w14:paraId="07E925B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469" w:type="pct"/>
                  <w:vMerge w:val="restart"/>
                  <w:vAlign w:val="center"/>
                </w:tcPr>
                <w:p w14:paraId="0614DE8E">
                  <w:pPr>
                    <w:pStyle w:val="25"/>
                    <w:jc w:val="center"/>
                    <w:rPr>
                      <w:b w:val="0"/>
                      <w:color w:val="auto"/>
                      <w:highlight w:val="none"/>
                    </w:rPr>
                  </w:pPr>
                  <w:r>
                    <w:rPr>
                      <w:rFonts w:hint="eastAsia"/>
                      <w:b/>
                      <w:color w:val="auto"/>
                      <w:highlight w:val="none"/>
                    </w:rPr>
                    <w:t>编号/名称</w:t>
                  </w:r>
                </w:p>
              </w:tc>
              <w:tc>
                <w:tcPr>
                  <w:tcW w:w="242" w:type="pct"/>
                  <w:vMerge w:val="restart"/>
                  <w:vAlign w:val="center"/>
                </w:tcPr>
                <w:p w14:paraId="153B56F3">
                  <w:pPr>
                    <w:pStyle w:val="25"/>
                    <w:jc w:val="center"/>
                    <w:rPr>
                      <w:b w:val="0"/>
                      <w:color w:val="auto"/>
                      <w:highlight w:val="none"/>
                    </w:rPr>
                  </w:pPr>
                  <w:r>
                    <w:rPr>
                      <w:rFonts w:hint="eastAsia"/>
                      <w:b/>
                      <w:color w:val="auto"/>
                      <w:highlight w:val="none"/>
                    </w:rPr>
                    <w:t>废气产物环节</w:t>
                  </w:r>
                </w:p>
              </w:tc>
              <w:tc>
                <w:tcPr>
                  <w:tcW w:w="242" w:type="pct"/>
                  <w:vMerge w:val="restart"/>
                  <w:vAlign w:val="center"/>
                </w:tcPr>
                <w:p w14:paraId="4D00226D">
                  <w:pPr>
                    <w:pStyle w:val="25"/>
                    <w:jc w:val="center"/>
                    <w:rPr>
                      <w:b w:val="0"/>
                      <w:color w:val="auto"/>
                      <w:highlight w:val="none"/>
                    </w:rPr>
                  </w:pPr>
                  <w:r>
                    <w:rPr>
                      <w:rFonts w:hint="eastAsia"/>
                      <w:b/>
                      <w:color w:val="auto"/>
                      <w:highlight w:val="none"/>
                    </w:rPr>
                    <w:t>主要设施</w:t>
                  </w:r>
                </w:p>
              </w:tc>
              <w:tc>
                <w:tcPr>
                  <w:tcW w:w="463" w:type="pct"/>
                  <w:vMerge w:val="restart"/>
                  <w:vAlign w:val="center"/>
                </w:tcPr>
                <w:p w14:paraId="45FD39D8">
                  <w:pPr>
                    <w:pStyle w:val="25"/>
                    <w:jc w:val="center"/>
                    <w:rPr>
                      <w:b w:val="0"/>
                      <w:color w:val="auto"/>
                      <w:highlight w:val="none"/>
                    </w:rPr>
                  </w:pPr>
                  <w:r>
                    <w:rPr>
                      <w:rFonts w:hint="eastAsia"/>
                      <w:b/>
                      <w:color w:val="auto"/>
                      <w:highlight w:val="none"/>
                    </w:rPr>
                    <w:t>污染物项目</w:t>
                  </w:r>
                </w:p>
              </w:tc>
              <w:tc>
                <w:tcPr>
                  <w:tcW w:w="711" w:type="pct"/>
                  <w:vMerge w:val="restart"/>
                  <w:vAlign w:val="center"/>
                </w:tcPr>
                <w:p w14:paraId="27C893B0">
                  <w:pPr>
                    <w:pStyle w:val="25"/>
                    <w:jc w:val="center"/>
                    <w:rPr>
                      <w:b w:val="0"/>
                      <w:color w:val="auto"/>
                      <w:highlight w:val="none"/>
                    </w:rPr>
                  </w:pPr>
                  <w:r>
                    <w:rPr>
                      <w:rFonts w:hint="eastAsia"/>
                      <w:b/>
                      <w:color w:val="auto"/>
                      <w:highlight w:val="none"/>
                    </w:rPr>
                    <w:t>执行排放标准</w:t>
                  </w:r>
                </w:p>
              </w:tc>
              <w:tc>
                <w:tcPr>
                  <w:tcW w:w="391" w:type="pct"/>
                  <w:vMerge w:val="restart"/>
                  <w:vAlign w:val="center"/>
                </w:tcPr>
                <w:p w14:paraId="0CD808E7">
                  <w:pPr>
                    <w:pStyle w:val="25"/>
                    <w:jc w:val="center"/>
                    <w:rPr>
                      <w:b w:val="0"/>
                      <w:color w:val="auto"/>
                      <w:highlight w:val="none"/>
                    </w:rPr>
                  </w:pPr>
                  <w:r>
                    <w:rPr>
                      <w:rFonts w:hint="eastAsia"/>
                      <w:b/>
                      <w:color w:val="auto"/>
                      <w:highlight w:val="none"/>
                    </w:rPr>
                    <w:t>排放方式</w:t>
                  </w:r>
                </w:p>
              </w:tc>
              <w:tc>
                <w:tcPr>
                  <w:tcW w:w="734" w:type="pct"/>
                  <w:gridSpan w:val="2"/>
                  <w:vAlign w:val="center"/>
                </w:tcPr>
                <w:p w14:paraId="60CA91C8">
                  <w:pPr>
                    <w:pStyle w:val="25"/>
                    <w:jc w:val="center"/>
                    <w:rPr>
                      <w:b w:val="0"/>
                      <w:color w:val="auto"/>
                      <w:highlight w:val="none"/>
                    </w:rPr>
                  </w:pPr>
                  <w:r>
                    <w:rPr>
                      <w:rFonts w:hint="eastAsia"/>
                      <w:b/>
                      <w:color w:val="auto"/>
                      <w:highlight w:val="none"/>
                    </w:rPr>
                    <w:t>污染防治设施</w:t>
                  </w:r>
                </w:p>
              </w:tc>
              <w:tc>
                <w:tcPr>
                  <w:tcW w:w="281" w:type="pct"/>
                  <w:vMerge w:val="restart"/>
                  <w:vAlign w:val="center"/>
                </w:tcPr>
                <w:p w14:paraId="12A92F41">
                  <w:pPr>
                    <w:pStyle w:val="25"/>
                    <w:jc w:val="center"/>
                    <w:rPr>
                      <w:b w:val="0"/>
                      <w:color w:val="auto"/>
                      <w:highlight w:val="none"/>
                    </w:rPr>
                  </w:pPr>
                  <w:r>
                    <w:rPr>
                      <w:rFonts w:hint="eastAsia"/>
                      <w:b/>
                      <w:color w:val="auto"/>
                      <w:highlight w:val="none"/>
                    </w:rPr>
                    <w:t>类型</w:t>
                  </w:r>
                </w:p>
              </w:tc>
              <w:tc>
                <w:tcPr>
                  <w:tcW w:w="285" w:type="pct"/>
                  <w:vMerge w:val="restart"/>
                  <w:vAlign w:val="center"/>
                </w:tcPr>
                <w:p w14:paraId="1D32B683">
                  <w:pPr>
                    <w:pStyle w:val="25"/>
                    <w:jc w:val="center"/>
                    <w:rPr>
                      <w:b w:val="0"/>
                      <w:color w:val="auto"/>
                      <w:highlight w:val="none"/>
                    </w:rPr>
                  </w:pPr>
                  <w:r>
                    <w:rPr>
                      <w:rFonts w:hint="eastAsia"/>
                      <w:b/>
                      <w:color w:val="auto"/>
                      <w:highlight w:val="none"/>
                    </w:rPr>
                    <w:t>高度m</w:t>
                  </w:r>
                </w:p>
              </w:tc>
              <w:tc>
                <w:tcPr>
                  <w:tcW w:w="336" w:type="pct"/>
                  <w:vMerge w:val="restart"/>
                  <w:vAlign w:val="center"/>
                </w:tcPr>
                <w:p w14:paraId="4D1ED62E">
                  <w:pPr>
                    <w:pStyle w:val="25"/>
                    <w:jc w:val="center"/>
                    <w:rPr>
                      <w:b w:val="0"/>
                      <w:color w:val="auto"/>
                      <w:highlight w:val="none"/>
                    </w:rPr>
                  </w:pPr>
                  <w:r>
                    <w:rPr>
                      <w:rFonts w:hint="eastAsia"/>
                      <w:b/>
                      <w:color w:val="auto"/>
                      <w:highlight w:val="none"/>
                    </w:rPr>
                    <w:t>内径m</w:t>
                  </w:r>
                </w:p>
              </w:tc>
              <w:tc>
                <w:tcPr>
                  <w:tcW w:w="319" w:type="pct"/>
                  <w:vMerge w:val="restart"/>
                  <w:vAlign w:val="center"/>
                </w:tcPr>
                <w:p w14:paraId="1FB60D95">
                  <w:pPr>
                    <w:pStyle w:val="25"/>
                    <w:jc w:val="center"/>
                    <w:rPr>
                      <w:b w:val="0"/>
                      <w:color w:val="auto"/>
                      <w:highlight w:val="none"/>
                    </w:rPr>
                  </w:pPr>
                  <w:r>
                    <w:rPr>
                      <w:rFonts w:hint="eastAsia"/>
                      <w:b/>
                      <w:color w:val="auto"/>
                      <w:highlight w:val="none"/>
                    </w:rPr>
                    <w:t>温度℃</w:t>
                  </w:r>
                </w:p>
              </w:tc>
              <w:tc>
                <w:tcPr>
                  <w:tcW w:w="520" w:type="pct"/>
                  <w:vMerge w:val="restart"/>
                  <w:vAlign w:val="center"/>
                </w:tcPr>
                <w:p w14:paraId="13860BB3">
                  <w:pPr>
                    <w:pStyle w:val="25"/>
                    <w:jc w:val="center"/>
                    <w:rPr>
                      <w:b w:val="0"/>
                      <w:color w:val="auto"/>
                      <w:highlight w:val="none"/>
                    </w:rPr>
                  </w:pPr>
                  <w:r>
                    <w:rPr>
                      <w:rFonts w:hint="eastAsia"/>
                      <w:b/>
                      <w:color w:val="auto"/>
                      <w:highlight w:val="none"/>
                    </w:rPr>
                    <w:t>地理坐标</w:t>
                  </w:r>
                </w:p>
              </w:tc>
            </w:tr>
            <w:tr w14:paraId="447AA1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64" w:hRule="atLeast"/>
                <w:jc w:val="center"/>
              </w:trPr>
              <w:tc>
                <w:tcPr>
                  <w:tcW w:w="469" w:type="pct"/>
                  <w:vMerge w:val="continue"/>
                  <w:vAlign w:val="center"/>
                </w:tcPr>
                <w:p w14:paraId="2FF2D27B">
                  <w:pPr>
                    <w:pStyle w:val="25"/>
                    <w:jc w:val="center"/>
                    <w:rPr>
                      <w:b/>
                      <w:color w:val="auto"/>
                      <w:highlight w:val="none"/>
                    </w:rPr>
                  </w:pPr>
                </w:p>
              </w:tc>
              <w:tc>
                <w:tcPr>
                  <w:tcW w:w="242" w:type="pct"/>
                  <w:vMerge w:val="continue"/>
                  <w:vAlign w:val="center"/>
                </w:tcPr>
                <w:p w14:paraId="69952C23">
                  <w:pPr>
                    <w:pStyle w:val="25"/>
                    <w:jc w:val="center"/>
                    <w:rPr>
                      <w:b/>
                      <w:color w:val="auto"/>
                      <w:highlight w:val="none"/>
                    </w:rPr>
                  </w:pPr>
                </w:p>
              </w:tc>
              <w:tc>
                <w:tcPr>
                  <w:tcW w:w="242" w:type="pct"/>
                  <w:vMerge w:val="continue"/>
                  <w:vAlign w:val="center"/>
                </w:tcPr>
                <w:p w14:paraId="1AFBF26A">
                  <w:pPr>
                    <w:pStyle w:val="25"/>
                    <w:jc w:val="center"/>
                    <w:rPr>
                      <w:b/>
                      <w:color w:val="auto"/>
                      <w:highlight w:val="none"/>
                    </w:rPr>
                  </w:pPr>
                </w:p>
              </w:tc>
              <w:tc>
                <w:tcPr>
                  <w:tcW w:w="463" w:type="pct"/>
                  <w:vMerge w:val="continue"/>
                  <w:vAlign w:val="center"/>
                </w:tcPr>
                <w:p w14:paraId="3A70AB46">
                  <w:pPr>
                    <w:pStyle w:val="25"/>
                    <w:jc w:val="center"/>
                    <w:rPr>
                      <w:b/>
                      <w:color w:val="auto"/>
                      <w:highlight w:val="none"/>
                    </w:rPr>
                  </w:pPr>
                </w:p>
              </w:tc>
              <w:tc>
                <w:tcPr>
                  <w:tcW w:w="711" w:type="pct"/>
                  <w:vMerge w:val="continue"/>
                  <w:vAlign w:val="center"/>
                </w:tcPr>
                <w:p w14:paraId="4F056552">
                  <w:pPr>
                    <w:pStyle w:val="25"/>
                    <w:jc w:val="center"/>
                    <w:rPr>
                      <w:b/>
                      <w:color w:val="auto"/>
                      <w:highlight w:val="none"/>
                    </w:rPr>
                  </w:pPr>
                </w:p>
              </w:tc>
              <w:tc>
                <w:tcPr>
                  <w:tcW w:w="391" w:type="pct"/>
                  <w:vMerge w:val="continue"/>
                  <w:vAlign w:val="center"/>
                </w:tcPr>
                <w:p w14:paraId="3668146D">
                  <w:pPr>
                    <w:pStyle w:val="25"/>
                    <w:jc w:val="center"/>
                    <w:rPr>
                      <w:b/>
                      <w:color w:val="auto"/>
                      <w:highlight w:val="none"/>
                    </w:rPr>
                  </w:pPr>
                </w:p>
              </w:tc>
              <w:tc>
                <w:tcPr>
                  <w:tcW w:w="316" w:type="pct"/>
                  <w:vAlign w:val="center"/>
                </w:tcPr>
                <w:p w14:paraId="1FD9F777">
                  <w:pPr>
                    <w:pStyle w:val="25"/>
                    <w:jc w:val="center"/>
                    <w:rPr>
                      <w:b/>
                      <w:color w:val="auto"/>
                      <w:highlight w:val="none"/>
                    </w:rPr>
                  </w:pPr>
                  <w:r>
                    <w:rPr>
                      <w:rFonts w:hint="eastAsia"/>
                      <w:b/>
                      <w:color w:val="auto"/>
                      <w:highlight w:val="none"/>
                    </w:rPr>
                    <w:t>污染防治工艺</w:t>
                  </w:r>
                </w:p>
              </w:tc>
              <w:tc>
                <w:tcPr>
                  <w:tcW w:w="418" w:type="pct"/>
                  <w:vAlign w:val="center"/>
                </w:tcPr>
                <w:p w14:paraId="61D5120B">
                  <w:pPr>
                    <w:pStyle w:val="25"/>
                    <w:jc w:val="center"/>
                    <w:rPr>
                      <w:b/>
                      <w:color w:val="auto"/>
                      <w:highlight w:val="none"/>
                    </w:rPr>
                  </w:pPr>
                  <w:r>
                    <w:rPr>
                      <w:rFonts w:hint="eastAsia"/>
                      <w:b/>
                      <w:color w:val="auto"/>
                      <w:highlight w:val="none"/>
                    </w:rPr>
                    <w:t>是否为可行技术</w:t>
                  </w:r>
                </w:p>
              </w:tc>
              <w:tc>
                <w:tcPr>
                  <w:tcW w:w="281" w:type="pct"/>
                  <w:vMerge w:val="continue"/>
                  <w:vAlign w:val="center"/>
                </w:tcPr>
                <w:p w14:paraId="5C163718">
                  <w:pPr>
                    <w:pStyle w:val="25"/>
                    <w:jc w:val="center"/>
                    <w:rPr>
                      <w:b/>
                      <w:color w:val="auto"/>
                      <w:highlight w:val="none"/>
                    </w:rPr>
                  </w:pPr>
                </w:p>
              </w:tc>
              <w:tc>
                <w:tcPr>
                  <w:tcW w:w="285" w:type="pct"/>
                  <w:vMerge w:val="continue"/>
                  <w:vAlign w:val="center"/>
                </w:tcPr>
                <w:p w14:paraId="0093DE22">
                  <w:pPr>
                    <w:pStyle w:val="25"/>
                    <w:jc w:val="center"/>
                    <w:rPr>
                      <w:b/>
                      <w:color w:val="auto"/>
                      <w:highlight w:val="none"/>
                    </w:rPr>
                  </w:pPr>
                </w:p>
              </w:tc>
              <w:tc>
                <w:tcPr>
                  <w:tcW w:w="336" w:type="pct"/>
                  <w:vMerge w:val="continue"/>
                  <w:vAlign w:val="center"/>
                </w:tcPr>
                <w:p w14:paraId="3C7CFB39">
                  <w:pPr>
                    <w:pStyle w:val="25"/>
                    <w:jc w:val="center"/>
                    <w:rPr>
                      <w:b/>
                      <w:color w:val="auto"/>
                      <w:highlight w:val="none"/>
                    </w:rPr>
                  </w:pPr>
                </w:p>
              </w:tc>
              <w:tc>
                <w:tcPr>
                  <w:tcW w:w="319" w:type="pct"/>
                  <w:vMerge w:val="continue"/>
                  <w:vAlign w:val="center"/>
                </w:tcPr>
                <w:p w14:paraId="05153482">
                  <w:pPr>
                    <w:pStyle w:val="25"/>
                    <w:jc w:val="center"/>
                    <w:rPr>
                      <w:b/>
                      <w:color w:val="auto"/>
                      <w:highlight w:val="none"/>
                    </w:rPr>
                  </w:pPr>
                </w:p>
              </w:tc>
              <w:tc>
                <w:tcPr>
                  <w:tcW w:w="520" w:type="pct"/>
                  <w:vMerge w:val="continue"/>
                  <w:vAlign w:val="center"/>
                </w:tcPr>
                <w:p w14:paraId="31C29556">
                  <w:pPr>
                    <w:pStyle w:val="25"/>
                    <w:jc w:val="center"/>
                    <w:rPr>
                      <w:b/>
                      <w:color w:val="auto"/>
                      <w:highlight w:val="none"/>
                    </w:rPr>
                  </w:pPr>
                </w:p>
              </w:tc>
            </w:tr>
            <w:tr w14:paraId="3967609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69" w:type="pct"/>
                  <w:vAlign w:val="center"/>
                </w:tcPr>
                <w:p w14:paraId="6BA18882">
                  <w:pPr>
                    <w:pStyle w:val="25"/>
                    <w:jc w:val="center"/>
                    <w:rPr>
                      <w:color w:val="auto"/>
                      <w:highlight w:val="none"/>
                    </w:rPr>
                  </w:pPr>
                  <w:r>
                    <w:rPr>
                      <w:rFonts w:hint="eastAsia"/>
                      <w:color w:val="auto"/>
                      <w:highlight w:val="none"/>
                    </w:rPr>
                    <w:t>D</w:t>
                  </w:r>
                  <w:r>
                    <w:rPr>
                      <w:color w:val="auto"/>
                      <w:highlight w:val="none"/>
                    </w:rPr>
                    <w:t>A00</w:t>
                  </w:r>
                  <w:r>
                    <w:rPr>
                      <w:rFonts w:hint="eastAsia"/>
                      <w:color w:val="auto"/>
                      <w:highlight w:val="none"/>
                    </w:rPr>
                    <w:t>1排气筒</w:t>
                  </w:r>
                </w:p>
              </w:tc>
              <w:tc>
                <w:tcPr>
                  <w:tcW w:w="242" w:type="pct"/>
                  <w:vAlign w:val="center"/>
                </w:tcPr>
                <w:p w14:paraId="4782AB93">
                  <w:pPr>
                    <w:pStyle w:val="25"/>
                    <w:jc w:val="center"/>
                    <w:rPr>
                      <w:color w:val="auto"/>
                      <w:highlight w:val="none"/>
                    </w:rPr>
                  </w:pPr>
                  <w:r>
                    <w:rPr>
                      <w:rFonts w:hint="eastAsia"/>
                      <w:color w:val="auto"/>
                      <w:highlight w:val="none"/>
                    </w:rPr>
                    <w:t>天然气锅炉</w:t>
                  </w:r>
                </w:p>
              </w:tc>
              <w:tc>
                <w:tcPr>
                  <w:tcW w:w="242" w:type="pct"/>
                  <w:vAlign w:val="center"/>
                </w:tcPr>
                <w:p w14:paraId="6B638ABB">
                  <w:pPr>
                    <w:pStyle w:val="25"/>
                    <w:jc w:val="center"/>
                    <w:rPr>
                      <w:color w:val="auto"/>
                      <w:highlight w:val="none"/>
                    </w:rPr>
                  </w:pPr>
                  <w:r>
                    <w:rPr>
                      <w:rFonts w:hint="eastAsia"/>
                      <w:color w:val="auto"/>
                      <w:highlight w:val="none"/>
                    </w:rPr>
                    <w:t>天然气锅炉</w:t>
                  </w:r>
                </w:p>
              </w:tc>
              <w:tc>
                <w:tcPr>
                  <w:tcW w:w="463" w:type="pct"/>
                  <w:vAlign w:val="center"/>
                </w:tcPr>
                <w:p w14:paraId="7C8F7970">
                  <w:pPr>
                    <w:pStyle w:val="25"/>
                    <w:jc w:val="center"/>
                    <w:rPr>
                      <w:color w:val="auto"/>
                      <w:highlight w:val="none"/>
                    </w:rPr>
                  </w:pPr>
                  <w:r>
                    <w:rPr>
                      <w:rFonts w:hint="eastAsia"/>
                      <w:color w:val="auto"/>
                      <w:highlight w:val="none"/>
                    </w:rPr>
                    <w:t>颗粒物、二氧化硫、氮氧化物</w:t>
                  </w:r>
                </w:p>
              </w:tc>
              <w:tc>
                <w:tcPr>
                  <w:tcW w:w="711" w:type="pct"/>
                  <w:vAlign w:val="center"/>
                </w:tcPr>
                <w:p w14:paraId="2BB7E40B">
                  <w:pPr>
                    <w:pStyle w:val="25"/>
                    <w:jc w:val="center"/>
                    <w:rPr>
                      <w:color w:val="auto"/>
                      <w:highlight w:val="none"/>
                    </w:rPr>
                  </w:pPr>
                  <w:r>
                    <w:rPr>
                      <w:rFonts w:hint="eastAsia"/>
                      <w:color w:val="auto"/>
                      <w:highlight w:val="none"/>
                    </w:rPr>
                    <w:t>《锅炉大气污染物排放标准》（GB13271-2014）</w:t>
                  </w:r>
                </w:p>
              </w:tc>
              <w:tc>
                <w:tcPr>
                  <w:tcW w:w="391" w:type="pct"/>
                  <w:vAlign w:val="center"/>
                </w:tcPr>
                <w:p w14:paraId="0FB47811">
                  <w:pPr>
                    <w:pStyle w:val="25"/>
                    <w:jc w:val="center"/>
                    <w:rPr>
                      <w:color w:val="auto"/>
                      <w:highlight w:val="none"/>
                    </w:rPr>
                  </w:pPr>
                  <w:r>
                    <w:rPr>
                      <w:rFonts w:hint="eastAsia"/>
                      <w:color w:val="auto"/>
                      <w:highlight w:val="none"/>
                    </w:rPr>
                    <w:t>有组织</w:t>
                  </w:r>
                </w:p>
              </w:tc>
              <w:tc>
                <w:tcPr>
                  <w:tcW w:w="316" w:type="pct"/>
                  <w:vAlign w:val="center"/>
                </w:tcPr>
                <w:p w14:paraId="2FF6C922">
                  <w:pPr>
                    <w:pStyle w:val="25"/>
                    <w:jc w:val="center"/>
                    <w:rPr>
                      <w:color w:val="auto"/>
                      <w:highlight w:val="none"/>
                    </w:rPr>
                  </w:pPr>
                  <w:r>
                    <w:rPr>
                      <w:rFonts w:hint="eastAsia"/>
                      <w:color w:val="auto"/>
                      <w:highlight w:val="none"/>
                    </w:rPr>
                    <w:t>低氮燃烧器</w:t>
                  </w:r>
                </w:p>
              </w:tc>
              <w:tc>
                <w:tcPr>
                  <w:tcW w:w="418" w:type="pct"/>
                  <w:vAlign w:val="center"/>
                </w:tcPr>
                <w:p w14:paraId="02078D7A">
                  <w:pPr>
                    <w:pStyle w:val="25"/>
                    <w:jc w:val="center"/>
                    <w:rPr>
                      <w:color w:val="auto"/>
                      <w:highlight w:val="none"/>
                    </w:rPr>
                  </w:pPr>
                  <w:r>
                    <w:rPr>
                      <w:rFonts w:hint="eastAsia"/>
                      <w:color w:val="auto"/>
                      <w:highlight w:val="none"/>
                    </w:rPr>
                    <w:t>是</w:t>
                  </w:r>
                </w:p>
              </w:tc>
              <w:tc>
                <w:tcPr>
                  <w:tcW w:w="281" w:type="pct"/>
                  <w:vAlign w:val="center"/>
                </w:tcPr>
                <w:p w14:paraId="2D53FEC0">
                  <w:pPr>
                    <w:pStyle w:val="25"/>
                    <w:jc w:val="center"/>
                    <w:rPr>
                      <w:color w:val="auto"/>
                      <w:highlight w:val="none"/>
                    </w:rPr>
                  </w:pPr>
                  <w:r>
                    <w:rPr>
                      <w:rFonts w:hint="eastAsia"/>
                      <w:color w:val="auto"/>
                      <w:highlight w:val="none"/>
                    </w:rPr>
                    <w:t>一般排放口</w:t>
                  </w:r>
                </w:p>
              </w:tc>
              <w:tc>
                <w:tcPr>
                  <w:tcW w:w="285" w:type="pct"/>
                  <w:vAlign w:val="center"/>
                </w:tcPr>
                <w:p w14:paraId="5182E1A7">
                  <w:pPr>
                    <w:pStyle w:val="25"/>
                    <w:jc w:val="center"/>
                    <w:rPr>
                      <w:rFonts w:hint="default" w:eastAsia="宋体"/>
                      <w:color w:val="auto"/>
                      <w:highlight w:val="none"/>
                      <w:lang w:val="en-US" w:eastAsia="zh-CN"/>
                    </w:rPr>
                  </w:pPr>
                  <w:r>
                    <w:rPr>
                      <w:rFonts w:hint="eastAsia"/>
                      <w:color w:val="auto"/>
                      <w:highlight w:val="none"/>
                      <w:lang w:val="en-US" w:eastAsia="zh-CN"/>
                    </w:rPr>
                    <w:t>12</w:t>
                  </w:r>
                </w:p>
              </w:tc>
              <w:tc>
                <w:tcPr>
                  <w:tcW w:w="336" w:type="pct"/>
                  <w:vAlign w:val="center"/>
                </w:tcPr>
                <w:p w14:paraId="531C94DE">
                  <w:pPr>
                    <w:pStyle w:val="25"/>
                    <w:jc w:val="center"/>
                    <w:rPr>
                      <w:color w:val="auto"/>
                      <w:highlight w:val="none"/>
                    </w:rPr>
                  </w:pPr>
                  <w:r>
                    <w:rPr>
                      <w:color w:val="auto"/>
                      <w:highlight w:val="none"/>
                    </w:rPr>
                    <w:t>0.8</w:t>
                  </w:r>
                </w:p>
              </w:tc>
              <w:tc>
                <w:tcPr>
                  <w:tcW w:w="319" w:type="pct"/>
                  <w:vAlign w:val="center"/>
                </w:tcPr>
                <w:p w14:paraId="20A8DF4D">
                  <w:pPr>
                    <w:pStyle w:val="25"/>
                    <w:jc w:val="center"/>
                    <w:rPr>
                      <w:color w:val="auto"/>
                      <w:highlight w:val="none"/>
                    </w:rPr>
                  </w:pPr>
                  <w:r>
                    <w:rPr>
                      <w:rFonts w:hint="eastAsia"/>
                      <w:color w:val="auto"/>
                      <w:highlight w:val="none"/>
                    </w:rPr>
                    <w:t>1</w:t>
                  </w:r>
                  <w:r>
                    <w:rPr>
                      <w:color w:val="auto"/>
                      <w:highlight w:val="none"/>
                    </w:rPr>
                    <w:t>10</w:t>
                  </w:r>
                </w:p>
              </w:tc>
              <w:tc>
                <w:tcPr>
                  <w:tcW w:w="520" w:type="pct"/>
                  <w:vAlign w:val="center"/>
                </w:tcPr>
                <w:p w14:paraId="2C83FF9E">
                  <w:pPr>
                    <w:pStyle w:val="25"/>
                    <w:jc w:val="center"/>
                    <w:rPr>
                      <w:color w:val="auto"/>
                      <w:highlight w:val="none"/>
                    </w:rPr>
                  </w:pPr>
                  <w:r>
                    <w:rPr>
                      <w:color w:val="auto"/>
                      <w:highlight w:val="none"/>
                    </w:rPr>
                    <w:t>109°30′39.503″E, 39°34′45.190″N</w:t>
                  </w:r>
                </w:p>
              </w:tc>
            </w:tr>
          </w:tbl>
          <w:p w14:paraId="34B517F4">
            <w:pPr>
              <w:numPr>
                <w:ilvl w:val="0"/>
                <w:numId w:val="4"/>
              </w:numPr>
              <w:adjustRightInd w:val="0"/>
              <w:snapToGrid w:val="0"/>
              <w:ind w:firstLine="480" w:firstLineChars="200"/>
              <w:rPr>
                <w:color w:val="auto"/>
                <w:highlight w:val="none"/>
              </w:rPr>
            </w:pPr>
            <w:r>
              <w:rPr>
                <w:rFonts w:hint="eastAsia"/>
                <w:color w:val="auto"/>
                <w:highlight w:val="none"/>
              </w:rPr>
              <w:t>达标分析</w:t>
            </w:r>
          </w:p>
          <w:p w14:paraId="2C12E0F9">
            <w:pPr>
              <w:adjustRightInd w:val="0"/>
              <w:snapToGrid w:val="0"/>
              <w:ind w:firstLine="480" w:firstLineChars="200"/>
              <w:rPr>
                <w:color w:val="auto"/>
                <w:highlight w:val="none"/>
              </w:rPr>
            </w:pPr>
            <w:r>
              <w:rPr>
                <w:rFonts w:hint="eastAsia"/>
                <w:color w:val="auto"/>
                <w:highlight w:val="none"/>
              </w:rPr>
              <w:t>根据前述分析，项目锅炉废气排气筒 DA001 二氧化硫排放量为 0.333t/a、排放浓度</w:t>
            </w:r>
            <w:r>
              <w:rPr>
                <w:rFonts w:hint="eastAsia"/>
                <w:color w:val="auto"/>
                <w:highlight w:val="none"/>
                <w:lang w:val="en-US" w:eastAsia="zh-CN"/>
              </w:rPr>
              <w:t>3.712</w:t>
            </w:r>
            <w:r>
              <w:rPr>
                <w:rFonts w:hint="eastAsia"/>
                <w:color w:val="auto"/>
                <w:highlight w:val="none"/>
              </w:rPr>
              <w:t>mg/m</w:t>
            </w:r>
            <w:r>
              <w:rPr>
                <w:rFonts w:hint="eastAsia"/>
                <w:color w:val="auto"/>
                <w:highlight w:val="none"/>
                <w:vertAlign w:val="superscript"/>
              </w:rPr>
              <w:t>3</w:t>
            </w:r>
            <w:r>
              <w:rPr>
                <w:rFonts w:hint="eastAsia"/>
                <w:color w:val="auto"/>
                <w:highlight w:val="none"/>
              </w:rPr>
              <w:t>，颗粒物排放量为</w:t>
            </w:r>
            <w:r>
              <w:rPr>
                <w:rFonts w:hint="eastAsia"/>
                <w:color w:val="auto"/>
                <w:highlight w:val="none"/>
                <w:lang w:val="en-US" w:eastAsia="zh-CN"/>
              </w:rPr>
              <w:t>1.165</w:t>
            </w:r>
            <w:r>
              <w:rPr>
                <w:rFonts w:hint="eastAsia"/>
                <w:color w:val="auto"/>
                <w:highlight w:val="none"/>
              </w:rPr>
              <w:t>t/a、排放浓度</w:t>
            </w:r>
            <w:r>
              <w:rPr>
                <w:rFonts w:hint="eastAsia"/>
                <w:color w:val="auto"/>
                <w:highlight w:val="none"/>
                <w:lang w:val="en-US" w:eastAsia="zh-CN"/>
              </w:rPr>
              <w:t>12.99</w:t>
            </w:r>
            <w:r>
              <w:rPr>
                <w:rFonts w:hint="eastAsia"/>
                <w:color w:val="auto"/>
                <w:highlight w:val="none"/>
              </w:rPr>
              <w:t>mg/m</w:t>
            </w:r>
            <w:r>
              <w:rPr>
                <w:rFonts w:hint="eastAsia"/>
                <w:color w:val="auto"/>
                <w:highlight w:val="none"/>
                <w:vertAlign w:val="superscript"/>
              </w:rPr>
              <w:t>3</w:t>
            </w:r>
            <w:r>
              <w:rPr>
                <w:rFonts w:hint="eastAsia"/>
                <w:color w:val="auto"/>
                <w:highlight w:val="none"/>
              </w:rPr>
              <w:t>，氮氧化物排放量为</w:t>
            </w:r>
            <w:r>
              <w:rPr>
                <w:rFonts w:hint="eastAsia"/>
                <w:color w:val="auto"/>
                <w:highlight w:val="none"/>
                <w:lang w:val="en-US" w:eastAsia="zh-CN"/>
              </w:rPr>
              <w:t>2.522</w:t>
            </w:r>
            <w:r>
              <w:rPr>
                <w:rFonts w:hint="eastAsia"/>
                <w:color w:val="auto"/>
                <w:highlight w:val="none"/>
              </w:rPr>
              <w:t>t/a、排放浓度</w:t>
            </w:r>
            <w:r>
              <w:rPr>
                <w:rFonts w:hint="eastAsia"/>
                <w:color w:val="auto"/>
                <w:highlight w:val="none"/>
                <w:lang w:val="en-US" w:eastAsia="zh-CN"/>
              </w:rPr>
              <w:t>28.12</w:t>
            </w:r>
            <w:r>
              <w:rPr>
                <w:rFonts w:hint="eastAsia"/>
                <w:color w:val="auto"/>
                <w:highlight w:val="none"/>
              </w:rPr>
              <w:t>mg/m</w:t>
            </w:r>
            <w:r>
              <w:rPr>
                <w:rFonts w:hint="eastAsia"/>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均满足</w:t>
            </w:r>
            <w:r>
              <w:rPr>
                <w:rFonts w:hint="eastAsia"/>
                <w:color w:val="auto"/>
                <w:highlight w:val="none"/>
                <w:vertAlign w:val="baseline"/>
                <w:lang w:eastAsia="zh-CN"/>
              </w:rPr>
              <w:t>《锅炉大气污染物排放标准》（GB13271-2014），</w:t>
            </w:r>
            <w:r>
              <w:rPr>
                <w:rFonts w:hint="eastAsia"/>
                <w:color w:val="auto"/>
                <w:highlight w:val="none"/>
              </w:rPr>
              <w:t>本项目有组织废气达标排放情况详见下表。</w:t>
            </w:r>
          </w:p>
          <w:p w14:paraId="479BBA33">
            <w:pPr>
              <w:pStyle w:val="52"/>
              <w:rPr>
                <w:color w:val="auto"/>
                <w:highlight w:val="none"/>
              </w:rPr>
            </w:pPr>
            <w:r>
              <w:rPr>
                <w:rFonts w:hint="eastAsia"/>
                <w:color w:val="auto"/>
                <w:highlight w:val="none"/>
              </w:rPr>
              <w:t>表4</w:t>
            </w:r>
            <w:r>
              <w:rPr>
                <w:color w:val="auto"/>
                <w:highlight w:val="none"/>
              </w:rPr>
              <w:t>-</w:t>
            </w:r>
            <w:r>
              <w:rPr>
                <w:rFonts w:hint="eastAsia"/>
                <w:color w:val="auto"/>
                <w:highlight w:val="none"/>
              </w:rPr>
              <w:t>6</w:t>
            </w:r>
            <w:r>
              <w:rPr>
                <w:color w:val="auto"/>
                <w:highlight w:val="none"/>
              </w:rPr>
              <w:t xml:space="preserve"> </w:t>
            </w:r>
            <w:r>
              <w:rPr>
                <w:rFonts w:hint="eastAsia"/>
                <w:color w:val="auto"/>
                <w:highlight w:val="none"/>
              </w:rPr>
              <w:t>项目废气污染物达标排放情况一览表</w:t>
            </w:r>
          </w:p>
          <w:tbl>
            <w:tblPr>
              <w:tblStyle w:val="5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8"/>
              <w:gridCol w:w="981"/>
              <w:gridCol w:w="1002"/>
              <w:gridCol w:w="1696"/>
              <w:gridCol w:w="1185"/>
              <w:gridCol w:w="1066"/>
              <w:gridCol w:w="1074"/>
            </w:tblGrid>
            <w:tr w14:paraId="20CABFE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pct"/>
                  <w:vAlign w:val="center"/>
                </w:tcPr>
                <w:p w14:paraId="401CAB84">
                  <w:pPr>
                    <w:spacing w:line="240" w:lineRule="auto"/>
                    <w:jc w:val="center"/>
                    <w:rPr>
                      <w:b w:val="0"/>
                      <w:color w:val="auto"/>
                      <w:sz w:val="21"/>
                      <w:szCs w:val="21"/>
                      <w:highlight w:val="none"/>
                    </w:rPr>
                  </w:pPr>
                  <w:r>
                    <w:rPr>
                      <w:rFonts w:hint="eastAsia"/>
                      <w:b/>
                      <w:color w:val="auto"/>
                      <w:sz w:val="21"/>
                      <w:szCs w:val="21"/>
                      <w:highlight w:val="none"/>
                    </w:rPr>
                    <w:t>产排污环节</w:t>
                  </w:r>
                </w:p>
              </w:tc>
              <w:tc>
                <w:tcPr>
                  <w:tcW w:w="614" w:type="pct"/>
                  <w:vAlign w:val="center"/>
                </w:tcPr>
                <w:p w14:paraId="2B3EE663">
                  <w:pPr>
                    <w:spacing w:line="240" w:lineRule="auto"/>
                    <w:jc w:val="center"/>
                    <w:rPr>
                      <w:b w:val="0"/>
                      <w:color w:val="auto"/>
                      <w:sz w:val="21"/>
                      <w:szCs w:val="21"/>
                      <w:highlight w:val="none"/>
                    </w:rPr>
                  </w:pPr>
                  <w:r>
                    <w:rPr>
                      <w:rFonts w:hint="eastAsia"/>
                      <w:b/>
                      <w:color w:val="auto"/>
                      <w:sz w:val="21"/>
                      <w:szCs w:val="21"/>
                      <w:highlight w:val="none"/>
                    </w:rPr>
                    <w:t>排气筒编号</w:t>
                  </w:r>
                </w:p>
              </w:tc>
              <w:tc>
                <w:tcPr>
                  <w:tcW w:w="627" w:type="pct"/>
                  <w:vAlign w:val="center"/>
                </w:tcPr>
                <w:p w14:paraId="720E1242">
                  <w:pPr>
                    <w:spacing w:line="240" w:lineRule="auto"/>
                    <w:jc w:val="center"/>
                    <w:rPr>
                      <w:b w:val="0"/>
                      <w:color w:val="auto"/>
                      <w:sz w:val="21"/>
                      <w:szCs w:val="21"/>
                      <w:highlight w:val="none"/>
                    </w:rPr>
                  </w:pPr>
                  <w:r>
                    <w:rPr>
                      <w:rFonts w:hint="eastAsia"/>
                      <w:b/>
                      <w:color w:val="auto"/>
                      <w:sz w:val="21"/>
                      <w:szCs w:val="21"/>
                      <w:highlight w:val="none"/>
                    </w:rPr>
                    <w:t>污染物种类</w:t>
                  </w:r>
                </w:p>
              </w:tc>
              <w:tc>
                <w:tcPr>
                  <w:tcW w:w="1803" w:type="pct"/>
                  <w:gridSpan w:val="2"/>
                  <w:vAlign w:val="center"/>
                </w:tcPr>
                <w:p w14:paraId="653532A4">
                  <w:pPr>
                    <w:spacing w:line="240" w:lineRule="auto"/>
                    <w:jc w:val="center"/>
                    <w:rPr>
                      <w:b w:val="0"/>
                      <w:color w:val="auto"/>
                      <w:sz w:val="21"/>
                      <w:szCs w:val="21"/>
                      <w:highlight w:val="none"/>
                    </w:rPr>
                  </w:pPr>
                  <w:r>
                    <w:rPr>
                      <w:rFonts w:hint="eastAsia"/>
                      <w:b/>
                      <w:color w:val="auto"/>
                      <w:sz w:val="21"/>
                      <w:szCs w:val="21"/>
                      <w:highlight w:val="none"/>
                    </w:rPr>
                    <w:t>污染物排放情况</w:t>
                  </w:r>
                </w:p>
              </w:tc>
              <w:tc>
                <w:tcPr>
                  <w:tcW w:w="668" w:type="pct"/>
                  <w:vAlign w:val="center"/>
                </w:tcPr>
                <w:p w14:paraId="122B76D3">
                  <w:pPr>
                    <w:spacing w:line="240" w:lineRule="auto"/>
                    <w:jc w:val="center"/>
                    <w:rPr>
                      <w:b w:val="0"/>
                      <w:color w:val="auto"/>
                      <w:sz w:val="21"/>
                      <w:szCs w:val="21"/>
                      <w:highlight w:val="none"/>
                    </w:rPr>
                  </w:pPr>
                  <w:r>
                    <w:rPr>
                      <w:rFonts w:hint="eastAsia"/>
                      <w:b/>
                      <w:color w:val="auto"/>
                      <w:sz w:val="21"/>
                      <w:szCs w:val="21"/>
                      <w:highlight w:val="none"/>
                    </w:rPr>
                    <w:t>排放标准</w:t>
                  </w:r>
                </w:p>
              </w:tc>
              <w:tc>
                <w:tcPr>
                  <w:tcW w:w="673" w:type="pct"/>
                  <w:vAlign w:val="center"/>
                </w:tcPr>
                <w:p w14:paraId="0D4F4B03">
                  <w:pPr>
                    <w:spacing w:line="240" w:lineRule="auto"/>
                    <w:jc w:val="center"/>
                    <w:rPr>
                      <w:b w:val="0"/>
                      <w:color w:val="auto"/>
                      <w:sz w:val="21"/>
                      <w:szCs w:val="21"/>
                      <w:highlight w:val="none"/>
                    </w:rPr>
                  </w:pPr>
                  <w:r>
                    <w:rPr>
                      <w:rFonts w:hint="eastAsia"/>
                      <w:b/>
                      <w:color w:val="auto"/>
                      <w:sz w:val="21"/>
                      <w:szCs w:val="21"/>
                      <w:highlight w:val="none"/>
                    </w:rPr>
                    <w:t>是否达标</w:t>
                  </w:r>
                </w:p>
              </w:tc>
            </w:tr>
            <w:tr w14:paraId="2ADF138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pct"/>
                  <w:vMerge w:val="restart"/>
                  <w:vAlign w:val="center"/>
                </w:tcPr>
                <w:p w14:paraId="07080256">
                  <w:pPr>
                    <w:spacing w:line="240" w:lineRule="auto"/>
                    <w:jc w:val="center"/>
                    <w:rPr>
                      <w:color w:val="auto"/>
                      <w:sz w:val="21"/>
                      <w:szCs w:val="21"/>
                      <w:highlight w:val="none"/>
                    </w:rPr>
                  </w:pPr>
                  <w:r>
                    <w:rPr>
                      <w:rFonts w:hint="eastAsia"/>
                      <w:color w:val="auto"/>
                      <w:sz w:val="21"/>
                      <w:szCs w:val="21"/>
                      <w:highlight w:val="none"/>
                    </w:rPr>
                    <w:t>天然气锅炉排口</w:t>
                  </w:r>
                </w:p>
              </w:tc>
              <w:tc>
                <w:tcPr>
                  <w:tcW w:w="614" w:type="pct"/>
                  <w:vMerge w:val="restart"/>
                  <w:vAlign w:val="center"/>
                </w:tcPr>
                <w:p w14:paraId="199B1271">
                  <w:pPr>
                    <w:spacing w:line="240" w:lineRule="auto"/>
                    <w:jc w:val="center"/>
                    <w:rPr>
                      <w:color w:val="auto"/>
                      <w:sz w:val="21"/>
                      <w:szCs w:val="21"/>
                      <w:highlight w:val="none"/>
                    </w:rPr>
                  </w:pPr>
                  <w:r>
                    <w:rPr>
                      <w:rFonts w:hint="eastAsia"/>
                      <w:color w:val="auto"/>
                      <w:sz w:val="21"/>
                      <w:szCs w:val="21"/>
                      <w:highlight w:val="none"/>
                    </w:rPr>
                    <w:t>DA001</w:t>
                  </w:r>
                </w:p>
              </w:tc>
              <w:tc>
                <w:tcPr>
                  <w:tcW w:w="627" w:type="pct"/>
                  <w:vAlign w:val="center"/>
                </w:tcPr>
                <w:p w14:paraId="234D248F">
                  <w:pPr>
                    <w:spacing w:line="240" w:lineRule="auto"/>
                    <w:jc w:val="center"/>
                    <w:rPr>
                      <w:color w:val="auto"/>
                      <w:sz w:val="21"/>
                      <w:szCs w:val="21"/>
                      <w:highlight w:val="none"/>
                    </w:rPr>
                  </w:pPr>
                  <w:r>
                    <w:rPr>
                      <w:rFonts w:hint="eastAsia"/>
                      <w:color w:val="auto"/>
                      <w:sz w:val="21"/>
                      <w:szCs w:val="21"/>
                      <w:highlight w:val="none"/>
                    </w:rPr>
                    <w:t>TSP</w:t>
                  </w:r>
                </w:p>
              </w:tc>
              <w:tc>
                <w:tcPr>
                  <w:tcW w:w="1061" w:type="pct"/>
                  <w:vAlign w:val="center"/>
                </w:tcPr>
                <w:p w14:paraId="4E770F77">
                  <w:pPr>
                    <w:spacing w:line="240" w:lineRule="auto"/>
                    <w:jc w:val="center"/>
                    <w:rPr>
                      <w:color w:val="auto"/>
                      <w:sz w:val="21"/>
                      <w:szCs w:val="21"/>
                      <w:highlight w:val="none"/>
                    </w:rPr>
                  </w:pPr>
                  <w:r>
                    <w:rPr>
                      <w:rFonts w:hint="eastAsia"/>
                      <w:color w:val="auto"/>
                      <w:sz w:val="21"/>
                      <w:szCs w:val="21"/>
                      <w:highlight w:val="none"/>
                    </w:rPr>
                    <w:t>排放浓度mg</w:t>
                  </w:r>
                  <w:r>
                    <w:rPr>
                      <w:color w:val="auto"/>
                      <w:sz w:val="21"/>
                      <w:szCs w:val="21"/>
                      <w:highlight w:val="none"/>
                    </w:rPr>
                    <w:t>/</w:t>
                  </w:r>
                  <w:r>
                    <w:rPr>
                      <w:rFonts w:hint="eastAsia"/>
                      <w:color w:val="auto"/>
                      <w:sz w:val="21"/>
                      <w:szCs w:val="21"/>
                      <w:highlight w:val="none"/>
                    </w:rPr>
                    <w:t>m</w:t>
                  </w:r>
                  <w:r>
                    <w:rPr>
                      <w:rFonts w:hint="eastAsia"/>
                      <w:color w:val="auto"/>
                      <w:sz w:val="21"/>
                      <w:szCs w:val="21"/>
                      <w:highlight w:val="none"/>
                      <w:vertAlign w:val="superscript"/>
                    </w:rPr>
                    <w:t>3</w:t>
                  </w:r>
                </w:p>
              </w:tc>
              <w:tc>
                <w:tcPr>
                  <w:tcW w:w="741" w:type="pct"/>
                  <w:vAlign w:val="center"/>
                </w:tcPr>
                <w:p w14:paraId="74369CE6">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12.99</w:t>
                  </w:r>
                </w:p>
              </w:tc>
              <w:tc>
                <w:tcPr>
                  <w:tcW w:w="668" w:type="pct"/>
                  <w:vAlign w:val="center"/>
                </w:tcPr>
                <w:p w14:paraId="4F62321E">
                  <w:pPr>
                    <w:spacing w:line="240" w:lineRule="auto"/>
                    <w:jc w:val="center"/>
                    <w:rPr>
                      <w:color w:val="auto"/>
                      <w:sz w:val="21"/>
                      <w:szCs w:val="21"/>
                      <w:highlight w:val="none"/>
                    </w:rPr>
                  </w:pPr>
                  <w:r>
                    <w:rPr>
                      <w:rFonts w:hint="eastAsia"/>
                      <w:color w:val="auto"/>
                      <w:sz w:val="21"/>
                      <w:szCs w:val="21"/>
                      <w:highlight w:val="none"/>
                    </w:rPr>
                    <w:t>20</w:t>
                  </w:r>
                </w:p>
              </w:tc>
              <w:tc>
                <w:tcPr>
                  <w:tcW w:w="673" w:type="pct"/>
                  <w:vAlign w:val="center"/>
                </w:tcPr>
                <w:p w14:paraId="48B48835">
                  <w:pPr>
                    <w:spacing w:line="240" w:lineRule="auto"/>
                    <w:jc w:val="center"/>
                    <w:rPr>
                      <w:color w:val="auto"/>
                      <w:sz w:val="21"/>
                      <w:szCs w:val="21"/>
                      <w:highlight w:val="none"/>
                    </w:rPr>
                  </w:pPr>
                  <w:r>
                    <w:rPr>
                      <w:rFonts w:hint="eastAsia"/>
                      <w:color w:val="auto"/>
                      <w:sz w:val="21"/>
                      <w:szCs w:val="21"/>
                      <w:highlight w:val="none"/>
                    </w:rPr>
                    <w:t>是</w:t>
                  </w:r>
                </w:p>
              </w:tc>
            </w:tr>
            <w:tr w14:paraId="75A2F13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pct"/>
                  <w:vMerge w:val="continue"/>
                  <w:vAlign w:val="center"/>
                </w:tcPr>
                <w:p w14:paraId="34FFFDE5">
                  <w:pPr>
                    <w:spacing w:line="240" w:lineRule="auto"/>
                    <w:jc w:val="center"/>
                    <w:rPr>
                      <w:color w:val="auto"/>
                      <w:sz w:val="21"/>
                      <w:szCs w:val="21"/>
                      <w:highlight w:val="none"/>
                    </w:rPr>
                  </w:pPr>
                </w:p>
              </w:tc>
              <w:tc>
                <w:tcPr>
                  <w:tcW w:w="614" w:type="pct"/>
                  <w:vMerge w:val="continue"/>
                  <w:vAlign w:val="center"/>
                </w:tcPr>
                <w:p w14:paraId="4BC130F2">
                  <w:pPr>
                    <w:spacing w:line="240" w:lineRule="auto"/>
                    <w:jc w:val="center"/>
                    <w:rPr>
                      <w:color w:val="auto"/>
                      <w:sz w:val="21"/>
                      <w:szCs w:val="21"/>
                      <w:highlight w:val="none"/>
                    </w:rPr>
                  </w:pPr>
                </w:p>
              </w:tc>
              <w:tc>
                <w:tcPr>
                  <w:tcW w:w="627" w:type="pct"/>
                  <w:vAlign w:val="center"/>
                </w:tcPr>
                <w:p w14:paraId="108C9311">
                  <w:pPr>
                    <w:spacing w:line="240" w:lineRule="auto"/>
                    <w:jc w:val="center"/>
                    <w:rPr>
                      <w:color w:val="auto"/>
                      <w:sz w:val="21"/>
                      <w:szCs w:val="21"/>
                      <w:highlight w:val="none"/>
                    </w:rPr>
                  </w:pPr>
                  <w:r>
                    <w:rPr>
                      <w:rFonts w:hint="eastAsia"/>
                      <w:color w:val="auto"/>
                      <w:sz w:val="21"/>
                      <w:szCs w:val="21"/>
                      <w:highlight w:val="none"/>
                    </w:rPr>
                    <w:t>SO</w:t>
                  </w:r>
                  <w:r>
                    <w:rPr>
                      <w:rFonts w:hint="eastAsia"/>
                      <w:color w:val="auto"/>
                      <w:sz w:val="21"/>
                      <w:szCs w:val="21"/>
                      <w:highlight w:val="none"/>
                      <w:vertAlign w:val="subscript"/>
                    </w:rPr>
                    <w:t>2</w:t>
                  </w:r>
                </w:p>
              </w:tc>
              <w:tc>
                <w:tcPr>
                  <w:tcW w:w="1061" w:type="pct"/>
                  <w:vAlign w:val="center"/>
                </w:tcPr>
                <w:p w14:paraId="62F28ED8">
                  <w:pPr>
                    <w:spacing w:line="240" w:lineRule="auto"/>
                    <w:jc w:val="center"/>
                    <w:rPr>
                      <w:color w:val="auto"/>
                      <w:sz w:val="21"/>
                      <w:szCs w:val="21"/>
                      <w:highlight w:val="none"/>
                    </w:rPr>
                  </w:pPr>
                  <w:r>
                    <w:rPr>
                      <w:rFonts w:hint="eastAsia"/>
                      <w:color w:val="auto"/>
                      <w:sz w:val="21"/>
                      <w:szCs w:val="21"/>
                      <w:highlight w:val="none"/>
                    </w:rPr>
                    <w:t>排放浓度mg</w:t>
                  </w:r>
                  <w:r>
                    <w:rPr>
                      <w:color w:val="auto"/>
                      <w:sz w:val="21"/>
                      <w:szCs w:val="21"/>
                      <w:highlight w:val="none"/>
                    </w:rPr>
                    <w:t>/</w:t>
                  </w:r>
                  <w:r>
                    <w:rPr>
                      <w:rFonts w:hint="eastAsia"/>
                      <w:color w:val="auto"/>
                      <w:sz w:val="21"/>
                      <w:szCs w:val="21"/>
                      <w:highlight w:val="none"/>
                    </w:rPr>
                    <w:t>m</w:t>
                  </w:r>
                  <w:r>
                    <w:rPr>
                      <w:rFonts w:hint="eastAsia"/>
                      <w:color w:val="auto"/>
                      <w:sz w:val="21"/>
                      <w:szCs w:val="21"/>
                      <w:highlight w:val="none"/>
                      <w:vertAlign w:val="superscript"/>
                    </w:rPr>
                    <w:t>3</w:t>
                  </w:r>
                </w:p>
              </w:tc>
              <w:tc>
                <w:tcPr>
                  <w:tcW w:w="741" w:type="pct"/>
                  <w:vAlign w:val="center"/>
                </w:tcPr>
                <w:p w14:paraId="09637198">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3.712</w:t>
                  </w:r>
                </w:p>
              </w:tc>
              <w:tc>
                <w:tcPr>
                  <w:tcW w:w="668" w:type="pct"/>
                  <w:vAlign w:val="center"/>
                </w:tcPr>
                <w:p w14:paraId="5EB9BB14">
                  <w:pPr>
                    <w:spacing w:line="240" w:lineRule="auto"/>
                    <w:jc w:val="center"/>
                    <w:rPr>
                      <w:color w:val="auto"/>
                      <w:sz w:val="21"/>
                      <w:szCs w:val="21"/>
                      <w:highlight w:val="none"/>
                    </w:rPr>
                  </w:pPr>
                  <w:r>
                    <w:rPr>
                      <w:rFonts w:hint="eastAsia"/>
                      <w:color w:val="auto"/>
                      <w:sz w:val="21"/>
                      <w:szCs w:val="21"/>
                      <w:highlight w:val="none"/>
                    </w:rPr>
                    <w:t>50</w:t>
                  </w:r>
                </w:p>
              </w:tc>
              <w:tc>
                <w:tcPr>
                  <w:tcW w:w="673" w:type="pct"/>
                  <w:vAlign w:val="center"/>
                </w:tcPr>
                <w:p w14:paraId="38A687E2">
                  <w:pPr>
                    <w:spacing w:line="240" w:lineRule="auto"/>
                    <w:jc w:val="center"/>
                    <w:rPr>
                      <w:color w:val="auto"/>
                      <w:sz w:val="21"/>
                      <w:szCs w:val="21"/>
                      <w:highlight w:val="none"/>
                    </w:rPr>
                  </w:pPr>
                  <w:r>
                    <w:rPr>
                      <w:rFonts w:hint="eastAsia"/>
                      <w:color w:val="auto"/>
                      <w:sz w:val="21"/>
                      <w:szCs w:val="21"/>
                      <w:highlight w:val="none"/>
                    </w:rPr>
                    <w:t>是</w:t>
                  </w:r>
                </w:p>
              </w:tc>
            </w:tr>
            <w:tr w14:paraId="504C8ED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2" w:type="pct"/>
                  <w:vMerge w:val="continue"/>
                  <w:vAlign w:val="center"/>
                </w:tcPr>
                <w:p w14:paraId="307591CD">
                  <w:pPr>
                    <w:spacing w:line="240" w:lineRule="auto"/>
                    <w:jc w:val="center"/>
                    <w:rPr>
                      <w:color w:val="auto"/>
                      <w:sz w:val="21"/>
                      <w:szCs w:val="21"/>
                      <w:highlight w:val="none"/>
                    </w:rPr>
                  </w:pPr>
                </w:p>
              </w:tc>
              <w:tc>
                <w:tcPr>
                  <w:tcW w:w="614" w:type="pct"/>
                  <w:vMerge w:val="continue"/>
                  <w:vAlign w:val="center"/>
                </w:tcPr>
                <w:p w14:paraId="04C27C26">
                  <w:pPr>
                    <w:spacing w:line="240" w:lineRule="auto"/>
                    <w:jc w:val="center"/>
                    <w:rPr>
                      <w:color w:val="auto"/>
                      <w:sz w:val="21"/>
                      <w:szCs w:val="21"/>
                      <w:highlight w:val="none"/>
                    </w:rPr>
                  </w:pPr>
                </w:p>
              </w:tc>
              <w:tc>
                <w:tcPr>
                  <w:tcW w:w="627" w:type="pct"/>
                  <w:vAlign w:val="center"/>
                </w:tcPr>
                <w:p w14:paraId="3101A738">
                  <w:pPr>
                    <w:spacing w:line="240" w:lineRule="auto"/>
                    <w:jc w:val="center"/>
                    <w:rPr>
                      <w:color w:val="auto"/>
                      <w:sz w:val="21"/>
                      <w:szCs w:val="21"/>
                      <w:highlight w:val="none"/>
                    </w:rPr>
                  </w:pPr>
                  <w:r>
                    <w:rPr>
                      <w:rFonts w:hint="eastAsia"/>
                      <w:color w:val="auto"/>
                      <w:sz w:val="21"/>
                      <w:szCs w:val="21"/>
                      <w:highlight w:val="none"/>
                    </w:rPr>
                    <w:t>NOx</w:t>
                  </w:r>
                </w:p>
              </w:tc>
              <w:tc>
                <w:tcPr>
                  <w:tcW w:w="1061" w:type="pct"/>
                  <w:vAlign w:val="center"/>
                </w:tcPr>
                <w:p w14:paraId="0590E8ED">
                  <w:pPr>
                    <w:spacing w:line="240" w:lineRule="auto"/>
                    <w:jc w:val="center"/>
                    <w:rPr>
                      <w:color w:val="auto"/>
                      <w:sz w:val="21"/>
                      <w:szCs w:val="21"/>
                      <w:highlight w:val="none"/>
                    </w:rPr>
                  </w:pPr>
                  <w:r>
                    <w:rPr>
                      <w:rFonts w:hint="eastAsia"/>
                      <w:color w:val="auto"/>
                      <w:sz w:val="21"/>
                      <w:szCs w:val="21"/>
                      <w:highlight w:val="none"/>
                    </w:rPr>
                    <w:t>排放浓度mg</w:t>
                  </w:r>
                  <w:r>
                    <w:rPr>
                      <w:color w:val="auto"/>
                      <w:sz w:val="21"/>
                      <w:szCs w:val="21"/>
                      <w:highlight w:val="none"/>
                    </w:rPr>
                    <w:t>/</w:t>
                  </w:r>
                  <w:r>
                    <w:rPr>
                      <w:rFonts w:hint="eastAsia"/>
                      <w:color w:val="auto"/>
                      <w:sz w:val="21"/>
                      <w:szCs w:val="21"/>
                      <w:highlight w:val="none"/>
                    </w:rPr>
                    <w:t>m</w:t>
                  </w:r>
                  <w:r>
                    <w:rPr>
                      <w:rFonts w:hint="eastAsia"/>
                      <w:color w:val="auto"/>
                      <w:sz w:val="21"/>
                      <w:szCs w:val="21"/>
                      <w:highlight w:val="none"/>
                      <w:vertAlign w:val="superscript"/>
                    </w:rPr>
                    <w:t>3</w:t>
                  </w:r>
                </w:p>
              </w:tc>
              <w:tc>
                <w:tcPr>
                  <w:tcW w:w="741" w:type="pct"/>
                  <w:vAlign w:val="center"/>
                </w:tcPr>
                <w:p w14:paraId="3CEC0EB7">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28.12</w:t>
                  </w:r>
                </w:p>
              </w:tc>
              <w:tc>
                <w:tcPr>
                  <w:tcW w:w="668" w:type="pct"/>
                  <w:vAlign w:val="center"/>
                </w:tcPr>
                <w:p w14:paraId="6C630A38">
                  <w:pPr>
                    <w:spacing w:line="240" w:lineRule="auto"/>
                    <w:jc w:val="center"/>
                    <w:rPr>
                      <w:color w:val="auto"/>
                      <w:sz w:val="21"/>
                      <w:szCs w:val="21"/>
                      <w:highlight w:val="none"/>
                    </w:rPr>
                  </w:pPr>
                  <w:r>
                    <w:rPr>
                      <w:rFonts w:hint="eastAsia"/>
                      <w:color w:val="auto"/>
                      <w:sz w:val="21"/>
                      <w:szCs w:val="21"/>
                      <w:highlight w:val="none"/>
                    </w:rPr>
                    <w:t>200</w:t>
                  </w:r>
                </w:p>
              </w:tc>
              <w:tc>
                <w:tcPr>
                  <w:tcW w:w="673" w:type="pct"/>
                  <w:vAlign w:val="center"/>
                </w:tcPr>
                <w:p w14:paraId="7E843686">
                  <w:pPr>
                    <w:spacing w:line="240" w:lineRule="auto"/>
                    <w:jc w:val="center"/>
                    <w:rPr>
                      <w:color w:val="auto"/>
                      <w:sz w:val="21"/>
                      <w:szCs w:val="21"/>
                      <w:highlight w:val="none"/>
                    </w:rPr>
                  </w:pPr>
                  <w:r>
                    <w:rPr>
                      <w:rFonts w:hint="eastAsia"/>
                      <w:color w:val="auto"/>
                      <w:sz w:val="21"/>
                      <w:szCs w:val="21"/>
                      <w:highlight w:val="none"/>
                    </w:rPr>
                    <w:t>是</w:t>
                  </w:r>
                </w:p>
              </w:tc>
            </w:tr>
          </w:tbl>
          <w:p w14:paraId="42451EE1">
            <w:pPr>
              <w:numPr>
                <w:ilvl w:val="0"/>
                <w:numId w:val="4"/>
              </w:numPr>
              <w:adjustRightInd w:val="0"/>
              <w:snapToGrid w:val="0"/>
              <w:ind w:firstLine="480" w:firstLineChars="200"/>
              <w:rPr>
                <w:color w:val="auto"/>
                <w:highlight w:val="none"/>
              </w:rPr>
            </w:pPr>
            <w:r>
              <w:rPr>
                <w:color w:val="auto"/>
                <w:highlight w:val="none"/>
              </w:rPr>
              <w:t>废气治理措施达标性分析</w:t>
            </w:r>
          </w:p>
          <w:p w14:paraId="188B1599">
            <w:pPr>
              <w:pStyle w:val="7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本项目燃气锅炉使用清洁能源天然气为燃料，同时采用低氮燃烧技术，锅炉烟气中颗粒物、二氧化硫和氮氧化物排放浓度满足</w:t>
            </w:r>
            <w:r>
              <w:rPr>
                <w:rFonts w:hint="eastAsia" w:ascii="Times New Roman" w:hAnsi="Times New Roman"/>
                <w:bCs/>
                <w:color w:val="auto"/>
                <w:sz w:val="24"/>
                <w:szCs w:val="24"/>
                <w:highlight w:val="none"/>
              </w:rPr>
              <w:t>《锅炉大气污染物排放标准》（GB 13271-2014）表2燃气锅炉排放标准限值，达标排放，不会对环境产生大的影响，措施可行。</w:t>
            </w:r>
          </w:p>
          <w:p w14:paraId="3DE39E13">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燃气锅炉低氮燃烧机工作原理主要分为以下几个步骤：</w:t>
            </w:r>
          </w:p>
          <w:p w14:paraId="48512360">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①燃气进入燃烧室之前，会经过一个调节阀进行控制，以确保燃气的流量和压力符合燃烧需求。同时，空气通过风机被引入燃烧室。</w:t>
            </w:r>
          </w:p>
          <w:p w14:paraId="5FF71651">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②燃气和空气在燃烧室内充分混合，形成可燃气体。这种预混燃烧的方式使得燃料和空气能够充分混合，从而在燃烧过程中实现完全燃烧，减少未燃烧物质的产生。</w:t>
            </w:r>
          </w:p>
          <w:p w14:paraId="72056BD9">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③一部分燃气从燃烧室中排出，其中的氮氧化物被分离出来。这个过程中，氧化物被还原成氮气和氧气，氧气则被分离出来用于下一步的燃烧过程。</w:t>
            </w:r>
          </w:p>
          <w:p w14:paraId="45AEB614">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④剩余的燃气经过处理后与新鲜的燃气混合再次进入燃烧室。这样，燃气在燃烧室内部形成循环，降低了燃烧温度，进一步减少了氮氧化物的生成。</w:t>
            </w:r>
          </w:p>
          <w:p w14:paraId="6EA6347A">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⑤通过调节燃烧空气中的氧浓度，可以防止氧浓度过高导致氮氧化物的产生。在低氮燃烧器中，一般会采用特殊的设计或者操作方式来降低氧浓度，例如全预混的表面燃烧技术、FGR烟气再循环技术等。</w:t>
            </w:r>
          </w:p>
          <w:p w14:paraId="0E4130FF">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⑥低氮燃烧器通过将燃气进行再循环、控制燃烧空气中的氧浓度等手段，有效地减少了氮氧化物的排放。这种设备不仅可以降低环境污染，而且还能节约能源，因为它不需要额外的空气来降低燃烧室的氧浓度，从而节省燃料消耗。</w:t>
            </w:r>
          </w:p>
          <w:p w14:paraId="1828CF56">
            <w:pPr>
              <w:adjustRightInd w:val="0"/>
              <w:snapToGrid w:val="0"/>
              <w:ind w:firstLine="480" w:firstLineChars="200"/>
              <w:rPr>
                <w:color w:val="auto"/>
                <w:highlight w:val="none"/>
              </w:rPr>
            </w:pPr>
            <w:r>
              <w:rPr>
                <w:color w:val="auto"/>
                <w:highlight w:val="none"/>
              </w:rPr>
              <w:t>参照《排污许可证申请与核发技术规范-锅炉》（HJ953-2018）中废气污染防治推荐可行技术，本项目污染治理技术可行性详见下表。</w:t>
            </w:r>
          </w:p>
          <w:p w14:paraId="675360B9">
            <w:pPr>
              <w:pStyle w:val="72"/>
              <w:spacing w:line="360" w:lineRule="auto"/>
              <w:ind w:firstLine="480" w:firstLineChars="200"/>
              <w:rPr>
                <w:rFonts w:ascii="Times New Roman" w:hAnsi="Times New Roman"/>
                <w:bCs/>
                <w:color w:val="auto"/>
                <w:sz w:val="24"/>
                <w:szCs w:val="24"/>
                <w:highlight w:val="none"/>
              </w:rPr>
            </w:pPr>
            <w:r>
              <w:rPr>
                <w:rFonts w:hint="eastAsia" w:ascii="Times New Roman" w:hAnsi="Times New Roman"/>
                <w:bCs/>
                <w:color w:val="auto"/>
                <w:sz w:val="24"/>
                <w:szCs w:val="24"/>
                <w:highlight w:val="none"/>
              </w:rPr>
              <w:t>根据《锅炉大气污染物排放标准》（GB 13271-2014），燃油、燃气锅炉烟囱不低于8m，新建锅炉房的</w:t>
            </w:r>
            <w:r>
              <w:rPr>
                <w:rFonts w:hint="eastAsia" w:ascii="Times New Roman" w:hAnsi="Times New Roman"/>
                <w:bCs/>
                <w:color w:val="auto"/>
                <w:sz w:val="24"/>
                <w:szCs w:val="24"/>
                <w:highlight w:val="none"/>
                <w:lang w:val="en-US" w:eastAsia="zh-CN"/>
              </w:rPr>
              <w:t>烟囱</w:t>
            </w:r>
            <w:r>
              <w:rPr>
                <w:rFonts w:hint="eastAsia" w:ascii="Times New Roman" w:hAnsi="Times New Roman"/>
                <w:bCs/>
                <w:color w:val="auto"/>
                <w:sz w:val="24"/>
                <w:szCs w:val="24"/>
                <w:highlight w:val="none"/>
              </w:rPr>
              <w:t>周围半径200m距离内有建筑物时，其烟囱应高出最高建筑物3m以上。本项目属于</w:t>
            </w:r>
            <w:r>
              <w:rPr>
                <w:rFonts w:hint="eastAsia" w:ascii="Times New Roman" w:hAnsi="Times New Roman"/>
                <w:bCs/>
                <w:color w:val="auto"/>
                <w:sz w:val="24"/>
                <w:szCs w:val="24"/>
                <w:highlight w:val="none"/>
                <w:lang w:val="en-US" w:eastAsia="zh-CN"/>
              </w:rPr>
              <w:t>变更</w:t>
            </w:r>
            <w:r>
              <w:rPr>
                <w:rFonts w:hint="eastAsia" w:ascii="Times New Roman" w:hAnsi="Times New Roman"/>
                <w:bCs/>
                <w:color w:val="auto"/>
                <w:sz w:val="24"/>
                <w:szCs w:val="24"/>
                <w:highlight w:val="none"/>
              </w:rPr>
              <w:t>项目，烟囱高度为</w:t>
            </w:r>
            <w:r>
              <w:rPr>
                <w:rFonts w:hint="eastAsia" w:ascii="Times New Roman" w:hAnsi="Times New Roman"/>
                <w:bCs/>
                <w:color w:val="auto"/>
                <w:sz w:val="24"/>
                <w:szCs w:val="24"/>
                <w:highlight w:val="none"/>
                <w:lang w:val="en-US" w:eastAsia="zh-CN"/>
              </w:rPr>
              <w:t>12</w:t>
            </w:r>
            <w:r>
              <w:rPr>
                <w:rFonts w:hint="eastAsia" w:ascii="Times New Roman" w:hAnsi="Times New Roman"/>
                <w:bCs/>
                <w:color w:val="auto"/>
                <w:sz w:val="24"/>
                <w:szCs w:val="24"/>
                <w:highlight w:val="none"/>
              </w:rPr>
              <w:t>m，满足标准要求。</w:t>
            </w:r>
          </w:p>
          <w:p w14:paraId="1679F6EE">
            <w:pPr>
              <w:pStyle w:val="52"/>
              <w:rPr>
                <w:color w:val="auto"/>
                <w:highlight w:val="none"/>
              </w:rPr>
            </w:pPr>
            <w:r>
              <w:rPr>
                <w:rFonts w:hint="eastAsia"/>
                <w:color w:val="auto"/>
                <w:highlight w:val="none"/>
              </w:rPr>
              <w:t>表4</w:t>
            </w:r>
            <w:r>
              <w:rPr>
                <w:color w:val="auto"/>
                <w:highlight w:val="none"/>
              </w:rPr>
              <w:t>-</w:t>
            </w:r>
            <w:r>
              <w:rPr>
                <w:rFonts w:hint="eastAsia"/>
                <w:color w:val="auto"/>
                <w:highlight w:val="none"/>
              </w:rPr>
              <w:t>7</w:t>
            </w:r>
            <w:r>
              <w:rPr>
                <w:color w:val="auto"/>
                <w:highlight w:val="none"/>
              </w:rPr>
              <w:t xml:space="preserve"> </w:t>
            </w:r>
            <w:r>
              <w:rPr>
                <w:rFonts w:hint="eastAsia"/>
                <w:color w:val="auto"/>
                <w:highlight w:val="none"/>
              </w:rPr>
              <w:t>项目废气污染物治理技术可行性一览表</w:t>
            </w:r>
          </w:p>
          <w:tbl>
            <w:tblPr>
              <w:tblStyle w:val="57"/>
              <w:tblW w:w="4964"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352"/>
              <w:gridCol w:w="2291"/>
              <w:gridCol w:w="1790"/>
              <w:gridCol w:w="1305"/>
            </w:tblGrid>
            <w:tr w14:paraId="30FD057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pct"/>
                  <w:vAlign w:val="center"/>
                </w:tcPr>
                <w:p w14:paraId="0C58DB72">
                  <w:pPr>
                    <w:spacing w:line="240" w:lineRule="auto"/>
                    <w:jc w:val="center"/>
                    <w:rPr>
                      <w:b w:val="0"/>
                      <w:color w:val="auto"/>
                      <w:sz w:val="21"/>
                      <w:szCs w:val="21"/>
                      <w:highlight w:val="none"/>
                    </w:rPr>
                  </w:pPr>
                  <w:r>
                    <w:rPr>
                      <w:rFonts w:hint="eastAsia"/>
                      <w:b/>
                      <w:color w:val="auto"/>
                      <w:sz w:val="21"/>
                      <w:szCs w:val="21"/>
                      <w:highlight w:val="none"/>
                    </w:rPr>
                    <w:t>燃料类型</w:t>
                  </w:r>
                </w:p>
              </w:tc>
              <w:tc>
                <w:tcPr>
                  <w:tcW w:w="852" w:type="pct"/>
                  <w:vAlign w:val="center"/>
                </w:tcPr>
                <w:p w14:paraId="6444C684">
                  <w:pPr>
                    <w:spacing w:line="240" w:lineRule="auto"/>
                    <w:jc w:val="center"/>
                    <w:rPr>
                      <w:b w:val="0"/>
                      <w:color w:val="auto"/>
                      <w:sz w:val="21"/>
                      <w:szCs w:val="21"/>
                      <w:highlight w:val="none"/>
                    </w:rPr>
                  </w:pPr>
                  <w:r>
                    <w:rPr>
                      <w:rFonts w:hint="eastAsia"/>
                      <w:b/>
                      <w:color w:val="auto"/>
                      <w:sz w:val="21"/>
                      <w:szCs w:val="21"/>
                      <w:highlight w:val="none"/>
                    </w:rPr>
                    <w:t>污染物种类</w:t>
                  </w:r>
                </w:p>
              </w:tc>
              <w:tc>
                <w:tcPr>
                  <w:tcW w:w="1444" w:type="pct"/>
                  <w:vAlign w:val="center"/>
                </w:tcPr>
                <w:p w14:paraId="1BC63EAF">
                  <w:pPr>
                    <w:spacing w:line="240" w:lineRule="auto"/>
                    <w:jc w:val="center"/>
                    <w:rPr>
                      <w:b w:val="0"/>
                      <w:color w:val="auto"/>
                      <w:sz w:val="21"/>
                      <w:szCs w:val="21"/>
                      <w:highlight w:val="none"/>
                    </w:rPr>
                  </w:pPr>
                  <w:r>
                    <w:rPr>
                      <w:rFonts w:hint="eastAsia"/>
                      <w:b/>
                      <w:color w:val="auto"/>
                      <w:sz w:val="21"/>
                      <w:szCs w:val="21"/>
                      <w:highlight w:val="none"/>
                    </w:rPr>
                    <w:t>推荐可行技术</w:t>
                  </w:r>
                </w:p>
              </w:tc>
              <w:tc>
                <w:tcPr>
                  <w:tcW w:w="1128" w:type="pct"/>
                  <w:vAlign w:val="center"/>
                </w:tcPr>
                <w:p w14:paraId="0B8ADA64">
                  <w:pPr>
                    <w:spacing w:line="240" w:lineRule="auto"/>
                    <w:jc w:val="center"/>
                    <w:rPr>
                      <w:b w:val="0"/>
                      <w:color w:val="auto"/>
                      <w:sz w:val="21"/>
                      <w:szCs w:val="21"/>
                      <w:highlight w:val="none"/>
                    </w:rPr>
                  </w:pPr>
                  <w:r>
                    <w:rPr>
                      <w:rFonts w:hint="eastAsia"/>
                      <w:b/>
                      <w:color w:val="auto"/>
                      <w:sz w:val="21"/>
                      <w:szCs w:val="21"/>
                      <w:highlight w:val="none"/>
                    </w:rPr>
                    <w:t>本项目采取技术</w:t>
                  </w:r>
                </w:p>
              </w:tc>
              <w:tc>
                <w:tcPr>
                  <w:tcW w:w="822" w:type="pct"/>
                  <w:vAlign w:val="center"/>
                </w:tcPr>
                <w:p w14:paraId="02E8EAC7">
                  <w:pPr>
                    <w:spacing w:line="240" w:lineRule="auto"/>
                    <w:jc w:val="center"/>
                    <w:rPr>
                      <w:b w:val="0"/>
                      <w:color w:val="auto"/>
                      <w:sz w:val="21"/>
                      <w:szCs w:val="21"/>
                      <w:highlight w:val="none"/>
                    </w:rPr>
                  </w:pPr>
                  <w:r>
                    <w:rPr>
                      <w:rFonts w:hint="eastAsia"/>
                      <w:b/>
                      <w:color w:val="auto"/>
                      <w:sz w:val="21"/>
                      <w:szCs w:val="21"/>
                      <w:highlight w:val="none"/>
                    </w:rPr>
                    <w:t>是否可行</w:t>
                  </w:r>
                </w:p>
              </w:tc>
            </w:tr>
            <w:tr w14:paraId="225C98F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pct"/>
                  <w:vMerge w:val="restart"/>
                  <w:vAlign w:val="center"/>
                </w:tcPr>
                <w:p w14:paraId="2507834B">
                  <w:pPr>
                    <w:spacing w:line="240" w:lineRule="auto"/>
                    <w:jc w:val="center"/>
                    <w:rPr>
                      <w:color w:val="auto"/>
                      <w:sz w:val="21"/>
                      <w:szCs w:val="21"/>
                      <w:highlight w:val="none"/>
                    </w:rPr>
                  </w:pPr>
                  <w:r>
                    <w:rPr>
                      <w:rFonts w:hint="eastAsia"/>
                      <w:color w:val="auto"/>
                      <w:sz w:val="21"/>
                      <w:szCs w:val="21"/>
                      <w:highlight w:val="none"/>
                    </w:rPr>
                    <w:t>天然气</w:t>
                  </w:r>
                </w:p>
              </w:tc>
              <w:tc>
                <w:tcPr>
                  <w:tcW w:w="852" w:type="pct"/>
                  <w:vAlign w:val="center"/>
                </w:tcPr>
                <w:p w14:paraId="4B7A06B8">
                  <w:pPr>
                    <w:spacing w:line="240" w:lineRule="auto"/>
                    <w:jc w:val="center"/>
                    <w:rPr>
                      <w:color w:val="auto"/>
                      <w:sz w:val="21"/>
                      <w:szCs w:val="21"/>
                      <w:highlight w:val="none"/>
                    </w:rPr>
                  </w:pPr>
                  <w:r>
                    <w:rPr>
                      <w:rFonts w:hint="eastAsia"/>
                      <w:color w:val="auto"/>
                      <w:sz w:val="21"/>
                      <w:szCs w:val="21"/>
                      <w:highlight w:val="none"/>
                    </w:rPr>
                    <w:t>TSP</w:t>
                  </w:r>
                </w:p>
              </w:tc>
              <w:tc>
                <w:tcPr>
                  <w:tcW w:w="1444" w:type="pct"/>
                  <w:vAlign w:val="center"/>
                </w:tcPr>
                <w:p w14:paraId="47F113A5">
                  <w:pPr>
                    <w:spacing w:line="240" w:lineRule="auto"/>
                    <w:jc w:val="center"/>
                    <w:rPr>
                      <w:color w:val="auto"/>
                      <w:sz w:val="21"/>
                      <w:szCs w:val="21"/>
                      <w:highlight w:val="none"/>
                    </w:rPr>
                  </w:pPr>
                  <w:r>
                    <w:rPr>
                      <w:rFonts w:hint="eastAsia"/>
                      <w:color w:val="auto"/>
                      <w:sz w:val="21"/>
                      <w:szCs w:val="21"/>
                      <w:highlight w:val="none"/>
                    </w:rPr>
                    <w:t>/</w:t>
                  </w:r>
                </w:p>
              </w:tc>
              <w:tc>
                <w:tcPr>
                  <w:tcW w:w="1128" w:type="pct"/>
                  <w:vAlign w:val="center"/>
                </w:tcPr>
                <w:p w14:paraId="29C1FACF">
                  <w:pPr>
                    <w:spacing w:line="240" w:lineRule="auto"/>
                    <w:jc w:val="center"/>
                    <w:rPr>
                      <w:color w:val="auto"/>
                      <w:sz w:val="21"/>
                      <w:szCs w:val="21"/>
                      <w:highlight w:val="none"/>
                    </w:rPr>
                  </w:pPr>
                  <w:r>
                    <w:rPr>
                      <w:rFonts w:hint="eastAsia"/>
                      <w:color w:val="auto"/>
                      <w:sz w:val="21"/>
                      <w:szCs w:val="21"/>
                      <w:highlight w:val="none"/>
                    </w:rPr>
                    <w:t>/</w:t>
                  </w:r>
                </w:p>
              </w:tc>
              <w:tc>
                <w:tcPr>
                  <w:tcW w:w="822" w:type="pct"/>
                  <w:vAlign w:val="center"/>
                </w:tcPr>
                <w:p w14:paraId="121CD0D9">
                  <w:pPr>
                    <w:spacing w:line="240" w:lineRule="auto"/>
                    <w:jc w:val="center"/>
                    <w:rPr>
                      <w:color w:val="auto"/>
                      <w:sz w:val="21"/>
                      <w:szCs w:val="21"/>
                      <w:highlight w:val="none"/>
                    </w:rPr>
                  </w:pPr>
                  <w:r>
                    <w:rPr>
                      <w:rFonts w:hint="eastAsia"/>
                      <w:color w:val="auto"/>
                      <w:sz w:val="21"/>
                      <w:szCs w:val="21"/>
                      <w:highlight w:val="none"/>
                    </w:rPr>
                    <w:t>/</w:t>
                  </w:r>
                </w:p>
              </w:tc>
            </w:tr>
            <w:tr w14:paraId="0187525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pct"/>
                  <w:vMerge w:val="continue"/>
                  <w:vAlign w:val="center"/>
                </w:tcPr>
                <w:p w14:paraId="303DC26C">
                  <w:pPr>
                    <w:spacing w:line="240" w:lineRule="auto"/>
                    <w:jc w:val="center"/>
                    <w:rPr>
                      <w:color w:val="auto"/>
                      <w:sz w:val="21"/>
                      <w:szCs w:val="21"/>
                      <w:highlight w:val="none"/>
                    </w:rPr>
                  </w:pPr>
                </w:p>
              </w:tc>
              <w:tc>
                <w:tcPr>
                  <w:tcW w:w="852" w:type="pct"/>
                  <w:vAlign w:val="center"/>
                </w:tcPr>
                <w:p w14:paraId="519A5F1F">
                  <w:pPr>
                    <w:spacing w:line="240" w:lineRule="auto"/>
                    <w:jc w:val="center"/>
                    <w:rPr>
                      <w:color w:val="auto"/>
                      <w:sz w:val="21"/>
                      <w:szCs w:val="21"/>
                      <w:highlight w:val="none"/>
                    </w:rPr>
                  </w:pPr>
                  <w:r>
                    <w:rPr>
                      <w:rFonts w:hint="eastAsia"/>
                      <w:color w:val="auto"/>
                      <w:sz w:val="21"/>
                      <w:szCs w:val="21"/>
                      <w:highlight w:val="none"/>
                    </w:rPr>
                    <w:t>SO</w:t>
                  </w:r>
                  <w:r>
                    <w:rPr>
                      <w:rFonts w:hint="eastAsia"/>
                      <w:color w:val="auto"/>
                      <w:sz w:val="21"/>
                      <w:szCs w:val="21"/>
                      <w:highlight w:val="none"/>
                      <w:vertAlign w:val="subscript"/>
                    </w:rPr>
                    <w:t>2</w:t>
                  </w:r>
                </w:p>
              </w:tc>
              <w:tc>
                <w:tcPr>
                  <w:tcW w:w="1444" w:type="pct"/>
                  <w:vAlign w:val="center"/>
                </w:tcPr>
                <w:p w14:paraId="2F58930F">
                  <w:pPr>
                    <w:spacing w:line="240" w:lineRule="auto"/>
                    <w:jc w:val="center"/>
                    <w:rPr>
                      <w:color w:val="auto"/>
                      <w:sz w:val="21"/>
                      <w:szCs w:val="21"/>
                      <w:highlight w:val="none"/>
                    </w:rPr>
                  </w:pPr>
                  <w:r>
                    <w:rPr>
                      <w:rFonts w:hint="eastAsia"/>
                      <w:color w:val="auto"/>
                      <w:sz w:val="21"/>
                      <w:szCs w:val="21"/>
                      <w:highlight w:val="none"/>
                    </w:rPr>
                    <w:t>/</w:t>
                  </w:r>
                </w:p>
              </w:tc>
              <w:tc>
                <w:tcPr>
                  <w:tcW w:w="1128" w:type="pct"/>
                  <w:vAlign w:val="center"/>
                </w:tcPr>
                <w:p w14:paraId="4F7EFCE1">
                  <w:pPr>
                    <w:spacing w:line="240" w:lineRule="auto"/>
                    <w:jc w:val="center"/>
                    <w:rPr>
                      <w:color w:val="auto"/>
                      <w:sz w:val="21"/>
                      <w:szCs w:val="21"/>
                      <w:highlight w:val="none"/>
                    </w:rPr>
                  </w:pPr>
                  <w:r>
                    <w:rPr>
                      <w:rFonts w:hint="eastAsia"/>
                      <w:color w:val="auto"/>
                      <w:sz w:val="21"/>
                      <w:szCs w:val="21"/>
                      <w:highlight w:val="none"/>
                    </w:rPr>
                    <w:t>/</w:t>
                  </w:r>
                </w:p>
              </w:tc>
              <w:tc>
                <w:tcPr>
                  <w:tcW w:w="822" w:type="pct"/>
                  <w:vAlign w:val="center"/>
                </w:tcPr>
                <w:p w14:paraId="77A3A9FF">
                  <w:pPr>
                    <w:spacing w:line="240" w:lineRule="auto"/>
                    <w:jc w:val="center"/>
                    <w:rPr>
                      <w:color w:val="auto"/>
                      <w:sz w:val="21"/>
                      <w:szCs w:val="21"/>
                      <w:highlight w:val="none"/>
                    </w:rPr>
                  </w:pPr>
                  <w:r>
                    <w:rPr>
                      <w:rFonts w:hint="eastAsia"/>
                      <w:color w:val="auto"/>
                      <w:sz w:val="21"/>
                      <w:szCs w:val="21"/>
                      <w:highlight w:val="none"/>
                    </w:rPr>
                    <w:t>是</w:t>
                  </w:r>
                </w:p>
              </w:tc>
            </w:tr>
            <w:tr w14:paraId="14C7E1F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pct"/>
                  <w:vMerge w:val="continue"/>
                  <w:vAlign w:val="center"/>
                </w:tcPr>
                <w:p w14:paraId="46AAA235">
                  <w:pPr>
                    <w:spacing w:line="240" w:lineRule="auto"/>
                    <w:jc w:val="center"/>
                    <w:rPr>
                      <w:color w:val="auto"/>
                      <w:sz w:val="21"/>
                      <w:szCs w:val="21"/>
                      <w:highlight w:val="none"/>
                    </w:rPr>
                  </w:pPr>
                </w:p>
              </w:tc>
              <w:tc>
                <w:tcPr>
                  <w:tcW w:w="852" w:type="pct"/>
                  <w:vAlign w:val="center"/>
                </w:tcPr>
                <w:p w14:paraId="6535A03F">
                  <w:pPr>
                    <w:spacing w:line="240" w:lineRule="auto"/>
                    <w:jc w:val="center"/>
                    <w:rPr>
                      <w:color w:val="auto"/>
                      <w:sz w:val="21"/>
                      <w:szCs w:val="21"/>
                      <w:highlight w:val="none"/>
                    </w:rPr>
                  </w:pPr>
                  <w:r>
                    <w:rPr>
                      <w:rFonts w:hint="eastAsia"/>
                      <w:color w:val="auto"/>
                      <w:sz w:val="21"/>
                      <w:szCs w:val="21"/>
                      <w:highlight w:val="none"/>
                    </w:rPr>
                    <w:t>NOx</w:t>
                  </w:r>
                </w:p>
              </w:tc>
              <w:tc>
                <w:tcPr>
                  <w:tcW w:w="1444" w:type="pct"/>
                  <w:vAlign w:val="center"/>
                </w:tcPr>
                <w:p w14:paraId="42B48083">
                  <w:pPr>
                    <w:spacing w:line="240" w:lineRule="auto"/>
                    <w:jc w:val="center"/>
                    <w:rPr>
                      <w:color w:val="auto"/>
                      <w:sz w:val="21"/>
                      <w:szCs w:val="21"/>
                      <w:highlight w:val="none"/>
                    </w:rPr>
                  </w:pPr>
                  <w:r>
                    <w:rPr>
                      <w:rFonts w:hint="eastAsia"/>
                      <w:color w:val="auto"/>
                      <w:sz w:val="21"/>
                      <w:szCs w:val="21"/>
                      <w:highlight w:val="none"/>
                    </w:rPr>
                    <w:t>低氮燃烧技术、低氮燃烧技术+SCR脱硝技术</w:t>
                  </w:r>
                </w:p>
              </w:tc>
              <w:tc>
                <w:tcPr>
                  <w:tcW w:w="1128" w:type="pct"/>
                  <w:vAlign w:val="center"/>
                </w:tcPr>
                <w:p w14:paraId="46F4FBFD">
                  <w:pPr>
                    <w:spacing w:line="240" w:lineRule="auto"/>
                    <w:jc w:val="center"/>
                    <w:rPr>
                      <w:color w:val="auto"/>
                      <w:sz w:val="21"/>
                      <w:szCs w:val="21"/>
                      <w:highlight w:val="none"/>
                    </w:rPr>
                  </w:pPr>
                  <w:r>
                    <w:rPr>
                      <w:rFonts w:hint="eastAsia"/>
                      <w:color w:val="auto"/>
                      <w:sz w:val="21"/>
                      <w:szCs w:val="21"/>
                      <w:highlight w:val="none"/>
                    </w:rPr>
                    <w:t>低氮燃烧技术</w:t>
                  </w:r>
                </w:p>
              </w:tc>
              <w:tc>
                <w:tcPr>
                  <w:tcW w:w="822" w:type="pct"/>
                  <w:vAlign w:val="center"/>
                </w:tcPr>
                <w:p w14:paraId="4685FCAF">
                  <w:pPr>
                    <w:spacing w:line="240" w:lineRule="auto"/>
                    <w:jc w:val="center"/>
                    <w:rPr>
                      <w:color w:val="auto"/>
                      <w:sz w:val="21"/>
                      <w:szCs w:val="21"/>
                      <w:highlight w:val="none"/>
                    </w:rPr>
                  </w:pPr>
                  <w:r>
                    <w:rPr>
                      <w:rFonts w:hint="eastAsia"/>
                      <w:color w:val="auto"/>
                      <w:sz w:val="21"/>
                      <w:szCs w:val="21"/>
                      <w:highlight w:val="none"/>
                    </w:rPr>
                    <w:t>是</w:t>
                  </w:r>
                </w:p>
              </w:tc>
            </w:tr>
          </w:tbl>
          <w:p w14:paraId="773D99CE">
            <w:pPr>
              <w:adjustRightInd w:val="0"/>
              <w:snapToGrid w:val="0"/>
              <w:ind w:firstLine="480" w:firstLineChars="200"/>
              <w:rPr>
                <w:color w:val="auto"/>
                <w:highlight w:val="none"/>
              </w:rPr>
            </w:pPr>
            <w:r>
              <w:rPr>
                <w:rFonts w:hint="eastAsia"/>
                <w:color w:val="auto"/>
                <w:highlight w:val="none"/>
              </w:rPr>
              <w:t>6）非正常工况污染物排放分析</w:t>
            </w:r>
          </w:p>
          <w:p w14:paraId="6B9EC5A6">
            <w:pPr>
              <w:adjustRightInd w:val="0"/>
              <w:snapToGrid w:val="0"/>
              <w:ind w:firstLine="480" w:firstLineChars="200"/>
              <w:rPr>
                <w:color w:val="auto"/>
                <w:highlight w:val="none"/>
              </w:rPr>
            </w:pPr>
            <w:r>
              <w:rPr>
                <w:color w:val="auto"/>
                <w:highlight w:val="none"/>
              </w:rPr>
              <w:t>建设项目非正常工况是指生产运行阶段的开、停工及维修或环保设施达不到设计规定指标等工况。</w:t>
            </w:r>
          </w:p>
          <w:p w14:paraId="1088FA5C">
            <w:pPr>
              <w:adjustRightInd w:val="0"/>
              <w:snapToGrid w:val="0"/>
              <w:ind w:firstLine="480" w:firstLineChars="200"/>
              <w:rPr>
                <w:color w:val="auto"/>
                <w:highlight w:val="none"/>
              </w:rPr>
            </w:pPr>
            <w:r>
              <w:rPr>
                <w:color w:val="auto"/>
                <w:highlight w:val="none"/>
              </w:rPr>
              <w:t>本项目设定有开停工管理制度，每班作业开始或结束时严格按照操作规程，不正常操作及设备故障的具体原因有意外负荷跳闸</w:t>
            </w:r>
            <w:r>
              <w:rPr>
                <w:rFonts w:hint="eastAsia"/>
                <w:color w:val="auto"/>
                <w:highlight w:val="none"/>
              </w:rPr>
              <w:t>，</w:t>
            </w:r>
            <w:r>
              <w:rPr>
                <w:color w:val="auto"/>
                <w:highlight w:val="none"/>
              </w:rPr>
              <w:t>仪表失灵导致操作失控、误操作等</w:t>
            </w:r>
            <w:r>
              <w:rPr>
                <w:rFonts w:hint="eastAsia"/>
                <w:color w:val="auto"/>
                <w:highlight w:val="none"/>
              </w:rPr>
              <w:t>，</w:t>
            </w:r>
            <w:r>
              <w:rPr>
                <w:color w:val="auto"/>
                <w:highlight w:val="none"/>
              </w:rPr>
              <w:t>也可因突然断电等引起。发生不正常操作及设备故障时，将视情况及时停产。设有末端治理的大气污染源若遇处理设备故障，则会出现非正常排放的情况。本项目废气非正常工况主要考虑低氮燃烧器出现故障的情况为非正常排放。</w:t>
            </w:r>
          </w:p>
          <w:p w14:paraId="7BEF3669">
            <w:pPr>
              <w:pStyle w:val="52"/>
              <w:rPr>
                <w:color w:val="auto"/>
                <w:highlight w:val="none"/>
              </w:rPr>
            </w:pPr>
            <w:r>
              <w:rPr>
                <w:rFonts w:hint="eastAsia"/>
                <w:color w:val="auto"/>
                <w:highlight w:val="none"/>
              </w:rPr>
              <w:t>表4</w:t>
            </w:r>
            <w:r>
              <w:rPr>
                <w:color w:val="auto"/>
                <w:highlight w:val="none"/>
              </w:rPr>
              <w:t>-</w:t>
            </w:r>
            <w:r>
              <w:rPr>
                <w:rFonts w:hint="eastAsia"/>
                <w:color w:val="auto"/>
                <w:highlight w:val="none"/>
              </w:rPr>
              <w:t>8</w:t>
            </w:r>
            <w:r>
              <w:rPr>
                <w:color w:val="auto"/>
                <w:highlight w:val="none"/>
              </w:rPr>
              <w:t xml:space="preserve"> </w:t>
            </w:r>
            <w:r>
              <w:rPr>
                <w:rFonts w:hint="eastAsia"/>
                <w:color w:val="auto"/>
                <w:highlight w:val="none"/>
              </w:rPr>
              <w:t>非正常工况时废气排放情况表</w:t>
            </w:r>
          </w:p>
          <w:tbl>
            <w:tblPr>
              <w:tblStyle w:val="6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05"/>
              <w:gridCol w:w="707"/>
              <w:gridCol w:w="711"/>
              <w:gridCol w:w="1694"/>
              <w:gridCol w:w="599"/>
              <w:gridCol w:w="913"/>
              <w:gridCol w:w="886"/>
              <w:gridCol w:w="926"/>
              <w:gridCol w:w="841"/>
            </w:tblGrid>
            <w:tr w14:paraId="7BB59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41" w:type="pct"/>
                  <w:vMerge w:val="restart"/>
                  <w:vAlign w:val="center"/>
                </w:tcPr>
                <w:p w14:paraId="78EE2457">
                  <w:pPr>
                    <w:pStyle w:val="25"/>
                    <w:jc w:val="center"/>
                    <w:rPr>
                      <w:rFonts w:cs="Calibri"/>
                      <w:color w:val="auto"/>
                      <w:highlight w:val="none"/>
                    </w:rPr>
                  </w:pPr>
                  <w:r>
                    <w:rPr>
                      <w:rFonts w:hint="eastAsia" w:cs="Calibri"/>
                      <w:color w:val="auto"/>
                      <w:highlight w:val="none"/>
                    </w:rPr>
                    <w:t>序号</w:t>
                  </w:r>
                </w:p>
              </w:tc>
              <w:tc>
                <w:tcPr>
                  <w:tcW w:w="442" w:type="pct"/>
                  <w:vMerge w:val="restart"/>
                  <w:vAlign w:val="center"/>
                </w:tcPr>
                <w:p w14:paraId="2169BDA0">
                  <w:pPr>
                    <w:pStyle w:val="25"/>
                    <w:jc w:val="center"/>
                    <w:rPr>
                      <w:rFonts w:cs="Calibri"/>
                      <w:color w:val="auto"/>
                      <w:highlight w:val="none"/>
                    </w:rPr>
                  </w:pPr>
                  <w:r>
                    <w:rPr>
                      <w:rFonts w:hint="eastAsia" w:cs="Calibri"/>
                      <w:color w:val="auto"/>
                      <w:highlight w:val="none"/>
                    </w:rPr>
                    <w:t>污染源</w:t>
                  </w:r>
                </w:p>
              </w:tc>
              <w:tc>
                <w:tcPr>
                  <w:tcW w:w="445" w:type="pct"/>
                  <w:vMerge w:val="restart"/>
                  <w:vAlign w:val="center"/>
                </w:tcPr>
                <w:p w14:paraId="2EB12270">
                  <w:pPr>
                    <w:pStyle w:val="25"/>
                    <w:jc w:val="center"/>
                    <w:rPr>
                      <w:rFonts w:cs="Calibri"/>
                      <w:color w:val="auto"/>
                      <w:highlight w:val="none"/>
                    </w:rPr>
                  </w:pPr>
                  <w:r>
                    <w:rPr>
                      <w:rFonts w:hint="eastAsia" w:cs="Calibri"/>
                      <w:color w:val="auto"/>
                      <w:highlight w:val="none"/>
                    </w:rPr>
                    <w:t>污染物</w:t>
                  </w:r>
                </w:p>
              </w:tc>
              <w:tc>
                <w:tcPr>
                  <w:tcW w:w="1061" w:type="pct"/>
                  <w:vMerge w:val="restart"/>
                  <w:vAlign w:val="center"/>
                </w:tcPr>
                <w:p w14:paraId="79921E66">
                  <w:pPr>
                    <w:pStyle w:val="25"/>
                    <w:jc w:val="center"/>
                    <w:rPr>
                      <w:rFonts w:cs="Calibri"/>
                      <w:color w:val="auto"/>
                      <w:highlight w:val="none"/>
                    </w:rPr>
                  </w:pPr>
                  <w:r>
                    <w:rPr>
                      <w:rFonts w:hint="eastAsia" w:cs="Calibri"/>
                      <w:color w:val="auto"/>
                      <w:highlight w:val="none"/>
                    </w:rPr>
                    <w:t>非正常排放原因</w:t>
                  </w:r>
                </w:p>
              </w:tc>
              <w:tc>
                <w:tcPr>
                  <w:tcW w:w="375" w:type="pct"/>
                  <w:vMerge w:val="restart"/>
                  <w:vAlign w:val="center"/>
                </w:tcPr>
                <w:p w14:paraId="30D44CD1">
                  <w:pPr>
                    <w:pStyle w:val="25"/>
                    <w:jc w:val="center"/>
                    <w:rPr>
                      <w:rFonts w:cs="Calibri"/>
                      <w:color w:val="auto"/>
                      <w:highlight w:val="none"/>
                    </w:rPr>
                  </w:pPr>
                  <w:r>
                    <w:rPr>
                      <w:rFonts w:hint="eastAsia" w:cs="Calibri"/>
                      <w:color w:val="auto"/>
                      <w:highlight w:val="none"/>
                    </w:rPr>
                    <w:t>处理效率</w:t>
                  </w:r>
                </w:p>
              </w:tc>
              <w:tc>
                <w:tcPr>
                  <w:tcW w:w="2234" w:type="pct"/>
                  <w:gridSpan w:val="4"/>
                  <w:vAlign w:val="center"/>
                </w:tcPr>
                <w:p w14:paraId="3802DE14">
                  <w:pPr>
                    <w:pStyle w:val="25"/>
                    <w:jc w:val="center"/>
                    <w:rPr>
                      <w:rFonts w:cs="Calibri"/>
                      <w:color w:val="auto"/>
                      <w:highlight w:val="none"/>
                    </w:rPr>
                  </w:pPr>
                  <w:r>
                    <w:rPr>
                      <w:rFonts w:hint="eastAsia" w:cs="Calibri"/>
                      <w:color w:val="auto"/>
                      <w:highlight w:val="none"/>
                    </w:rPr>
                    <w:t>非正常工况排放状况</w:t>
                  </w:r>
                </w:p>
              </w:tc>
            </w:tr>
            <w:tr w14:paraId="618206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41" w:type="pct"/>
                  <w:vMerge w:val="continue"/>
                  <w:vAlign w:val="center"/>
                </w:tcPr>
                <w:p w14:paraId="75825A63">
                  <w:pPr>
                    <w:pStyle w:val="25"/>
                    <w:jc w:val="center"/>
                    <w:rPr>
                      <w:rFonts w:cs="Calibri"/>
                      <w:color w:val="auto"/>
                      <w:highlight w:val="none"/>
                    </w:rPr>
                  </w:pPr>
                </w:p>
              </w:tc>
              <w:tc>
                <w:tcPr>
                  <w:tcW w:w="442" w:type="pct"/>
                  <w:vMerge w:val="continue"/>
                  <w:vAlign w:val="center"/>
                </w:tcPr>
                <w:p w14:paraId="3F0C1F18">
                  <w:pPr>
                    <w:pStyle w:val="25"/>
                    <w:jc w:val="center"/>
                    <w:rPr>
                      <w:rFonts w:cs="Calibri"/>
                      <w:color w:val="auto"/>
                      <w:highlight w:val="none"/>
                    </w:rPr>
                  </w:pPr>
                </w:p>
              </w:tc>
              <w:tc>
                <w:tcPr>
                  <w:tcW w:w="445" w:type="pct"/>
                  <w:vMerge w:val="continue"/>
                  <w:vAlign w:val="center"/>
                </w:tcPr>
                <w:p w14:paraId="6E0771C7">
                  <w:pPr>
                    <w:pStyle w:val="25"/>
                    <w:jc w:val="center"/>
                    <w:rPr>
                      <w:rFonts w:cs="Calibri"/>
                      <w:color w:val="auto"/>
                      <w:highlight w:val="none"/>
                    </w:rPr>
                  </w:pPr>
                </w:p>
              </w:tc>
              <w:tc>
                <w:tcPr>
                  <w:tcW w:w="1061" w:type="pct"/>
                  <w:vMerge w:val="continue"/>
                  <w:tcBorders>
                    <w:bottom w:val="single" w:color="auto" w:sz="4" w:space="0"/>
                  </w:tcBorders>
                  <w:vAlign w:val="center"/>
                </w:tcPr>
                <w:p w14:paraId="179FC65B">
                  <w:pPr>
                    <w:pStyle w:val="25"/>
                    <w:jc w:val="center"/>
                    <w:rPr>
                      <w:rFonts w:cs="Calibri"/>
                      <w:color w:val="auto"/>
                      <w:highlight w:val="none"/>
                    </w:rPr>
                  </w:pPr>
                </w:p>
              </w:tc>
              <w:tc>
                <w:tcPr>
                  <w:tcW w:w="375" w:type="pct"/>
                  <w:vMerge w:val="continue"/>
                  <w:vAlign w:val="center"/>
                </w:tcPr>
                <w:p w14:paraId="66D32BC4">
                  <w:pPr>
                    <w:pStyle w:val="25"/>
                    <w:jc w:val="center"/>
                    <w:rPr>
                      <w:rFonts w:cs="Calibri"/>
                      <w:color w:val="auto"/>
                      <w:highlight w:val="none"/>
                    </w:rPr>
                  </w:pPr>
                </w:p>
              </w:tc>
              <w:tc>
                <w:tcPr>
                  <w:tcW w:w="572" w:type="pct"/>
                  <w:vAlign w:val="center"/>
                </w:tcPr>
                <w:p w14:paraId="0D971BB8">
                  <w:pPr>
                    <w:pStyle w:val="25"/>
                    <w:jc w:val="center"/>
                    <w:rPr>
                      <w:rFonts w:cs="Calibri"/>
                      <w:color w:val="auto"/>
                      <w:highlight w:val="none"/>
                    </w:rPr>
                  </w:pPr>
                  <w:r>
                    <w:rPr>
                      <w:rFonts w:hint="eastAsia" w:cs="Calibri"/>
                      <w:color w:val="auto"/>
                      <w:highlight w:val="none"/>
                    </w:rPr>
                    <w:t>浓度</w:t>
                  </w:r>
                  <w:r>
                    <w:rPr>
                      <w:rFonts w:cs="Calibri"/>
                      <w:bCs/>
                      <w:color w:val="auto"/>
                      <w:kern w:val="0"/>
                      <w:highlight w:val="none"/>
                    </w:rPr>
                    <w:t>mg/m</w:t>
                  </w:r>
                  <w:r>
                    <w:rPr>
                      <w:rFonts w:cs="Calibri"/>
                      <w:bCs/>
                      <w:color w:val="auto"/>
                      <w:kern w:val="0"/>
                      <w:highlight w:val="none"/>
                      <w:vertAlign w:val="superscript"/>
                    </w:rPr>
                    <w:t>3</w:t>
                  </w:r>
                </w:p>
              </w:tc>
              <w:tc>
                <w:tcPr>
                  <w:tcW w:w="555" w:type="pct"/>
                  <w:vAlign w:val="center"/>
                </w:tcPr>
                <w:p w14:paraId="3A2A75AE">
                  <w:pPr>
                    <w:pStyle w:val="25"/>
                    <w:jc w:val="center"/>
                    <w:rPr>
                      <w:rFonts w:cs="Calibri"/>
                      <w:color w:val="auto"/>
                      <w:highlight w:val="none"/>
                    </w:rPr>
                  </w:pPr>
                  <w:r>
                    <w:rPr>
                      <w:rFonts w:hint="eastAsia" w:cs="Calibri"/>
                      <w:color w:val="auto"/>
                      <w:highlight w:val="none"/>
                    </w:rPr>
                    <w:t>速率</w:t>
                  </w:r>
                  <w:r>
                    <w:rPr>
                      <w:rFonts w:cs="Calibri"/>
                      <w:bCs/>
                      <w:color w:val="auto"/>
                      <w:kern w:val="0"/>
                      <w:highlight w:val="none"/>
                    </w:rPr>
                    <w:t>kg/h</w:t>
                  </w:r>
                </w:p>
              </w:tc>
              <w:tc>
                <w:tcPr>
                  <w:tcW w:w="580" w:type="pct"/>
                  <w:vAlign w:val="center"/>
                </w:tcPr>
                <w:p w14:paraId="521840D2">
                  <w:pPr>
                    <w:pStyle w:val="25"/>
                    <w:jc w:val="center"/>
                    <w:rPr>
                      <w:rFonts w:cs="Calibri"/>
                      <w:color w:val="auto"/>
                      <w:highlight w:val="none"/>
                    </w:rPr>
                  </w:pPr>
                  <w:r>
                    <w:rPr>
                      <w:rFonts w:hint="eastAsia" w:cs="Calibri"/>
                      <w:color w:val="auto"/>
                      <w:highlight w:val="none"/>
                    </w:rPr>
                    <w:t>单次持续时间h</w:t>
                  </w:r>
                </w:p>
              </w:tc>
              <w:tc>
                <w:tcPr>
                  <w:tcW w:w="525" w:type="pct"/>
                  <w:vAlign w:val="center"/>
                </w:tcPr>
                <w:p w14:paraId="6D3AD58C">
                  <w:pPr>
                    <w:pStyle w:val="25"/>
                    <w:jc w:val="center"/>
                    <w:rPr>
                      <w:rFonts w:cs="Calibri"/>
                      <w:color w:val="auto"/>
                      <w:highlight w:val="none"/>
                    </w:rPr>
                  </w:pPr>
                  <w:r>
                    <w:rPr>
                      <w:rFonts w:hint="eastAsia" w:cs="Calibri"/>
                      <w:color w:val="auto"/>
                      <w:highlight w:val="none"/>
                    </w:rPr>
                    <w:t>年发生频次</w:t>
                  </w:r>
                </w:p>
              </w:tc>
            </w:tr>
            <w:tr w14:paraId="418491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41" w:type="pct"/>
                  <w:vAlign w:val="center"/>
                </w:tcPr>
                <w:p w14:paraId="43543C58">
                  <w:pPr>
                    <w:pStyle w:val="25"/>
                    <w:jc w:val="center"/>
                    <w:rPr>
                      <w:rFonts w:cs="Calibri"/>
                      <w:color w:val="auto"/>
                      <w:highlight w:val="none"/>
                    </w:rPr>
                  </w:pPr>
                  <w:r>
                    <w:rPr>
                      <w:rFonts w:hint="eastAsia" w:cs="Calibri"/>
                      <w:color w:val="auto"/>
                      <w:highlight w:val="none"/>
                    </w:rPr>
                    <w:t>1</w:t>
                  </w:r>
                </w:p>
              </w:tc>
              <w:tc>
                <w:tcPr>
                  <w:tcW w:w="442" w:type="pct"/>
                  <w:vMerge w:val="restart"/>
                  <w:vAlign w:val="center"/>
                </w:tcPr>
                <w:p w14:paraId="1310DA67">
                  <w:pPr>
                    <w:pStyle w:val="25"/>
                    <w:jc w:val="center"/>
                    <w:rPr>
                      <w:rFonts w:cs="Calibri"/>
                      <w:color w:val="auto"/>
                      <w:highlight w:val="none"/>
                    </w:rPr>
                  </w:pPr>
                  <w:r>
                    <w:rPr>
                      <w:rFonts w:hint="eastAsia" w:cs="Calibri"/>
                      <w:color w:val="auto"/>
                      <w:highlight w:val="none"/>
                    </w:rPr>
                    <w:t>天然气锅炉排口</w:t>
                  </w:r>
                </w:p>
              </w:tc>
              <w:tc>
                <w:tcPr>
                  <w:tcW w:w="445" w:type="pct"/>
                  <w:vAlign w:val="center"/>
                </w:tcPr>
                <w:p w14:paraId="14EA0088">
                  <w:pPr>
                    <w:spacing w:line="240" w:lineRule="auto"/>
                    <w:jc w:val="center"/>
                    <w:rPr>
                      <w:rFonts w:cs="Calibri"/>
                      <w:color w:val="auto"/>
                      <w:highlight w:val="none"/>
                    </w:rPr>
                  </w:pPr>
                  <w:r>
                    <w:rPr>
                      <w:rFonts w:hint="eastAsia" w:cs="Calibri"/>
                      <w:color w:val="auto"/>
                      <w:sz w:val="21"/>
                      <w:szCs w:val="21"/>
                      <w:highlight w:val="none"/>
                    </w:rPr>
                    <w:t>TSP</w:t>
                  </w:r>
                </w:p>
              </w:tc>
              <w:tc>
                <w:tcPr>
                  <w:tcW w:w="1061" w:type="pct"/>
                  <w:vMerge w:val="restart"/>
                  <w:tcBorders>
                    <w:top w:val="single" w:color="auto" w:sz="4" w:space="0"/>
                  </w:tcBorders>
                  <w:vAlign w:val="center"/>
                </w:tcPr>
                <w:p w14:paraId="01F2A935">
                  <w:pPr>
                    <w:pStyle w:val="25"/>
                    <w:jc w:val="center"/>
                    <w:rPr>
                      <w:rFonts w:cs="Calibri"/>
                      <w:color w:val="auto"/>
                      <w:highlight w:val="none"/>
                    </w:rPr>
                  </w:pPr>
                  <w:r>
                    <w:rPr>
                      <w:rFonts w:hint="eastAsia" w:cs="Calibri"/>
                      <w:color w:val="auto"/>
                      <w:highlight w:val="none"/>
                    </w:rPr>
                    <w:t>锅炉处于非正常工况，处理效率降低为 0%</w:t>
                  </w:r>
                </w:p>
              </w:tc>
              <w:tc>
                <w:tcPr>
                  <w:tcW w:w="375" w:type="pct"/>
                  <w:vMerge w:val="restart"/>
                  <w:vAlign w:val="center"/>
                </w:tcPr>
                <w:p w14:paraId="5EB80BB8">
                  <w:pPr>
                    <w:pStyle w:val="25"/>
                    <w:jc w:val="center"/>
                    <w:rPr>
                      <w:rFonts w:cs="Calibri"/>
                      <w:color w:val="auto"/>
                      <w:highlight w:val="none"/>
                    </w:rPr>
                  </w:pPr>
                  <w:r>
                    <w:rPr>
                      <w:rFonts w:hint="eastAsia" w:cs="Calibri"/>
                      <w:color w:val="auto"/>
                      <w:highlight w:val="none"/>
                    </w:rPr>
                    <w:t>0</w:t>
                  </w:r>
                </w:p>
              </w:tc>
              <w:tc>
                <w:tcPr>
                  <w:tcW w:w="913" w:type="dxa"/>
                  <w:vAlign w:val="center"/>
                </w:tcPr>
                <w:p w14:paraId="4A789767">
                  <w:pPr>
                    <w:spacing w:line="240" w:lineRule="auto"/>
                    <w:jc w:val="center"/>
                    <w:rPr>
                      <w:rFonts w:cs="Calibri"/>
                      <w:color w:val="auto"/>
                      <w:sz w:val="21"/>
                      <w:szCs w:val="21"/>
                      <w:highlight w:val="none"/>
                    </w:rPr>
                  </w:pPr>
                  <w:r>
                    <w:rPr>
                      <w:rFonts w:hint="eastAsia"/>
                      <w:color w:val="auto"/>
                      <w:sz w:val="21"/>
                      <w:szCs w:val="21"/>
                      <w:highlight w:val="none"/>
                      <w:lang w:val="en-US" w:eastAsia="zh-CN"/>
                    </w:rPr>
                    <w:t>12.99</w:t>
                  </w:r>
                </w:p>
              </w:tc>
              <w:tc>
                <w:tcPr>
                  <w:tcW w:w="555" w:type="pct"/>
                  <w:vAlign w:val="center"/>
                </w:tcPr>
                <w:p w14:paraId="399B69EC">
                  <w:pPr>
                    <w:spacing w:line="240" w:lineRule="auto"/>
                    <w:jc w:val="center"/>
                    <w:rPr>
                      <w:rFonts w:cs="Calibri"/>
                      <w:color w:val="auto"/>
                      <w:sz w:val="21"/>
                      <w:szCs w:val="21"/>
                      <w:highlight w:val="none"/>
                    </w:rPr>
                  </w:pPr>
                  <w:r>
                    <w:rPr>
                      <w:rFonts w:hint="eastAsia" w:cs="Calibri"/>
                      <w:color w:val="auto"/>
                      <w:sz w:val="21"/>
                      <w:szCs w:val="21"/>
                      <w:highlight w:val="none"/>
                    </w:rPr>
                    <w:t>0.133</w:t>
                  </w:r>
                </w:p>
              </w:tc>
              <w:tc>
                <w:tcPr>
                  <w:tcW w:w="580" w:type="pct"/>
                  <w:vAlign w:val="center"/>
                </w:tcPr>
                <w:p w14:paraId="606EAB35">
                  <w:pPr>
                    <w:pStyle w:val="25"/>
                    <w:jc w:val="center"/>
                    <w:rPr>
                      <w:rFonts w:cs="Calibri"/>
                      <w:color w:val="auto"/>
                      <w:highlight w:val="none"/>
                    </w:rPr>
                  </w:pPr>
                  <w:r>
                    <w:rPr>
                      <w:rFonts w:hint="eastAsia" w:cs="Calibri"/>
                      <w:color w:val="auto"/>
                      <w:highlight w:val="none"/>
                    </w:rPr>
                    <w:t>1</w:t>
                  </w:r>
                </w:p>
              </w:tc>
              <w:tc>
                <w:tcPr>
                  <w:tcW w:w="525" w:type="pct"/>
                  <w:vAlign w:val="center"/>
                </w:tcPr>
                <w:p w14:paraId="4226EBD7">
                  <w:pPr>
                    <w:pStyle w:val="25"/>
                    <w:jc w:val="center"/>
                    <w:rPr>
                      <w:rFonts w:cs="Calibri"/>
                      <w:color w:val="auto"/>
                      <w:highlight w:val="none"/>
                    </w:rPr>
                  </w:pPr>
                  <w:r>
                    <w:rPr>
                      <w:rFonts w:hint="eastAsia" w:cs="Calibri"/>
                      <w:color w:val="auto"/>
                      <w:highlight w:val="none"/>
                    </w:rPr>
                    <w:t>1</w:t>
                  </w:r>
                </w:p>
              </w:tc>
            </w:tr>
            <w:tr w14:paraId="1094E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41" w:type="pct"/>
                  <w:vAlign w:val="center"/>
                </w:tcPr>
                <w:p w14:paraId="56ACA390">
                  <w:pPr>
                    <w:pStyle w:val="25"/>
                    <w:jc w:val="center"/>
                    <w:rPr>
                      <w:rFonts w:cs="Calibri"/>
                      <w:color w:val="auto"/>
                      <w:highlight w:val="none"/>
                    </w:rPr>
                  </w:pPr>
                  <w:r>
                    <w:rPr>
                      <w:rFonts w:hint="eastAsia" w:cs="Calibri"/>
                      <w:color w:val="auto"/>
                      <w:highlight w:val="none"/>
                    </w:rPr>
                    <w:t>2</w:t>
                  </w:r>
                </w:p>
              </w:tc>
              <w:tc>
                <w:tcPr>
                  <w:tcW w:w="442" w:type="pct"/>
                  <w:vMerge w:val="continue"/>
                  <w:vAlign w:val="center"/>
                </w:tcPr>
                <w:p w14:paraId="78C3A03C">
                  <w:pPr>
                    <w:pStyle w:val="25"/>
                    <w:jc w:val="center"/>
                    <w:rPr>
                      <w:rFonts w:cs="Calibri"/>
                      <w:color w:val="auto"/>
                      <w:highlight w:val="none"/>
                    </w:rPr>
                  </w:pPr>
                </w:p>
              </w:tc>
              <w:tc>
                <w:tcPr>
                  <w:tcW w:w="445" w:type="pct"/>
                  <w:tcBorders>
                    <w:bottom w:val="single" w:color="auto" w:sz="4" w:space="0"/>
                  </w:tcBorders>
                  <w:vAlign w:val="center"/>
                </w:tcPr>
                <w:p w14:paraId="565CBA04">
                  <w:pPr>
                    <w:spacing w:line="240" w:lineRule="auto"/>
                    <w:jc w:val="center"/>
                    <w:rPr>
                      <w:rFonts w:cs="Calibri"/>
                      <w:color w:val="auto"/>
                      <w:highlight w:val="none"/>
                    </w:rPr>
                  </w:pPr>
                  <w:r>
                    <w:rPr>
                      <w:rFonts w:hint="eastAsia" w:cs="Calibri"/>
                      <w:color w:val="auto"/>
                      <w:sz w:val="21"/>
                      <w:szCs w:val="21"/>
                      <w:highlight w:val="none"/>
                    </w:rPr>
                    <w:t>SO</w:t>
                  </w:r>
                  <w:r>
                    <w:rPr>
                      <w:rFonts w:hint="eastAsia" w:cs="Calibri"/>
                      <w:color w:val="auto"/>
                      <w:sz w:val="21"/>
                      <w:szCs w:val="21"/>
                      <w:highlight w:val="none"/>
                      <w:vertAlign w:val="subscript"/>
                    </w:rPr>
                    <w:t>2</w:t>
                  </w:r>
                </w:p>
              </w:tc>
              <w:tc>
                <w:tcPr>
                  <w:tcW w:w="1061" w:type="pct"/>
                  <w:vMerge w:val="continue"/>
                  <w:vAlign w:val="center"/>
                </w:tcPr>
                <w:p w14:paraId="09A9DBCC">
                  <w:pPr>
                    <w:pStyle w:val="25"/>
                    <w:jc w:val="center"/>
                    <w:rPr>
                      <w:rFonts w:cs="Calibri"/>
                      <w:color w:val="auto"/>
                      <w:highlight w:val="none"/>
                    </w:rPr>
                  </w:pPr>
                </w:p>
              </w:tc>
              <w:tc>
                <w:tcPr>
                  <w:tcW w:w="375" w:type="pct"/>
                  <w:vMerge w:val="continue"/>
                  <w:vAlign w:val="center"/>
                </w:tcPr>
                <w:p w14:paraId="03954955">
                  <w:pPr>
                    <w:pStyle w:val="25"/>
                    <w:jc w:val="center"/>
                    <w:rPr>
                      <w:rFonts w:cs="Calibri"/>
                      <w:color w:val="auto"/>
                      <w:highlight w:val="none"/>
                    </w:rPr>
                  </w:pPr>
                </w:p>
              </w:tc>
              <w:tc>
                <w:tcPr>
                  <w:tcW w:w="913" w:type="dxa"/>
                  <w:vAlign w:val="center"/>
                </w:tcPr>
                <w:p w14:paraId="17322C3B">
                  <w:pPr>
                    <w:spacing w:line="240" w:lineRule="auto"/>
                    <w:jc w:val="center"/>
                    <w:rPr>
                      <w:rFonts w:hint="default" w:cs="Calibri"/>
                      <w:color w:val="auto"/>
                      <w:sz w:val="21"/>
                      <w:szCs w:val="21"/>
                      <w:highlight w:val="none"/>
                      <w:lang w:val="en-US"/>
                    </w:rPr>
                  </w:pPr>
                  <w:r>
                    <w:rPr>
                      <w:rFonts w:hint="eastAsia"/>
                      <w:color w:val="auto"/>
                      <w:sz w:val="21"/>
                      <w:szCs w:val="21"/>
                      <w:highlight w:val="none"/>
                      <w:lang w:val="en-US" w:eastAsia="zh-CN"/>
                    </w:rPr>
                    <w:t>3.712</w:t>
                  </w:r>
                </w:p>
              </w:tc>
              <w:tc>
                <w:tcPr>
                  <w:tcW w:w="555" w:type="pct"/>
                  <w:vAlign w:val="center"/>
                </w:tcPr>
                <w:p w14:paraId="19BD3176">
                  <w:pPr>
                    <w:spacing w:line="240" w:lineRule="auto"/>
                    <w:jc w:val="center"/>
                    <w:rPr>
                      <w:rFonts w:cs="Calibri"/>
                      <w:color w:val="auto"/>
                      <w:sz w:val="21"/>
                      <w:szCs w:val="21"/>
                      <w:highlight w:val="none"/>
                    </w:rPr>
                  </w:pPr>
                  <w:r>
                    <w:rPr>
                      <w:rFonts w:hint="eastAsia" w:cs="Calibri"/>
                      <w:color w:val="auto"/>
                      <w:sz w:val="21"/>
                      <w:szCs w:val="21"/>
                      <w:highlight w:val="none"/>
                    </w:rPr>
                    <w:t>0.038</w:t>
                  </w:r>
                </w:p>
              </w:tc>
              <w:tc>
                <w:tcPr>
                  <w:tcW w:w="580" w:type="pct"/>
                  <w:vAlign w:val="center"/>
                </w:tcPr>
                <w:p w14:paraId="3A80E8A6">
                  <w:pPr>
                    <w:pStyle w:val="25"/>
                    <w:jc w:val="center"/>
                    <w:rPr>
                      <w:rFonts w:cs="Calibri"/>
                      <w:color w:val="auto"/>
                      <w:highlight w:val="none"/>
                    </w:rPr>
                  </w:pPr>
                  <w:r>
                    <w:rPr>
                      <w:rFonts w:hint="eastAsia" w:cs="Calibri"/>
                      <w:color w:val="auto"/>
                      <w:highlight w:val="none"/>
                    </w:rPr>
                    <w:t>1</w:t>
                  </w:r>
                </w:p>
              </w:tc>
              <w:tc>
                <w:tcPr>
                  <w:tcW w:w="525" w:type="pct"/>
                  <w:vAlign w:val="center"/>
                </w:tcPr>
                <w:p w14:paraId="77E02AF6">
                  <w:pPr>
                    <w:pStyle w:val="25"/>
                    <w:jc w:val="center"/>
                    <w:rPr>
                      <w:rFonts w:cs="Calibri"/>
                      <w:color w:val="auto"/>
                      <w:highlight w:val="none"/>
                    </w:rPr>
                  </w:pPr>
                  <w:r>
                    <w:rPr>
                      <w:rFonts w:hint="eastAsia" w:cs="Calibri"/>
                      <w:color w:val="auto"/>
                      <w:highlight w:val="none"/>
                    </w:rPr>
                    <w:t>1</w:t>
                  </w:r>
                </w:p>
              </w:tc>
            </w:tr>
            <w:tr w14:paraId="58226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41" w:type="pct"/>
                  <w:vAlign w:val="center"/>
                </w:tcPr>
                <w:p w14:paraId="3214295E">
                  <w:pPr>
                    <w:pStyle w:val="25"/>
                    <w:jc w:val="center"/>
                    <w:rPr>
                      <w:rFonts w:cs="Calibri"/>
                      <w:color w:val="auto"/>
                      <w:highlight w:val="none"/>
                    </w:rPr>
                  </w:pPr>
                  <w:r>
                    <w:rPr>
                      <w:rFonts w:hint="eastAsia" w:cs="Calibri"/>
                      <w:color w:val="auto"/>
                      <w:highlight w:val="none"/>
                    </w:rPr>
                    <w:t>3</w:t>
                  </w:r>
                </w:p>
              </w:tc>
              <w:tc>
                <w:tcPr>
                  <w:tcW w:w="442" w:type="pct"/>
                  <w:vMerge w:val="continue"/>
                  <w:vAlign w:val="center"/>
                </w:tcPr>
                <w:p w14:paraId="2B2764C6">
                  <w:pPr>
                    <w:pStyle w:val="25"/>
                    <w:jc w:val="center"/>
                    <w:rPr>
                      <w:rFonts w:cs="Calibri"/>
                      <w:color w:val="auto"/>
                      <w:highlight w:val="none"/>
                    </w:rPr>
                  </w:pPr>
                </w:p>
              </w:tc>
              <w:tc>
                <w:tcPr>
                  <w:tcW w:w="445" w:type="pct"/>
                  <w:tcBorders>
                    <w:top w:val="single" w:color="auto" w:sz="4" w:space="0"/>
                  </w:tcBorders>
                  <w:vAlign w:val="center"/>
                </w:tcPr>
                <w:p w14:paraId="6475A0EF">
                  <w:pPr>
                    <w:spacing w:line="240" w:lineRule="auto"/>
                    <w:jc w:val="center"/>
                    <w:rPr>
                      <w:rFonts w:cs="Calibri"/>
                      <w:color w:val="auto"/>
                      <w:highlight w:val="none"/>
                    </w:rPr>
                  </w:pPr>
                  <w:r>
                    <w:rPr>
                      <w:rFonts w:hint="eastAsia" w:cs="Calibri"/>
                      <w:color w:val="auto"/>
                      <w:sz w:val="21"/>
                      <w:szCs w:val="21"/>
                      <w:highlight w:val="none"/>
                    </w:rPr>
                    <w:t>NOx</w:t>
                  </w:r>
                </w:p>
              </w:tc>
              <w:tc>
                <w:tcPr>
                  <w:tcW w:w="1061" w:type="pct"/>
                  <w:vMerge w:val="continue"/>
                  <w:vAlign w:val="center"/>
                </w:tcPr>
                <w:p w14:paraId="78D39A0E">
                  <w:pPr>
                    <w:pStyle w:val="25"/>
                    <w:jc w:val="center"/>
                    <w:rPr>
                      <w:rFonts w:cs="Calibri"/>
                      <w:color w:val="auto"/>
                      <w:highlight w:val="none"/>
                    </w:rPr>
                  </w:pPr>
                </w:p>
              </w:tc>
              <w:tc>
                <w:tcPr>
                  <w:tcW w:w="375" w:type="pct"/>
                  <w:vMerge w:val="continue"/>
                  <w:vAlign w:val="center"/>
                </w:tcPr>
                <w:p w14:paraId="6C322127">
                  <w:pPr>
                    <w:pStyle w:val="25"/>
                    <w:jc w:val="center"/>
                    <w:rPr>
                      <w:rFonts w:cs="Calibri"/>
                      <w:color w:val="auto"/>
                      <w:highlight w:val="none"/>
                    </w:rPr>
                  </w:pPr>
                </w:p>
              </w:tc>
              <w:tc>
                <w:tcPr>
                  <w:tcW w:w="913" w:type="dxa"/>
                  <w:vAlign w:val="center"/>
                </w:tcPr>
                <w:p w14:paraId="5FC45AE8">
                  <w:pPr>
                    <w:spacing w:line="240" w:lineRule="auto"/>
                    <w:jc w:val="center"/>
                    <w:rPr>
                      <w:rFonts w:hint="default" w:cs="Calibri"/>
                      <w:color w:val="auto"/>
                      <w:sz w:val="21"/>
                      <w:szCs w:val="21"/>
                      <w:highlight w:val="none"/>
                      <w:lang w:val="en-US"/>
                    </w:rPr>
                  </w:pPr>
                  <w:r>
                    <w:rPr>
                      <w:rFonts w:hint="eastAsia"/>
                      <w:color w:val="auto"/>
                      <w:sz w:val="21"/>
                      <w:szCs w:val="21"/>
                      <w:highlight w:val="none"/>
                      <w:lang w:val="en-US" w:eastAsia="zh-CN"/>
                    </w:rPr>
                    <w:t>147.28</w:t>
                  </w:r>
                </w:p>
              </w:tc>
              <w:tc>
                <w:tcPr>
                  <w:tcW w:w="555" w:type="pct"/>
                  <w:vAlign w:val="center"/>
                </w:tcPr>
                <w:p w14:paraId="45AE9075">
                  <w:pPr>
                    <w:spacing w:line="240" w:lineRule="auto"/>
                    <w:jc w:val="center"/>
                    <w:rPr>
                      <w:rFonts w:hint="default" w:eastAsia="宋体" w:cs="Calibri"/>
                      <w:color w:val="auto"/>
                      <w:sz w:val="21"/>
                      <w:szCs w:val="21"/>
                      <w:highlight w:val="none"/>
                      <w:lang w:val="en-US" w:eastAsia="zh-CN"/>
                    </w:rPr>
                  </w:pPr>
                  <w:r>
                    <w:rPr>
                      <w:rFonts w:hint="eastAsia" w:cs="Calibri"/>
                      <w:color w:val="auto"/>
                      <w:sz w:val="21"/>
                      <w:szCs w:val="21"/>
                      <w:highlight w:val="none"/>
                      <w:lang w:val="en-US" w:eastAsia="zh-CN"/>
                    </w:rPr>
                    <w:t>1.508</w:t>
                  </w:r>
                </w:p>
              </w:tc>
              <w:tc>
                <w:tcPr>
                  <w:tcW w:w="580" w:type="pct"/>
                  <w:vAlign w:val="center"/>
                </w:tcPr>
                <w:p w14:paraId="67979253">
                  <w:pPr>
                    <w:pStyle w:val="25"/>
                    <w:jc w:val="center"/>
                    <w:rPr>
                      <w:rFonts w:eastAsia="等线" w:cs="Calibri"/>
                      <w:color w:val="auto"/>
                      <w:kern w:val="0"/>
                      <w:highlight w:val="none"/>
                    </w:rPr>
                  </w:pPr>
                  <w:r>
                    <w:rPr>
                      <w:rFonts w:hint="eastAsia" w:eastAsia="等线" w:cs="Calibri"/>
                      <w:color w:val="auto"/>
                      <w:kern w:val="0"/>
                      <w:highlight w:val="none"/>
                    </w:rPr>
                    <w:t>1</w:t>
                  </w:r>
                </w:p>
              </w:tc>
              <w:tc>
                <w:tcPr>
                  <w:tcW w:w="525" w:type="pct"/>
                  <w:vAlign w:val="center"/>
                </w:tcPr>
                <w:p w14:paraId="02A378C1">
                  <w:pPr>
                    <w:pStyle w:val="25"/>
                    <w:jc w:val="center"/>
                    <w:rPr>
                      <w:rFonts w:eastAsia="等线" w:cs="Calibri"/>
                      <w:color w:val="auto"/>
                      <w:kern w:val="0"/>
                      <w:highlight w:val="none"/>
                    </w:rPr>
                  </w:pPr>
                  <w:r>
                    <w:rPr>
                      <w:rFonts w:hint="eastAsia" w:eastAsia="等线" w:cs="Calibri"/>
                      <w:color w:val="auto"/>
                      <w:kern w:val="0"/>
                      <w:highlight w:val="none"/>
                    </w:rPr>
                    <w:t>1</w:t>
                  </w:r>
                </w:p>
              </w:tc>
            </w:tr>
          </w:tbl>
          <w:p w14:paraId="359AEFD9">
            <w:pPr>
              <w:adjustRightInd w:val="0"/>
              <w:snapToGrid w:val="0"/>
              <w:ind w:firstLine="480" w:firstLineChars="200"/>
              <w:rPr>
                <w:color w:val="auto"/>
                <w:highlight w:val="none"/>
              </w:rPr>
            </w:pPr>
            <w:r>
              <w:rPr>
                <w:rFonts w:hint="eastAsia"/>
                <w:color w:val="auto"/>
                <w:highlight w:val="none"/>
              </w:rPr>
              <w:t>根据</w:t>
            </w:r>
            <w:r>
              <w:rPr>
                <w:rFonts w:hint="eastAsia"/>
                <w:color w:val="auto"/>
                <w:kern w:val="0"/>
                <w:sz w:val="24"/>
                <w:szCs w:val="24"/>
                <w:highlight w:val="none"/>
                <w:lang w:eastAsia="zh-CN"/>
              </w:rPr>
              <w:t>《排放源统计调查产排污核算方法和系数手册》</w:t>
            </w:r>
            <w:r>
              <w:rPr>
                <w:color w:val="auto"/>
                <w:highlight w:val="none"/>
              </w:rPr>
              <w:t>中燃天然气工业锅炉的废气产排污系</w:t>
            </w:r>
            <w:r>
              <w:rPr>
                <w:rFonts w:hint="eastAsia"/>
                <w:color w:val="auto"/>
                <w:highlight w:val="none"/>
              </w:rPr>
              <w:t>数</w:t>
            </w:r>
            <w:r>
              <w:rPr>
                <w:color w:val="auto"/>
                <w:highlight w:val="none"/>
              </w:rPr>
              <w:t>可知</w:t>
            </w:r>
            <w:r>
              <w:rPr>
                <w:rFonts w:hint="eastAsia"/>
                <w:color w:val="auto"/>
                <w:highlight w:val="none"/>
              </w:rPr>
              <w:t>，无低氮燃烧器时，氮氧化物产污系数为</w:t>
            </w:r>
            <w:r>
              <w:rPr>
                <w:rFonts w:hint="eastAsia"/>
                <w:color w:val="auto"/>
                <w:highlight w:val="none"/>
                <w:lang w:val="en-US" w:eastAsia="zh-CN"/>
              </w:rPr>
              <w:t>15.87</w:t>
            </w:r>
            <w:r>
              <w:rPr>
                <w:rFonts w:hint="eastAsia"/>
                <w:color w:val="auto"/>
                <w:highlight w:val="none"/>
              </w:rPr>
              <w:t>千克/万立方米-原料，则项目天然气使用量832.2万m</w:t>
            </w:r>
            <w:r>
              <w:rPr>
                <w:rFonts w:hint="eastAsia"/>
                <w:color w:val="auto"/>
                <w:highlight w:val="none"/>
                <w:vertAlign w:val="superscript"/>
              </w:rPr>
              <w:t>3</w:t>
            </w:r>
            <w:r>
              <w:rPr>
                <w:rFonts w:hint="eastAsia"/>
                <w:color w:val="auto"/>
                <w:highlight w:val="none"/>
              </w:rPr>
              <w:t xml:space="preserve">/a，无低氮燃烧器时，氮氧化物排放量 </w:t>
            </w:r>
            <w:r>
              <w:rPr>
                <w:rFonts w:hint="eastAsia"/>
                <w:color w:val="auto"/>
                <w:highlight w:val="none"/>
                <w:lang w:val="en-US" w:eastAsia="zh-CN"/>
              </w:rPr>
              <w:t>1.508</w:t>
            </w:r>
            <w:r>
              <w:rPr>
                <w:rFonts w:hint="eastAsia"/>
                <w:color w:val="auto"/>
                <w:highlight w:val="none"/>
              </w:rPr>
              <w:t>kg/h。</w:t>
            </w:r>
          </w:p>
          <w:p w14:paraId="17503C44">
            <w:pPr>
              <w:numPr>
                <w:ilvl w:val="0"/>
                <w:numId w:val="4"/>
              </w:numPr>
              <w:adjustRightInd w:val="0"/>
              <w:snapToGrid w:val="0"/>
              <w:ind w:firstLine="480" w:firstLineChars="200"/>
              <w:rPr>
                <w:color w:val="auto"/>
                <w:highlight w:val="none"/>
              </w:rPr>
            </w:pPr>
            <w:r>
              <w:rPr>
                <w:rFonts w:hint="eastAsia"/>
                <w:color w:val="auto"/>
                <w:highlight w:val="none"/>
              </w:rPr>
              <w:t>跟踪监测计划</w:t>
            </w:r>
          </w:p>
          <w:p w14:paraId="768382D1">
            <w:pPr>
              <w:pStyle w:val="24"/>
              <w:ind w:firstLine="480"/>
              <w:rPr>
                <w:color w:val="auto"/>
                <w:highlight w:val="none"/>
              </w:rPr>
            </w:pPr>
            <w:r>
              <w:rPr>
                <w:rFonts w:hint="eastAsia"/>
                <w:color w:val="auto"/>
                <w:highlight w:val="none"/>
              </w:rPr>
              <w:t>本项目依据排污单位《排污单位自行监测技术指南 总则（</w:t>
            </w:r>
            <w:r>
              <w:rPr>
                <w:color w:val="auto"/>
                <w:highlight w:val="none"/>
              </w:rPr>
              <w:t>HJ 819-2017</w:t>
            </w:r>
            <w:r>
              <w:rPr>
                <w:rFonts w:hint="eastAsia"/>
                <w:color w:val="auto"/>
                <w:highlight w:val="none"/>
              </w:rPr>
              <w:t>）》、《排污单位自行监测技术指南 火力发电及锅炉（HJ 820-2017）》制定监测计划。</w:t>
            </w:r>
          </w:p>
          <w:p w14:paraId="6D5042C5">
            <w:pPr>
              <w:pStyle w:val="24"/>
              <w:ind w:firstLine="480"/>
              <w:rPr>
                <w:color w:val="auto"/>
                <w:highlight w:val="none"/>
              </w:rPr>
            </w:pPr>
            <w:r>
              <w:rPr>
                <w:rFonts w:hint="eastAsia"/>
                <w:color w:val="auto"/>
                <w:highlight w:val="none"/>
              </w:rPr>
              <w:t>有组织排放废气：排气筒出口设采样点进行监测。</w:t>
            </w:r>
          </w:p>
          <w:p w14:paraId="4C74DBD6">
            <w:pPr>
              <w:adjustRightInd w:val="0"/>
              <w:snapToGrid w:val="0"/>
              <w:ind w:firstLine="440"/>
              <w:rPr>
                <w:bCs/>
                <w:color w:val="auto"/>
                <w:spacing w:val="-10"/>
                <w:szCs w:val="21"/>
                <w:highlight w:val="none"/>
              </w:rPr>
            </w:pPr>
            <w:r>
              <w:rPr>
                <w:bCs/>
                <w:color w:val="auto"/>
                <w:spacing w:val="-10"/>
                <w:szCs w:val="21"/>
                <w:highlight w:val="none"/>
              </w:rPr>
              <w:t>本项目大气跟踪监测计划见表4-</w:t>
            </w:r>
            <w:r>
              <w:rPr>
                <w:rFonts w:hint="eastAsia"/>
                <w:bCs/>
                <w:color w:val="auto"/>
                <w:spacing w:val="-10"/>
                <w:szCs w:val="21"/>
                <w:highlight w:val="none"/>
              </w:rPr>
              <w:t>9</w:t>
            </w:r>
            <w:r>
              <w:rPr>
                <w:bCs/>
                <w:color w:val="auto"/>
                <w:spacing w:val="-10"/>
                <w:szCs w:val="21"/>
                <w:highlight w:val="none"/>
              </w:rPr>
              <w:t>。</w:t>
            </w:r>
          </w:p>
          <w:p w14:paraId="71778975">
            <w:pPr>
              <w:ind w:firstLine="480"/>
              <w:jc w:val="center"/>
              <w:rPr>
                <w:rFonts w:eastAsia="黑体"/>
                <w:bCs/>
                <w:color w:val="auto"/>
                <w:szCs w:val="21"/>
                <w:highlight w:val="none"/>
              </w:rPr>
            </w:pPr>
            <w:r>
              <w:rPr>
                <w:rFonts w:eastAsia="黑体"/>
                <w:bCs/>
                <w:color w:val="auto"/>
                <w:szCs w:val="21"/>
                <w:highlight w:val="none"/>
              </w:rPr>
              <w:t>表4-</w:t>
            </w:r>
            <w:r>
              <w:rPr>
                <w:rFonts w:hint="eastAsia" w:eastAsia="黑体"/>
                <w:bCs/>
                <w:color w:val="auto"/>
                <w:szCs w:val="21"/>
                <w:highlight w:val="none"/>
              </w:rPr>
              <w:t>9</w:t>
            </w:r>
            <w:r>
              <w:rPr>
                <w:rFonts w:eastAsia="黑体"/>
                <w:bCs/>
                <w:color w:val="auto"/>
                <w:szCs w:val="21"/>
                <w:highlight w:val="none"/>
              </w:rPr>
              <w:t xml:space="preserve"> 大气跟踪监测计划一览表</w:t>
            </w:r>
          </w:p>
          <w:tbl>
            <w:tblPr>
              <w:tblStyle w:val="57"/>
              <w:tblW w:w="0" w:type="auto"/>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495"/>
              <w:gridCol w:w="1623"/>
              <w:gridCol w:w="3516"/>
            </w:tblGrid>
            <w:tr w14:paraId="14A6CB1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14:paraId="42CE24B8">
                  <w:pPr>
                    <w:widowControl/>
                    <w:spacing w:line="240" w:lineRule="auto"/>
                    <w:jc w:val="center"/>
                    <w:rPr>
                      <w:b/>
                      <w:bCs/>
                      <w:color w:val="auto"/>
                      <w:kern w:val="0"/>
                      <w:sz w:val="21"/>
                      <w:szCs w:val="21"/>
                      <w:highlight w:val="none"/>
                    </w:rPr>
                  </w:pPr>
                  <w:r>
                    <w:rPr>
                      <w:b/>
                      <w:bCs/>
                      <w:color w:val="auto"/>
                      <w:kern w:val="0"/>
                      <w:sz w:val="21"/>
                      <w:szCs w:val="21"/>
                      <w:highlight w:val="none"/>
                    </w:rPr>
                    <w:t>监测点位</w:t>
                  </w:r>
                </w:p>
              </w:tc>
              <w:tc>
                <w:tcPr>
                  <w:tcW w:w="1495" w:type="dxa"/>
                  <w:vAlign w:val="center"/>
                </w:tcPr>
                <w:p w14:paraId="2326357B">
                  <w:pPr>
                    <w:widowControl/>
                    <w:spacing w:line="240" w:lineRule="auto"/>
                    <w:jc w:val="center"/>
                    <w:rPr>
                      <w:b/>
                      <w:bCs/>
                      <w:color w:val="auto"/>
                      <w:kern w:val="0"/>
                      <w:sz w:val="21"/>
                      <w:szCs w:val="21"/>
                      <w:highlight w:val="none"/>
                    </w:rPr>
                  </w:pPr>
                  <w:r>
                    <w:rPr>
                      <w:b/>
                      <w:bCs/>
                      <w:color w:val="auto"/>
                      <w:kern w:val="0"/>
                      <w:sz w:val="21"/>
                      <w:szCs w:val="21"/>
                      <w:highlight w:val="none"/>
                    </w:rPr>
                    <w:t>监测项目</w:t>
                  </w:r>
                </w:p>
              </w:tc>
              <w:tc>
                <w:tcPr>
                  <w:tcW w:w="1623" w:type="dxa"/>
                  <w:vAlign w:val="center"/>
                </w:tcPr>
                <w:p w14:paraId="0052E914">
                  <w:pPr>
                    <w:widowControl/>
                    <w:spacing w:line="240" w:lineRule="auto"/>
                    <w:jc w:val="center"/>
                    <w:rPr>
                      <w:b/>
                      <w:bCs/>
                      <w:color w:val="auto"/>
                      <w:kern w:val="0"/>
                      <w:sz w:val="21"/>
                      <w:szCs w:val="21"/>
                      <w:highlight w:val="none"/>
                    </w:rPr>
                  </w:pPr>
                  <w:r>
                    <w:rPr>
                      <w:b/>
                      <w:bCs/>
                      <w:color w:val="auto"/>
                      <w:kern w:val="0"/>
                      <w:sz w:val="21"/>
                      <w:szCs w:val="21"/>
                      <w:highlight w:val="none"/>
                    </w:rPr>
                    <w:t>监测频次</w:t>
                  </w:r>
                </w:p>
              </w:tc>
              <w:tc>
                <w:tcPr>
                  <w:tcW w:w="3516" w:type="dxa"/>
                  <w:vAlign w:val="center"/>
                </w:tcPr>
                <w:p w14:paraId="31122388">
                  <w:pPr>
                    <w:widowControl/>
                    <w:spacing w:line="240" w:lineRule="auto"/>
                    <w:jc w:val="center"/>
                    <w:rPr>
                      <w:b/>
                      <w:bCs/>
                      <w:color w:val="auto"/>
                      <w:kern w:val="0"/>
                      <w:sz w:val="21"/>
                      <w:szCs w:val="21"/>
                      <w:highlight w:val="none"/>
                    </w:rPr>
                  </w:pPr>
                  <w:r>
                    <w:rPr>
                      <w:b/>
                      <w:bCs/>
                      <w:color w:val="auto"/>
                      <w:kern w:val="0"/>
                      <w:sz w:val="21"/>
                      <w:szCs w:val="21"/>
                      <w:highlight w:val="none"/>
                    </w:rPr>
                    <w:t>执行标准</w:t>
                  </w:r>
                </w:p>
              </w:tc>
            </w:tr>
            <w:tr w14:paraId="4B9CDA9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Merge w:val="restart"/>
                  <w:vAlign w:val="center"/>
                </w:tcPr>
                <w:p w14:paraId="293B665A">
                  <w:pPr>
                    <w:widowControl/>
                    <w:spacing w:line="240" w:lineRule="auto"/>
                    <w:jc w:val="center"/>
                    <w:rPr>
                      <w:bCs/>
                      <w:color w:val="auto"/>
                      <w:kern w:val="0"/>
                      <w:sz w:val="21"/>
                      <w:szCs w:val="21"/>
                      <w:highlight w:val="none"/>
                    </w:rPr>
                  </w:pPr>
                  <w:r>
                    <w:rPr>
                      <w:rFonts w:hint="eastAsia"/>
                      <w:bCs/>
                      <w:color w:val="auto"/>
                      <w:kern w:val="0"/>
                      <w:sz w:val="21"/>
                      <w:szCs w:val="21"/>
                      <w:highlight w:val="none"/>
                    </w:rPr>
                    <w:t>DA001排气筒</w:t>
                  </w:r>
                </w:p>
              </w:tc>
              <w:tc>
                <w:tcPr>
                  <w:tcW w:w="1495" w:type="dxa"/>
                  <w:vAlign w:val="center"/>
                </w:tcPr>
                <w:p w14:paraId="1E8CB231">
                  <w:pPr>
                    <w:pStyle w:val="25"/>
                    <w:jc w:val="center"/>
                    <w:rPr>
                      <w:bCs/>
                      <w:color w:val="auto"/>
                      <w:kern w:val="0"/>
                      <w:highlight w:val="none"/>
                    </w:rPr>
                  </w:pPr>
                  <w:r>
                    <w:rPr>
                      <w:rFonts w:hint="eastAsia"/>
                      <w:color w:val="auto"/>
                      <w:highlight w:val="none"/>
                    </w:rPr>
                    <w:t>氮氧化物</w:t>
                  </w:r>
                </w:p>
              </w:tc>
              <w:tc>
                <w:tcPr>
                  <w:tcW w:w="1623" w:type="dxa"/>
                  <w:vAlign w:val="center"/>
                </w:tcPr>
                <w:p w14:paraId="2B763F48">
                  <w:pPr>
                    <w:widowControl/>
                    <w:spacing w:line="240" w:lineRule="auto"/>
                    <w:jc w:val="center"/>
                    <w:rPr>
                      <w:bCs/>
                      <w:color w:val="auto"/>
                      <w:kern w:val="0"/>
                      <w:sz w:val="21"/>
                      <w:szCs w:val="21"/>
                      <w:highlight w:val="none"/>
                    </w:rPr>
                  </w:pPr>
                  <w:r>
                    <w:rPr>
                      <w:bCs/>
                      <w:color w:val="auto"/>
                      <w:kern w:val="0"/>
                      <w:sz w:val="21"/>
                      <w:szCs w:val="21"/>
                      <w:highlight w:val="none"/>
                    </w:rPr>
                    <w:t>1次</w:t>
                  </w:r>
                  <w:r>
                    <w:rPr>
                      <w:rFonts w:hint="eastAsia"/>
                      <w:bCs/>
                      <w:color w:val="auto"/>
                      <w:kern w:val="0"/>
                      <w:sz w:val="21"/>
                      <w:szCs w:val="21"/>
                      <w:highlight w:val="none"/>
                    </w:rPr>
                    <w:t>/月</w:t>
                  </w:r>
                </w:p>
              </w:tc>
              <w:tc>
                <w:tcPr>
                  <w:tcW w:w="3516" w:type="dxa"/>
                  <w:vMerge w:val="restart"/>
                  <w:vAlign w:val="center"/>
                </w:tcPr>
                <w:p w14:paraId="6B83D700">
                  <w:pPr>
                    <w:widowControl/>
                    <w:spacing w:line="240" w:lineRule="auto"/>
                    <w:jc w:val="center"/>
                    <w:rPr>
                      <w:bCs/>
                      <w:color w:val="auto"/>
                      <w:kern w:val="0"/>
                      <w:sz w:val="21"/>
                      <w:szCs w:val="21"/>
                      <w:highlight w:val="none"/>
                    </w:rPr>
                  </w:pPr>
                  <w:r>
                    <w:rPr>
                      <w:rFonts w:hint="eastAsia"/>
                      <w:bCs/>
                      <w:color w:val="auto"/>
                      <w:kern w:val="0"/>
                      <w:sz w:val="21"/>
                      <w:szCs w:val="21"/>
                      <w:highlight w:val="none"/>
                    </w:rPr>
                    <w:t>《锅炉大气污染物排放标准》（GB13271-2014）表2新建锅炉大气污染物排放浓度限值中燃气锅炉排放限值</w:t>
                  </w:r>
                </w:p>
              </w:tc>
            </w:tr>
            <w:tr w14:paraId="579A809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Merge w:val="continue"/>
                  <w:vAlign w:val="center"/>
                </w:tcPr>
                <w:p w14:paraId="1C58D1BD">
                  <w:pPr>
                    <w:widowControl/>
                    <w:spacing w:line="240" w:lineRule="auto"/>
                    <w:jc w:val="center"/>
                    <w:rPr>
                      <w:bCs/>
                      <w:color w:val="auto"/>
                      <w:kern w:val="0"/>
                      <w:sz w:val="21"/>
                      <w:szCs w:val="21"/>
                      <w:highlight w:val="none"/>
                    </w:rPr>
                  </w:pPr>
                </w:p>
              </w:tc>
              <w:tc>
                <w:tcPr>
                  <w:tcW w:w="1495" w:type="dxa"/>
                  <w:vAlign w:val="center"/>
                </w:tcPr>
                <w:p w14:paraId="47B76119">
                  <w:pPr>
                    <w:pStyle w:val="25"/>
                    <w:jc w:val="center"/>
                    <w:rPr>
                      <w:color w:val="auto"/>
                      <w:highlight w:val="none"/>
                    </w:rPr>
                  </w:pPr>
                  <w:r>
                    <w:rPr>
                      <w:color w:val="auto"/>
                      <w:highlight w:val="none"/>
                    </w:rPr>
                    <w:t>颗粒物、二氧化硫、林格曼黑度</w:t>
                  </w:r>
                </w:p>
              </w:tc>
              <w:tc>
                <w:tcPr>
                  <w:tcW w:w="1623" w:type="dxa"/>
                  <w:vAlign w:val="center"/>
                </w:tcPr>
                <w:p w14:paraId="20440C2B">
                  <w:pPr>
                    <w:widowControl/>
                    <w:spacing w:line="240" w:lineRule="auto"/>
                    <w:jc w:val="center"/>
                    <w:rPr>
                      <w:bCs/>
                      <w:color w:val="auto"/>
                      <w:kern w:val="0"/>
                      <w:sz w:val="21"/>
                      <w:szCs w:val="21"/>
                      <w:highlight w:val="none"/>
                    </w:rPr>
                  </w:pPr>
                  <w:r>
                    <w:rPr>
                      <w:rFonts w:hint="eastAsia"/>
                      <w:bCs/>
                      <w:color w:val="auto"/>
                      <w:kern w:val="0"/>
                      <w:sz w:val="21"/>
                      <w:szCs w:val="21"/>
                      <w:highlight w:val="none"/>
                    </w:rPr>
                    <w:t>1</w:t>
                  </w:r>
                  <w:r>
                    <w:rPr>
                      <w:bCs/>
                      <w:color w:val="auto"/>
                      <w:kern w:val="0"/>
                      <w:sz w:val="21"/>
                      <w:szCs w:val="21"/>
                      <w:highlight w:val="none"/>
                    </w:rPr>
                    <w:t>次</w:t>
                  </w:r>
                  <w:r>
                    <w:rPr>
                      <w:rFonts w:hint="eastAsia"/>
                      <w:bCs/>
                      <w:color w:val="auto"/>
                      <w:kern w:val="0"/>
                      <w:sz w:val="21"/>
                      <w:szCs w:val="21"/>
                      <w:highlight w:val="none"/>
                    </w:rPr>
                    <w:t>/</w:t>
                  </w:r>
                  <w:r>
                    <w:rPr>
                      <w:bCs/>
                      <w:color w:val="auto"/>
                      <w:kern w:val="0"/>
                      <w:sz w:val="21"/>
                      <w:szCs w:val="21"/>
                      <w:highlight w:val="none"/>
                    </w:rPr>
                    <w:t>年</w:t>
                  </w:r>
                </w:p>
              </w:tc>
              <w:tc>
                <w:tcPr>
                  <w:tcW w:w="3516" w:type="dxa"/>
                  <w:vMerge w:val="continue"/>
                  <w:vAlign w:val="center"/>
                </w:tcPr>
                <w:p w14:paraId="77712C10">
                  <w:pPr>
                    <w:widowControl/>
                    <w:spacing w:line="240" w:lineRule="auto"/>
                    <w:jc w:val="center"/>
                    <w:rPr>
                      <w:bCs/>
                      <w:color w:val="auto"/>
                      <w:kern w:val="0"/>
                      <w:sz w:val="21"/>
                      <w:szCs w:val="21"/>
                      <w:highlight w:val="none"/>
                    </w:rPr>
                  </w:pPr>
                </w:p>
              </w:tc>
            </w:tr>
          </w:tbl>
          <w:p w14:paraId="5C3F4B34">
            <w:pPr>
              <w:adjustRightInd w:val="0"/>
              <w:snapToGrid w:val="0"/>
              <w:ind w:firstLine="442" w:firstLineChars="200"/>
              <w:rPr>
                <w:b/>
                <w:color w:val="auto"/>
                <w:spacing w:val="-10"/>
                <w:szCs w:val="21"/>
                <w:highlight w:val="none"/>
              </w:rPr>
            </w:pPr>
            <w:r>
              <w:rPr>
                <w:b/>
                <w:color w:val="auto"/>
                <w:spacing w:val="-10"/>
                <w:szCs w:val="21"/>
                <w:highlight w:val="none"/>
              </w:rPr>
              <w:t>2.废水</w:t>
            </w:r>
          </w:p>
          <w:p w14:paraId="44636FAA">
            <w:pPr>
              <w:adjustRightInd w:val="0"/>
              <w:snapToGrid w:val="0"/>
              <w:ind w:firstLine="440" w:firstLineChars="200"/>
              <w:rPr>
                <w:bCs/>
                <w:color w:val="auto"/>
                <w:spacing w:val="-10"/>
                <w:szCs w:val="21"/>
                <w:highlight w:val="none"/>
              </w:rPr>
            </w:pPr>
            <w:r>
              <w:rPr>
                <w:rFonts w:hint="eastAsia"/>
                <w:bCs/>
                <w:color w:val="auto"/>
                <w:spacing w:val="-10"/>
                <w:szCs w:val="21"/>
                <w:highlight w:val="none"/>
              </w:rPr>
              <w:t>1）排水</w:t>
            </w:r>
          </w:p>
          <w:p w14:paraId="66AC9175">
            <w:pPr>
              <w:adjustRightInd w:val="0"/>
              <w:snapToGrid w:val="0"/>
              <w:ind w:firstLine="440" w:firstLineChars="200"/>
              <w:rPr>
                <w:bCs/>
                <w:color w:val="auto"/>
                <w:spacing w:val="-10"/>
                <w:szCs w:val="21"/>
                <w:highlight w:val="none"/>
              </w:rPr>
            </w:pPr>
            <w:r>
              <w:rPr>
                <w:rFonts w:hint="eastAsia"/>
                <w:bCs/>
                <w:color w:val="auto"/>
                <w:spacing w:val="-10"/>
                <w:szCs w:val="21"/>
                <w:highlight w:val="none"/>
              </w:rPr>
              <w:t>①本项目不新增劳动定员，无新增生活废水；</w:t>
            </w:r>
          </w:p>
          <w:p w14:paraId="1A3ADB56">
            <w:pPr>
              <w:ind w:firstLine="480" w:firstLineChars="200"/>
              <w:rPr>
                <w:color w:val="auto"/>
                <w:highlight w:val="none"/>
              </w:rPr>
            </w:pPr>
            <w:r>
              <w:rPr>
                <w:rFonts w:hint="eastAsia"/>
                <w:color w:val="auto"/>
                <w:highlight w:val="none"/>
              </w:rPr>
              <w:t>②生产废水</w:t>
            </w:r>
          </w:p>
          <w:p w14:paraId="5E7D72A6">
            <w:pPr>
              <w:ind w:firstLine="480" w:firstLineChars="200"/>
              <w:rPr>
                <w:color w:val="auto"/>
                <w:highlight w:val="none"/>
              </w:rPr>
            </w:pPr>
            <w:r>
              <w:rPr>
                <w:rFonts w:hint="eastAsia"/>
                <w:color w:val="auto"/>
                <w:highlight w:val="none"/>
              </w:rPr>
              <w:t>本项目锅炉排污废水、软水制备排污废水均排入园区内本公司废水处理厂隆基废水处理系统进行处理后</w:t>
            </w:r>
            <w:r>
              <w:rPr>
                <w:rFonts w:hint="eastAsia"/>
                <w:color w:val="auto"/>
                <w:highlight w:val="none"/>
                <w:lang w:eastAsia="zh-CN"/>
              </w:rPr>
              <w:t>，</w:t>
            </w:r>
            <w:r>
              <w:rPr>
                <w:rFonts w:hint="eastAsia"/>
                <w:color w:val="auto"/>
                <w:highlight w:val="none"/>
              </w:rPr>
              <w:t>回用隆基生产用水，不外排。</w:t>
            </w:r>
          </w:p>
          <w:p w14:paraId="6D45193C">
            <w:pPr>
              <w:numPr>
                <w:ilvl w:val="0"/>
                <w:numId w:val="5"/>
              </w:numPr>
              <w:ind w:left="0" w:firstLine="480" w:firstLineChars="200"/>
              <w:rPr>
                <w:color w:val="auto"/>
                <w:highlight w:val="none"/>
              </w:rPr>
            </w:pPr>
            <w:r>
              <w:rPr>
                <w:rFonts w:hint="eastAsia"/>
                <w:color w:val="auto"/>
                <w:highlight w:val="none"/>
              </w:rPr>
              <w:t>锅炉排污废水</w:t>
            </w:r>
          </w:p>
          <w:p w14:paraId="6516A475">
            <w:pPr>
              <w:ind w:firstLine="480" w:firstLineChars="200"/>
              <w:rPr>
                <w:color w:val="auto"/>
                <w:highlight w:val="none"/>
              </w:rPr>
            </w:pPr>
            <w:r>
              <w:rPr>
                <w:rFonts w:hint="eastAsia"/>
                <w:color w:val="auto"/>
                <w:highlight w:val="none"/>
              </w:rPr>
              <w:t>锅炉需要定期排污，排水量约为</w:t>
            </w:r>
            <w:r>
              <w:rPr>
                <w:rFonts w:hint="eastAsia"/>
                <w:color w:val="auto"/>
                <w:highlight w:val="none"/>
                <w:lang w:val="en-US" w:eastAsia="zh-CN"/>
              </w:rPr>
              <w:t>4.32</w:t>
            </w:r>
            <w:r>
              <w:rPr>
                <w:rFonts w:hint="eastAsia"/>
                <w:color w:val="auto"/>
                <w:highlight w:val="none"/>
              </w:rPr>
              <w:t>m³/d（</w:t>
            </w:r>
            <w:r>
              <w:rPr>
                <w:rFonts w:hint="eastAsia"/>
                <w:color w:val="auto"/>
                <w:szCs w:val="21"/>
                <w:highlight w:val="none"/>
                <w:lang w:val="en-US" w:eastAsia="zh-CN"/>
              </w:rPr>
              <w:t>1576.8</w:t>
            </w:r>
            <w:r>
              <w:rPr>
                <w:color w:val="auto"/>
                <w:szCs w:val="21"/>
                <w:highlight w:val="none"/>
              </w:rPr>
              <w:t>m³/</w:t>
            </w:r>
            <w:r>
              <w:rPr>
                <w:rFonts w:hint="eastAsia"/>
                <w:color w:val="auto"/>
                <w:szCs w:val="21"/>
                <w:highlight w:val="none"/>
              </w:rPr>
              <w:t>a</w:t>
            </w:r>
            <w:r>
              <w:rPr>
                <w:rFonts w:hint="eastAsia"/>
                <w:color w:val="auto"/>
                <w:highlight w:val="none"/>
              </w:rPr>
              <w:t>）。锅炉排污废水集中收集经过管道排入本公司废水处理厂隆基废水处理系统进行处理后</w:t>
            </w:r>
            <w:r>
              <w:rPr>
                <w:rFonts w:hint="eastAsia"/>
                <w:color w:val="auto"/>
                <w:highlight w:val="none"/>
                <w:lang w:eastAsia="zh-CN"/>
              </w:rPr>
              <w:t>，</w:t>
            </w:r>
            <w:r>
              <w:rPr>
                <w:rFonts w:hint="eastAsia"/>
                <w:color w:val="auto"/>
                <w:highlight w:val="none"/>
              </w:rPr>
              <w:t>回用隆基生产用水，不外排（指废水经处理后回用，以及其他不通过排污单位污水排放口排出的排放方式）。</w:t>
            </w:r>
          </w:p>
          <w:p w14:paraId="08C7D399">
            <w:pPr>
              <w:numPr>
                <w:ilvl w:val="0"/>
                <w:numId w:val="5"/>
              </w:numPr>
              <w:ind w:left="0" w:firstLine="480" w:firstLineChars="200"/>
              <w:rPr>
                <w:color w:val="auto"/>
                <w:highlight w:val="none"/>
              </w:rPr>
            </w:pPr>
            <w:r>
              <w:rPr>
                <w:rFonts w:hint="eastAsia"/>
                <w:color w:val="auto"/>
                <w:highlight w:val="none"/>
              </w:rPr>
              <w:t>软水制备废水</w:t>
            </w:r>
          </w:p>
          <w:p w14:paraId="30913E01">
            <w:pPr>
              <w:ind w:firstLine="480" w:firstLineChars="200"/>
              <w:rPr>
                <w:color w:val="auto"/>
                <w:highlight w:val="none"/>
              </w:rPr>
            </w:pPr>
            <w:r>
              <w:rPr>
                <w:color w:val="auto"/>
                <w:highlight w:val="none"/>
              </w:rPr>
              <w:t>本项目软水制备率80%，20%为软水制备废水，软水制备</w:t>
            </w:r>
            <w:r>
              <w:rPr>
                <w:rFonts w:hint="eastAsia"/>
                <w:color w:val="auto"/>
                <w:highlight w:val="none"/>
                <w:lang w:val="en-US" w:eastAsia="zh-CN"/>
              </w:rPr>
              <w:t>原</w:t>
            </w:r>
            <w:r>
              <w:rPr>
                <w:color w:val="auto"/>
                <w:highlight w:val="none"/>
              </w:rPr>
              <w:t>水量为</w:t>
            </w:r>
            <w:r>
              <w:rPr>
                <w:rFonts w:hint="eastAsia"/>
                <w:color w:val="auto"/>
                <w:highlight w:val="none"/>
                <w:lang w:val="en-US" w:eastAsia="zh-CN"/>
              </w:rPr>
              <w:t>15</w:t>
            </w:r>
            <w:r>
              <w:rPr>
                <w:color w:val="auto"/>
                <w:highlight w:val="none"/>
              </w:rPr>
              <w:t>m³/</w:t>
            </w:r>
            <w:r>
              <w:rPr>
                <w:rFonts w:hint="eastAsia"/>
                <w:color w:val="auto"/>
                <w:highlight w:val="none"/>
                <w:lang w:val="en-US" w:eastAsia="zh-CN"/>
              </w:rPr>
              <w:t>h</w:t>
            </w:r>
            <w:r>
              <w:rPr>
                <w:color w:val="auto"/>
                <w:highlight w:val="none"/>
              </w:rPr>
              <w:t>，则软水制备设备排污废水量为</w:t>
            </w:r>
            <w:r>
              <w:rPr>
                <w:rFonts w:hint="eastAsia"/>
                <w:color w:val="auto"/>
                <w:highlight w:val="none"/>
                <w:lang w:val="en-US" w:eastAsia="zh-CN"/>
              </w:rPr>
              <w:t>72</w:t>
            </w:r>
            <w:r>
              <w:rPr>
                <w:color w:val="auto"/>
                <w:highlight w:val="none"/>
              </w:rPr>
              <w:t>m³/d</w:t>
            </w:r>
            <w:r>
              <w:rPr>
                <w:rFonts w:hint="eastAsia"/>
                <w:color w:val="auto"/>
                <w:highlight w:val="none"/>
              </w:rPr>
              <w:t>（</w:t>
            </w:r>
            <w:r>
              <w:rPr>
                <w:rFonts w:hint="eastAsia"/>
                <w:color w:val="auto"/>
                <w:highlight w:val="none"/>
                <w:lang w:val="en-US" w:eastAsia="zh-CN"/>
              </w:rPr>
              <w:t>26280</w:t>
            </w:r>
            <w:r>
              <w:rPr>
                <w:color w:val="auto"/>
                <w:highlight w:val="none"/>
              </w:rPr>
              <w:t>m³/</w:t>
            </w:r>
            <w:r>
              <w:rPr>
                <w:rFonts w:hint="eastAsia"/>
                <w:color w:val="auto"/>
                <w:highlight w:val="none"/>
              </w:rPr>
              <w:t>a）</w:t>
            </w:r>
            <w:r>
              <w:rPr>
                <w:color w:val="auto"/>
                <w:highlight w:val="none"/>
              </w:rPr>
              <w:t>，软水制备设备排污废水集中收集经过管道排入</w:t>
            </w:r>
            <w:r>
              <w:rPr>
                <w:rFonts w:hint="eastAsia"/>
                <w:color w:val="auto"/>
                <w:highlight w:val="none"/>
              </w:rPr>
              <w:t>本公司废水处理厂隆基废水处理系统进行处理后</w:t>
            </w:r>
            <w:r>
              <w:rPr>
                <w:rFonts w:hint="eastAsia"/>
                <w:color w:val="auto"/>
                <w:highlight w:val="none"/>
                <w:lang w:eastAsia="zh-CN"/>
              </w:rPr>
              <w:t>，</w:t>
            </w:r>
            <w:r>
              <w:rPr>
                <w:rFonts w:hint="eastAsia"/>
                <w:color w:val="auto"/>
                <w:highlight w:val="none"/>
              </w:rPr>
              <w:t>回用隆基生产用水，不外排（指废水经处理后回用，以及其他不通过排污单位污水排放口排出的排放方式）。</w:t>
            </w:r>
          </w:p>
          <w:p w14:paraId="204B6AB8">
            <w:pPr>
              <w:numPr>
                <w:ilvl w:val="0"/>
                <w:numId w:val="6"/>
              </w:numPr>
              <w:ind w:firstLine="480" w:firstLineChars="200"/>
              <w:rPr>
                <w:color w:val="auto"/>
                <w:highlight w:val="none"/>
              </w:rPr>
            </w:pPr>
            <w:r>
              <w:rPr>
                <w:rFonts w:hint="eastAsia"/>
                <w:color w:val="auto"/>
                <w:highlight w:val="none"/>
              </w:rPr>
              <w:t>排放量核算及达标排放情况</w:t>
            </w:r>
          </w:p>
          <w:p w14:paraId="4CA4CC98">
            <w:pPr>
              <w:adjustRightInd w:val="0"/>
              <w:snapToGrid w:val="0"/>
              <w:ind w:firstLine="480" w:firstLineChars="200"/>
              <w:rPr>
                <w:color w:val="auto"/>
                <w:highlight w:val="none"/>
              </w:rPr>
            </w:pPr>
            <w:r>
              <w:rPr>
                <w:color w:val="auto"/>
                <w:highlight w:val="none"/>
              </w:rPr>
              <w:t>本项目</w:t>
            </w:r>
            <w:r>
              <w:rPr>
                <w:rFonts w:hint="eastAsia"/>
                <w:color w:val="auto"/>
                <w:highlight w:val="none"/>
              </w:rPr>
              <w:t>运行会产生锅炉排污废水、软水制备排污废水</w:t>
            </w:r>
            <w:r>
              <w:rPr>
                <w:color w:val="auto"/>
                <w:highlight w:val="none"/>
              </w:rPr>
              <w:t>，根据《排污许可证申请与核发技术规范 锅炉》</w:t>
            </w:r>
            <w:r>
              <w:rPr>
                <w:rFonts w:hint="eastAsia"/>
                <w:color w:val="auto"/>
                <w:highlight w:val="none"/>
              </w:rPr>
              <w:t>（</w:t>
            </w:r>
            <w:r>
              <w:rPr>
                <w:color w:val="auto"/>
                <w:highlight w:val="none"/>
              </w:rPr>
              <w:t>HJ953-2018</w:t>
            </w:r>
            <w:r>
              <w:rPr>
                <w:rFonts w:hint="eastAsia"/>
                <w:color w:val="auto"/>
                <w:highlight w:val="none"/>
              </w:rPr>
              <w:t>）</w:t>
            </w:r>
            <w:r>
              <w:rPr>
                <w:color w:val="auto"/>
                <w:highlight w:val="none"/>
              </w:rPr>
              <w:t>附录F中表 F.</w:t>
            </w:r>
            <w:r>
              <w:rPr>
                <w:rFonts w:hint="eastAsia"/>
                <w:color w:val="auto"/>
                <w:highlight w:val="none"/>
              </w:rPr>
              <w:t>5锅炉的废水产污系数</w:t>
            </w:r>
            <w:r>
              <w:rPr>
                <w:color w:val="auto"/>
                <w:highlight w:val="none"/>
              </w:rPr>
              <w:t>可知，</w:t>
            </w:r>
            <w:r>
              <w:rPr>
                <w:rFonts w:hint="eastAsia"/>
                <w:color w:val="auto"/>
                <w:highlight w:val="none"/>
              </w:rPr>
              <w:t>化学需氧量</w:t>
            </w:r>
            <w:r>
              <w:rPr>
                <w:color w:val="auto"/>
                <w:highlight w:val="none"/>
              </w:rPr>
              <w:t>产生系数为</w:t>
            </w:r>
            <w:r>
              <w:rPr>
                <w:rFonts w:hint="eastAsia"/>
                <w:color w:val="auto"/>
                <w:highlight w:val="none"/>
              </w:rPr>
              <w:t>1080</w:t>
            </w:r>
            <w:r>
              <w:rPr>
                <w:color w:val="auto"/>
                <w:highlight w:val="none"/>
              </w:rPr>
              <w:t>克/万立方米-</w:t>
            </w:r>
            <w:r>
              <w:rPr>
                <w:rFonts w:hint="eastAsia"/>
                <w:color w:val="auto"/>
                <w:highlight w:val="none"/>
              </w:rPr>
              <w:t>燃料，则项目COD产生量为0.899t/a，产生浓度为</w:t>
            </w:r>
            <w:r>
              <w:rPr>
                <w:rFonts w:hint="eastAsia"/>
                <w:color w:val="auto"/>
                <w:highlight w:val="none"/>
                <w:lang w:val="en-US" w:eastAsia="zh-CN"/>
              </w:rPr>
              <w:t>32.272</w:t>
            </w:r>
            <w:r>
              <w:rPr>
                <w:rFonts w:hint="eastAsia"/>
                <w:color w:val="auto"/>
                <w:highlight w:val="none"/>
              </w:rPr>
              <w:t>mg/L</w:t>
            </w:r>
            <w:r>
              <w:rPr>
                <w:color w:val="auto"/>
                <w:highlight w:val="none"/>
              </w:rPr>
              <w:t>。</w:t>
            </w:r>
          </w:p>
          <w:p w14:paraId="29A6F62D">
            <w:pPr>
              <w:ind w:firstLine="480" w:firstLineChars="200"/>
              <w:rPr>
                <w:color w:val="auto"/>
                <w:highlight w:val="none"/>
              </w:rPr>
            </w:pPr>
            <w:r>
              <w:rPr>
                <w:rFonts w:hint="eastAsia"/>
                <w:color w:val="auto"/>
                <w:highlight w:val="none"/>
              </w:rPr>
              <w:t>根据《鄂尔多斯蒙苏经济开发区零碳产业园工业废水处理厂及水资源再生利用项目环境影响报告书》中</w:t>
            </w:r>
            <w:r>
              <w:rPr>
                <w:color w:val="auto"/>
                <w:highlight w:val="none"/>
              </w:rPr>
              <w:t>其他企业废水处理系统</w:t>
            </w:r>
            <w:r>
              <w:rPr>
                <w:rFonts w:hint="eastAsia"/>
                <w:color w:val="auto"/>
                <w:highlight w:val="none"/>
              </w:rPr>
              <w:t>设计进水水质，本次锅炉排污废水、软水制备排污废水溶解性总固体参考产生浓度1000mg/L，则项目溶解性总固体产生量为28.908t/a。</w:t>
            </w:r>
            <w:r>
              <w:rPr>
                <w:color w:val="auto"/>
                <w:highlight w:val="none"/>
              </w:rPr>
              <w:t xml:space="preserve">则项目污染物排放情况见下表 </w:t>
            </w:r>
            <w:r>
              <w:rPr>
                <w:rFonts w:hint="eastAsia"/>
                <w:color w:val="auto"/>
                <w:highlight w:val="none"/>
              </w:rPr>
              <w:t>4-10</w:t>
            </w:r>
            <w:r>
              <w:rPr>
                <w:color w:val="auto"/>
                <w:highlight w:val="none"/>
              </w:rPr>
              <w:t>。</w:t>
            </w:r>
          </w:p>
          <w:p w14:paraId="17CD3CC6">
            <w:pPr>
              <w:widowControl/>
              <w:adjustRightInd w:val="0"/>
              <w:snapToGrid w:val="0"/>
              <w:spacing w:line="288" w:lineRule="auto"/>
              <w:jc w:val="center"/>
              <w:rPr>
                <w:rFonts w:eastAsia="黑体"/>
                <w:color w:val="auto"/>
                <w:kern w:val="0"/>
                <w:szCs w:val="21"/>
                <w:highlight w:val="none"/>
                <w:lang w:val="zh-CN" w:bidi="en-US"/>
              </w:rPr>
            </w:pPr>
            <w:r>
              <w:rPr>
                <w:rFonts w:hint="eastAsia" w:eastAsia="黑体"/>
                <w:color w:val="auto"/>
                <w:kern w:val="0"/>
                <w:szCs w:val="21"/>
                <w:highlight w:val="none"/>
                <w:lang w:val="zh-CN" w:bidi="en-US"/>
              </w:rPr>
              <w:t>表</w:t>
            </w:r>
            <w:r>
              <w:rPr>
                <w:rFonts w:eastAsia="黑体"/>
                <w:color w:val="auto"/>
                <w:kern w:val="0"/>
                <w:szCs w:val="21"/>
                <w:highlight w:val="none"/>
                <w:lang w:val="zh-CN" w:bidi="en-US"/>
              </w:rPr>
              <w:t>4-1</w:t>
            </w:r>
            <w:r>
              <w:rPr>
                <w:rFonts w:hint="eastAsia" w:eastAsia="黑体"/>
                <w:color w:val="auto"/>
                <w:kern w:val="0"/>
                <w:szCs w:val="21"/>
                <w:highlight w:val="none"/>
                <w:lang w:bidi="en-US"/>
              </w:rPr>
              <w:t>0</w:t>
            </w:r>
            <w:r>
              <w:rPr>
                <w:rFonts w:hint="eastAsia" w:eastAsia="黑体"/>
                <w:color w:val="auto"/>
                <w:kern w:val="0"/>
                <w:szCs w:val="21"/>
                <w:highlight w:val="none"/>
                <w:lang w:val="zh-CN" w:bidi="en-US"/>
              </w:rPr>
              <w:t xml:space="preserve"> 水污染物排放一览表</w:t>
            </w:r>
          </w:p>
          <w:tbl>
            <w:tblPr>
              <w:tblStyle w:val="5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41"/>
              <w:gridCol w:w="981"/>
              <w:gridCol w:w="1016"/>
              <w:gridCol w:w="922"/>
              <w:gridCol w:w="1325"/>
              <w:gridCol w:w="1003"/>
              <w:gridCol w:w="2094"/>
            </w:tblGrid>
            <w:tr w14:paraId="536449A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01" w:type="pct"/>
                  <w:vAlign w:val="center"/>
                </w:tcPr>
                <w:p w14:paraId="6BC41D96">
                  <w:pPr>
                    <w:pStyle w:val="25"/>
                    <w:jc w:val="center"/>
                    <w:rPr>
                      <w:b w:val="0"/>
                      <w:color w:val="auto"/>
                      <w:highlight w:val="none"/>
                      <w:lang w:val="zh-CN" w:bidi="en-US"/>
                    </w:rPr>
                  </w:pPr>
                  <w:r>
                    <w:rPr>
                      <w:rFonts w:hint="eastAsia"/>
                      <w:b/>
                      <w:color w:val="auto"/>
                      <w:highlight w:val="none"/>
                      <w:lang w:val="zh-CN" w:bidi="en-US"/>
                    </w:rPr>
                    <w:t>来源</w:t>
                  </w:r>
                </w:p>
              </w:tc>
              <w:tc>
                <w:tcPr>
                  <w:tcW w:w="614" w:type="pct"/>
                  <w:vAlign w:val="center"/>
                </w:tcPr>
                <w:p w14:paraId="179A4DC9">
                  <w:pPr>
                    <w:pStyle w:val="25"/>
                    <w:jc w:val="center"/>
                    <w:rPr>
                      <w:b w:val="0"/>
                      <w:color w:val="auto"/>
                      <w:highlight w:val="none"/>
                      <w:lang w:val="zh-CN" w:bidi="en-US"/>
                    </w:rPr>
                  </w:pPr>
                  <w:r>
                    <w:rPr>
                      <w:rFonts w:hint="eastAsia"/>
                      <w:b/>
                      <w:color w:val="auto"/>
                      <w:highlight w:val="none"/>
                      <w:lang w:val="zh-CN" w:bidi="en-US"/>
                    </w:rPr>
                    <w:t>类别</w:t>
                  </w:r>
                </w:p>
              </w:tc>
              <w:tc>
                <w:tcPr>
                  <w:tcW w:w="636" w:type="pct"/>
                  <w:vAlign w:val="center"/>
                </w:tcPr>
                <w:p w14:paraId="7091F731">
                  <w:pPr>
                    <w:pStyle w:val="25"/>
                    <w:jc w:val="center"/>
                    <w:rPr>
                      <w:b/>
                      <w:color w:val="auto"/>
                      <w:highlight w:val="none"/>
                      <w:lang w:val="zh-CN" w:bidi="en-US"/>
                    </w:rPr>
                  </w:pPr>
                  <w:r>
                    <w:rPr>
                      <w:rFonts w:hint="eastAsia"/>
                      <w:b/>
                      <w:color w:val="auto"/>
                      <w:highlight w:val="none"/>
                      <w:lang w:val="zh-CN" w:bidi="en-US"/>
                    </w:rPr>
                    <w:t>排放量</w:t>
                  </w:r>
                </w:p>
                <w:p w14:paraId="1B3DF7C7">
                  <w:pPr>
                    <w:pStyle w:val="25"/>
                    <w:jc w:val="center"/>
                    <w:rPr>
                      <w:b w:val="0"/>
                      <w:color w:val="auto"/>
                      <w:highlight w:val="none"/>
                      <w:lang w:val="zh-CN" w:bidi="en-US"/>
                    </w:rPr>
                  </w:pPr>
                  <w:r>
                    <w:rPr>
                      <w:rFonts w:hint="eastAsia"/>
                      <w:b/>
                      <w:color w:val="auto"/>
                      <w:highlight w:val="none"/>
                      <w:lang w:val="zh-CN" w:bidi="en-US"/>
                    </w:rPr>
                    <w:t>（</w:t>
                  </w:r>
                  <w:r>
                    <w:rPr>
                      <w:rFonts w:hint="eastAsia"/>
                      <w:b/>
                      <w:color w:val="auto"/>
                      <w:highlight w:val="none"/>
                    </w:rPr>
                    <w:t>m³/a</w:t>
                  </w:r>
                  <w:r>
                    <w:rPr>
                      <w:rFonts w:hint="eastAsia"/>
                      <w:b/>
                      <w:color w:val="auto"/>
                      <w:highlight w:val="none"/>
                      <w:lang w:val="zh-CN" w:bidi="en-US"/>
                    </w:rPr>
                    <w:t>）</w:t>
                  </w:r>
                </w:p>
              </w:tc>
              <w:tc>
                <w:tcPr>
                  <w:tcW w:w="577" w:type="pct"/>
                  <w:vAlign w:val="center"/>
                </w:tcPr>
                <w:p w14:paraId="4DDA8F58">
                  <w:pPr>
                    <w:pStyle w:val="25"/>
                    <w:jc w:val="center"/>
                    <w:rPr>
                      <w:b w:val="0"/>
                      <w:color w:val="auto"/>
                      <w:highlight w:val="none"/>
                      <w:lang w:val="zh-CN" w:bidi="en-US"/>
                    </w:rPr>
                  </w:pPr>
                  <w:r>
                    <w:rPr>
                      <w:rFonts w:hint="eastAsia"/>
                      <w:b/>
                      <w:color w:val="auto"/>
                      <w:highlight w:val="none"/>
                      <w:lang w:val="zh-CN" w:bidi="en-US"/>
                    </w:rPr>
                    <w:t>污染物名称</w:t>
                  </w:r>
                </w:p>
              </w:tc>
              <w:tc>
                <w:tcPr>
                  <w:tcW w:w="830" w:type="pct"/>
                  <w:vAlign w:val="center"/>
                </w:tcPr>
                <w:p w14:paraId="56B3EEE8">
                  <w:pPr>
                    <w:pStyle w:val="25"/>
                    <w:jc w:val="center"/>
                    <w:rPr>
                      <w:b w:val="0"/>
                      <w:color w:val="auto"/>
                      <w:highlight w:val="none"/>
                      <w:lang w:bidi="en-US"/>
                    </w:rPr>
                  </w:pPr>
                  <w:r>
                    <w:rPr>
                      <w:rFonts w:hint="eastAsia"/>
                      <w:b/>
                      <w:color w:val="auto"/>
                      <w:highlight w:val="none"/>
                      <w:lang w:bidi="en-US"/>
                    </w:rPr>
                    <w:t>产生浓度（mg/L）</w:t>
                  </w:r>
                </w:p>
              </w:tc>
              <w:tc>
                <w:tcPr>
                  <w:tcW w:w="628" w:type="pct"/>
                  <w:vAlign w:val="center"/>
                </w:tcPr>
                <w:p w14:paraId="4E08D3BE">
                  <w:pPr>
                    <w:pStyle w:val="25"/>
                    <w:jc w:val="center"/>
                    <w:rPr>
                      <w:b w:val="0"/>
                      <w:color w:val="auto"/>
                      <w:highlight w:val="none"/>
                      <w:lang w:val="zh-CN" w:bidi="en-US"/>
                    </w:rPr>
                  </w:pPr>
                  <w:r>
                    <w:rPr>
                      <w:rFonts w:hint="eastAsia"/>
                      <w:b/>
                      <w:color w:val="auto"/>
                      <w:highlight w:val="none"/>
                      <w:lang w:val="zh-CN" w:bidi="en-US"/>
                    </w:rPr>
                    <w:t>产生量（t/a）</w:t>
                  </w:r>
                </w:p>
              </w:tc>
              <w:tc>
                <w:tcPr>
                  <w:tcW w:w="1311" w:type="pct"/>
                  <w:vAlign w:val="center"/>
                </w:tcPr>
                <w:p w14:paraId="6B894336">
                  <w:pPr>
                    <w:pStyle w:val="25"/>
                    <w:jc w:val="center"/>
                    <w:rPr>
                      <w:b w:val="0"/>
                      <w:color w:val="auto"/>
                      <w:highlight w:val="none"/>
                      <w:lang w:val="zh-CN" w:bidi="en-US"/>
                    </w:rPr>
                  </w:pPr>
                  <w:r>
                    <w:rPr>
                      <w:rFonts w:hint="eastAsia"/>
                      <w:b/>
                      <w:color w:val="auto"/>
                      <w:highlight w:val="none"/>
                      <w:lang w:val="zh-CN" w:bidi="en-US"/>
                    </w:rPr>
                    <w:t>去向</w:t>
                  </w:r>
                </w:p>
              </w:tc>
            </w:tr>
            <w:tr w14:paraId="2CA2BC3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7" w:hRule="atLeast"/>
                <w:jc w:val="center"/>
              </w:trPr>
              <w:tc>
                <w:tcPr>
                  <w:tcW w:w="401" w:type="pct"/>
                  <w:vMerge w:val="restart"/>
                  <w:vAlign w:val="center"/>
                </w:tcPr>
                <w:p w14:paraId="424F29CC">
                  <w:pPr>
                    <w:pStyle w:val="25"/>
                    <w:jc w:val="center"/>
                    <w:rPr>
                      <w:color w:val="auto"/>
                      <w:highlight w:val="none"/>
                      <w:lang w:bidi="en-US"/>
                    </w:rPr>
                  </w:pPr>
                  <w:r>
                    <w:rPr>
                      <w:rFonts w:hint="eastAsia"/>
                      <w:color w:val="auto"/>
                      <w:highlight w:val="none"/>
                      <w:lang w:bidi="en-US"/>
                    </w:rPr>
                    <w:t>燃气锅炉</w:t>
                  </w:r>
                </w:p>
              </w:tc>
              <w:tc>
                <w:tcPr>
                  <w:tcW w:w="614" w:type="pct"/>
                  <w:vMerge w:val="restart"/>
                  <w:vAlign w:val="center"/>
                </w:tcPr>
                <w:p w14:paraId="28A202DA">
                  <w:pPr>
                    <w:pStyle w:val="25"/>
                    <w:jc w:val="center"/>
                    <w:rPr>
                      <w:color w:val="auto"/>
                      <w:highlight w:val="none"/>
                      <w:lang w:bidi="en-US"/>
                    </w:rPr>
                  </w:pPr>
                  <w:r>
                    <w:rPr>
                      <w:rFonts w:hint="eastAsia"/>
                      <w:color w:val="auto"/>
                      <w:highlight w:val="none"/>
                    </w:rPr>
                    <w:t>锅炉排污废水、软水制备排污废水</w:t>
                  </w:r>
                </w:p>
              </w:tc>
              <w:tc>
                <w:tcPr>
                  <w:tcW w:w="636" w:type="pct"/>
                  <w:vMerge w:val="restart"/>
                  <w:vAlign w:val="center"/>
                </w:tcPr>
                <w:p w14:paraId="1B8613C0">
                  <w:pPr>
                    <w:pStyle w:val="25"/>
                    <w:jc w:val="center"/>
                    <w:rPr>
                      <w:rFonts w:hint="default" w:eastAsia="宋体"/>
                      <w:color w:val="auto"/>
                      <w:highlight w:val="none"/>
                      <w:lang w:val="en-US" w:eastAsia="zh-CN" w:bidi="en-US"/>
                    </w:rPr>
                  </w:pPr>
                  <w:r>
                    <w:rPr>
                      <w:rFonts w:hint="eastAsia"/>
                      <w:color w:val="auto"/>
                      <w:highlight w:val="none"/>
                      <w:lang w:val="en-US" w:eastAsia="zh-CN" w:bidi="en-US"/>
                    </w:rPr>
                    <w:t>27856.8</w:t>
                  </w:r>
                </w:p>
              </w:tc>
              <w:tc>
                <w:tcPr>
                  <w:tcW w:w="577" w:type="pct"/>
                  <w:vAlign w:val="center"/>
                </w:tcPr>
                <w:p w14:paraId="73E3533D">
                  <w:pPr>
                    <w:pStyle w:val="25"/>
                    <w:jc w:val="center"/>
                    <w:rPr>
                      <w:color w:val="auto"/>
                      <w:highlight w:val="none"/>
                      <w:lang w:bidi="en-US"/>
                    </w:rPr>
                  </w:pPr>
                  <w:r>
                    <w:rPr>
                      <w:rFonts w:hint="eastAsia"/>
                      <w:color w:val="auto"/>
                      <w:highlight w:val="none"/>
                      <w:lang w:bidi="en-US"/>
                    </w:rPr>
                    <w:t>溶解性总固体</w:t>
                  </w:r>
                </w:p>
              </w:tc>
              <w:tc>
                <w:tcPr>
                  <w:tcW w:w="830" w:type="pct"/>
                  <w:vAlign w:val="center"/>
                </w:tcPr>
                <w:p w14:paraId="6310DE94">
                  <w:pPr>
                    <w:pStyle w:val="25"/>
                    <w:jc w:val="center"/>
                    <w:rPr>
                      <w:color w:val="auto"/>
                      <w:highlight w:val="none"/>
                      <w:lang w:bidi="en-US"/>
                    </w:rPr>
                  </w:pPr>
                  <w:r>
                    <w:rPr>
                      <w:rFonts w:hint="eastAsia"/>
                      <w:color w:val="auto"/>
                      <w:highlight w:val="none"/>
                      <w:lang w:bidi="en-US"/>
                    </w:rPr>
                    <w:t>~1000</w:t>
                  </w:r>
                </w:p>
              </w:tc>
              <w:tc>
                <w:tcPr>
                  <w:tcW w:w="628" w:type="pct"/>
                  <w:vAlign w:val="center"/>
                </w:tcPr>
                <w:p w14:paraId="40D10002">
                  <w:pPr>
                    <w:pStyle w:val="25"/>
                    <w:jc w:val="center"/>
                    <w:rPr>
                      <w:rFonts w:hint="default" w:eastAsia="宋体"/>
                      <w:color w:val="auto"/>
                      <w:highlight w:val="none"/>
                      <w:lang w:val="en-US" w:eastAsia="zh-CN" w:bidi="en-US"/>
                    </w:rPr>
                  </w:pPr>
                  <w:r>
                    <w:rPr>
                      <w:rFonts w:hint="eastAsia"/>
                      <w:color w:val="auto"/>
                      <w:highlight w:val="none"/>
                      <w:lang w:val="en-US" w:eastAsia="zh-CN" w:bidi="en-US"/>
                    </w:rPr>
                    <w:t>27.8568</w:t>
                  </w:r>
                </w:p>
              </w:tc>
              <w:tc>
                <w:tcPr>
                  <w:tcW w:w="1311" w:type="pct"/>
                  <w:vMerge w:val="restart"/>
                  <w:vAlign w:val="center"/>
                </w:tcPr>
                <w:p w14:paraId="3438B4AF">
                  <w:pPr>
                    <w:pStyle w:val="25"/>
                    <w:jc w:val="center"/>
                    <w:rPr>
                      <w:color w:val="auto"/>
                      <w:highlight w:val="none"/>
                      <w:lang w:bidi="en-US"/>
                    </w:rPr>
                  </w:pPr>
                  <w:r>
                    <w:rPr>
                      <w:color w:val="auto"/>
                      <w:highlight w:val="none"/>
                    </w:rPr>
                    <w:t>排入</w:t>
                  </w:r>
                  <w:r>
                    <w:rPr>
                      <w:rFonts w:hint="eastAsia"/>
                      <w:color w:val="auto"/>
                      <w:highlight w:val="none"/>
                    </w:rPr>
                    <w:t>本公司废水处理厂隆基废水处理系统进行处理后，回用隆基生产用水，不外排</w:t>
                  </w:r>
                </w:p>
              </w:tc>
            </w:tr>
            <w:tr w14:paraId="63C6DC1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401" w:type="pct"/>
                  <w:vMerge w:val="continue"/>
                  <w:vAlign w:val="center"/>
                </w:tcPr>
                <w:p w14:paraId="547DBBF9">
                  <w:pPr>
                    <w:pStyle w:val="25"/>
                    <w:jc w:val="center"/>
                    <w:rPr>
                      <w:color w:val="auto"/>
                      <w:highlight w:val="none"/>
                      <w:lang w:val="zh-CN" w:bidi="en-US"/>
                    </w:rPr>
                  </w:pPr>
                </w:p>
              </w:tc>
              <w:tc>
                <w:tcPr>
                  <w:tcW w:w="614" w:type="pct"/>
                  <w:vMerge w:val="continue"/>
                  <w:vAlign w:val="center"/>
                </w:tcPr>
                <w:p w14:paraId="1F80A235">
                  <w:pPr>
                    <w:pStyle w:val="25"/>
                    <w:jc w:val="center"/>
                    <w:rPr>
                      <w:color w:val="auto"/>
                      <w:highlight w:val="none"/>
                      <w:lang w:val="zh-CN" w:bidi="en-US"/>
                    </w:rPr>
                  </w:pPr>
                </w:p>
              </w:tc>
              <w:tc>
                <w:tcPr>
                  <w:tcW w:w="636" w:type="pct"/>
                  <w:vMerge w:val="continue"/>
                  <w:vAlign w:val="center"/>
                </w:tcPr>
                <w:p w14:paraId="4622279C">
                  <w:pPr>
                    <w:pStyle w:val="25"/>
                    <w:jc w:val="center"/>
                    <w:rPr>
                      <w:color w:val="auto"/>
                      <w:highlight w:val="none"/>
                      <w:lang w:val="zh-CN" w:bidi="en-US"/>
                    </w:rPr>
                  </w:pPr>
                </w:p>
              </w:tc>
              <w:tc>
                <w:tcPr>
                  <w:tcW w:w="577" w:type="pct"/>
                  <w:vAlign w:val="center"/>
                </w:tcPr>
                <w:p w14:paraId="385D042E">
                  <w:pPr>
                    <w:pStyle w:val="25"/>
                    <w:jc w:val="center"/>
                    <w:rPr>
                      <w:color w:val="auto"/>
                      <w:highlight w:val="none"/>
                      <w:lang w:val="zh-CN" w:bidi="en-US"/>
                    </w:rPr>
                  </w:pPr>
                  <w:r>
                    <w:rPr>
                      <w:rFonts w:hint="eastAsia"/>
                      <w:color w:val="auto"/>
                      <w:highlight w:val="none"/>
                      <w:lang w:val="zh-CN" w:bidi="en-US"/>
                    </w:rPr>
                    <w:t>C</w:t>
                  </w:r>
                  <w:r>
                    <w:rPr>
                      <w:color w:val="auto"/>
                      <w:highlight w:val="none"/>
                      <w:lang w:val="zh-CN" w:bidi="en-US"/>
                    </w:rPr>
                    <w:t>OD</w:t>
                  </w:r>
                </w:p>
              </w:tc>
              <w:tc>
                <w:tcPr>
                  <w:tcW w:w="830" w:type="pct"/>
                  <w:vAlign w:val="center"/>
                </w:tcPr>
                <w:p w14:paraId="478A56C4">
                  <w:pPr>
                    <w:pStyle w:val="25"/>
                    <w:jc w:val="center"/>
                    <w:rPr>
                      <w:rFonts w:hint="default" w:eastAsia="宋体"/>
                      <w:color w:val="auto"/>
                      <w:highlight w:val="none"/>
                      <w:lang w:val="en-US" w:eastAsia="zh-CN" w:bidi="en-US"/>
                    </w:rPr>
                  </w:pPr>
                  <w:r>
                    <w:rPr>
                      <w:rFonts w:hint="eastAsia"/>
                      <w:color w:val="auto"/>
                      <w:highlight w:val="none"/>
                      <w:lang w:val="en-US" w:eastAsia="zh-CN" w:bidi="en-US"/>
                    </w:rPr>
                    <w:t>21.272</w:t>
                  </w:r>
                </w:p>
              </w:tc>
              <w:tc>
                <w:tcPr>
                  <w:tcW w:w="628" w:type="pct"/>
                  <w:vAlign w:val="center"/>
                </w:tcPr>
                <w:p w14:paraId="47D70911">
                  <w:pPr>
                    <w:pStyle w:val="25"/>
                    <w:jc w:val="center"/>
                    <w:rPr>
                      <w:color w:val="auto"/>
                      <w:highlight w:val="none"/>
                      <w:lang w:bidi="en-US"/>
                    </w:rPr>
                  </w:pPr>
                  <w:r>
                    <w:rPr>
                      <w:rFonts w:hint="eastAsia"/>
                      <w:color w:val="auto"/>
                      <w:highlight w:val="none"/>
                      <w:lang w:bidi="en-US"/>
                    </w:rPr>
                    <w:t>0.899</w:t>
                  </w:r>
                </w:p>
              </w:tc>
              <w:tc>
                <w:tcPr>
                  <w:tcW w:w="1311" w:type="pct"/>
                  <w:vMerge w:val="continue"/>
                  <w:vAlign w:val="center"/>
                </w:tcPr>
                <w:p w14:paraId="352803FF">
                  <w:pPr>
                    <w:pStyle w:val="25"/>
                    <w:jc w:val="center"/>
                    <w:rPr>
                      <w:color w:val="auto"/>
                      <w:highlight w:val="none"/>
                      <w:lang w:val="zh-CN" w:bidi="en-US"/>
                    </w:rPr>
                  </w:pPr>
                </w:p>
              </w:tc>
            </w:tr>
          </w:tbl>
          <w:p w14:paraId="25A0A84D">
            <w:pPr>
              <w:numPr>
                <w:ilvl w:val="0"/>
                <w:numId w:val="6"/>
              </w:numPr>
              <w:ind w:firstLine="480" w:firstLineChars="200"/>
              <w:rPr>
                <w:color w:val="auto"/>
                <w:highlight w:val="none"/>
              </w:rPr>
            </w:pPr>
            <w:r>
              <w:rPr>
                <w:rFonts w:hint="eastAsia"/>
                <w:snapToGrid w:val="0"/>
                <w:color w:val="auto"/>
                <w:highlight w:val="none"/>
              </w:rPr>
              <w:t>依托可行性分析</w:t>
            </w:r>
          </w:p>
          <w:p w14:paraId="580F85D6">
            <w:pPr>
              <w:ind w:firstLine="480" w:firstLineChars="200"/>
              <w:rPr>
                <w:snapToGrid w:val="0"/>
                <w:color w:val="auto"/>
                <w:highlight w:val="none"/>
              </w:rPr>
            </w:pPr>
            <w:r>
              <w:rPr>
                <w:rFonts w:hint="eastAsia"/>
                <w:snapToGrid w:val="0"/>
                <w:color w:val="auto"/>
                <w:highlight w:val="none"/>
              </w:rPr>
              <w:t>本项目位于</w:t>
            </w:r>
            <w:r>
              <w:rPr>
                <w:rFonts w:hint="eastAsia"/>
                <w:color w:val="auto"/>
                <w:highlight w:val="none"/>
              </w:rPr>
              <w:t>内蒙古自治区鄂尔多斯市蒙苏经济开发区零碳产业园工业废水处理厂厂区内，用水废水处理厂浓水处理系统提供蒸汽，</w:t>
            </w:r>
            <w:r>
              <w:rPr>
                <w:rFonts w:hint="eastAsia"/>
                <w:snapToGrid w:val="0"/>
                <w:color w:val="auto"/>
                <w:highlight w:val="none"/>
              </w:rPr>
              <w:t>生产废水排入本公司废水处理厂隆基废水处理系统进行处理后，回用隆基生产用水，不外排。</w:t>
            </w:r>
          </w:p>
          <w:p w14:paraId="5C26D614">
            <w:pPr>
              <w:ind w:firstLine="480"/>
              <w:rPr>
                <w:color w:val="auto"/>
                <w:highlight w:val="none"/>
              </w:rPr>
            </w:pPr>
            <w:r>
              <w:rPr>
                <w:rFonts w:hint="eastAsia"/>
                <w:color w:val="auto"/>
                <w:highlight w:val="none"/>
              </w:rPr>
              <w:t>根据《鄂尔多斯蒙苏经济开发区零碳产业园工业废水处理厂及水资源再生利用项目环境影响报告书》，污水处理厂</w:t>
            </w:r>
            <w:r>
              <w:rPr>
                <w:color w:val="auto"/>
                <w:highlight w:val="none"/>
              </w:rPr>
              <w:t>共设置两套处理系统，一套6万m³/d的隆基废水处理系统，出水满足《城市污水再生利用  工业用水水质》（GB/T19923-2005）敞开式循环冷却水系统补充用水标准要求并同时满足隆基生产用水要求回用做隆基生产用水；一套4万m³/d其他废水处理系统，出水满足《城市污水再生利用工业用水水质》（GB/T19923-2005）中直流冷却、洗涤（循环冷却）用水标准，最终回用于其他企业生产用水及园区内消防用水。</w:t>
            </w:r>
          </w:p>
          <w:p w14:paraId="07FA56C4">
            <w:pPr>
              <w:ind w:firstLine="480"/>
              <w:rPr>
                <w:color w:val="auto"/>
                <w:highlight w:val="none"/>
              </w:rPr>
            </w:pPr>
            <w:r>
              <w:rPr>
                <w:rFonts w:hint="eastAsia"/>
                <w:color w:val="auto"/>
                <w:highlight w:val="none"/>
              </w:rPr>
              <w:t>根据《鄂尔多斯蒙苏经济产业园零碳产业园工业污水处理厂及水资源再生利用项目竣工环境保护验收监测报告》，现状生产废水进入隆基废水处理系统处理，隆基废水处理系统处理生产废水15944.27</w:t>
            </w:r>
            <w:r>
              <w:rPr>
                <w:color w:val="auto"/>
                <w:highlight w:val="none"/>
              </w:rPr>
              <w:t>m³/d</w:t>
            </w:r>
            <w:r>
              <w:rPr>
                <w:rFonts w:hint="eastAsia"/>
                <w:color w:val="auto"/>
                <w:highlight w:val="none"/>
              </w:rPr>
              <w:t>，本项目</w:t>
            </w:r>
            <w:r>
              <w:rPr>
                <w:rFonts w:hint="eastAsia"/>
                <w:color w:val="auto"/>
                <w:highlight w:val="none"/>
                <w:lang w:val="en-US" w:eastAsia="zh-CN"/>
              </w:rPr>
              <w:t>废水</w:t>
            </w:r>
            <w:r>
              <w:rPr>
                <w:rFonts w:hint="eastAsia"/>
                <w:color w:val="auto"/>
                <w:highlight w:val="none"/>
              </w:rPr>
              <w:t>日排放量</w:t>
            </w:r>
            <w:r>
              <w:rPr>
                <w:rFonts w:hint="eastAsia"/>
                <w:color w:val="auto"/>
                <w:highlight w:val="none"/>
                <w:lang w:val="en-US" w:eastAsia="zh-CN"/>
              </w:rPr>
              <w:t>76.32</w:t>
            </w:r>
            <w:r>
              <w:rPr>
                <w:color w:val="auto"/>
                <w:highlight w:val="none"/>
              </w:rPr>
              <w:t>m³/d</w:t>
            </w:r>
            <w:r>
              <w:rPr>
                <w:rFonts w:hint="eastAsia"/>
                <w:color w:val="auto"/>
                <w:highlight w:val="none"/>
              </w:rPr>
              <w:t>，依托进入废水处理厂隆基废水处理系统处理可行。隆基废水处理系统</w:t>
            </w:r>
            <w:r>
              <w:rPr>
                <w:color w:val="auto"/>
                <w:highlight w:val="none"/>
              </w:rPr>
              <w:t>采用</w:t>
            </w:r>
            <w:r>
              <w:rPr>
                <w:rFonts w:hint="eastAsia"/>
                <w:color w:val="auto"/>
                <w:lang w:eastAsia="zh-CN"/>
              </w:rPr>
              <w:t>“</w:t>
            </w:r>
            <w:r>
              <w:rPr>
                <w:color w:val="auto"/>
              </w:rPr>
              <w:t>除硅除硬高效沉淀+1#生物池（多模式AO生物池）+除氟高效沉淀+过滤+臭氧催化氧化+纯膜MBBR+磁混凝沉淀+双模处理工艺→中水</w:t>
            </w:r>
            <w:r>
              <w:rPr>
                <w:rFonts w:hint="eastAsia"/>
                <w:color w:val="auto"/>
                <w:lang w:eastAsia="zh-CN"/>
              </w:rPr>
              <w:t>”</w:t>
            </w:r>
            <w:r>
              <w:rPr>
                <w:color w:val="auto"/>
                <w:highlight w:val="none"/>
              </w:rPr>
              <w:t>工艺</w:t>
            </w:r>
            <w:r>
              <w:rPr>
                <w:rFonts w:hint="eastAsia"/>
                <w:color w:val="auto"/>
                <w:highlight w:val="none"/>
              </w:rPr>
              <w:t>，属于《排污许可证申请与核发技术规范 锅炉》（HJ953-2018）表 4 锅炉排污单位废水类别、主要污染物项目、废水排放去向及污染防治设施一览表中推荐的可行技术。本项目依托可行。</w:t>
            </w:r>
          </w:p>
          <w:p w14:paraId="12CD49DE">
            <w:pPr>
              <w:adjustRightInd w:val="0"/>
              <w:snapToGrid w:val="0"/>
              <w:rPr>
                <w:b/>
                <w:color w:val="auto"/>
                <w:spacing w:val="-10"/>
                <w:szCs w:val="21"/>
                <w:highlight w:val="none"/>
              </w:rPr>
            </w:pPr>
            <w:r>
              <w:rPr>
                <w:b/>
                <w:color w:val="auto"/>
                <w:spacing w:val="-10"/>
                <w:szCs w:val="21"/>
                <w:highlight w:val="none"/>
              </w:rPr>
              <w:t>3.噪声</w:t>
            </w:r>
          </w:p>
          <w:p w14:paraId="4D0942C7">
            <w:pPr>
              <w:ind w:firstLine="480"/>
              <w:rPr>
                <w:color w:val="auto"/>
                <w:highlight w:val="none"/>
              </w:rPr>
            </w:pPr>
            <w:r>
              <w:rPr>
                <w:rFonts w:hint="eastAsia"/>
                <w:color w:val="auto"/>
                <w:highlight w:val="none"/>
              </w:rPr>
              <w:t>1）源强分析</w:t>
            </w:r>
          </w:p>
          <w:p w14:paraId="6862AFC0">
            <w:pPr>
              <w:ind w:firstLine="480"/>
              <w:rPr>
                <w:color w:val="auto"/>
                <w:highlight w:val="none"/>
              </w:rPr>
            </w:pPr>
            <w:r>
              <w:rPr>
                <w:rFonts w:hint="eastAsia"/>
                <w:color w:val="auto"/>
                <w:highlight w:val="none"/>
              </w:rPr>
              <w:t>本项目噪声源主要来自燃烧器、给水泵等设备。这些噪声源大部分是宽频带的，噪声源强一般都在80~90 dB（A）之间。本项目通过选用低噪音设备、设基础减震、厂房隔声等措施，噪声被控制在70dB（A）以下。</w:t>
            </w:r>
          </w:p>
          <w:p w14:paraId="3D00D7BC">
            <w:pPr>
              <w:pStyle w:val="60"/>
              <w:rPr>
                <w:rFonts w:hint="eastAsia"/>
                <w:color w:val="auto"/>
                <w:highlight w:val="none"/>
              </w:rPr>
            </w:pPr>
          </w:p>
          <w:p w14:paraId="70B2E3FD">
            <w:pPr>
              <w:pStyle w:val="60"/>
              <w:rPr>
                <w:color w:val="auto"/>
                <w:highlight w:val="none"/>
              </w:rPr>
            </w:pPr>
            <w:r>
              <w:rPr>
                <w:rFonts w:hint="eastAsia"/>
                <w:color w:val="auto"/>
                <w:highlight w:val="none"/>
              </w:rPr>
              <w:t>表4-11</w:t>
            </w:r>
            <w:r>
              <w:rPr>
                <w:color w:val="auto"/>
                <w:highlight w:val="none"/>
              </w:rPr>
              <w:t xml:space="preserve">   </w:t>
            </w:r>
            <w:r>
              <w:rPr>
                <w:rFonts w:hint="eastAsia"/>
                <w:color w:val="auto"/>
                <w:highlight w:val="none"/>
              </w:rPr>
              <w:t>噪声源排放一览表</w:t>
            </w:r>
          </w:p>
          <w:tbl>
            <w:tblPr>
              <w:tblStyle w:val="57"/>
              <w:tblW w:w="4997"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457"/>
              <w:gridCol w:w="1205"/>
              <w:gridCol w:w="758"/>
              <w:gridCol w:w="2643"/>
              <w:gridCol w:w="1151"/>
            </w:tblGrid>
            <w:tr w14:paraId="2EBA1B0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0" w:type="pct"/>
                  <w:vAlign w:val="center"/>
                </w:tcPr>
                <w:p w14:paraId="1515A849">
                  <w:pPr>
                    <w:pStyle w:val="25"/>
                    <w:jc w:val="center"/>
                    <w:rPr>
                      <w:b w:val="0"/>
                      <w:color w:val="auto"/>
                      <w:highlight w:val="none"/>
                    </w:rPr>
                  </w:pPr>
                  <w:r>
                    <w:rPr>
                      <w:b/>
                      <w:color w:val="auto"/>
                      <w:highlight w:val="none"/>
                    </w:rPr>
                    <w:t>编号</w:t>
                  </w:r>
                </w:p>
              </w:tc>
              <w:tc>
                <w:tcPr>
                  <w:tcW w:w="912" w:type="pct"/>
                  <w:vAlign w:val="center"/>
                </w:tcPr>
                <w:p w14:paraId="7DE26B6C">
                  <w:pPr>
                    <w:pStyle w:val="25"/>
                    <w:jc w:val="center"/>
                    <w:rPr>
                      <w:b w:val="0"/>
                      <w:color w:val="auto"/>
                      <w:highlight w:val="none"/>
                    </w:rPr>
                  </w:pPr>
                  <w:r>
                    <w:rPr>
                      <w:b/>
                      <w:color w:val="auto"/>
                      <w:highlight w:val="none"/>
                    </w:rPr>
                    <w:t>噪声源</w:t>
                  </w:r>
                </w:p>
              </w:tc>
              <w:tc>
                <w:tcPr>
                  <w:tcW w:w="754" w:type="pct"/>
                  <w:vAlign w:val="center"/>
                </w:tcPr>
                <w:p w14:paraId="075A7FBE">
                  <w:pPr>
                    <w:pStyle w:val="25"/>
                    <w:jc w:val="center"/>
                    <w:rPr>
                      <w:b w:val="0"/>
                      <w:color w:val="auto"/>
                      <w:highlight w:val="none"/>
                    </w:rPr>
                  </w:pPr>
                  <w:r>
                    <w:rPr>
                      <w:b/>
                      <w:color w:val="auto"/>
                      <w:highlight w:val="none"/>
                    </w:rPr>
                    <w:t>声源强度dB(A)</w:t>
                  </w:r>
                </w:p>
              </w:tc>
              <w:tc>
                <w:tcPr>
                  <w:tcW w:w="475" w:type="pct"/>
                  <w:vAlign w:val="center"/>
                </w:tcPr>
                <w:p w14:paraId="7C004A16">
                  <w:pPr>
                    <w:pStyle w:val="25"/>
                    <w:jc w:val="center"/>
                    <w:rPr>
                      <w:b w:val="0"/>
                      <w:color w:val="auto"/>
                      <w:highlight w:val="none"/>
                    </w:rPr>
                  </w:pPr>
                  <w:r>
                    <w:rPr>
                      <w:b/>
                      <w:color w:val="auto"/>
                      <w:highlight w:val="none"/>
                    </w:rPr>
                    <w:t>工作特性</w:t>
                  </w:r>
                </w:p>
              </w:tc>
              <w:tc>
                <w:tcPr>
                  <w:tcW w:w="1655" w:type="pct"/>
                  <w:vAlign w:val="center"/>
                </w:tcPr>
                <w:p w14:paraId="13606799">
                  <w:pPr>
                    <w:pStyle w:val="25"/>
                    <w:jc w:val="center"/>
                    <w:rPr>
                      <w:b w:val="0"/>
                      <w:color w:val="auto"/>
                      <w:highlight w:val="none"/>
                    </w:rPr>
                  </w:pPr>
                  <w:r>
                    <w:rPr>
                      <w:b/>
                      <w:color w:val="auto"/>
                      <w:highlight w:val="none"/>
                    </w:rPr>
                    <w:t>控制措施</w:t>
                  </w:r>
                </w:p>
              </w:tc>
              <w:tc>
                <w:tcPr>
                  <w:tcW w:w="720" w:type="pct"/>
                  <w:vAlign w:val="center"/>
                </w:tcPr>
                <w:p w14:paraId="5300A3ED">
                  <w:pPr>
                    <w:pStyle w:val="25"/>
                    <w:jc w:val="center"/>
                    <w:rPr>
                      <w:b w:val="0"/>
                      <w:color w:val="auto"/>
                      <w:highlight w:val="none"/>
                    </w:rPr>
                  </w:pPr>
                  <w:r>
                    <w:rPr>
                      <w:b/>
                      <w:color w:val="auto"/>
                      <w:highlight w:val="none"/>
                    </w:rPr>
                    <w:t>降噪后声级dB(A)</w:t>
                  </w:r>
                </w:p>
              </w:tc>
            </w:tr>
            <w:tr w14:paraId="577C3A8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0" w:type="pct"/>
                  <w:vAlign w:val="center"/>
                </w:tcPr>
                <w:p w14:paraId="7A13D7A0">
                  <w:pPr>
                    <w:pStyle w:val="25"/>
                    <w:jc w:val="center"/>
                    <w:rPr>
                      <w:color w:val="auto"/>
                      <w:highlight w:val="none"/>
                    </w:rPr>
                  </w:pPr>
                  <w:r>
                    <w:rPr>
                      <w:rFonts w:hint="eastAsia"/>
                      <w:color w:val="auto"/>
                      <w:highlight w:val="none"/>
                    </w:rPr>
                    <w:t>1</w:t>
                  </w:r>
                </w:p>
              </w:tc>
              <w:tc>
                <w:tcPr>
                  <w:tcW w:w="912" w:type="pct"/>
                  <w:vAlign w:val="center"/>
                </w:tcPr>
                <w:p w14:paraId="0AB23F1A">
                  <w:pPr>
                    <w:pStyle w:val="25"/>
                    <w:jc w:val="center"/>
                    <w:rPr>
                      <w:color w:val="auto"/>
                      <w:highlight w:val="none"/>
                    </w:rPr>
                  </w:pPr>
                  <w:r>
                    <w:rPr>
                      <w:rFonts w:hint="eastAsia"/>
                      <w:color w:val="auto"/>
                      <w:highlight w:val="none"/>
                    </w:rPr>
                    <w:t>水泵</w:t>
                  </w:r>
                </w:p>
              </w:tc>
              <w:tc>
                <w:tcPr>
                  <w:tcW w:w="754" w:type="pct"/>
                  <w:vAlign w:val="center"/>
                </w:tcPr>
                <w:p w14:paraId="798B17D0">
                  <w:pPr>
                    <w:pStyle w:val="25"/>
                    <w:jc w:val="center"/>
                    <w:rPr>
                      <w:color w:val="auto"/>
                      <w:highlight w:val="none"/>
                    </w:rPr>
                  </w:pPr>
                  <w:r>
                    <w:rPr>
                      <w:rFonts w:hint="eastAsia"/>
                      <w:color w:val="auto"/>
                      <w:highlight w:val="none"/>
                    </w:rPr>
                    <w:t>80</w:t>
                  </w:r>
                </w:p>
              </w:tc>
              <w:tc>
                <w:tcPr>
                  <w:tcW w:w="475" w:type="pct"/>
                  <w:vAlign w:val="center"/>
                </w:tcPr>
                <w:p w14:paraId="1F6A45F8">
                  <w:pPr>
                    <w:pStyle w:val="25"/>
                    <w:jc w:val="center"/>
                    <w:rPr>
                      <w:color w:val="auto"/>
                      <w:highlight w:val="none"/>
                    </w:rPr>
                  </w:pPr>
                  <w:r>
                    <w:rPr>
                      <w:color w:val="auto"/>
                      <w:highlight w:val="none"/>
                    </w:rPr>
                    <w:t>连续</w:t>
                  </w:r>
                </w:p>
              </w:tc>
              <w:tc>
                <w:tcPr>
                  <w:tcW w:w="1655" w:type="pct"/>
                  <w:vAlign w:val="center"/>
                </w:tcPr>
                <w:p w14:paraId="223D06AF">
                  <w:pPr>
                    <w:pStyle w:val="25"/>
                    <w:jc w:val="center"/>
                    <w:rPr>
                      <w:color w:val="auto"/>
                      <w:highlight w:val="none"/>
                    </w:rPr>
                  </w:pPr>
                  <w:r>
                    <w:rPr>
                      <w:rFonts w:hint="eastAsia"/>
                      <w:color w:val="auto"/>
                      <w:highlight w:val="none"/>
                    </w:rPr>
                    <w:t>采用设备基础减震处理</w:t>
                  </w:r>
                </w:p>
              </w:tc>
              <w:tc>
                <w:tcPr>
                  <w:tcW w:w="720" w:type="pct"/>
                  <w:vAlign w:val="center"/>
                </w:tcPr>
                <w:p w14:paraId="66157065">
                  <w:pPr>
                    <w:pStyle w:val="25"/>
                    <w:jc w:val="center"/>
                    <w:rPr>
                      <w:color w:val="auto"/>
                      <w:highlight w:val="none"/>
                    </w:rPr>
                  </w:pPr>
                  <w:r>
                    <w:rPr>
                      <w:color w:val="auto"/>
                      <w:highlight w:val="none"/>
                    </w:rPr>
                    <w:t>＜7</w:t>
                  </w:r>
                  <w:r>
                    <w:rPr>
                      <w:rFonts w:hint="eastAsia"/>
                      <w:color w:val="auto"/>
                      <w:highlight w:val="none"/>
                    </w:rPr>
                    <w:t>0</w:t>
                  </w:r>
                </w:p>
              </w:tc>
            </w:tr>
            <w:tr w14:paraId="2B64930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0" w:type="pct"/>
                  <w:vAlign w:val="center"/>
                </w:tcPr>
                <w:p w14:paraId="61FC8B92">
                  <w:pPr>
                    <w:pStyle w:val="25"/>
                    <w:jc w:val="center"/>
                    <w:rPr>
                      <w:color w:val="auto"/>
                      <w:highlight w:val="none"/>
                    </w:rPr>
                  </w:pPr>
                  <w:r>
                    <w:rPr>
                      <w:rFonts w:hint="eastAsia"/>
                      <w:color w:val="auto"/>
                      <w:highlight w:val="none"/>
                    </w:rPr>
                    <w:t>2</w:t>
                  </w:r>
                </w:p>
              </w:tc>
              <w:tc>
                <w:tcPr>
                  <w:tcW w:w="912" w:type="pct"/>
                  <w:vAlign w:val="center"/>
                </w:tcPr>
                <w:p w14:paraId="1D760D85">
                  <w:pPr>
                    <w:pStyle w:val="25"/>
                    <w:jc w:val="center"/>
                    <w:rPr>
                      <w:color w:val="auto"/>
                      <w:highlight w:val="none"/>
                    </w:rPr>
                  </w:pPr>
                  <w:r>
                    <w:rPr>
                      <w:rFonts w:hint="eastAsia"/>
                      <w:color w:val="auto"/>
                      <w:highlight w:val="none"/>
                    </w:rPr>
                    <w:t>燃烧器</w:t>
                  </w:r>
                </w:p>
              </w:tc>
              <w:tc>
                <w:tcPr>
                  <w:tcW w:w="754" w:type="pct"/>
                  <w:vAlign w:val="center"/>
                </w:tcPr>
                <w:p w14:paraId="2C870384">
                  <w:pPr>
                    <w:pStyle w:val="25"/>
                    <w:jc w:val="center"/>
                    <w:rPr>
                      <w:color w:val="auto"/>
                      <w:highlight w:val="none"/>
                    </w:rPr>
                  </w:pPr>
                  <w:r>
                    <w:rPr>
                      <w:rFonts w:hint="eastAsia"/>
                      <w:color w:val="auto"/>
                      <w:highlight w:val="none"/>
                    </w:rPr>
                    <w:t>80</w:t>
                  </w:r>
                </w:p>
              </w:tc>
              <w:tc>
                <w:tcPr>
                  <w:tcW w:w="475" w:type="pct"/>
                  <w:vAlign w:val="center"/>
                </w:tcPr>
                <w:p w14:paraId="7738E015">
                  <w:pPr>
                    <w:pStyle w:val="25"/>
                    <w:jc w:val="center"/>
                    <w:rPr>
                      <w:color w:val="auto"/>
                      <w:highlight w:val="none"/>
                    </w:rPr>
                  </w:pPr>
                  <w:r>
                    <w:rPr>
                      <w:color w:val="auto"/>
                      <w:highlight w:val="none"/>
                    </w:rPr>
                    <w:t>连续</w:t>
                  </w:r>
                </w:p>
              </w:tc>
              <w:tc>
                <w:tcPr>
                  <w:tcW w:w="1655" w:type="pct"/>
                  <w:vAlign w:val="center"/>
                </w:tcPr>
                <w:p w14:paraId="516856B6">
                  <w:pPr>
                    <w:pStyle w:val="25"/>
                    <w:jc w:val="center"/>
                    <w:rPr>
                      <w:color w:val="auto"/>
                      <w:highlight w:val="none"/>
                    </w:rPr>
                  </w:pPr>
                  <w:r>
                    <w:rPr>
                      <w:rFonts w:hint="eastAsia"/>
                      <w:color w:val="auto"/>
                      <w:highlight w:val="none"/>
                    </w:rPr>
                    <w:t>采用低噪声设备</w:t>
                  </w:r>
                </w:p>
              </w:tc>
              <w:tc>
                <w:tcPr>
                  <w:tcW w:w="720" w:type="pct"/>
                  <w:vAlign w:val="center"/>
                </w:tcPr>
                <w:p w14:paraId="45A695F6">
                  <w:pPr>
                    <w:pStyle w:val="25"/>
                    <w:jc w:val="center"/>
                    <w:rPr>
                      <w:color w:val="auto"/>
                      <w:highlight w:val="none"/>
                    </w:rPr>
                  </w:pPr>
                  <w:r>
                    <w:rPr>
                      <w:color w:val="auto"/>
                      <w:highlight w:val="none"/>
                    </w:rPr>
                    <w:t>＜7</w:t>
                  </w:r>
                  <w:r>
                    <w:rPr>
                      <w:rFonts w:hint="eastAsia"/>
                      <w:color w:val="auto"/>
                      <w:highlight w:val="none"/>
                    </w:rPr>
                    <w:t>0</w:t>
                  </w:r>
                </w:p>
              </w:tc>
            </w:tr>
            <w:tr w14:paraId="079F8CD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0" w:type="pct"/>
                  <w:vAlign w:val="center"/>
                </w:tcPr>
                <w:p w14:paraId="1A88897D">
                  <w:pPr>
                    <w:pStyle w:val="25"/>
                    <w:jc w:val="center"/>
                    <w:rPr>
                      <w:color w:val="auto"/>
                      <w:highlight w:val="none"/>
                    </w:rPr>
                  </w:pPr>
                  <w:r>
                    <w:rPr>
                      <w:rFonts w:hint="eastAsia"/>
                      <w:color w:val="auto"/>
                      <w:highlight w:val="none"/>
                    </w:rPr>
                    <w:t>3</w:t>
                  </w:r>
                </w:p>
              </w:tc>
              <w:tc>
                <w:tcPr>
                  <w:tcW w:w="912" w:type="pct"/>
                  <w:vAlign w:val="center"/>
                </w:tcPr>
                <w:p w14:paraId="1973FC84">
                  <w:pPr>
                    <w:pStyle w:val="25"/>
                    <w:jc w:val="center"/>
                    <w:rPr>
                      <w:color w:val="auto"/>
                      <w:highlight w:val="none"/>
                    </w:rPr>
                  </w:pPr>
                  <w:r>
                    <w:rPr>
                      <w:rFonts w:hint="eastAsia"/>
                      <w:color w:val="auto"/>
                      <w:highlight w:val="none"/>
                    </w:rPr>
                    <w:t>风机</w:t>
                  </w:r>
                </w:p>
              </w:tc>
              <w:tc>
                <w:tcPr>
                  <w:tcW w:w="754" w:type="pct"/>
                  <w:vAlign w:val="center"/>
                </w:tcPr>
                <w:p w14:paraId="26D32798">
                  <w:pPr>
                    <w:pStyle w:val="25"/>
                    <w:jc w:val="center"/>
                    <w:rPr>
                      <w:color w:val="auto"/>
                      <w:highlight w:val="none"/>
                    </w:rPr>
                  </w:pPr>
                  <w:r>
                    <w:rPr>
                      <w:rFonts w:hint="eastAsia"/>
                      <w:color w:val="auto"/>
                      <w:highlight w:val="none"/>
                    </w:rPr>
                    <w:t>80</w:t>
                  </w:r>
                </w:p>
              </w:tc>
              <w:tc>
                <w:tcPr>
                  <w:tcW w:w="475" w:type="pct"/>
                  <w:vAlign w:val="center"/>
                </w:tcPr>
                <w:p w14:paraId="29F59BC6">
                  <w:pPr>
                    <w:pStyle w:val="25"/>
                    <w:jc w:val="center"/>
                    <w:rPr>
                      <w:color w:val="auto"/>
                      <w:highlight w:val="none"/>
                    </w:rPr>
                  </w:pPr>
                  <w:r>
                    <w:rPr>
                      <w:color w:val="auto"/>
                      <w:highlight w:val="none"/>
                    </w:rPr>
                    <w:t>连续</w:t>
                  </w:r>
                </w:p>
              </w:tc>
              <w:tc>
                <w:tcPr>
                  <w:tcW w:w="1655" w:type="pct"/>
                  <w:vAlign w:val="center"/>
                </w:tcPr>
                <w:p w14:paraId="3A8607E9">
                  <w:pPr>
                    <w:pStyle w:val="25"/>
                    <w:jc w:val="center"/>
                    <w:rPr>
                      <w:color w:val="auto"/>
                      <w:highlight w:val="none"/>
                    </w:rPr>
                  </w:pPr>
                  <w:r>
                    <w:rPr>
                      <w:rFonts w:hint="eastAsia"/>
                      <w:color w:val="auto"/>
                      <w:highlight w:val="none"/>
                    </w:rPr>
                    <w:t>采用低噪声设备</w:t>
                  </w:r>
                </w:p>
              </w:tc>
              <w:tc>
                <w:tcPr>
                  <w:tcW w:w="720" w:type="pct"/>
                  <w:vAlign w:val="center"/>
                </w:tcPr>
                <w:p w14:paraId="665A72A2">
                  <w:pPr>
                    <w:pStyle w:val="25"/>
                    <w:jc w:val="center"/>
                    <w:rPr>
                      <w:color w:val="auto"/>
                      <w:highlight w:val="none"/>
                    </w:rPr>
                  </w:pPr>
                  <w:r>
                    <w:rPr>
                      <w:color w:val="auto"/>
                      <w:highlight w:val="none"/>
                    </w:rPr>
                    <w:t>＜7</w:t>
                  </w:r>
                  <w:r>
                    <w:rPr>
                      <w:rFonts w:hint="eastAsia"/>
                      <w:color w:val="auto"/>
                      <w:highlight w:val="none"/>
                    </w:rPr>
                    <w:t>0</w:t>
                  </w:r>
                </w:p>
              </w:tc>
            </w:tr>
          </w:tbl>
          <w:p w14:paraId="568BF020">
            <w:pPr>
              <w:spacing w:line="520" w:lineRule="exact"/>
              <w:ind w:firstLine="480" w:firstLineChars="200"/>
              <w:rPr>
                <w:bCs/>
                <w:color w:val="auto"/>
                <w:highlight w:val="none"/>
              </w:rPr>
            </w:pPr>
            <w:r>
              <w:rPr>
                <w:rFonts w:hint="eastAsia"/>
                <w:bCs/>
                <w:color w:val="auto"/>
                <w:highlight w:val="none"/>
              </w:rPr>
              <w:t>采取以上措施后，厂界噪声值可满足《工业企业厂界环境噪声排放标准》（GB12348-2008）3类标准限值要求。项目运营期对区域声环境影响较小，措施可行。</w:t>
            </w:r>
          </w:p>
          <w:p w14:paraId="5A0913E7">
            <w:pPr>
              <w:pStyle w:val="24"/>
              <w:numPr>
                <w:ilvl w:val="0"/>
                <w:numId w:val="7"/>
              </w:numPr>
              <w:ind w:firstLine="480"/>
              <w:rPr>
                <w:color w:val="auto"/>
                <w:highlight w:val="none"/>
              </w:rPr>
            </w:pPr>
            <w:r>
              <w:rPr>
                <w:rFonts w:hint="eastAsia"/>
                <w:color w:val="auto"/>
                <w:highlight w:val="none"/>
              </w:rPr>
              <w:t>监测计划</w:t>
            </w:r>
          </w:p>
          <w:p w14:paraId="47D1775E">
            <w:pPr>
              <w:pStyle w:val="24"/>
              <w:ind w:firstLine="480"/>
              <w:rPr>
                <w:color w:val="auto"/>
                <w:highlight w:val="none"/>
              </w:rPr>
            </w:pPr>
            <w:r>
              <w:rPr>
                <w:color w:val="auto"/>
                <w:highlight w:val="none"/>
              </w:rPr>
              <w:t>根据《排污许可证申请与核发技术规范 工业噪声》（HJ 1301—2023），本项目噪声监测计划及记录信息表见下表。</w:t>
            </w:r>
          </w:p>
          <w:p w14:paraId="63634907">
            <w:pPr>
              <w:pStyle w:val="60"/>
              <w:rPr>
                <w:color w:val="auto"/>
                <w:highlight w:val="none"/>
              </w:rPr>
            </w:pPr>
            <w:r>
              <w:rPr>
                <w:rFonts w:hint="eastAsia"/>
                <w:color w:val="auto"/>
                <w:highlight w:val="none"/>
              </w:rPr>
              <w:t>表4-12</w:t>
            </w:r>
            <w:r>
              <w:rPr>
                <w:color w:val="auto"/>
                <w:highlight w:val="none"/>
              </w:rPr>
              <w:t xml:space="preserve">  </w:t>
            </w:r>
            <w:r>
              <w:rPr>
                <w:rFonts w:hint="eastAsia"/>
                <w:color w:val="auto"/>
                <w:highlight w:val="none"/>
              </w:rPr>
              <w:t>噪声监测计划表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83"/>
              <w:gridCol w:w="1867"/>
              <w:gridCol w:w="3959"/>
            </w:tblGrid>
            <w:tr w14:paraId="3B0642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1DE2EA51">
                  <w:pPr>
                    <w:pStyle w:val="25"/>
                    <w:jc w:val="center"/>
                    <w:rPr>
                      <w:b w:val="0"/>
                      <w:color w:val="auto"/>
                      <w:highlight w:val="none"/>
                    </w:rPr>
                  </w:pPr>
                  <w:r>
                    <w:rPr>
                      <w:rFonts w:hint="eastAsia"/>
                      <w:b/>
                      <w:color w:val="auto"/>
                      <w:highlight w:val="none"/>
                    </w:rPr>
                    <w:t>序号</w:t>
                  </w:r>
                </w:p>
              </w:tc>
              <w:tc>
                <w:tcPr>
                  <w:tcW w:w="929" w:type="pct"/>
                  <w:vAlign w:val="center"/>
                </w:tcPr>
                <w:p w14:paraId="617906F3">
                  <w:pPr>
                    <w:pStyle w:val="25"/>
                    <w:jc w:val="center"/>
                    <w:rPr>
                      <w:b w:val="0"/>
                      <w:color w:val="auto"/>
                      <w:highlight w:val="none"/>
                    </w:rPr>
                  </w:pPr>
                  <w:r>
                    <w:rPr>
                      <w:rFonts w:hint="eastAsia"/>
                      <w:b/>
                      <w:color w:val="auto"/>
                      <w:highlight w:val="none"/>
                    </w:rPr>
                    <w:t>监测点位</w:t>
                  </w:r>
                </w:p>
              </w:tc>
              <w:tc>
                <w:tcPr>
                  <w:tcW w:w="1170" w:type="pct"/>
                  <w:vAlign w:val="center"/>
                </w:tcPr>
                <w:p w14:paraId="67ACC5EC">
                  <w:pPr>
                    <w:pStyle w:val="25"/>
                    <w:jc w:val="center"/>
                    <w:rPr>
                      <w:b w:val="0"/>
                      <w:color w:val="auto"/>
                      <w:highlight w:val="none"/>
                    </w:rPr>
                  </w:pPr>
                  <w:r>
                    <w:rPr>
                      <w:rFonts w:hint="eastAsia"/>
                      <w:b/>
                      <w:color w:val="auto"/>
                      <w:highlight w:val="none"/>
                    </w:rPr>
                    <w:t>监测频次</w:t>
                  </w:r>
                </w:p>
              </w:tc>
              <w:tc>
                <w:tcPr>
                  <w:tcW w:w="2480" w:type="pct"/>
                  <w:vAlign w:val="center"/>
                </w:tcPr>
                <w:p w14:paraId="50BBE379">
                  <w:pPr>
                    <w:pStyle w:val="25"/>
                    <w:jc w:val="center"/>
                    <w:rPr>
                      <w:b w:val="0"/>
                      <w:color w:val="auto"/>
                      <w:highlight w:val="none"/>
                    </w:rPr>
                  </w:pPr>
                  <w:r>
                    <w:rPr>
                      <w:rFonts w:hint="eastAsia"/>
                      <w:b/>
                      <w:color w:val="auto"/>
                      <w:highlight w:val="none"/>
                    </w:rPr>
                    <w:t>执行标准</w:t>
                  </w:r>
                </w:p>
              </w:tc>
            </w:tr>
            <w:tr w14:paraId="2BC35C2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1D39851E">
                  <w:pPr>
                    <w:pStyle w:val="25"/>
                    <w:jc w:val="center"/>
                    <w:rPr>
                      <w:color w:val="auto"/>
                      <w:highlight w:val="none"/>
                    </w:rPr>
                  </w:pPr>
                  <w:r>
                    <w:rPr>
                      <w:rFonts w:hint="eastAsia"/>
                      <w:color w:val="auto"/>
                      <w:highlight w:val="none"/>
                    </w:rPr>
                    <w:t>1</w:t>
                  </w:r>
                </w:p>
              </w:tc>
              <w:tc>
                <w:tcPr>
                  <w:tcW w:w="929" w:type="pct"/>
                  <w:vAlign w:val="center"/>
                </w:tcPr>
                <w:p w14:paraId="5FE2C7B4">
                  <w:pPr>
                    <w:pStyle w:val="25"/>
                    <w:jc w:val="center"/>
                    <w:rPr>
                      <w:color w:val="auto"/>
                      <w:highlight w:val="none"/>
                    </w:rPr>
                  </w:pPr>
                  <w:r>
                    <w:rPr>
                      <w:rFonts w:hint="eastAsia"/>
                      <w:color w:val="auto"/>
                      <w:highlight w:val="none"/>
                    </w:rPr>
                    <w:t>厂界四周1m处</w:t>
                  </w:r>
                </w:p>
              </w:tc>
              <w:tc>
                <w:tcPr>
                  <w:tcW w:w="1170" w:type="pct"/>
                  <w:vAlign w:val="center"/>
                </w:tcPr>
                <w:p w14:paraId="0540A5D2">
                  <w:pPr>
                    <w:pStyle w:val="25"/>
                    <w:jc w:val="center"/>
                    <w:rPr>
                      <w:color w:val="auto"/>
                      <w:highlight w:val="none"/>
                    </w:rPr>
                  </w:pPr>
                  <w:r>
                    <w:rPr>
                      <w:rFonts w:hint="eastAsia"/>
                      <w:color w:val="auto"/>
                      <w:highlight w:val="none"/>
                    </w:rPr>
                    <w:t>1次/季度，昼夜各一次</w:t>
                  </w:r>
                </w:p>
              </w:tc>
              <w:tc>
                <w:tcPr>
                  <w:tcW w:w="2480" w:type="pct"/>
                  <w:vAlign w:val="center"/>
                </w:tcPr>
                <w:p w14:paraId="0FB7B45E">
                  <w:pPr>
                    <w:pStyle w:val="25"/>
                    <w:jc w:val="center"/>
                    <w:rPr>
                      <w:color w:val="auto"/>
                      <w:highlight w:val="none"/>
                    </w:rPr>
                  </w:pPr>
                  <w:r>
                    <w:rPr>
                      <w:color w:val="auto"/>
                      <w:highlight w:val="none"/>
                    </w:rPr>
                    <w:t>《工业企业厂界环境噪声排放标准》（GB12348-2008）3类标准限值</w:t>
                  </w:r>
                </w:p>
              </w:tc>
            </w:tr>
          </w:tbl>
          <w:p w14:paraId="6D4371F8">
            <w:pPr>
              <w:adjustRightInd w:val="0"/>
              <w:snapToGrid w:val="0"/>
              <w:rPr>
                <w:b/>
                <w:color w:val="auto"/>
                <w:spacing w:val="-10"/>
                <w:szCs w:val="21"/>
                <w:highlight w:val="none"/>
              </w:rPr>
            </w:pPr>
            <w:r>
              <w:rPr>
                <w:b/>
                <w:color w:val="auto"/>
                <w:spacing w:val="-10"/>
                <w:szCs w:val="21"/>
                <w:highlight w:val="none"/>
              </w:rPr>
              <w:t>4.固体废物</w:t>
            </w:r>
          </w:p>
          <w:p w14:paraId="4F248087">
            <w:pPr>
              <w:keepNext w:val="0"/>
              <w:keepLines w:val="0"/>
              <w:pageBreakBefore w:val="0"/>
              <w:widowControl w:val="0"/>
              <w:kinsoku/>
              <w:wordWrap/>
              <w:overflowPunct/>
              <w:topLinePunct w:val="0"/>
              <w:autoSpaceDE/>
              <w:autoSpaceDN/>
              <w:bidi w:val="0"/>
              <w:adjustRightInd/>
              <w:snapToGrid/>
              <w:ind w:firstLine="440" w:firstLineChars="200"/>
              <w:jc w:val="both"/>
              <w:textAlignment w:val="auto"/>
              <w:rPr>
                <w:bCs/>
                <w:color w:val="auto"/>
                <w:spacing w:val="-10"/>
                <w:szCs w:val="21"/>
                <w:highlight w:val="none"/>
              </w:rPr>
            </w:pPr>
            <w:r>
              <w:rPr>
                <w:rFonts w:hint="eastAsia"/>
                <w:bCs/>
                <w:color w:val="auto"/>
                <w:spacing w:val="-10"/>
                <w:szCs w:val="21"/>
                <w:highlight w:val="none"/>
              </w:rPr>
              <w:t>厂区现有员工兼顾本项目的运维管理，不新增劳动定员，无新增生活垃圾。</w:t>
            </w:r>
          </w:p>
          <w:p w14:paraId="024B0F5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auto"/>
                <w:highlight w:val="none"/>
              </w:rPr>
            </w:pPr>
            <w:bookmarkStart w:id="19" w:name="_Hlk101692768"/>
            <w:r>
              <w:rPr>
                <w:rFonts w:hint="eastAsia"/>
                <w:color w:val="auto"/>
                <w:highlight w:val="none"/>
              </w:rPr>
              <w:t>本项目生产过程中的固体废物主要</w:t>
            </w:r>
            <w:r>
              <w:rPr>
                <w:rFonts w:hint="eastAsia"/>
                <w:color w:val="auto"/>
                <w:highlight w:val="none"/>
                <w:lang w:val="en-US" w:eastAsia="zh-CN"/>
              </w:rPr>
              <w:t>为废离子交换树脂</w:t>
            </w:r>
            <w:r>
              <w:rPr>
                <w:rFonts w:hint="eastAsia"/>
                <w:color w:val="auto"/>
                <w:highlight w:val="none"/>
              </w:rPr>
              <w:t>。</w:t>
            </w:r>
          </w:p>
          <w:p w14:paraId="73205DEB">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auto"/>
                <w:highlight w:val="none"/>
              </w:rPr>
            </w:pPr>
            <w:r>
              <w:rPr>
                <w:rFonts w:hint="eastAsia"/>
                <w:color w:val="auto"/>
                <w:highlight w:val="none"/>
              </w:rPr>
              <w:t>项目产生的固体废物主要为废离子交换树脂。软水制备采用</w:t>
            </w:r>
            <w:r>
              <w:rPr>
                <w:rFonts w:hint="eastAsia"/>
                <w:color w:val="auto"/>
                <w:highlight w:val="none"/>
                <w:lang w:val="en-US" w:eastAsia="zh-CN"/>
              </w:rPr>
              <w:t>阴阳离子交换树脂制备</w:t>
            </w:r>
            <w:r>
              <w:rPr>
                <w:rFonts w:hint="eastAsia"/>
                <w:color w:val="auto"/>
                <w:highlight w:val="none"/>
              </w:rPr>
              <w:t>，</w:t>
            </w:r>
            <w:r>
              <w:rPr>
                <w:rFonts w:hint="eastAsia"/>
                <w:color w:val="auto"/>
                <w:highlight w:val="none"/>
                <w:lang w:val="en-US" w:eastAsia="zh-CN"/>
              </w:rPr>
              <w:t>阴阳离子交换树脂</w:t>
            </w:r>
            <w:r>
              <w:rPr>
                <w:rFonts w:hint="eastAsia"/>
                <w:color w:val="auto"/>
                <w:highlight w:val="none"/>
              </w:rPr>
              <w:t>可进行循环再生使用，离子交换树脂每5年更换一次，</w:t>
            </w:r>
            <w:r>
              <w:rPr>
                <w:color w:val="auto"/>
                <w:highlight w:val="none"/>
              </w:rPr>
              <w:t>废离子交换树脂</w:t>
            </w:r>
            <w:r>
              <w:rPr>
                <w:rFonts w:hint="eastAsia"/>
                <w:color w:val="auto"/>
                <w:highlight w:val="none"/>
              </w:rPr>
              <w:t>产生量约</w:t>
            </w:r>
            <w:r>
              <w:rPr>
                <w:rFonts w:hint="eastAsia"/>
                <w:color w:val="auto"/>
                <w:highlight w:val="none"/>
                <w:lang w:val="en-US" w:eastAsia="zh-CN"/>
              </w:rPr>
              <w:t>10</w:t>
            </w:r>
            <w:r>
              <w:rPr>
                <w:rFonts w:hint="eastAsia"/>
                <w:color w:val="auto"/>
                <w:highlight w:val="none"/>
              </w:rPr>
              <w:t>t/a，更换后暂存于废水处理厂危废暂存间，交由有危废处置资质的单位处理。</w:t>
            </w:r>
          </w:p>
          <w:p w14:paraId="4642D833">
            <w:pPr>
              <w:pStyle w:val="60"/>
              <w:rPr>
                <w:color w:val="auto"/>
                <w:highlight w:val="none"/>
              </w:rPr>
            </w:pPr>
            <w:r>
              <w:rPr>
                <w:rFonts w:hint="eastAsia"/>
                <w:color w:val="auto"/>
                <w:highlight w:val="none"/>
              </w:rPr>
              <w:t>表4-13</w:t>
            </w:r>
            <w:r>
              <w:rPr>
                <w:color w:val="auto"/>
                <w:highlight w:val="none"/>
              </w:rPr>
              <w:t xml:space="preserve">   </w:t>
            </w:r>
            <w:r>
              <w:rPr>
                <w:rFonts w:hint="eastAsia"/>
                <w:color w:val="auto"/>
                <w:highlight w:val="none"/>
              </w:rPr>
              <w:t>项目固废产排情况汇总表</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60"/>
              <w:gridCol w:w="750"/>
              <w:gridCol w:w="1211"/>
              <w:gridCol w:w="1064"/>
              <w:gridCol w:w="1718"/>
              <w:gridCol w:w="1406"/>
            </w:tblGrid>
            <w:tr w14:paraId="03449E0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530D6B89">
                  <w:pPr>
                    <w:pStyle w:val="25"/>
                    <w:jc w:val="center"/>
                    <w:rPr>
                      <w:b w:val="0"/>
                      <w:color w:val="auto"/>
                      <w:highlight w:val="none"/>
                    </w:rPr>
                  </w:pPr>
                  <w:r>
                    <w:rPr>
                      <w:rFonts w:hint="eastAsia"/>
                      <w:b/>
                      <w:color w:val="auto"/>
                      <w:highlight w:val="none"/>
                    </w:rPr>
                    <w:t>序号</w:t>
                  </w:r>
                </w:p>
              </w:tc>
              <w:tc>
                <w:tcPr>
                  <w:tcW w:w="726" w:type="pct"/>
                  <w:vAlign w:val="center"/>
                </w:tcPr>
                <w:p w14:paraId="237F96E7">
                  <w:pPr>
                    <w:pStyle w:val="25"/>
                    <w:jc w:val="center"/>
                    <w:rPr>
                      <w:b w:val="0"/>
                      <w:color w:val="auto"/>
                      <w:highlight w:val="none"/>
                    </w:rPr>
                  </w:pPr>
                  <w:r>
                    <w:rPr>
                      <w:rFonts w:hint="eastAsia"/>
                      <w:b/>
                      <w:color w:val="auto"/>
                      <w:highlight w:val="none"/>
                    </w:rPr>
                    <w:t>名称</w:t>
                  </w:r>
                </w:p>
              </w:tc>
              <w:tc>
                <w:tcPr>
                  <w:tcW w:w="469" w:type="pct"/>
                  <w:vAlign w:val="center"/>
                </w:tcPr>
                <w:p w14:paraId="614C39C8">
                  <w:pPr>
                    <w:pStyle w:val="25"/>
                    <w:jc w:val="center"/>
                    <w:rPr>
                      <w:b w:val="0"/>
                      <w:color w:val="auto"/>
                      <w:highlight w:val="none"/>
                    </w:rPr>
                  </w:pPr>
                  <w:r>
                    <w:rPr>
                      <w:rFonts w:hint="eastAsia"/>
                      <w:b/>
                      <w:color w:val="auto"/>
                      <w:highlight w:val="none"/>
                    </w:rPr>
                    <w:t>形态</w:t>
                  </w:r>
                </w:p>
              </w:tc>
              <w:tc>
                <w:tcPr>
                  <w:tcW w:w="758" w:type="pct"/>
                  <w:vAlign w:val="center"/>
                </w:tcPr>
                <w:p w14:paraId="1CF93EFF">
                  <w:pPr>
                    <w:pStyle w:val="25"/>
                    <w:jc w:val="center"/>
                    <w:rPr>
                      <w:b w:val="0"/>
                      <w:color w:val="auto"/>
                      <w:highlight w:val="none"/>
                    </w:rPr>
                  </w:pPr>
                  <w:r>
                    <w:rPr>
                      <w:rFonts w:hint="eastAsia"/>
                      <w:b/>
                      <w:color w:val="auto"/>
                      <w:highlight w:val="none"/>
                    </w:rPr>
                    <w:t>产生量t/a</w:t>
                  </w:r>
                </w:p>
              </w:tc>
              <w:tc>
                <w:tcPr>
                  <w:tcW w:w="666" w:type="pct"/>
                  <w:vAlign w:val="center"/>
                </w:tcPr>
                <w:p w14:paraId="6C821482">
                  <w:pPr>
                    <w:pStyle w:val="25"/>
                    <w:jc w:val="center"/>
                    <w:rPr>
                      <w:b w:val="0"/>
                      <w:color w:val="auto"/>
                      <w:highlight w:val="none"/>
                    </w:rPr>
                  </w:pPr>
                  <w:r>
                    <w:rPr>
                      <w:rFonts w:hint="eastAsia"/>
                      <w:b/>
                      <w:color w:val="auto"/>
                      <w:highlight w:val="none"/>
                    </w:rPr>
                    <w:t>属性</w:t>
                  </w:r>
                </w:p>
              </w:tc>
              <w:tc>
                <w:tcPr>
                  <w:tcW w:w="1076" w:type="pct"/>
                  <w:vAlign w:val="center"/>
                </w:tcPr>
                <w:p w14:paraId="708BF1B2">
                  <w:pPr>
                    <w:pStyle w:val="25"/>
                    <w:jc w:val="center"/>
                    <w:rPr>
                      <w:b w:val="0"/>
                      <w:color w:val="auto"/>
                      <w:highlight w:val="none"/>
                    </w:rPr>
                  </w:pPr>
                  <w:r>
                    <w:rPr>
                      <w:rFonts w:hint="eastAsia"/>
                      <w:b/>
                      <w:color w:val="auto"/>
                      <w:highlight w:val="none"/>
                    </w:rPr>
                    <w:t>固废编码</w:t>
                  </w:r>
                </w:p>
              </w:tc>
              <w:tc>
                <w:tcPr>
                  <w:tcW w:w="881" w:type="pct"/>
                  <w:vAlign w:val="center"/>
                </w:tcPr>
                <w:p w14:paraId="1BE0060F">
                  <w:pPr>
                    <w:pStyle w:val="25"/>
                    <w:jc w:val="center"/>
                    <w:rPr>
                      <w:b w:val="0"/>
                      <w:color w:val="auto"/>
                      <w:highlight w:val="none"/>
                    </w:rPr>
                  </w:pPr>
                  <w:r>
                    <w:rPr>
                      <w:rFonts w:hint="eastAsia"/>
                      <w:b/>
                      <w:color w:val="auto"/>
                      <w:highlight w:val="none"/>
                    </w:rPr>
                    <w:t>处置方式</w:t>
                  </w:r>
                </w:p>
              </w:tc>
            </w:tr>
            <w:tr w14:paraId="3F0B03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43896772">
                  <w:pPr>
                    <w:pStyle w:val="25"/>
                    <w:jc w:val="center"/>
                    <w:rPr>
                      <w:color w:val="auto"/>
                      <w:highlight w:val="none"/>
                    </w:rPr>
                  </w:pPr>
                  <w:r>
                    <w:rPr>
                      <w:rFonts w:hint="eastAsia"/>
                      <w:color w:val="auto"/>
                      <w:highlight w:val="none"/>
                    </w:rPr>
                    <w:t>1</w:t>
                  </w:r>
                </w:p>
              </w:tc>
              <w:tc>
                <w:tcPr>
                  <w:tcW w:w="726" w:type="pct"/>
                  <w:vAlign w:val="center"/>
                </w:tcPr>
                <w:p w14:paraId="2C3C405B">
                  <w:pPr>
                    <w:pStyle w:val="25"/>
                    <w:jc w:val="center"/>
                    <w:rPr>
                      <w:color w:val="auto"/>
                      <w:highlight w:val="none"/>
                    </w:rPr>
                  </w:pPr>
                  <w:r>
                    <w:rPr>
                      <w:rFonts w:hint="eastAsia"/>
                      <w:color w:val="auto"/>
                      <w:highlight w:val="none"/>
                    </w:rPr>
                    <w:t>废离子交换树脂</w:t>
                  </w:r>
                </w:p>
              </w:tc>
              <w:tc>
                <w:tcPr>
                  <w:tcW w:w="469" w:type="pct"/>
                  <w:vAlign w:val="center"/>
                </w:tcPr>
                <w:p w14:paraId="3A8AE974">
                  <w:pPr>
                    <w:pStyle w:val="25"/>
                    <w:jc w:val="center"/>
                    <w:rPr>
                      <w:color w:val="auto"/>
                      <w:highlight w:val="none"/>
                    </w:rPr>
                  </w:pPr>
                  <w:r>
                    <w:rPr>
                      <w:rFonts w:hint="eastAsia"/>
                      <w:color w:val="auto"/>
                      <w:highlight w:val="none"/>
                    </w:rPr>
                    <w:t>固态</w:t>
                  </w:r>
                </w:p>
              </w:tc>
              <w:tc>
                <w:tcPr>
                  <w:tcW w:w="758" w:type="pct"/>
                  <w:vAlign w:val="center"/>
                </w:tcPr>
                <w:p w14:paraId="1AA8D3FF">
                  <w:pPr>
                    <w:pStyle w:val="25"/>
                    <w:jc w:val="center"/>
                    <w:rPr>
                      <w:color w:val="auto"/>
                      <w:highlight w:val="none"/>
                    </w:rPr>
                  </w:pPr>
                  <w:r>
                    <w:rPr>
                      <w:rFonts w:hint="eastAsia"/>
                      <w:color w:val="auto"/>
                      <w:highlight w:val="none"/>
                      <w:lang w:val="en-US" w:eastAsia="zh-CN"/>
                    </w:rPr>
                    <w:t>10</w:t>
                  </w:r>
                  <w:r>
                    <w:rPr>
                      <w:rFonts w:hint="eastAsia"/>
                      <w:color w:val="auto"/>
                      <w:highlight w:val="none"/>
                    </w:rPr>
                    <w:t>t/a</w:t>
                  </w:r>
                </w:p>
              </w:tc>
              <w:tc>
                <w:tcPr>
                  <w:tcW w:w="666" w:type="pct"/>
                  <w:vAlign w:val="center"/>
                </w:tcPr>
                <w:p w14:paraId="1304AF3F">
                  <w:pPr>
                    <w:pStyle w:val="25"/>
                    <w:jc w:val="center"/>
                    <w:rPr>
                      <w:rFonts w:hint="default" w:eastAsia="宋体"/>
                      <w:color w:val="auto"/>
                      <w:highlight w:val="none"/>
                      <w:lang w:val="en-US" w:eastAsia="zh-CN"/>
                    </w:rPr>
                  </w:pPr>
                  <w:r>
                    <w:rPr>
                      <w:rFonts w:hint="eastAsia"/>
                      <w:color w:val="auto"/>
                      <w:highlight w:val="none"/>
                      <w:lang w:val="en-US" w:eastAsia="zh-CN"/>
                    </w:rPr>
                    <w:t>危险废物</w:t>
                  </w:r>
                </w:p>
              </w:tc>
              <w:tc>
                <w:tcPr>
                  <w:tcW w:w="1076" w:type="pct"/>
                  <w:vAlign w:val="center"/>
                </w:tcPr>
                <w:p w14:paraId="100BB523">
                  <w:pPr>
                    <w:pStyle w:val="25"/>
                    <w:jc w:val="center"/>
                    <w:rPr>
                      <w:rFonts w:hint="eastAsia"/>
                      <w:color w:val="auto"/>
                      <w:highlight w:val="none"/>
                      <w:lang w:val="en-US" w:eastAsia="zh-CN"/>
                    </w:rPr>
                  </w:pPr>
                  <w:r>
                    <w:rPr>
                      <w:rFonts w:hint="eastAsia"/>
                      <w:color w:val="auto"/>
                      <w:highlight w:val="none"/>
                      <w:lang w:val="en-US" w:eastAsia="zh-CN"/>
                    </w:rPr>
                    <w:t>HW13</w:t>
                  </w:r>
                </w:p>
                <w:p w14:paraId="2F55B9F6">
                  <w:pPr>
                    <w:pStyle w:val="25"/>
                    <w:jc w:val="center"/>
                    <w:rPr>
                      <w:rFonts w:hint="default"/>
                      <w:color w:val="auto"/>
                      <w:highlight w:val="none"/>
                      <w:lang w:val="en-US" w:eastAsia="zh-CN"/>
                    </w:rPr>
                  </w:pPr>
                  <w:r>
                    <w:rPr>
                      <w:rFonts w:hint="eastAsia"/>
                      <w:color w:val="auto"/>
                      <w:highlight w:val="none"/>
                      <w:lang w:val="en-US" w:eastAsia="zh-CN"/>
                    </w:rPr>
                    <w:t>有机树脂类废物900-015-13</w:t>
                  </w:r>
                </w:p>
              </w:tc>
              <w:tc>
                <w:tcPr>
                  <w:tcW w:w="881" w:type="pct"/>
                  <w:vAlign w:val="center"/>
                </w:tcPr>
                <w:p w14:paraId="6DD7BD57">
                  <w:pPr>
                    <w:pStyle w:val="25"/>
                    <w:jc w:val="center"/>
                    <w:rPr>
                      <w:rFonts w:hint="default" w:eastAsia="宋体"/>
                      <w:color w:val="auto"/>
                      <w:highlight w:val="none"/>
                      <w:lang w:val="en-US" w:eastAsia="zh-CN"/>
                    </w:rPr>
                  </w:pPr>
                  <w:r>
                    <w:rPr>
                      <w:rFonts w:hint="eastAsia"/>
                      <w:color w:val="auto"/>
                      <w:highlight w:val="none"/>
                      <w:lang w:val="en-US" w:eastAsia="zh-CN"/>
                    </w:rPr>
                    <w:t>危废库暂存，委托有资质单位处理</w:t>
                  </w:r>
                </w:p>
              </w:tc>
            </w:tr>
            <w:bookmarkEnd w:id="19"/>
          </w:tbl>
          <w:p w14:paraId="1E9BA142">
            <w:pPr>
              <w:numPr>
                <w:ilvl w:val="0"/>
                <w:numId w:val="8"/>
              </w:numPr>
              <w:rPr>
                <w:b/>
                <w:bCs/>
                <w:color w:val="auto"/>
                <w:highlight w:val="none"/>
              </w:rPr>
            </w:pPr>
            <w:r>
              <w:rPr>
                <w:rFonts w:hint="eastAsia"/>
                <w:b/>
                <w:bCs/>
                <w:color w:val="auto"/>
                <w:highlight w:val="none"/>
              </w:rPr>
              <w:t>污染物排放三本账</w:t>
            </w:r>
          </w:p>
          <w:p w14:paraId="207B42A9">
            <w:pPr>
              <w:pStyle w:val="24"/>
              <w:ind w:firstLine="480"/>
              <w:rPr>
                <w:color w:val="auto"/>
                <w:highlight w:val="none"/>
              </w:rPr>
            </w:pPr>
            <w:r>
              <w:rPr>
                <w:rFonts w:hint="eastAsia"/>
                <w:color w:val="auto"/>
                <w:highlight w:val="none"/>
              </w:rPr>
              <w:t>本项目属于</w:t>
            </w:r>
            <w:r>
              <w:rPr>
                <w:rFonts w:hint="eastAsia"/>
                <w:color w:val="auto"/>
                <w:highlight w:val="none"/>
                <w:lang w:val="en-US" w:eastAsia="zh-CN"/>
              </w:rPr>
              <w:t>变更工程</w:t>
            </w:r>
            <w:r>
              <w:rPr>
                <w:rFonts w:hint="eastAsia"/>
                <w:color w:val="auto"/>
                <w:highlight w:val="none"/>
              </w:rPr>
              <w:t>，项目不新增人员，不新增生活污水和生活垃圾。本项目建设前后的污染物排放情况见表4-14。原有工程污染物排放量数据来源于原环评报告。</w:t>
            </w:r>
          </w:p>
          <w:p w14:paraId="7923D7FC">
            <w:pPr>
              <w:pStyle w:val="60"/>
              <w:rPr>
                <w:color w:val="auto"/>
                <w:highlight w:val="none"/>
              </w:rPr>
            </w:pPr>
            <w:r>
              <w:rPr>
                <w:rFonts w:hint="eastAsia"/>
                <w:color w:val="auto"/>
                <w:highlight w:val="none"/>
              </w:rPr>
              <w:t>表4-14</w:t>
            </w:r>
            <w:r>
              <w:rPr>
                <w:color w:val="auto"/>
                <w:highlight w:val="none"/>
              </w:rPr>
              <w:t xml:space="preserve">   </w:t>
            </w:r>
            <w:r>
              <w:rPr>
                <w:rFonts w:hint="eastAsia"/>
                <w:color w:val="auto"/>
                <w:highlight w:val="none"/>
                <w:lang w:val="en-US" w:eastAsia="zh-CN"/>
              </w:rPr>
              <w:t>变更</w:t>
            </w:r>
            <w:r>
              <w:rPr>
                <w:rFonts w:hint="eastAsia"/>
                <w:color w:val="auto"/>
                <w:highlight w:val="none"/>
              </w:rPr>
              <w:t>前后污染物排放“</w:t>
            </w:r>
            <w:r>
              <w:rPr>
                <w:rFonts w:hint="eastAsia"/>
                <w:color w:val="auto"/>
                <w:highlight w:val="none"/>
                <w:lang w:eastAsia="zh-CN"/>
              </w:rPr>
              <w:t>三本账</w:t>
            </w:r>
            <w:r>
              <w:rPr>
                <w:rFonts w:hint="eastAsia"/>
                <w:color w:val="auto"/>
                <w:highlight w:val="none"/>
              </w:rPr>
              <w:t>”分析</w:t>
            </w:r>
          </w:p>
          <w:tbl>
            <w:tblPr>
              <w:tblStyle w:val="57"/>
              <w:tblW w:w="4996"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48"/>
              <w:gridCol w:w="936"/>
              <w:gridCol w:w="1142"/>
              <w:gridCol w:w="1107"/>
              <w:gridCol w:w="1154"/>
              <w:gridCol w:w="922"/>
              <w:gridCol w:w="1500"/>
            </w:tblGrid>
            <w:tr w14:paraId="2CBC22B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03B58F0B">
                  <w:pPr>
                    <w:pStyle w:val="25"/>
                    <w:jc w:val="center"/>
                    <w:rPr>
                      <w:b w:val="0"/>
                      <w:color w:val="auto"/>
                      <w:highlight w:val="none"/>
                    </w:rPr>
                  </w:pPr>
                  <w:r>
                    <w:rPr>
                      <w:rFonts w:hint="eastAsia"/>
                      <w:b/>
                      <w:color w:val="auto"/>
                      <w:highlight w:val="none"/>
                    </w:rPr>
                    <w:t>类别</w:t>
                  </w:r>
                </w:p>
              </w:tc>
              <w:tc>
                <w:tcPr>
                  <w:tcW w:w="929" w:type="pct"/>
                  <w:gridSpan w:val="2"/>
                  <w:vAlign w:val="center"/>
                </w:tcPr>
                <w:p w14:paraId="260679E7">
                  <w:pPr>
                    <w:pStyle w:val="25"/>
                    <w:jc w:val="center"/>
                    <w:rPr>
                      <w:b w:val="0"/>
                      <w:color w:val="auto"/>
                      <w:highlight w:val="none"/>
                    </w:rPr>
                  </w:pPr>
                  <w:r>
                    <w:rPr>
                      <w:rFonts w:hint="eastAsia"/>
                      <w:b/>
                      <w:color w:val="auto"/>
                      <w:highlight w:val="none"/>
                    </w:rPr>
                    <w:t>污染物</w:t>
                  </w:r>
                </w:p>
              </w:tc>
              <w:tc>
                <w:tcPr>
                  <w:tcW w:w="715" w:type="pct"/>
                  <w:vAlign w:val="center"/>
                </w:tcPr>
                <w:p w14:paraId="508A8B2C">
                  <w:pPr>
                    <w:pStyle w:val="25"/>
                    <w:jc w:val="center"/>
                    <w:rPr>
                      <w:b w:val="0"/>
                      <w:color w:val="auto"/>
                      <w:highlight w:val="none"/>
                    </w:rPr>
                  </w:pPr>
                  <w:r>
                    <w:rPr>
                      <w:rFonts w:hint="eastAsia"/>
                      <w:b/>
                      <w:color w:val="auto"/>
                      <w:highlight w:val="none"/>
                    </w:rPr>
                    <w:t>原有工程排放量</w:t>
                  </w:r>
                </w:p>
              </w:tc>
              <w:tc>
                <w:tcPr>
                  <w:tcW w:w="694" w:type="pct"/>
                  <w:vAlign w:val="center"/>
                </w:tcPr>
                <w:p w14:paraId="12B31439">
                  <w:pPr>
                    <w:pStyle w:val="25"/>
                    <w:jc w:val="center"/>
                    <w:rPr>
                      <w:b w:val="0"/>
                      <w:color w:val="auto"/>
                      <w:highlight w:val="none"/>
                    </w:rPr>
                  </w:pPr>
                  <w:r>
                    <w:rPr>
                      <w:rFonts w:hint="eastAsia"/>
                      <w:b/>
                      <w:color w:val="auto"/>
                      <w:highlight w:val="none"/>
                      <w:lang w:val="en-US" w:eastAsia="zh-CN"/>
                    </w:rPr>
                    <w:t>变更</w:t>
                  </w:r>
                  <w:r>
                    <w:rPr>
                      <w:rFonts w:hint="eastAsia"/>
                      <w:b/>
                      <w:color w:val="auto"/>
                      <w:highlight w:val="none"/>
                    </w:rPr>
                    <w:t>工程排放量</w:t>
                  </w:r>
                </w:p>
              </w:tc>
              <w:tc>
                <w:tcPr>
                  <w:tcW w:w="723" w:type="pct"/>
                  <w:vAlign w:val="center"/>
                </w:tcPr>
                <w:p w14:paraId="1651C401">
                  <w:pPr>
                    <w:pStyle w:val="25"/>
                    <w:jc w:val="center"/>
                    <w:rPr>
                      <w:b w:val="0"/>
                      <w:color w:val="auto"/>
                      <w:highlight w:val="none"/>
                    </w:rPr>
                  </w:pPr>
                  <w:r>
                    <w:rPr>
                      <w:rFonts w:hint="eastAsia"/>
                      <w:b/>
                      <w:color w:val="auto"/>
                      <w:highlight w:val="none"/>
                    </w:rPr>
                    <w:t>“以新带老”消减量</w:t>
                  </w:r>
                </w:p>
              </w:tc>
              <w:tc>
                <w:tcPr>
                  <w:tcW w:w="578" w:type="pct"/>
                  <w:vAlign w:val="center"/>
                </w:tcPr>
                <w:p w14:paraId="2274300A">
                  <w:pPr>
                    <w:pStyle w:val="25"/>
                    <w:jc w:val="center"/>
                    <w:rPr>
                      <w:b w:val="0"/>
                      <w:color w:val="auto"/>
                      <w:highlight w:val="none"/>
                    </w:rPr>
                  </w:pPr>
                  <w:r>
                    <w:rPr>
                      <w:rFonts w:hint="eastAsia"/>
                      <w:b/>
                      <w:color w:val="auto"/>
                      <w:highlight w:val="none"/>
                      <w:lang w:val="en-US" w:eastAsia="zh-CN"/>
                    </w:rPr>
                    <w:t>变更</w:t>
                  </w:r>
                  <w:r>
                    <w:rPr>
                      <w:rFonts w:hint="eastAsia"/>
                      <w:b/>
                      <w:color w:val="auto"/>
                      <w:highlight w:val="none"/>
                    </w:rPr>
                    <w:t>总排放量</w:t>
                  </w:r>
                </w:p>
              </w:tc>
              <w:tc>
                <w:tcPr>
                  <w:tcW w:w="940" w:type="pct"/>
                  <w:vAlign w:val="center"/>
                </w:tcPr>
                <w:p w14:paraId="54A1EBCD">
                  <w:pPr>
                    <w:pStyle w:val="25"/>
                    <w:jc w:val="center"/>
                    <w:rPr>
                      <w:b w:val="0"/>
                      <w:color w:val="auto"/>
                      <w:highlight w:val="none"/>
                    </w:rPr>
                  </w:pPr>
                  <w:r>
                    <w:rPr>
                      <w:rFonts w:hint="eastAsia"/>
                      <w:b/>
                      <w:color w:val="auto"/>
                      <w:highlight w:val="none"/>
                    </w:rPr>
                    <w:t>增减量变化</w:t>
                  </w:r>
                </w:p>
              </w:tc>
            </w:tr>
            <w:tr w14:paraId="7ADC28C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Merge w:val="restart"/>
                  <w:vAlign w:val="center"/>
                </w:tcPr>
                <w:p w14:paraId="7373898F">
                  <w:pPr>
                    <w:pStyle w:val="25"/>
                    <w:jc w:val="center"/>
                    <w:rPr>
                      <w:color w:val="auto"/>
                      <w:highlight w:val="none"/>
                    </w:rPr>
                  </w:pPr>
                  <w:r>
                    <w:rPr>
                      <w:rFonts w:hint="eastAsia"/>
                      <w:color w:val="auto"/>
                      <w:highlight w:val="none"/>
                    </w:rPr>
                    <w:t>大气</w:t>
                  </w:r>
                </w:p>
              </w:tc>
              <w:tc>
                <w:tcPr>
                  <w:tcW w:w="343" w:type="pct"/>
                  <w:vMerge w:val="restart"/>
                  <w:vAlign w:val="center"/>
                </w:tcPr>
                <w:p w14:paraId="7BEC1F10">
                  <w:pPr>
                    <w:pStyle w:val="25"/>
                    <w:jc w:val="center"/>
                    <w:rPr>
                      <w:color w:val="auto"/>
                      <w:highlight w:val="none"/>
                    </w:rPr>
                  </w:pPr>
                  <w:r>
                    <w:rPr>
                      <w:rFonts w:hint="eastAsia"/>
                      <w:color w:val="auto"/>
                      <w:highlight w:val="none"/>
                    </w:rPr>
                    <w:t>锅炉烟气</w:t>
                  </w:r>
                </w:p>
              </w:tc>
              <w:tc>
                <w:tcPr>
                  <w:tcW w:w="585" w:type="pct"/>
                  <w:vAlign w:val="center"/>
                </w:tcPr>
                <w:p w14:paraId="57C33EB9">
                  <w:pPr>
                    <w:pStyle w:val="25"/>
                    <w:jc w:val="center"/>
                    <w:rPr>
                      <w:color w:val="auto"/>
                      <w:highlight w:val="none"/>
                    </w:rPr>
                  </w:pPr>
                  <w:r>
                    <w:rPr>
                      <w:rFonts w:hint="eastAsia"/>
                      <w:color w:val="auto"/>
                      <w:highlight w:val="none"/>
                    </w:rPr>
                    <w:t>SO</w:t>
                  </w:r>
                  <w:r>
                    <w:rPr>
                      <w:rFonts w:hint="eastAsia"/>
                      <w:color w:val="auto"/>
                      <w:highlight w:val="none"/>
                      <w:vertAlign w:val="subscript"/>
                    </w:rPr>
                    <w:t>2</w:t>
                  </w:r>
                </w:p>
              </w:tc>
              <w:tc>
                <w:tcPr>
                  <w:tcW w:w="715" w:type="pct"/>
                  <w:vAlign w:val="center"/>
                </w:tcPr>
                <w:p w14:paraId="5B843912">
                  <w:pPr>
                    <w:pStyle w:val="25"/>
                    <w:jc w:val="center"/>
                    <w:rPr>
                      <w:color w:val="auto"/>
                      <w:highlight w:val="none"/>
                    </w:rPr>
                  </w:pPr>
                  <w:r>
                    <w:rPr>
                      <w:color w:val="auto"/>
                      <w:highlight w:val="none"/>
                    </w:rPr>
                    <w:t>0.11</w:t>
                  </w:r>
                  <w:r>
                    <w:rPr>
                      <w:rFonts w:hint="eastAsia"/>
                      <w:color w:val="auto"/>
                      <w:highlight w:val="none"/>
                    </w:rPr>
                    <w:t>t/a</w:t>
                  </w:r>
                </w:p>
              </w:tc>
              <w:tc>
                <w:tcPr>
                  <w:tcW w:w="694" w:type="pct"/>
                  <w:vAlign w:val="center"/>
                </w:tcPr>
                <w:p w14:paraId="7EB53B9A">
                  <w:pPr>
                    <w:pStyle w:val="25"/>
                    <w:jc w:val="center"/>
                    <w:rPr>
                      <w:color w:val="auto"/>
                      <w:highlight w:val="none"/>
                    </w:rPr>
                  </w:pPr>
                  <w:r>
                    <w:rPr>
                      <w:rFonts w:hint="eastAsia"/>
                      <w:color w:val="auto"/>
                      <w:highlight w:val="none"/>
                    </w:rPr>
                    <w:t>0.333t/a</w:t>
                  </w:r>
                </w:p>
              </w:tc>
              <w:tc>
                <w:tcPr>
                  <w:tcW w:w="1154" w:type="dxa"/>
                  <w:vAlign w:val="center"/>
                </w:tcPr>
                <w:p w14:paraId="29E92480">
                  <w:pPr>
                    <w:pStyle w:val="25"/>
                    <w:jc w:val="center"/>
                    <w:rPr>
                      <w:color w:val="auto"/>
                      <w:highlight w:val="none"/>
                    </w:rPr>
                  </w:pPr>
                  <w:r>
                    <w:rPr>
                      <w:color w:val="auto"/>
                      <w:highlight w:val="none"/>
                    </w:rPr>
                    <w:t>0.11</w:t>
                  </w:r>
                  <w:r>
                    <w:rPr>
                      <w:rFonts w:hint="eastAsia"/>
                      <w:color w:val="auto"/>
                      <w:highlight w:val="none"/>
                    </w:rPr>
                    <w:t>t/a</w:t>
                  </w:r>
                </w:p>
              </w:tc>
              <w:tc>
                <w:tcPr>
                  <w:tcW w:w="578" w:type="pct"/>
                  <w:vAlign w:val="center"/>
                </w:tcPr>
                <w:p w14:paraId="19DECC42">
                  <w:pPr>
                    <w:pStyle w:val="25"/>
                    <w:jc w:val="center"/>
                    <w:rPr>
                      <w:color w:val="auto"/>
                      <w:highlight w:val="none"/>
                    </w:rPr>
                  </w:pPr>
                  <w:r>
                    <w:rPr>
                      <w:rFonts w:hint="eastAsia"/>
                      <w:color w:val="auto"/>
                      <w:highlight w:val="none"/>
                    </w:rPr>
                    <w:t>0.333t/a</w:t>
                  </w:r>
                </w:p>
              </w:tc>
              <w:tc>
                <w:tcPr>
                  <w:tcW w:w="940" w:type="pct"/>
                  <w:vAlign w:val="center"/>
                </w:tcPr>
                <w:p w14:paraId="7ACCD461">
                  <w:pPr>
                    <w:pStyle w:val="25"/>
                    <w:jc w:val="center"/>
                    <w:rPr>
                      <w:color w:val="auto"/>
                      <w:highlight w:val="none"/>
                    </w:rPr>
                  </w:pPr>
                  <w:r>
                    <w:rPr>
                      <w:rFonts w:hint="eastAsia"/>
                      <w:color w:val="auto"/>
                      <w:highlight w:val="none"/>
                    </w:rPr>
                    <w:t>+0.223t/a</w:t>
                  </w:r>
                </w:p>
              </w:tc>
            </w:tr>
            <w:tr w14:paraId="61C1077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Merge w:val="continue"/>
                  <w:vAlign w:val="center"/>
                </w:tcPr>
                <w:p w14:paraId="3E947F83">
                  <w:pPr>
                    <w:pStyle w:val="25"/>
                    <w:jc w:val="center"/>
                    <w:rPr>
                      <w:color w:val="auto"/>
                      <w:highlight w:val="none"/>
                    </w:rPr>
                  </w:pPr>
                </w:p>
              </w:tc>
              <w:tc>
                <w:tcPr>
                  <w:tcW w:w="343" w:type="pct"/>
                  <w:vMerge w:val="continue"/>
                  <w:vAlign w:val="center"/>
                </w:tcPr>
                <w:p w14:paraId="1B5B5D7B">
                  <w:pPr>
                    <w:pStyle w:val="25"/>
                    <w:jc w:val="center"/>
                    <w:rPr>
                      <w:color w:val="auto"/>
                      <w:highlight w:val="none"/>
                    </w:rPr>
                  </w:pPr>
                </w:p>
              </w:tc>
              <w:tc>
                <w:tcPr>
                  <w:tcW w:w="585" w:type="pct"/>
                  <w:vAlign w:val="center"/>
                </w:tcPr>
                <w:p w14:paraId="436DC7EB">
                  <w:pPr>
                    <w:pStyle w:val="25"/>
                    <w:jc w:val="center"/>
                    <w:rPr>
                      <w:color w:val="auto"/>
                      <w:highlight w:val="none"/>
                    </w:rPr>
                  </w:pPr>
                  <w:r>
                    <w:rPr>
                      <w:rFonts w:hint="eastAsia"/>
                      <w:color w:val="auto"/>
                      <w:highlight w:val="none"/>
                    </w:rPr>
                    <w:t>NO</w:t>
                  </w:r>
                  <w:r>
                    <w:rPr>
                      <w:rFonts w:hint="eastAsia"/>
                      <w:color w:val="auto"/>
                      <w:highlight w:val="none"/>
                      <w:vertAlign w:val="subscript"/>
                    </w:rPr>
                    <w:t>X</w:t>
                  </w:r>
                </w:p>
              </w:tc>
              <w:tc>
                <w:tcPr>
                  <w:tcW w:w="715" w:type="pct"/>
                  <w:vAlign w:val="center"/>
                </w:tcPr>
                <w:p w14:paraId="368E01AE">
                  <w:pPr>
                    <w:pStyle w:val="25"/>
                    <w:jc w:val="center"/>
                    <w:rPr>
                      <w:color w:val="auto"/>
                      <w:highlight w:val="none"/>
                    </w:rPr>
                  </w:pPr>
                  <w:r>
                    <w:rPr>
                      <w:color w:val="auto"/>
                      <w:highlight w:val="none"/>
                    </w:rPr>
                    <w:t>0.13</w:t>
                  </w:r>
                  <w:r>
                    <w:rPr>
                      <w:rFonts w:hint="eastAsia"/>
                      <w:color w:val="auto"/>
                      <w:highlight w:val="none"/>
                    </w:rPr>
                    <w:t>t/a</w:t>
                  </w:r>
                </w:p>
              </w:tc>
              <w:tc>
                <w:tcPr>
                  <w:tcW w:w="694" w:type="pct"/>
                  <w:vAlign w:val="center"/>
                </w:tcPr>
                <w:p w14:paraId="7F764BF6">
                  <w:pPr>
                    <w:pStyle w:val="25"/>
                    <w:jc w:val="center"/>
                    <w:rPr>
                      <w:color w:val="auto"/>
                      <w:highlight w:val="none"/>
                    </w:rPr>
                  </w:pPr>
                  <w:r>
                    <w:rPr>
                      <w:rFonts w:hint="eastAsia"/>
                      <w:color w:val="auto"/>
                      <w:highlight w:val="none"/>
                      <w:lang w:val="en-US" w:eastAsia="zh-CN"/>
                    </w:rPr>
                    <w:t>2.522</w:t>
                  </w:r>
                  <w:r>
                    <w:rPr>
                      <w:rFonts w:hint="eastAsia"/>
                      <w:color w:val="auto"/>
                      <w:highlight w:val="none"/>
                    </w:rPr>
                    <w:t>t/a</w:t>
                  </w:r>
                </w:p>
              </w:tc>
              <w:tc>
                <w:tcPr>
                  <w:tcW w:w="1154" w:type="dxa"/>
                  <w:vAlign w:val="center"/>
                </w:tcPr>
                <w:p w14:paraId="0CA4B7BA">
                  <w:pPr>
                    <w:pStyle w:val="25"/>
                    <w:jc w:val="center"/>
                    <w:rPr>
                      <w:color w:val="auto"/>
                      <w:highlight w:val="none"/>
                    </w:rPr>
                  </w:pPr>
                  <w:r>
                    <w:rPr>
                      <w:color w:val="auto"/>
                      <w:highlight w:val="none"/>
                    </w:rPr>
                    <w:t>0.13</w:t>
                  </w:r>
                  <w:r>
                    <w:rPr>
                      <w:rFonts w:hint="eastAsia"/>
                      <w:color w:val="auto"/>
                      <w:highlight w:val="none"/>
                    </w:rPr>
                    <w:t>t/a</w:t>
                  </w:r>
                </w:p>
              </w:tc>
              <w:tc>
                <w:tcPr>
                  <w:tcW w:w="578" w:type="pct"/>
                  <w:vAlign w:val="center"/>
                </w:tcPr>
                <w:p w14:paraId="6EF52331">
                  <w:pPr>
                    <w:pStyle w:val="25"/>
                    <w:jc w:val="center"/>
                    <w:rPr>
                      <w:color w:val="auto"/>
                      <w:highlight w:val="none"/>
                    </w:rPr>
                  </w:pPr>
                  <w:r>
                    <w:rPr>
                      <w:rFonts w:hint="eastAsia"/>
                      <w:color w:val="auto"/>
                      <w:highlight w:val="none"/>
                      <w:lang w:val="en-US" w:eastAsia="zh-CN"/>
                    </w:rPr>
                    <w:t>2.522</w:t>
                  </w:r>
                  <w:r>
                    <w:rPr>
                      <w:rFonts w:hint="eastAsia"/>
                      <w:color w:val="auto"/>
                      <w:highlight w:val="none"/>
                    </w:rPr>
                    <w:t>t/a</w:t>
                  </w:r>
                </w:p>
              </w:tc>
              <w:tc>
                <w:tcPr>
                  <w:tcW w:w="940" w:type="pct"/>
                  <w:vAlign w:val="center"/>
                </w:tcPr>
                <w:p w14:paraId="3716BF27">
                  <w:pPr>
                    <w:pStyle w:val="25"/>
                    <w:jc w:val="center"/>
                    <w:rPr>
                      <w:color w:val="auto"/>
                      <w:highlight w:val="none"/>
                    </w:rPr>
                  </w:pPr>
                  <w:r>
                    <w:rPr>
                      <w:rFonts w:hint="eastAsia"/>
                      <w:color w:val="auto"/>
                      <w:highlight w:val="none"/>
                    </w:rPr>
                    <w:t>+</w:t>
                  </w:r>
                  <w:r>
                    <w:rPr>
                      <w:rFonts w:hint="eastAsia"/>
                      <w:color w:val="auto"/>
                      <w:highlight w:val="none"/>
                      <w:lang w:val="en-US" w:eastAsia="zh-CN"/>
                    </w:rPr>
                    <w:t>2.4</w:t>
                  </w:r>
                  <w:r>
                    <w:rPr>
                      <w:rFonts w:hint="eastAsia"/>
                      <w:color w:val="auto"/>
                      <w:highlight w:val="none"/>
                    </w:rPr>
                    <w:t>t/a</w:t>
                  </w:r>
                </w:p>
              </w:tc>
            </w:tr>
            <w:tr w14:paraId="4572577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Merge w:val="continue"/>
                  <w:vAlign w:val="center"/>
                </w:tcPr>
                <w:p w14:paraId="204238C1">
                  <w:pPr>
                    <w:pStyle w:val="25"/>
                    <w:jc w:val="center"/>
                    <w:rPr>
                      <w:color w:val="auto"/>
                      <w:highlight w:val="none"/>
                    </w:rPr>
                  </w:pPr>
                </w:p>
              </w:tc>
              <w:tc>
                <w:tcPr>
                  <w:tcW w:w="343" w:type="pct"/>
                  <w:vMerge w:val="continue"/>
                  <w:vAlign w:val="center"/>
                </w:tcPr>
                <w:p w14:paraId="684B047F">
                  <w:pPr>
                    <w:pStyle w:val="25"/>
                    <w:jc w:val="center"/>
                    <w:rPr>
                      <w:color w:val="auto"/>
                      <w:highlight w:val="none"/>
                    </w:rPr>
                  </w:pPr>
                </w:p>
              </w:tc>
              <w:tc>
                <w:tcPr>
                  <w:tcW w:w="585" w:type="pct"/>
                  <w:vAlign w:val="center"/>
                </w:tcPr>
                <w:p w14:paraId="7F83039E">
                  <w:pPr>
                    <w:pStyle w:val="25"/>
                    <w:jc w:val="center"/>
                    <w:rPr>
                      <w:color w:val="auto"/>
                      <w:highlight w:val="none"/>
                    </w:rPr>
                  </w:pPr>
                  <w:r>
                    <w:rPr>
                      <w:rFonts w:hint="eastAsia"/>
                      <w:color w:val="auto"/>
                      <w:highlight w:val="none"/>
                    </w:rPr>
                    <w:t>颗粒物</w:t>
                  </w:r>
                </w:p>
              </w:tc>
              <w:tc>
                <w:tcPr>
                  <w:tcW w:w="715" w:type="pct"/>
                  <w:vAlign w:val="center"/>
                </w:tcPr>
                <w:p w14:paraId="1DC18030">
                  <w:pPr>
                    <w:pStyle w:val="25"/>
                    <w:jc w:val="center"/>
                    <w:rPr>
                      <w:color w:val="auto"/>
                      <w:highlight w:val="none"/>
                    </w:rPr>
                  </w:pPr>
                  <w:r>
                    <w:rPr>
                      <w:color w:val="auto"/>
                      <w:highlight w:val="none"/>
                    </w:rPr>
                    <w:t>0.37</w:t>
                  </w:r>
                  <w:r>
                    <w:rPr>
                      <w:rFonts w:hint="eastAsia"/>
                      <w:color w:val="auto"/>
                      <w:highlight w:val="none"/>
                    </w:rPr>
                    <w:t>t/a</w:t>
                  </w:r>
                </w:p>
              </w:tc>
              <w:tc>
                <w:tcPr>
                  <w:tcW w:w="694" w:type="pct"/>
                  <w:vAlign w:val="center"/>
                </w:tcPr>
                <w:p w14:paraId="060DACD4">
                  <w:pPr>
                    <w:pStyle w:val="25"/>
                    <w:jc w:val="center"/>
                    <w:rPr>
                      <w:color w:val="auto"/>
                      <w:highlight w:val="none"/>
                    </w:rPr>
                  </w:pPr>
                  <w:r>
                    <w:rPr>
                      <w:rFonts w:hint="eastAsia"/>
                      <w:color w:val="auto"/>
                      <w:highlight w:val="none"/>
                    </w:rPr>
                    <w:t>1.165t/a</w:t>
                  </w:r>
                </w:p>
              </w:tc>
              <w:tc>
                <w:tcPr>
                  <w:tcW w:w="1154" w:type="dxa"/>
                  <w:vAlign w:val="center"/>
                </w:tcPr>
                <w:p w14:paraId="3433B80A">
                  <w:pPr>
                    <w:pStyle w:val="25"/>
                    <w:jc w:val="center"/>
                    <w:rPr>
                      <w:color w:val="auto"/>
                      <w:highlight w:val="none"/>
                    </w:rPr>
                  </w:pPr>
                  <w:r>
                    <w:rPr>
                      <w:color w:val="auto"/>
                      <w:highlight w:val="none"/>
                    </w:rPr>
                    <w:t>0.37</w:t>
                  </w:r>
                  <w:r>
                    <w:rPr>
                      <w:rFonts w:hint="eastAsia"/>
                      <w:color w:val="auto"/>
                      <w:highlight w:val="none"/>
                    </w:rPr>
                    <w:t>t/a</w:t>
                  </w:r>
                </w:p>
              </w:tc>
              <w:tc>
                <w:tcPr>
                  <w:tcW w:w="578" w:type="pct"/>
                  <w:vAlign w:val="center"/>
                </w:tcPr>
                <w:p w14:paraId="342FC2D6">
                  <w:pPr>
                    <w:pStyle w:val="25"/>
                    <w:jc w:val="center"/>
                    <w:rPr>
                      <w:color w:val="auto"/>
                      <w:highlight w:val="none"/>
                    </w:rPr>
                  </w:pPr>
                  <w:r>
                    <w:rPr>
                      <w:rFonts w:hint="eastAsia"/>
                      <w:color w:val="auto"/>
                      <w:highlight w:val="none"/>
                    </w:rPr>
                    <w:t>1.165t/a</w:t>
                  </w:r>
                </w:p>
              </w:tc>
              <w:tc>
                <w:tcPr>
                  <w:tcW w:w="940" w:type="pct"/>
                  <w:vAlign w:val="center"/>
                </w:tcPr>
                <w:p w14:paraId="73A763A2">
                  <w:pPr>
                    <w:pStyle w:val="25"/>
                    <w:jc w:val="center"/>
                    <w:rPr>
                      <w:color w:val="auto"/>
                      <w:highlight w:val="none"/>
                    </w:rPr>
                  </w:pPr>
                  <w:r>
                    <w:rPr>
                      <w:rFonts w:hint="eastAsia"/>
                      <w:color w:val="auto"/>
                      <w:highlight w:val="none"/>
                    </w:rPr>
                    <w:t>+0.795t/a</w:t>
                  </w:r>
                </w:p>
              </w:tc>
            </w:tr>
            <w:tr w14:paraId="3B9D3C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7EBB2EDC">
                  <w:pPr>
                    <w:pStyle w:val="25"/>
                    <w:jc w:val="center"/>
                    <w:rPr>
                      <w:color w:val="auto"/>
                      <w:highlight w:val="none"/>
                    </w:rPr>
                  </w:pPr>
                  <w:r>
                    <w:rPr>
                      <w:rFonts w:hint="eastAsia"/>
                      <w:color w:val="auto"/>
                      <w:highlight w:val="none"/>
                    </w:rPr>
                    <w:t>废水</w:t>
                  </w:r>
                </w:p>
              </w:tc>
              <w:tc>
                <w:tcPr>
                  <w:tcW w:w="929" w:type="pct"/>
                  <w:gridSpan w:val="2"/>
                  <w:vAlign w:val="center"/>
                </w:tcPr>
                <w:p w14:paraId="3A32207C">
                  <w:pPr>
                    <w:pStyle w:val="25"/>
                    <w:jc w:val="center"/>
                    <w:rPr>
                      <w:color w:val="auto"/>
                      <w:highlight w:val="none"/>
                    </w:rPr>
                  </w:pPr>
                  <w:r>
                    <w:rPr>
                      <w:rFonts w:hint="eastAsia"/>
                      <w:color w:val="auto"/>
                      <w:highlight w:val="none"/>
                    </w:rPr>
                    <w:t>锅炉房排水及软化水排水</w:t>
                  </w:r>
                </w:p>
              </w:tc>
              <w:tc>
                <w:tcPr>
                  <w:tcW w:w="715" w:type="pct"/>
                  <w:vAlign w:val="center"/>
                </w:tcPr>
                <w:p w14:paraId="5DC71F75">
                  <w:pPr>
                    <w:pStyle w:val="25"/>
                    <w:jc w:val="center"/>
                    <w:rPr>
                      <w:rFonts w:hint="eastAsia" w:eastAsia="宋体"/>
                      <w:color w:val="auto"/>
                      <w:highlight w:val="none"/>
                      <w:lang w:eastAsia="zh-CN"/>
                    </w:rPr>
                  </w:pPr>
                  <w:r>
                    <w:rPr>
                      <w:rFonts w:hint="eastAsia"/>
                      <w:color w:val="auto"/>
                      <w:highlight w:val="none"/>
                      <w:lang w:val="en-US" w:eastAsia="zh-CN"/>
                    </w:rPr>
                    <w:t>不外排</w:t>
                  </w:r>
                </w:p>
              </w:tc>
              <w:tc>
                <w:tcPr>
                  <w:tcW w:w="694" w:type="pct"/>
                  <w:vAlign w:val="center"/>
                </w:tcPr>
                <w:p w14:paraId="03CA6B10">
                  <w:pPr>
                    <w:pStyle w:val="25"/>
                    <w:jc w:val="center"/>
                    <w:rPr>
                      <w:color w:val="auto"/>
                      <w:highlight w:val="none"/>
                    </w:rPr>
                  </w:pPr>
                  <w:r>
                    <w:rPr>
                      <w:rFonts w:hint="eastAsia"/>
                      <w:color w:val="auto"/>
                      <w:highlight w:val="none"/>
                      <w:lang w:val="en-US" w:eastAsia="zh-CN"/>
                    </w:rPr>
                    <w:t>不外排</w:t>
                  </w:r>
                </w:p>
              </w:tc>
              <w:tc>
                <w:tcPr>
                  <w:tcW w:w="723" w:type="pct"/>
                  <w:vAlign w:val="center"/>
                </w:tcPr>
                <w:p w14:paraId="7944061F">
                  <w:pPr>
                    <w:pStyle w:val="25"/>
                    <w:jc w:val="center"/>
                    <w:rPr>
                      <w:color w:val="auto"/>
                      <w:highlight w:val="none"/>
                    </w:rPr>
                  </w:pPr>
                  <w:r>
                    <w:rPr>
                      <w:rFonts w:hint="eastAsia"/>
                      <w:color w:val="auto"/>
                      <w:highlight w:val="none"/>
                    </w:rPr>
                    <w:t>/</w:t>
                  </w:r>
                </w:p>
              </w:tc>
              <w:tc>
                <w:tcPr>
                  <w:tcW w:w="578" w:type="pct"/>
                  <w:vAlign w:val="center"/>
                </w:tcPr>
                <w:p w14:paraId="715880DB">
                  <w:pPr>
                    <w:pStyle w:val="25"/>
                    <w:jc w:val="center"/>
                    <w:rPr>
                      <w:rFonts w:hint="eastAsia" w:eastAsia="宋体"/>
                      <w:color w:val="auto"/>
                      <w:highlight w:val="none"/>
                      <w:lang w:val="en-US" w:eastAsia="zh-CN"/>
                    </w:rPr>
                  </w:pPr>
                  <w:r>
                    <w:rPr>
                      <w:rFonts w:hint="eastAsia"/>
                      <w:color w:val="auto"/>
                      <w:highlight w:val="none"/>
                      <w:lang w:val="en-US" w:eastAsia="zh-CN"/>
                    </w:rPr>
                    <w:t>/</w:t>
                  </w:r>
                </w:p>
              </w:tc>
              <w:tc>
                <w:tcPr>
                  <w:tcW w:w="940" w:type="pct"/>
                  <w:vAlign w:val="center"/>
                </w:tcPr>
                <w:p w14:paraId="6EBC0712">
                  <w:pPr>
                    <w:pStyle w:val="25"/>
                    <w:jc w:val="center"/>
                    <w:rPr>
                      <w:rFonts w:hint="eastAsia" w:eastAsia="宋体"/>
                      <w:color w:val="auto"/>
                      <w:highlight w:val="none"/>
                      <w:lang w:val="en-US" w:eastAsia="zh-CN"/>
                    </w:rPr>
                  </w:pPr>
                  <w:r>
                    <w:rPr>
                      <w:rFonts w:hint="eastAsia"/>
                      <w:color w:val="auto"/>
                      <w:highlight w:val="none"/>
                      <w:lang w:val="en-US" w:eastAsia="zh-CN"/>
                    </w:rPr>
                    <w:t>/</w:t>
                  </w:r>
                </w:p>
              </w:tc>
            </w:tr>
            <w:tr w14:paraId="5EA38C9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9" w:type="pct"/>
                  <w:vAlign w:val="center"/>
                </w:tcPr>
                <w:p w14:paraId="3128BEA1">
                  <w:pPr>
                    <w:pStyle w:val="25"/>
                    <w:jc w:val="center"/>
                    <w:rPr>
                      <w:color w:val="auto"/>
                      <w:highlight w:val="none"/>
                    </w:rPr>
                  </w:pPr>
                  <w:r>
                    <w:rPr>
                      <w:rFonts w:hint="eastAsia"/>
                      <w:color w:val="auto"/>
                      <w:highlight w:val="none"/>
                    </w:rPr>
                    <w:t>固体废物</w:t>
                  </w:r>
                </w:p>
              </w:tc>
              <w:tc>
                <w:tcPr>
                  <w:tcW w:w="929" w:type="pct"/>
                  <w:gridSpan w:val="2"/>
                  <w:vAlign w:val="center"/>
                </w:tcPr>
                <w:p w14:paraId="6776CF42">
                  <w:pPr>
                    <w:pStyle w:val="25"/>
                    <w:jc w:val="center"/>
                    <w:rPr>
                      <w:color w:val="auto"/>
                      <w:highlight w:val="none"/>
                    </w:rPr>
                  </w:pPr>
                  <w:r>
                    <w:rPr>
                      <w:rFonts w:hint="eastAsia"/>
                      <w:color w:val="auto"/>
                      <w:highlight w:val="none"/>
                    </w:rPr>
                    <w:t>废离子交换树脂</w:t>
                  </w:r>
                </w:p>
              </w:tc>
              <w:tc>
                <w:tcPr>
                  <w:tcW w:w="715" w:type="pct"/>
                  <w:vAlign w:val="center"/>
                </w:tcPr>
                <w:p w14:paraId="1201BD32">
                  <w:pPr>
                    <w:pStyle w:val="25"/>
                    <w:jc w:val="center"/>
                    <w:rPr>
                      <w:color w:val="auto"/>
                      <w:highlight w:val="none"/>
                    </w:rPr>
                  </w:pPr>
                  <w:r>
                    <w:rPr>
                      <w:rFonts w:hint="eastAsia"/>
                      <w:color w:val="auto"/>
                      <w:highlight w:val="none"/>
                    </w:rPr>
                    <w:t>5t/a</w:t>
                  </w:r>
                </w:p>
              </w:tc>
              <w:tc>
                <w:tcPr>
                  <w:tcW w:w="694" w:type="pct"/>
                  <w:vAlign w:val="center"/>
                </w:tcPr>
                <w:p w14:paraId="6A060F05">
                  <w:pPr>
                    <w:pStyle w:val="25"/>
                    <w:jc w:val="center"/>
                    <w:rPr>
                      <w:color w:val="auto"/>
                      <w:highlight w:val="none"/>
                    </w:rPr>
                  </w:pPr>
                  <w:r>
                    <w:rPr>
                      <w:rFonts w:hint="eastAsia"/>
                      <w:color w:val="auto"/>
                      <w:highlight w:val="none"/>
                      <w:lang w:val="en-US" w:eastAsia="zh-CN"/>
                    </w:rPr>
                    <w:t>10</w:t>
                  </w:r>
                  <w:r>
                    <w:rPr>
                      <w:rFonts w:hint="eastAsia"/>
                      <w:color w:val="auto"/>
                      <w:highlight w:val="none"/>
                    </w:rPr>
                    <w:t>t/a</w:t>
                  </w:r>
                </w:p>
              </w:tc>
              <w:tc>
                <w:tcPr>
                  <w:tcW w:w="723" w:type="pct"/>
                  <w:vAlign w:val="center"/>
                </w:tcPr>
                <w:p w14:paraId="40A4319C">
                  <w:pPr>
                    <w:pStyle w:val="25"/>
                    <w:jc w:val="center"/>
                    <w:rPr>
                      <w:rFonts w:hint="eastAsia" w:eastAsia="宋体"/>
                      <w:color w:val="auto"/>
                      <w:highlight w:val="none"/>
                      <w:lang w:val="en-US" w:eastAsia="zh-CN"/>
                    </w:rPr>
                  </w:pPr>
                  <w:r>
                    <w:rPr>
                      <w:rFonts w:hint="eastAsia"/>
                      <w:color w:val="auto"/>
                      <w:highlight w:val="none"/>
                    </w:rPr>
                    <w:t>5t/a</w:t>
                  </w:r>
                </w:p>
              </w:tc>
              <w:tc>
                <w:tcPr>
                  <w:tcW w:w="578" w:type="pct"/>
                  <w:vAlign w:val="center"/>
                </w:tcPr>
                <w:p w14:paraId="0B556859">
                  <w:pPr>
                    <w:pStyle w:val="25"/>
                    <w:jc w:val="center"/>
                    <w:rPr>
                      <w:color w:val="auto"/>
                      <w:highlight w:val="none"/>
                    </w:rPr>
                  </w:pPr>
                  <w:r>
                    <w:rPr>
                      <w:rFonts w:hint="eastAsia"/>
                      <w:color w:val="auto"/>
                      <w:highlight w:val="none"/>
                      <w:lang w:val="en-US" w:eastAsia="zh-CN"/>
                    </w:rPr>
                    <w:t>10</w:t>
                  </w:r>
                  <w:r>
                    <w:rPr>
                      <w:rFonts w:hint="eastAsia"/>
                      <w:color w:val="auto"/>
                      <w:highlight w:val="none"/>
                    </w:rPr>
                    <w:t>t/a</w:t>
                  </w:r>
                </w:p>
              </w:tc>
              <w:tc>
                <w:tcPr>
                  <w:tcW w:w="940" w:type="pct"/>
                  <w:vAlign w:val="center"/>
                </w:tcPr>
                <w:p w14:paraId="522CE9F4">
                  <w:pPr>
                    <w:pStyle w:val="25"/>
                    <w:jc w:val="center"/>
                    <w:rPr>
                      <w:rFonts w:hint="default" w:eastAsia="宋体"/>
                      <w:color w:val="auto"/>
                      <w:highlight w:val="none"/>
                      <w:lang w:val="en-US" w:eastAsia="zh-CN"/>
                    </w:rPr>
                  </w:pPr>
                  <w:r>
                    <w:rPr>
                      <w:rFonts w:hint="eastAsia"/>
                      <w:color w:val="auto"/>
                      <w:highlight w:val="none"/>
                      <w:lang w:val="en-US" w:eastAsia="zh-CN"/>
                    </w:rPr>
                    <w:t>+5t/a</w:t>
                  </w:r>
                </w:p>
              </w:tc>
            </w:tr>
          </w:tbl>
          <w:p w14:paraId="21475687">
            <w:pPr>
              <w:pStyle w:val="24"/>
              <w:ind w:firstLine="0" w:firstLineChars="0"/>
              <w:rPr>
                <w:b/>
                <w:bCs/>
                <w:color w:val="auto"/>
                <w:highlight w:val="none"/>
              </w:rPr>
            </w:pPr>
            <w:r>
              <w:rPr>
                <w:rFonts w:hint="eastAsia"/>
                <w:b/>
                <w:bCs/>
                <w:color w:val="auto"/>
                <w:highlight w:val="none"/>
              </w:rPr>
              <w:t>6.运营期地下水、土壤分析</w:t>
            </w:r>
          </w:p>
          <w:p w14:paraId="73FC52B7">
            <w:pPr>
              <w:pStyle w:val="24"/>
              <w:ind w:firstLine="480"/>
              <w:rPr>
                <w:color w:val="auto"/>
                <w:highlight w:val="none"/>
              </w:rPr>
            </w:pPr>
            <w:r>
              <w:rPr>
                <w:color w:val="auto"/>
                <w:highlight w:val="none"/>
              </w:rPr>
              <w:t>根据《环境影响评价技术导则地下水环境》(H610-2016)中附表 A 地下水环境影响评价行业分类表和《环境影响评价技术导则土环境</w:t>
            </w:r>
            <w:r>
              <w:rPr>
                <w:rFonts w:hint="eastAsia"/>
                <w:color w:val="auto"/>
                <w:highlight w:val="none"/>
              </w:rPr>
              <w:t>（</w:t>
            </w:r>
            <w:r>
              <w:rPr>
                <w:color w:val="auto"/>
                <w:highlight w:val="none"/>
              </w:rPr>
              <w:t>试行</w:t>
            </w:r>
            <w:r>
              <w:rPr>
                <w:rFonts w:hint="eastAsia"/>
                <w:color w:val="auto"/>
                <w:highlight w:val="none"/>
              </w:rPr>
              <w:t>）</w:t>
            </w:r>
            <w:r>
              <w:rPr>
                <w:color w:val="auto"/>
                <w:highlight w:val="none"/>
              </w:rPr>
              <w:t>》</w:t>
            </w:r>
            <w:r>
              <w:rPr>
                <w:rFonts w:hint="eastAsia"/>
                <w:color w:val="auto"/>
                <w:highlight w:val="none"/>
              </w:rPr>
              <w:t>（</w:t>
            </w:r>
            <w:r>
              <w:rPr>
                <w:color w:val="auto"/>
                <w:highlight w:val="none"/>
              </w:rPr>
              <w:t>H</w:t>
            </w:r>
            <w:r>
              <w:rPr>
                <w:rFonts w:hint="eastAsia"/>
                <w:color w:val="auto"/>
                <w:highlight w:val="none"/>
              </w:rPr>
              <w:t>J</w:t>
            </w:r>
            <w:r>
              <w:rPr>
                <w:color w:val="auto"/>
                <w:highlight w:val="none"/>
              </w:rPr>
              <w:t>964-2018</w:t>
            </w:r>
            <w:r>
              <w:rPr>
                <w:rFonts w:hint="eastAsia"/>
                <w:color w:val="auto"/>
                <w:highlight w:val="none"/>
              </w:rPr>
              <w:t>）</w:t>
            </w:r>
            <w:r>
              <w:rPr>
                <w:color w:val="auto"/>
                <w:highlight w:val="none"/>
              </w:rPr>
              <w:t xml:space="preserve">附录 A </w:t>
            </w:r>
            <w:r>
              <w:rPr>
                <w:rFonts w:hint="eastAsia"/>
                <w:color w:val="auto"/>
                <w:highlight w:val="none"/>
                <w:lang w:eastAsia="zh-CN"/>
              </w:rPr>
              <w:t>土壤</w:t>
            </w:r>
            <w:r>
              <w:rPr>
                <w:color w:val="auto"/>
                <w:highlight w:val="none"/>
              </w:rPr>
              <w:t>环境影响评价行业分类表，本项目为Ⅳ类项目，可不开展地下水和土壤环境影响评价工作。</w:t>
            </w:r>
          </w:p>
          <w:p w14:paraId="54876892">
            <w:pPr>
              <w:rPr>
                <w:b/>
                <w:bCs/>
                <w:color w:val="auto"/>
                <w:highlight w:val="none"/>
              </w:rPr>
            </w:pPr>
            <w:r>
              <w:rPr>
                <w:b/>
                <w:bCs/>
                <w:color w:val="auto"/>
                <w:highlight w:val="none"/>
              </w:rPr>
              <w:t>7.</w:t>
            </w:r>
            <w:r>
              <w:rPr>
                <w:rFonts w:hint="eastAsia"/>
                <w:b/>
                <w:bCs/>
                <w:color w:val="auto"/>
                <w:highlight w:val="none"/>
              </w:rPr>
              <w:t>环境风险</w:t>
            </w:r>
          </w:p>
          <w:p w14:paraId="58BC43A8">
            <w:pPr>
              <w:ind w:firstLine="480" w:firstLineChars="200"/>
              <w:rPr>
                <w:color w:val="auto"/>
                <w:highlight w:val="none"/>
              </w:rPr>
            </w:pPr>
            <w:r>
              <w:rPr>
                <w:rFonts w:hint="eastAsia"/>
                <w:color w:val="auto"/>
                <w:highlight w:val="none"/>
              </w:rPr>
              <w:t>建设项目环境风险评价是分析和预测建设项目存在的潜在危险、有害因素，对项目建设和运行期间的可预测突发性事件或事故（一般不包括人为破坏及自然灾害）引起的有毒有害、易燃易爆等物质泄漏，所造成的人身安全与环境影响和损害程度，提出合理可行的防范、应急与减缓措施，分析可能造成突发性事故的污染源及其影响，并以此为环境管理和生产部门提供决策依据。</w:t>
            </w:r>
          </w:p>
          <w:p w14:paraId="4419D227">
            <w:pPr>
              <w:numPr>
                <w:ilvl w:val="0"/>
                <w:numId w:val="9"/>
              </w:numPr>
              <w:ind w:firstLine="480" w:firstLineChars="200"/>
              <w:rPr>
                <w:color w:val="auto"/>
                <w:highlight w:val="none"/>
              </w:rPr>
            </w:pPr>
            <w:r>
              <w:rPr>
                <w:rFonts w:hint="eastAsia"/>
                <w:color w:val="auto"/>
                <w:highlight w:val="none"/>
              </w:rPr>
              <w:t>风险物质识别</w:t>
            </w:r>
          </w:p>
          <w:p w14:paraId="59E0EF99">
            <w:pPr>
              <w:pStyle w:val="24"/>
              <w:ind w:firstLine="480"/>
              <w:rPr>
                <w:color w:val="auto"/>
                <w:highlight w:val="none"/>
              </w:rPr>
            </w:pPr>
            <w:bookmarkStart w:id="20" w:name="OLE_LINK11"/>
            <w:r>
              <w:rPr>
                <w:rFonts w:hint="eastAsia"/>
                <w:color w:val="auto"/>
                <w:highlight w:val="none"/>
              </w:rPr>
              <w:t>本</w:t>
            </w:r>
            <w:r>
              <w:rPr>
                <w:color w:val="auto"/>
                <w:highlight w:val="none"/>
              </w:rPr>
              <w:t>项目运营过程中涉及的物质主要为天然气</w:t>
            </w:r>
            <w:r>
              <w:rPr>
                <w:rFonts w:hint="eastAsia"/>
                <w:color w:val="auto"/>
                <w:highlight w:val="none"/>
              </w:rPr>
              <w:t>（主要成分为甲烷）</w:t>
            </w:r>
            <w:r>
              <w:rPr>
                <w:color w:val="auto"/>
                <w:highlight w:val="none"/>
              </w:rPr>
              <w:t>，属于易燃易爆风险物质。根据《建设项目环境风险评价技术导则》</w:t>
            </w:r>
            <w:r>
              <w:rPr>
                <w:rFonts w:hint="eastAsia"/>
                <w:color w:val="auto"/>
                <w:highlight w:val="none"/>
              </w:rPr>
              <w:t>（</w:t>
            </w:r>
            <w:r>
              <w:rPr>
                <w:color w:val="auto"/>
                <w:highlight w:val="none"/>
              </w:rPr>
              <w:t>H</w:t>
            </w:r>
            <w:r>
              <w:rPr>
                <w:rFonts w:hint="eastAsia"/>
                <w:color w:val="auto"/>
                <w:highlight w:val="none"/>
              </w:rPr>
              <w:t xml:space="preserve">J </w:t>
            </w:r>
            <w:r>
              <w:rPr>
                <w:color w:val="auto"/>
                <w:highlight w:val="none"/>
              </w:rPr>
              <w:t>169-2018</w:t>
            </w:r>
            <w:r>
              <w:rPr>
                <w:rFonts w:hint="eastAsia"/>
                <w:color w:val="auto"/>
                <w:highlight w:val="none"/>
              </w:rPr>
              <w:t>）</w:t>
            </w:r>
            <w:r>
              <w:rPr>
                <w:color w:val="auto"/>
                <w:highlight w:val="none"/>
              </w:rPr>
              <w:t>，对项目涉及的物质进行风险识别。</w:t>
            </w:r>
            <w:r>
              <w:rPr>
                <w:color w:val="auto"/>
                <w:szCs w:val="24"/>
                <w:highlight w:val="none"/>
              </w:rPr>
              <w:t>天然气由天然气管道直接接入厂区内，</w:t>
            </w:r>
            <w:r>
              <w:rPr>
                <w:rFonts w:hint="eastAsia"/>
                <w:color w:val="auto"/>
                <w:szCs w:val="24"/>
                <w:highlight w:val="none"/>
                <w:lang w:val="en-US" w:eastAsia="zh-CN"/>
              </w:rPr>
              <w:t>管线长109m，内径160mm，管线内暂存量为1.57×10</w:t>
            </w:r>
            <w:r>
              <w:rPr>
                <w:rFonts w:hint="eastAsia"/>
                <w:color w:val="auto"/>
                <w:szCs w:val="24"/>
                <w:highlight w:val="none"/>
                <w:vertAlign w:val="superscript"/>
                <w:lang w:val="en-US" w:eastAsia="zh-CN"/>
              </w:rPr>
              <w:t>-3</w:t>
            </w:r>
            <w:r>
              <w:rPr>
                <w:rFonts w:hint="eastAsia"/>
                <w:color w:val="auto"/>
                <w:szCs w:val="24"/>
                <w:highlight w:val="none"/>
                <w:vertAlign w:val="baseline"/>
                <w:lang w:val="en-US" w:eastAsia="zh-CN"/>
              </w:rPr>
              <w:t>t，</w:t>
            </w:r>
            <w:r>
              <w:rPr>
                <w:color w:val="auto"/>
                <w:szCs w:val="24"/>
                <w:highlight w:val="none"/>
              </w:rPr>
              <w:t>不在厂区内设储存设施，</w:t>
            </w:r>
            <w:r>
              <w:rPr>
                <w:color w:val="auto"/>
                <w:highlight w:val="none"/>
              </w:rPr>
              <w:t>小于临界量10t，本项目环境风险潜势为</w:t>
            </w:r>
            <w:r>
              <w:rPr>
                <w:color w:val="auto"/>
                <w:highlight w:val="none"/>
              </w:rPr>
              <w:fldChar w:fldCharType="begin"/>
            </w:r>
            <w:r>
              <w:rPr>
                <w:color w:val="auto"/>
                <w:highlight w:val="none"/>
              </w:rPr>
              <w:instrText xml:space="preserve"> = 1 \* ROMAN \* MERGEFORMAT </w:instrText>
            </w:r>
            <w:r>
              <w:rPr>
                <w:color w:val="auto"/>
                <w:highlight w:val="none"/>
              </w:rPr>
              <w:fldChar w:fldCharType="separate"/>
            </w:r>
            <w:r>
              <w:rPr>
                <w:color w:val="auto"/>
                <w:highlight w:val="none"/>
              </w:rPr>
              <w:t>I</w:t>
            </w:r>
            <w:r>
              <w:rPr>
                <w:color w:val="auto"/>
                <w:highlight w:val="none"/>
              </w:rPr>
              <w:fldChar w:fldCharType="end"/>
            </w:r>
            <w:r>
              <w:rPr>
                <w:color w:val="auto"/>
                <w:highlight w:val="none"/>
              </w:rPr>
              <w:t>。</w:t>
            </w:r>
          </w:p>
          <w:bookmarkEnd w:id="20"/>
          <w:p w14:paraId="38E17315">
            <w:pPr>
              <w:pStyle w:val="24"/>
              <w:ind w:firstLine="480"/>
              <w:rPr>
                <w:color w:val="auto"/>
                <w:highlight w:val="none"/>
              </w:rPr>
            </w:pPr>
            <w:r>
              <w:rPr>
                <w:color w:val="auto"/>
                <w:highlight w:val="none"/>
              </w:rPr>
              <w:t>综上可知，本项目环境风险评价工作等级为简单分析。</w:t>
            </w:r>
          </w:p>
          <w:p w14:paraId="2C32B955">
            <w:pPr>
              <w:pStyle w:val="24"/>
              <w:numPr>
                <w:ilvl w:val="0"/>
                <w:numId w:val="9"/>
              </w:numPr>
              <w:ind w:firstLine="480"/>
              <w:rPr>
                <w:color w:val="auto"/>
                <w:highlight w:val="none"/>
              </w:rPr>
            </w:pPr>
            <w:r>
              <w:rPr>
                <w:rFonts w:hint="eastAsia"/>
                <w:color w:val="auto"/>
                <w:highlight w:val="none"/>
              </w:rPr>
              <w:t>环境风险识别</w:t>
            </w:r>
          </w:p>
          <w:p w14:paraId="5755F410">
            <w:pPr>
              <w:ind w:firstLine="480" w:firstLineChars="200"/>
              <w:outlineLvl w:val="3"/>
              <w:rPr>
                <w:color w:val="auto"/>
                <w:highlight w:val="none"/>
              </w:rPr>
            </w:pPr>
            <w:r>
              <w:rPr>
                <w:rFonts w:hint="eastAsia"/>
                <w:color w:val="auto"/>
                <w:highlight w:val="none"/>
              </w:rPr>
              <w:t>本项目涉及的环境风险物质为天然气</w:t>
            </w:r>
            <w:r>
              <w:rPr>
                <w:rFonts w:hint="eastAsia"/>
                <w:color w:val="auto"/>
                <w:highlight w:val="none"/>
                <w:lang w:val="en-GB"/>
              </w:rPr>
              <w:t>，其</w:t>
            </w:r>
            <w:r>
              <w:rPr>
                <w:rFonts w:hint="eastAsia"/>
                <w:color w:val="auto"/>
                <w:highlight w:val="none"/>
              </w:rPr>
              <w:t>危险特性见下表。</w:t>
            </w:r>
          </w:p>
          <w:p w14:paraId="3129D554">
            <w:pPr>
              <w:pStyle w:val="60"/>
              <w:rPr>
                <w:color w:val="auto"/>
                <w:highlight w:val="none"/>
              </w:rPr>
            </w:pPr>
            <w:r>
              <w:rPr>
                <w:rFonts w:hint="eastAsia"/>
                <w:color w:val="auto"/>
                <w:highlight w:val="none"/>
              </w:rPr>
              <w:t>表4-15</w:t>
            </w:r>
            <w:r>
              <w:rPr>
                <w:color w:val="auto"/>
                <w:highlight w:val="none"/>
              </w:rPr>
              <w:t xml:space="preserve">   </w:t>
            </w:r>
            <w:r>
              <w:rPr>
                <w:rFonts w:hint="eastAsia"/>
                <w:color w:val="auto"/>
                <w:highlight w:val="none"/>
              </w:rPr>
              <w:t>天然气理化性质及危险特性一览表</w:t>
            </w:r>
          </w:p>
          <w:tbl>
            <w:tblPr>
              <w:tblStyle w:val="17"/>
              <w:tblW w:w="8240" w:type="dxa"/>
              <w:tblInd w:w="1"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529"/>
              <w:gridCol w:w="1415"/>
              <w:gridCol w:w="346"/>
              <w:gridCol w:w="496"/>
              <w:gridCol w:w="853"/>
              <w:gridCol w:w="413"/>
              <w:gridCol w:w="560"/>
              <w:gridCol w:w="797"/>
              <w:gridCol w:w="897"/>
              <w:gridCol w:w="1000"/>
              <w:gridCol w:w="692"/>
              <w:gridCol w:w="242"/>
            </w:tblGrid>
            <w:tr w14:paraId="19277D4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PrEx>
              <w:trPr>
                <w:gridAfter w:val="1"/>
                <w:wAfter w:w="242" w:type="dxa"/>
                <w:cantSplit/>
                <w:trHeight w:val="424" w:hRule="atLeast"/>
              </w:trPr>
              <w:tc>
                <w:tcPr>
                  <w:tcW w:w="529" w:type="dxa"/>
                  <w:vMerge w:val="restart"/>
                  <w:tcBorders>
                    <w:tl2br w:val="nil"/>
                    <w:tr2bl w:val="nil"/>
                  </w:tcBorders>
                  <w:tcMar>
                    <w:left w:w="28" w:type="dxa"/>
                    <w:right w:w="28" w:type="dxa"/>
                  </w:tcMar>
                  <w:vAlign w:val="center"/>
                </w:tcPr>
                <w:p w14:paraId="32DFC297">
                  <w:pPr>
                    <w:spacing w:line="360" w:lineRule="exact"/>
                    <w:jc w:val="center"/>
                    <w:rPr>
                      <w:color w:val="auto"/>
                      <w:sz w:val="21"/>
                      <w:szCs w:val="21"/>
                      <w:highlight w:val="none"/>
                    </w:rPr>
                  </w:pPr>
                  <w:r>
                    <w:rPr>
                      <w:color w:val="auto"/>
                      <w:sz w:val="21"/>
                      <w:szCs w:val="21"/>
                      <w:highlight w:val="none"/>
                    </w:rPr>
                    <w:t>标识</w:t>
                  </w:r>
                </w:p>
              </w:tc>
              <w:tc>
                <w:tcPr>
                  <w:tcW w:w="3110" w:type="dxa"/>
                  <w:gridSpan w:val="4"/>
                  <w:tcBorders>
                    <w:tl2br w:val="nil"/>
                    <w:tr2bl w:val="nil"/>
                  </w:tcBorders>
                  <w:tcMar>
                    <w:left w:w="28" w:type="dxa"/>
                    <w:right w:w="28" w:type="dxa"/>
                  </w:tcMar>
                  <w:vAlign w:val="center"/>
                </w:tcPr>
                <w:p w14:paraId="397C7964">
                  <w:pPr>
                    <w:spacing w:line="360" w:lineRule="exact"/>
                    <w:jc w:val="center"/>
                    <w:rPr>
                      <w:color w:val="auto"/>
                      <w:sz w:val="21"/>
                      <w:szCs w:val="21"/>
                      <w:highlight w:val="none"/>
                    </w:rPr>
                  </w:pPr>
                  <w:r>
                    <w:rPr>
                      <w:color w:val="auto"/>
                      <w:sz w:val="21"/>
                      <w:szCs w:val="21"/>
                      <w:highlight w:val="none"/>
                    </w:rPr>
                    <w:t>中文名：天然气[含甲烷，压缩的]</w:t>
                  </w:r>
                </w:p>
              </w:tc>
              <w:tc>
                <w:tcPr>
                  <w:tcW w:w="4359" w:type="dxa"/>
                  <w:gridSpan w:val="6"/>
                  <w:tcBorders>
                    <w:tl2br w:val="nil"/>
                    <w:tr2bl w:val="nil"/>
                  </w:tcBorders>
                  <w:tcMar>
                    <w:left w:w="28" w:type="dxa"/>
                    <w:right w:w="28" w:type="dxa"/>
                  </w:tcMar>
                  <w:vAlign w:val="center"/>
                </w:tcPr>
                <w:p w14:paraId="30E4CC15">
                  <w:pPr>
                    <w:spacing w:line="360" w:lineRule="exact"/>
                    <w:jc w:val="center"/>
                    <w:rPr>
                      <w:color w:val="auto"/>
                      <w:sz w:val="21"/>
                      <w:szCs w:val="21"/>
                      <w:highlight w:val="none"/>
                    </w:rPr>
                  </w:pPr>
                  <w:r>
                    <w:rPr>
                      <w:color w:val="auto"/>
                      <w:sz w:val="21"/>
                      <w:szCs w:val="21"/>
                      <w:highlight w:val="none"/>
                    </w:rPr>
                    <w:t>危险货物编号：21007</w:t>
                  </w:r>
                </w:p>
              </w:tc>
            </w:tr>
            <w:tr w14:paraId="58BA372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409" w:hRule="atLeast"/>
              </w:trPr>
              <w:tc>
                <w:tcPr>
                  <w:tcW w:w="529" w:type="dxa"/>
                  <w:vMerge w:val="continue"/>
                  <w:tcBorders>
                    <w:tl2br w:val="nil"/>
                    <w:tr2bl w:val="nil"/>
                  </w:tcBorders>
                  <w:tcMar>
                    <w:left w:w="28" w:type="dxa"/>
                    <w:right w:w="28" w:type="dxa"/>
                  </w:tcMar>
                  <w:vAlign w:val="center"/>
                </w:tcPr>
                <w:p w14:paraId="5BF2C248">
                  <w:pPr>
                    <w:spacing w:line="360" w:lineRule="exact"/>
                    <w:jc w:val="center"/>
                    <w:rPr>
                      <w:color w:val="auto"/>
                      <w:sz w:val="21"/>
                      <w:szCs w:val="21"/>
                      <w:highlight w:val="none"/>
                    </w:rPr>
                  </w:pPr>
                </w:p>
              </w:tc>
              <w:tc>
                <w:tcPr>
                  <w:tcW w:w="3110" w:type="dxa"/>
                  <w:gridSpan w:val="4"/>
                  <w:tcBorders>
                    <w:tl2br w:val="nil"/>
                    <w:tr2bl w:val="nil"/>
                  </w:tcBorders>
                  <w:tcMar>
                    <w:left w:w="28" w:type="dxa"/>
                    <w:right w:w="28" w:type="dxa"/>
                  </w:tcMar>
                  <w:vAlign w:val="center"/>
                </w:tcPr>
                <w:p w14:paraId="567E1770">
                  <w:pPr>
                    <w:spacing w:line="360" w:lineRule="exact"/>
                    <w:jc w:val="center"/>
                    <w:rPr>
                      <w:color w:val="auto"/>
                      <w:sz w:val="21"/>
                      <w:szCs w:val="21"/>
                      <w:highlight w:val="none"/>
                    </w:rPr>
                  </w:pPr>
                  <w:r>
                    <w:rPr>
                      <w:color w:val="auto"/>
                      <w:sz w:val="21"/>
                      <w:szCs w:val="21"/>
                      <w:highlight w:val="none"/>
                    </w:rPr>
                    <w:t>英文名：natural gas，NG</w:t>
                  </w:r>
                </w:p>
              </w:tc>
              <w:tc>
                <w:tcPr>
                  <w:tcW w:w="4359" w:type="dxa"/>
                  <w:gridSpan w:val="6"/>
                  <w:tcBorders>
                    <w:tl2br w:val="nil"/>
                    <w:tr2bl w:val="nil"/>
                  </w:tcBorders>
                  <w:tcMar>
                    <w:left w:w="28" w:type="dxa"/>
                    <w:right w:w="28" w:type="dxa"/>
                  </w:tcMar>
                  <w:vAlign w:val="center"/>
                </w:tcPr>
                <w:p w14:paraId="74782B59">
                  <w:pPr>
                    <w:spacing w:line="360" w:lineRule="exact"/>
                    <w:jc w:val="center"/>
                    <w:rPr>
                      <w:color w:val="auto"/>
                      <w:sz w:val="21"/>
                      <w:szCs w:val="21"/>
                      <w:highlight w:val="none"/>
                    </w:rPr>
                  </w:pPr>
                  <w:r>
                    <w:rPr>
                      <w:color w:val="auto"/>
                      <w:sz w:val="21"/>
                      <w:szCs w:val="21"/>
                      <w:highlight w:val="none"/>
                    </w:rPr>
                    <w:t>UN编号：1971</w:t>
                  </w:r>
                </w:p>
              </w:tc>
            </w:tr>
            <w:tr w14:paraId="763FE2B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320" w:hRule="atLeast"/>
              </w:trPr>
              <w:tc>
                <w:tcPr>
                  <w:tcW w:w="529" w:type="dxa"/>
                  <w:vMerge w:val="continue"/>
                  <w:tcBorders>
                    <w:tl2br w:val="nil"/>
                    <w:tr2bl w:val="nil"/>
                  </w:tcBorders>
                  <w:tcMar>
                    <w:left w:w="28" w:type="dxa"/>
                    <w:right w:w="28" w:type="dxa"/>
                  </w:tcMar>
                  <w:vAlign w:val="center"/>
                </w:tcPr>
                <w:p w14:paraId="0D5284EA">
                  <w:pPr>
                    <w:spacing w:line="360" w:lineRule="exact"/>
                    <w:jc w:val="center"/>
                    <w:rPr>
                      <w:color w:val="auto"/>
                      <w:sz w:val="21"/>
                      <w:szCs w:val="21"/>
                      <w:highlight w:val="none"/>
                    </w:rPr>
                  </w:pPr>
                </w:p>
              </w:tc>
              <w:tc>
                <w:tcPr>
                  <w:tcW w:w="1415" w:type="dxa"/>
                  <w:tcBorders>
                    <w:tl2br w:val="nil"/>
                    <w:tr2bl w:val="nil"/>
                  </w:tcBorders>
                  <w:tcMar>
                    <w:left w:w="28" w:type="dxa"/>
                    <w:right w:w="28" w:type="dxa"/>
                  </w:tcMar>
                  <w:vAlign w:val="center"/>
                </w:tcPr>
                <w:p w14:paraId="48597A42">
                  <w:pPr>
                    <w:spacing w:line="360" w:lineRule="exact"/>
                    <w:jc w:val="center"/>
                    <w:rPr>
                      <w:color w:val="auto"/>
                      <w:sz w:val="21"/>
                      <w:szCs w:val="21"/>
                      <w:highlight w:val="none"/>
                    </w:rPr>
                  </w:pPr>
                  <w:r>
                    <w:rPr>
                      <w:color w:val="auto"/>
                      <w:sz w:val="21"/>
                      <w:szCs w:val="21"/>
                      <w:highlight w:val="none"/>
                    </w:rPr>
                    <w:t>分子式：CH</w:t>
                  </w:r>
                  <w:r>
                    <w:rPr>
                      <w:color w:val="auto"/>
                      <w:sz w:val="21"/>
                      <w:szCs w:val="21"/>
                      <w:highlight w:val="none"/>
                      <w:vertAlign w:val="subscript"/>
                    </w:rPr>
                    <w:t>4</w:t>
                  </w:r>
                </w:p>
              </w:tc>
              <w:tc>
                <w:tcPr>
                  <w:tcW w:w="1695" w:type="dxa"/>
                  <w:gridSpan w:val="3"/>
                  <w:tcBorders>
                    <w:tl2br w:val="nil"/>
                    <w:tr2bl w:val="nil"/>
                  </w:tcBorders>
                  <w:tcMar>
                    <w:left w:w="28" w:type="dxa"/>
                    <w:right w:w="28" w:type="dxa"/>
                  </w:tcMar>
                  <w:vAlign w:val="center"/>
                </w:tcPr>
                <w:p w14:paraId="1B032D0A">
                  <w:pPr>
                    <w:spacing w:line="360" w:lineRule="exact"/>
                    <w:jc w:val="center"/>
                    <w:rPr>
                      <w:color w:val="auto"/>
                      <w:sz w:val="21"/>
                      <w:szCs w:val="21"/>
                      <w:highlight w:val="none"/>
                    </w:rPr>
                  </w:pPr>
                  <w:r>
                    <w:rPr>
                      <w:color w:val="auto"/>
                      <w:sz w:val="21"/>
                      <w:szCs w:val="21"/>
                      <w:highlight w:val="none"/>
                    </w:rPr>
                    <w:t>分子量：16</w:t>
                  </w:r>
                </w:p>
              </w:tc>
              <w:tc>
                <w:tcPr>
                  <w:tcW w:w="4359" w:type="dxa"/>
                  <w:gridSpan w:val="6"/>
                  <w:tcBorders>
                    <w:tl2br w:val="nil"/>
                    <w:tr2bl w:val="nil"/>
                  </w:tcBorders>
                  <w:tcMar>
                    <w:left w:w="28" w:type="dxa"/>
                    <w:right w:w="28" w:type="dxa"/>
                  </w:tcMar>
                  <w:vAlign w:val="center"/>
                </w:tcPr>
                <w:p w14:paraId="09496F55">
                  <w:pPr>
                    <w:spacing w:line="360" w:lineRule="exact"/>
                    <w:jc w:val="center"/>
                    <w:rPr>
                      <w:color w:val="auto"/>
                      <w:sz w:val="21"/>
                      <w:szCs w:val="21"/>
                      <w:highlight w:val="none"/>
                    </w:rPr>
                  </w:pPr>
                  <w:r>
                    <w:rPr>
                      <w:color w:val="auto"/>
                      <w:sz w:val="21"/>
                      <w:szCs w:val="21"/>
                      <w:highlight w:val="none"/>
                    </w:rPr>
                    <w:t>CAS号：74-82-8</w:t>
                  </w:r>
                </w:p>
              </w:tc>
            </w:tr>
            <w:tr w14:paraId="7D77BEF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187" w:hRule="atLeast"/>
              </w:trPr>
              <w:tc>
                <w:tcPr>
                  <w:tcW w:w="529" w:type="dxa"/>
                  <w:vMerge w:val="restart"/>
                  <w:tcBorders>
                    <w:tl2br w:val="nil"/>
                    <w:tr2bl w:val="nil"/>
                  </w:tcBorders>
                  <w:tcMar>
                    <w:left w:w="28" w:type="dxa"/>
                    <w:right w:w="28" w:type="dxa"/>
                  </w:tcMar>
                  <w:vAlign w:val="center"/>
                </w:tcPr>
                <w:p w14:paraId="2510591B">
                  <w:pPr>
                    <w:spacing w:line="360" w:lineRule="exact"/>
                    <w:jc w:val="center"/>
                    <w:rPr>
                      <w:color w:val="auto"/>
                      <w:sz w:val="21"/>
                      <w:szCs w:val="21"/>
                      <w:highlight w:val="none"/>
                    </w:rPr>
                  </w:pPr>
                  <w:r>
                    <w:rPr>
                      <w:color w:val="auto"/>
                      <w:sz w:val="21"/>
                      <w:szCs w:val="21"/>
                      <w:highlight w:val="none"/>
                    </w:rPr>
                    <w:t>理化性质</w:t>
                  </w:r>
                </w:p>
              </w:tc>
              <w:tc>
                <w:tcPr>
                  <w:tcW w:w="1415" w:type="dxa"/>
                  <w:tcBorders>
                    <w:tl2br w:val="nil"/>
                    <w:tr2bl w:val="nil"/>
                  </w:tcBorders>
                  <w:tcMar>
                    <w:left w:w="28" w:type="dxa"/>
                    <w:right w:w="28" w:type="dxa"/>
                  </w:tcMar>
                  <w:vAlign w:val="center"/>
                </w:tcPr>
                <w:p w14:paraId="4CBD5760">
                  <w:pPr>
                    <w:spacing w:line="360" w:lineRule="exact"/>
                    <w:jc w:val="center"/>
                    <w:rPr>
                      <w:color w:val="auto"/>
                      <w:sz w:val="21"/>
                      <w:szCs w:val="21"/>
                      <w:highlight w:val="none"/>
                    </w:rPr>
                  </w:pPr>
                  <w:r>
                    <w:rPr>
                      <w:color w:val="auto"/>
                      <w:sz w:val="21"/>
                      <w:szCs w:val="21"/>
                      <w:highlight w:val="none"/>
                    </w:rPr>
                    <w:t>外观与性状</w:t>
                  </w:r>
                </w:p>
              </w:tc>
              <w:tc>
                <w:tcPr>
                  <w:tcW w:w="6054" w:type="dxa"/>
                  <w:gridSpan w:val="9"/>
                  <w:tcBorders>
                    <w:tl2br w:val="nil"/>
                    <w:tr2bl w:val="nil"/>
                  </w:tcBorders>
                  <w:tcMar>
                    <w:left w:w="28" w:type="dxa"/>
                    <w:right w:w="28" w:type="dxa"/>
                  </w:tcMar>
                  <w:vAlign w:val="center"/>
                </w:tcPr>
                <w:p w14:paraId="588EDDDC">
                  <w:pPr>
                    <w:spacing w:line="360" w:lineRule="exact"/>
                    <w:jc w:val="center"/>
                    <w:rPr>
                      <w:color w:val="auto"/>
                      <w:sz w:val="21"/>
                      <w:szCs w:val="21"/>
                      <w:highlight w:val="none"/>
                    </w:rPr>
                  </w:pPr>
                  <w:r>
                    <w:rPr>
                      <w:color w:val="auto"/>
                      <w:sz w:val="21"/>
                      <w:szCs w:val="21"/>
                      <w:highlight w:val="none"/>
                    </w:rPr>
                    <w:t>无色无臭气体</w:t>
                  </w:r>
                </w:p>
              </w:tc>
            </w:tr>
            <w:tr w14:paraId="2589EB1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90" w:hRule="atLeast"/>
              </w:trPr>
              <w:tc>
                <w:tcPr>
                  <w:tcW w:w="529" w:type="dxa"/>
                  <w:vMerge w:val="continue"/>
                  <w:tcBorders>
                    <w:tl2br w:val="nil"/>
                    <w:tr2bl w:val="nil"/>
                  </w:tcBorders>
                  <w:tcMar>
                    <w:left w:w="28" w:type="dxa"/>
                    <w:right w:w="28" w:type="dxa"/>
                  </w:tcMar>
                  <w:vAlign w:val="center"/>
                </w:tcPr>
                <w:p w14:paraId="1B2CFB23">
                  <w:pPr>
                    <w:spacing w:line="360" w:lineRule="exact"/>
                    <w:jc w:val="center"/>
                    <w:rPr>
                      <w:color w:val="auto"/>
                      <w:sz w:val="21"/>
                      <w:szCs w:val="21"/>
                      <w:highlight w:val="none"/>
                    </w:rPr>
                  </w:pPr>
                </w:p>
              </w:tc>
              <w:tc>
                <w:tcPr>
                  <w:tcW w:w="1415" w:type="dxa"/>
                  <w:tcBorders>
                    <w:tl2br w:val="nil"/>
                    <w:tr2bl w:val="nil"/>
                  </w:tcBorders>
                  <w:tcMar>
                    <w:left w:w="28" w:type="dxa"/>
                    <w:right w:w="28" w:type="dxa"/>
                  </w:tcMar>
                  <w:vAlign w:val="center"/>
                </w:tcPr>
                <w:p w14:paraId="44C4D714">
                  <w:pPr>
                    <w:spacing w:line="360" w:lineRule="exact"/>
                    <w:jc w:val="center"/>
                    <w:rPr>
                      <w:color w:val="auto"/>
                      <w:sz w:val="21"/>
                      <w:szCs w:val="21"/>
                      <w:highlight w:val="none"/>
                    </w:rPr>
                  </w:pPr>
                  <w:r>
                    <w:rPr>
                      <w:color w:val="auto"/>
                      <w:sz w:val="21"/>
                      <w:szCs w:val="21"/>
                      <w:highlight w:val="none"/>
                    </w:rPr>
                    <w:t>熔点（℃）</w:t>
                  </w:r>
                </w:p>
              </w:tc>
              <w:tc>
                <w:tcPr>
                  <w:tcW w:w="842" w:type="dxa"/>
                  <w:gridSpan w:val="2"/>
                  <w:tcBorders>
                    <w:tl2br w:val="nil"/>
                    <w:tr2bl w:val="nil"/>
                  </w:tcBorders>
                  <w:tcMar>
                    <w:left w:w="28" w:type="dxa"/>
                    <w:right w:w="28" w:type="dxa"/>
                  </w:tcMar>
                  <w:vAlign w:val="center"/>
                </w:tcPr>
                <w:p w14:paraId="4F714625">
                  <w:pPr>
                    <w:spacing w:line="360" w:lineRule="exact"/>
                    <w:jc w:val="center"/>
                    <w:rPr>
                      <w:color w:val="auto"/>
                      <w:sz w:val="21"/>
                      <w:szCs w:val="21"/>
                      <w:highlight w:val="none"/>
                    </w:rPr>
                  </w:pPr>
                  <w:r>
                    <w:rPr>
                      <w:color w:val="auto"/>
                      <w:sz w:val="21"/>
                      <w:szCs w:val="21"/>
                      <w:highlight w:val="none"/>
                    </w:rPr>
                    <w:t>-182.5</w:t>
                  </w:r>
                </w:p>
              </w:tc>
              <w:tc>
                <w:tcPr>
                  <w:tcW w:w="1826" w:type="dxa"/>
                  <w:gridSpan w:val="3"/>
                  <w:tcBorders>
                    <w:tl2br w:val="nil"/>
                    <w:tr2bl w:val="nil"/>
                  </w:tcBorders>
                  <w:tcMar>
                    <w:left w:w="28" w:type="dxa"/>
                    <w:right w:w="28" w:type="dxa"/>
                  </w:tcMar>
                  <w:vAlign w:val="center"/>
                </w:tcPr>
                <w:p w14:paraId="7A93EAE3">
                  <w:pPr>
                    <w:spacing w:line="360" w:lineRule="exact"/>
                    <w:jc w:val="center"/>
                    <w:rPr>
                      <w:color w:val="auto"/>
                      <w:sz w:val="21"/>
                      <w:szCs w:val="21"/>
                      <w:highlight w:val="none"/>
                    </w:rPr>
                  </w:pPr>
                  <w:r>
                    <w:rPr>
                      <w:color w:val="auto"/>
                      <w:sz w:val="21"/>
                      <w:szCs w:val="21"/>
                      <w:highlight w:val="none"/>
                    </w:rPr>
                    <w:t>相对密度（水=1）</w:t>
                  </w:r>
                </w:p>
              </w:tc>
              <w:tc>
                <w:tcPr>
                  <w:tcW w:w="797" w:type="dxa"/>
                  <w:tcBorders>
                    <w:tl2br w:val="nil"/>
                    <w:tr2bl w:val="nil"/>
                  </w:tcBorders>
                  <w:tcMar>
                    <w:left w:w="28" w:type="dxa"/>
                    <w:right w:w="28" w:type="dxa"/>
                  </w:tcMar>
                  <w:vAlign w:val="center"/>
                </w:tcPr>
                <w:p w14:paraId="34340E76">
                  <w:pPr>
                    <w:spacing w:line="360" w:lineRule="exact"/>
                    <w:jc w:val="center"/>
                    <w:rPr>
                      <w:color w:val="auto"/>
                      <w:sz w:val="21"/>
                      <w:szCs w:val="21"/>
                      <w:highlight w:val="none"/>
                    </w:rPr>
                  </w:pPr>
                  <w:r>
                    <w:rPr>
                      <w:color w:val="auto"/>
                      <w:sz w:val="21"/>
                      <w:szCs w:val="21"/>
                      <w:highlight w:val="none"/>
                    </w:rPr>
                    <w:t>0.415</w:t>
                  </w:r>
                </w:p>
              </w:tc>
              <w:tc>
                <w:tcPr>
                  <w:tcW w:w="1897" w:type="dxa"/>
                  <w:gridSpan w:val="2"/>
                  <w:tcBorders>
                    <w:tl2br w:val="nil"/>
                    <w:tr2bl w:val="nil"/>
                  </w:tcBorders>
                  <w:tcMar>
                    <w:left w:w="28" w:type="dxa"/>
                    <w:right w:w="28" w:type="dxa"/>
                  </w:tcMar>
                  <w:vAlign w:val="center"/>
                </w:tcPr>
                <w:p w14:paraId="14FF720D">
                  <w:pPr>
                    <w:spacing w:line="360" w:lineRule="exact"/>
                    <w:rPr>
                      <w:color w:val="auto"/>
                      <w:sz w:val="21"/>
                      <w:szCs w:val="21"/>
                      <w:highlight w:val="none"/>
                    </w:rPr>
                  </w:pPr>
                  <w:r>
                    <w:rPr>
                      <w:color w:val="auto"/>
                      <w:sz w:val="21"/>
                      <w:szCs w:val="21"/>
                      <w:highlight w:val="none"/>
                    </w:rPr>
                    <w:t>相对密度（空气=1）</w:t>
                  </w:r>
                </w:p>
              </w:tc>
              <w:tc>
                <w:tcPr>
                  <w:tcW w:w="692" w:type="dxa"/>
                  <w:tcBorders>
                    <w:tl2br w:val="nil"/>
                    <w:tr2bl w:val="nil"/>
                  </w:tcBorders>
                  <w:tcMar>
                    <w:left w:w="28" w:type="dxa"/>
                    <w:right w:w="28" w:type="dxa"/>
                  </w:tcMar>
                  <w:vAlign w:val="center"/>
                </w:tcPr>
                <w:p w14:paraId="13EB27AF">
                  <w:pPr>
                    <w:spacing w:line="360" w:lineRule="exact"/>
                    <w:rPr>
                      <w:color w:val="auto"/>
                      <w:sz w:val="21"/>
                      <w:szCs w:val="21"/>
                      <w:highlight w:val="none"/>
                    </w:rPr>
                  </w:pPr>
                  <w:r>
                    <w:rPr>
                      <w:color w:val="auto"/>
                      <w:sz w:val="21"/>
                      <w:szCs w:val="21"/>
                      <w:highlight w:val="none"/>
                    </w:rPr>
                    <w:t>0.55</w:t>
                  </w:r>
                </w:p>
              </w:tc>
            </w:tr>
            <w:tr w14:paraId="09DE5AE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90" w:hRule="atLeast"/>
              </w:trPr>
              <w:tc>
                <w:tcPr>
                  <w:tcW w:w="529" w:type="dxa"/>
                  <w:vMerge w:val="continue"/>
                  <w:tcBorders>
                    <w:tl2br w:val="nil"/>
                    <w:tr2bl w:val="nil"/>
                  </w:tcBorders>
                  <w:tcMar>
                    <w:left w:w="28" w:type="dxa"/>
                    <w:right w:w="28" w:type="dxa"/>
                  </w:tcMar>
                  <w:vAlign w:val="center"/>
                </w:tcPr>
                <w:p w14:paraId="06E36C41">
                  <w:pPr>
                    <w:spacing w:line="360" w:lineRule="exact"/>
                    <w:jc w:val="center"/>
                    <w:rPr>
                      <w:color w:val="auto"/>
                      <w:sz w:val="21"/>
                      <w:szCs w:val="21"/>
                      <w:highlight w:val="none"/>
                    </w:rPr>
                  </w:pPr>
                </w:p>
              </w:tc>
              <w:tc>
                <w:tcPr>
                  <w:tcW w:w="1415" w:type="dxa"/>
                  <w:tcBorders>
                    <w:tl2br w:val="nil"/>
                    <w:tr2bl w:val="nil"/>
                  </w:tcBorders>
                  <w:tcMar>
                    <w:left w:w="28" w:type="dxa"/>
                    <w:right w:w="28" w:type="dxa"/>
                  </w:tcMar>
                  <w:vAlign w:val="center"/>
                </w:tcPr>
                <w:p w14:paraId="0A3B4300">
                  <w:pPr>
                    <w:spacing w:line="360" w:lineRule="exact"/>
                    <w:jc w:val="center"/>
                    <w:rPr>
                      <w:color w:val="auto"/>
                      <w:sz w:val="21"/>
                      <w:szCs w:val="21"/>
                      <w:highlight w:val="none"/>
                    </w:rPr>
                  </w:pPr>
                  <w:r>
                    <w:rPr>
                      <w:color w:val="auto"/>
                      <w:sz w:val="21"/>
                      <w:szCs w:val="21"/>
                      <w:highlight w:val="none"/>
                    </w:rPr>
                    <w:t>沸点（℃）</w:t>
                  </w:r>
                </w:p>
              </w:tc>
              <w:tc>
                <w:tcPr>
                  <w:tcW w:w="842" w:type="dxa"/>
                  <w:gridSpan w:val="2"/>
                  <w:tcBorders>
                    <w:tl2br w:val="nil"/>
                    <w:tr2bl w:val="nil"/>
                  </w:tcBorders>
                  <w:tcMar>
                    <w:left w:w="28" w:type="dxa"/>
                    <w:right w:w="28" w:type="dxa"/>
                  </w:tcMar>
                  <w:vAlign w:val="center"/>
                </w:tcPr>
                <w:p w14:paraId="524640BD">
                  <w:pPr>
                    <w:spacing w:line="360" w:lineRule="exact"/>
                    <w:jc w:val="center"/>
                    <w:rPr>
                      <w:color w:val="auto"/>
                      <w:sz w:val="21"/>
                      <w:szCs w:val="21"/>
                      <w:highlight w:val="none"/>
                    </w:rPr>
                  </w:pPr>
                  <w:r>
                    <w:rPr>
                      <w:color w:val="auto"/>
                      <w:sz w:val="21"/>
                      <w:szCs w:val="21"/>
                      <w:highlight w:val="none"/>
                    </w:rPr>
                    <w:t>-161.5</w:t>
                  </w:r>
                </w:p>
              </w:tc>
              <w:tc>
                <w:tcPr>
                  <w:tcW w:w="1826" w:type="dxa"/>
                  <w:gridSpan w:val="3"/>
                  <w:tcBorders>
                    <w:tl2br w:val="nil"/>
                    <w:tr2bl w:val="nil"/>
                  </w:tcBorders>
                  <w:tcMar>
                    <w:left w:w="28" w:type="dxa"/>
                    <w:right w:w="28" w:type="dxa"/>
                  </w:tcMar>
                  <w:vAlign w:val="center"/>
                </w:tcPr>
                <w:p w14:paraId="0E040063">
                  <w:pPr>
                    <w:spacing w:line="360" w:lineRule="exact"/>
                    <w:rPr>
                      <w:color w:val="auto"/>
                      <w:sz w:val="21"/>
                      <w:szCs w:val="21"/>
                      <w:highlight w:val="none"/>
                    </w:rPr>
                  </w:pPr>
                  <w:r>
                    <w:rPr>
                      <w:rFonts w:hint="eastAsia"/>
                      <w:color w:val="auto"/>
                      <w:sz w:val="21"/>
                      <w:szCs w:val="21"/>
                      <w:highlight w:val="none"/>
                      <w:lang w:eastAsia="zh-CN"/>
                    </w:rPr>
                    <w:t>饱和蒸汽压</w:t>
                  </w:r>
                  <w:r>
                    <w:rPr>
                      <w:color w:val="auto"/>
                      <w:sz w:val="21"/>
                      <w:szCs w:val="21"/>
                      <w:highlight w:val="none"/>
                    </w:rPr>
                    <w:t>（kPa）</w:t>
                  </w:r>
                </w:p>
              </w:tc>
              <w:tc>
                <w:tcPr>
                  <w:tcW w:w="3386" w:type="dxa"/>
                  <w:gridSpan w:val="4"/>
                  <w:tcBorders>
                    <w:tl2br w:val="nil"/>
                    <w:tr2bl w:val="nil"/>
                  </w:tcBorders>
                  <w:tcMar>
                    <w:left w:w="28" w:type="dxa"/>
                    <w:right w:w="28" w:type="dxa"/>
                  </w:tcMar>
                  <w:vAlign w:val="center"/>
                </w:tcPr>
                <w:p w14:paraId="25961013">
                  <w:pPr>
                    <w:spacing w:line="360" w:lineRule="exact"/>
                    <w:jc w:val="center"/>
                    <w:rPr>
                      <w:color w:val="auto"/>
                      <w:sz w:val="21"/>
                      <w:szCs w:val="21"/>
                      <w:highlight w:val="none"/>
                    </w:rPr>
                  </w:pPr>
                  <w:r>
                    <w:rPr>
                      <w:color w:val="auto"/>
                      <w:sz w:val="21"/>
                      <w:szCs w:val="21"/>
                      <w:highlight w:val="none"/>
                    </w:rPr>
                    <w:t>53.32（-168.8℃）</w:t>
                  </w:r>
                </w:p>
              </w:tc>
            </w:tr>
            <w:tr w14:paraId="0697587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430" w:hRule="atLeast"/>
              </w:trPr>
              <w:tc>
                <w:tcPr>
                  <w:tcW w:w="529" w:type="dxa"/>
                  <w:vMerge w:val="continue"/>
                  <w:tcBorders>
                    <w:tl2br w:val="nil"/>
                    <w:tr2bl w:val="nil"/>
                  </w:tcBorders>
                  <w:tcMar>
                    <w:left w:w="28" w:type="dxa"/>
                    <w:right w:w="28" w:type="dxa"/>
                  </w:tcMar>
                  <w:vAlign w:val="center"/>
                </w:tcPr>
                <w:p w14:paraId="0C6E5021">
                  <w:pPr>
                    <w:spacing w:line="360" w:lineRule="exact"/>
                    <w:jc w:val="center"/>
                    <w:rPr>
                      <w:color w:val="auto"/>
                      <w:sz w:val="21"/>
                      <w:szCs w:val="21"/>
                      <w:highlight w:val="none"/>
                    </w:rPr>
                  </w:pPr>
                </w:p>
              </w:tc>
              <w:tc>
                <w:tcPr>
                  <w:tcW w:w="1415" w:type="dxa"/>
                  <w:tcBorders>
                    <w:tl2br w:val="nil"/>
                    <w:tr2bl w:val="nil"/>
                  </w:tcBorders>
                  <w:tcMar>
                    <w:left w:w="28" w:type="dxa"/>
                    <w:right w:w="28" w:type="dxa"/>
                  </w:tcMar>
                  <w:vAlign w:val="center"/>
                </w:tcPr>
                <w:p w14:paraId="31007C7B">
                  <w:pPr>
                    <w:spacing w:line="360" w:lineRule="exact"/>
                    <w:jc w:val="center"/>
                    <w:rPr>
                      <w:color w:val="auto"/>
                      <w:sz w:val="21"/>
                      <w:szCs w:val="21"/>
                      <w:highlight w:val="none"/>
                    </w:rPr>
                  </w:pPr>
                  <w:r>
                    <w:rPr>
                      <w:color w:val="auto"/>
                      <w:sz w:val="21"/>
                      <w:szCs w:val="21"/>
                      <w:highlight w:val="none"/>
                    </w:rPr>
                    <w:t>溶解性</w:t>
                  </w:r>
                </w:p>
              </w:tc>
              <w:tc>
                <w:tcPr>
                  <w:tcW w:w="6054" w:type="dxa"/>
                  <w:gridSpan w:val="9"/>
                  <w:tcBorders>
                    <w:tl2br w:val="nil"/>
                    <w:tr2bl w:val="nil"/>
                  </w:tcBorders>
                  <w:tcMar>
                    <w:left w:w="28" w:type="dxa"/>
                    <w:right w:w="28" w:type="dxa"/>
                  </w:tcMar>
                  <w:vAlign w:val="center"/>
                </w:tcPr>
                <w:p w14:paraId="55B0813E">
                  <w:pPr>
                    <w:spacing w:line="360" w:lineRule="exact"/>
                    <w:jc w:val="center"/>
                    <w:rPr>
                      <w:color w:val="auto"/>
                      <w:sz w:val="21"/>
                      <w:szCs w:val="21"/>
                      <w:highlight w:val="none"/>
                    </w:rPr>
                  </w:pPr>
                  <w:r>
                    <w:rPr>
                      <w:color w:val="auto"/>
                      <w:sz w:val="21"/>
                      <w:szCs w:val="21"/>
                      <w:highlight w:val="none"/>
                    </w:rPr>
                    <w:t>微溶于水，溶于乙醇、乙醚</w:t>
                  </w:r>
                </w:p>
              </w:tc>
            </w:tr>
            <w:tr w14:paraId="4D0428F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409" w:hRule="atLeast"/>
              </w:trPr>
              <w:tc>
                <w:tcPr>
                  <w:tcW w:w="529" w:type="dxa"/>
                  <w:vMerge w:val="restart"/>
                  <w:tcBorders>
                    <w:tl2br w:val="nil"/>
                    <w:tr2bl w:val="nil"/>
                  </w:tcBorders>
                  <w:tcMar>
                    <w:left w:w="28" w:type="dxa"/>
                    <w:right w:w="28" w:type="dxa"/>
                  </w:tcMar>
                  <w:vAlign w:val="center"/>
                </w:tcPr>
                <w:p w14:paraId="53C9A284">
                  <w:pPr>
                    <w:spacing w:line="360" w:lineRule="exact"/>
                    <w:jc w:val="center"/>
                    <w:rPr>
                      <w:color w:val="auto"/>
                      <w:sz w:val="21"/>
                      <w:szCs w:val="21"/>
                      <w:highlight w:val="none"/>
                    </w:rPr>
                  </w:pPr>
                  <w:r>
                    <w:rPr>
                      <w:color w:val="auto"/>
                      <w:sz w:val="21"/>
                      <w:szCs w:val="21"/>
                      <w:highlight w:val="none"/>
                    </w:rPr>
                    <w:t>毒性及健康危害</w:t>
                  </w:r>
                </w:p>
              </w:tc>
              <w:tc>
                <w:tcPr>
                  <w:tcW w:w="1761" w:type="dxa"/>
                  <w:gridSpan w:val="2"/>
                  <w:tcBorders>
                    <w:tl2br w:val="nil"/>
                    <w:tr2bl w:val="nil"/>
                  </w:tcBorders>
                  <w:tcMar>
                    <w:left w:w="28" w:type="dxa"/>
                    <w:right w:w="28" w:type="dxa"/>
                  </w:tcMar>
                  <w:vAlign w:val="center"/>
                </w:tcPr>
                <w:p w14:paraId="162BE115">
                  <w:pPr>
                    <w:spacing w:line="360" w:lineRule="exact"/>
                    <w:jc w:val="center"/>
                    <w:rPr>
                      <w:color w:val="auto"/>
                      <w:sz w:val="21"/>
                      <w:szCs w:val="21"/>
                      <w:highlight w:val="none"/>
                    </w:rPr>
                  </w:pPr>
                  <w:r>
                    <w:rPr>
                      <w:color w:val="auto"/>
                      <w:sz w:val="21"/>
                      <w:szCs w:val="21"/>
                      <w:highlight w:val="none"/>
                    </w:rPr>
                    <w:t>侵入途径</w:t>
                  </w:r>
                </w:p>
              </w:tc>
              <w:tc>
                <w:tcPr>
                  <w:tcW w:w="5708" w:type="dxa"/>
                  <w:gridSpan w:val="8"/>
                  <w:tcBorders>
                    <w:tl2br w:val="nil"/>
                    <w:tr2bl w:val="nil"/>
                  </w:tcBorders>
                  <w:tcMar>
                    <w:left w:w="28" w:type="dxa"/>
                    <w:right w:w="28" w:type="dxa"/>
                  </w:tcMar>
                  <w:vAlign w:val="center"/>
                </w:tcPr>
                <w:p w14:paraId="05B842DE">
                  <w:pPr>
                    <w:spacing w:line="360" w:lineRule="exact"/>
                    <w:jc w:val="center"/>
                    <w:rPr>
                      <w:color w:val="auto"/>
                      <w:sz w:val="21"/>
                      <w:szCs w:val="21"/>
                      <w:highlight w:val="none"/>
                    </w:rPr>
                  </w:pPr>
                  <w:r>
                    <w:rPr>
                      <w:color w:val="auto"/>
                      <w:sz w:val="21"/>
                      <w:szCs w:val="21"/>
                      <w:highlight w:val="none"/>
                    </w:rPr>
                    <w:t>吸入</w:t>
                  </w:r>
                </w:p>
              </w:tc>
            </w:tr>
            <w:tr w14:paraId="7C8BB034">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257" w:hRule="atLeast"/>
              </w:trPr>
              <w:tc>
                <w:tcPr>
                  <w:tcW w:w="529" w:type="dxa"/>
                  <w:vMerge w:val="continue"/>
                  <w:tcBorders>
                    <w:tl2br w:val="nil"/>
                    <w:tr2bl w:val="nil"/>
                  </w:tcBorders>
                  <w:tcMar>
                    <w:left w:w="28" w:type="dxa"/>
                    <w:right w:w="28" w:type="dxa"/>
                  </w:tcMar>
                  <w:vAlign w:val="center"/>
                </w:tcPr>
                <w:p w14:paraId="157921D3">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1D0179F6">
                  <w:pPr>
                    <w:spacing w:line="360" w:lineRule="exact"/>
                    <w:jc w:val="center"/>
                    <w:rPr>
                      <w:color w:val="auto"/>
                      <w:sz w:val="21"/>
                      <w:szCs w:val="21"/>
                      <w:highlight w:val="none"/>
                    </w:rPr>
                  </w:pPr>
                  <w:r>
                    <w:rPr>
                      <w:color w:val="auto"/>
                      <w:sz w:val="21"/>
                      <w:szCs w:val="21"/>
                      <w:highlight w:val="none"/>
                    </w:rPr>
                    <w:t>毒性</w:t>
                  </w:r>
                </w:p>
              </w:tc>
              <w:tc>
                <w:tcPr>
                  <w:tcW w:w="5708" w:type="dxa"/>
                  <w:gridSpan w:val="8"/>
                  <w:tcBorders>
                    <w:tl2br w:val="nil"/>
                    <w:tr2bl w:val="nil"/>
                  </w:tcBorders>
                  <w:tcMar>
                    <w:left w:w="28" w:type="dxa"/>
                    <w:right w:w="28" w:type="dxa"/>
                  </w:tcMar>
                  <w:vAlign w:val="center"/>
                </w:tcPr>
                <w:p w14:paraId="6D097D10">
                  <w:pPr>
                    <w:spacing w:line="360" w:lineRule="exact"/>
                    <w:jc w:val="center"/>
                    <w:rPr>
                      <w:color w:val="auto"/>
                      <w:sz w:val="21"/>
                      <w:szCs w:val="21"/>
                      <w:highlight w:val="none"/>
                    </w:rPr>
                  </w:pPr>
                  <w:r>
                    <w:rPr>
                      <w:color w:val="auto"/>
                      <w:sz w:val="21"/>
                      <w:szCs w:val="21"/>
                      <w:highlight w:val="none"/>
                    </w:rPr>
                    <w:t>LD</w:t>
                  </w:r>
                  <w:r>
                    <w:rPr>
                      <w:color w:val="auto"/>
                      <w:sz w:val="21"/>
                      <w:szCs w:val="21"/>
                      <w:highlight w:val="none"/>
                      <w:vertAlign w:val="subscript"/>
                    </w:rPr>
                    <w:t>50</w:t>
                  </w:r>
                  <w:r>
                    <w:rPr>
                      <w:color w:val="auto"/>
                      <w:sz w:val="21"/>
                      <w:szCs w:val="21"/>
                      <w:highlight w:val="none"/>
                    </w:rPr>
                    <w:t>：无资料  LC</w:t>
                  </w:r>
                  <w:r>
                    <w:rPr>
                      <w:color w:val="auto"/>
                      <w:sz w:val="21"/>
                      <w:szCs w:val="21"/>
                      <w:highlight w:val="none"/>
                      <w:vertAlign w:val="subscript"/>
                    </w:rPr>
                    <w:t>50</w:t>
                  </w:r>
                  <w:r>
                    <w:rPr>
                      <w:color w:val="auto"/>
                      <w:sz w:val="21"/>
                      <w:szCs w:val="21"/>
                      <w:highlight w:val="none"/>
                    </w:rPr>
                    <w:t>：357mg/m</w:t>
                  </w:r>
                  <w:r>
                    <w:rPr>
                      <w:color w:val="auto"/>
                      <w:sz w:val="21"/>
                      <w:szCs w:val="21"/>
                      <w:highlight w:val="none"/>
                      <w:vertAlign w:val="superscript"/>
                    </w:rPr>
                    <w:t>3</w:t>
                  </w:r>
                  <w:r>
                    <w:rPr>
                      <w:color w:val="auto"/>
                      <w:sz w:val="21"/>
                      <w:szCs w:val="21"/>
                      <w:highlight w:val="none"/>
                    </w:rPr>
                    <w:t>，5 分钟（小鼠吸入）</w:t>
                  </w:r>
                </w:p>
              </w:tc>
            </w:tr>
            <w:tr w14:paraId="7CA2F8BB">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691" w:hRule="atLeast"/>
              </w:trPr>
              <w:tc>
                <w:tcPr>
                  <w:tcW w:w="529" w:type="dxa"/>
                  <w:vMerge w:val="continue"/>
                  <w:tcBorders>
                    <w:tl2br w:val="nil"/>
                    <w:tr2bl w:val="nil"/>
                  </w:tcBorders>
                  <w:tcMar>
                    <w:left w:w="28" w:type="dxa"/>
                    <w:right w:w="28" w:type="dxa"/>
                  </w:tcMar>
                  <w:vAlign w:val="center"/>
                </w:tcPr>
                <w:p w14:paraId="48EE7F6F">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0931BB86">
                  <w:pPr>
                    <w:spacing w:line="360" w:lineRule="exact"/>
                    <w:jc w:val="center"/>
                    <w:rPr>
                      <w:color w:val="auto"/>
                      <w:sz w:val="21"/>
                      <w:szCs w:val="21"/>
                      <w:highlight w:val="none"/>
                    </w:rPr>
                  </w:pPr>
                  <w:r>
                    <w:rPr>
                      <w:color w:val="auto"/>
                      <w:sz w:val="21"/>
                      <w:szCs w:val="21"/>
                      <w:highlight w:val="none"/>
                    </w:rPr>
                    <w:t>健康危害</w:t>
                  </w:r>
                </w:p>
              </w:tc>
              <w:tc>
                <w:tcPr>
                  <w:tcW w:w="5708" w:type="dxa"/>
                  <w:gridSpan w:val="8"/>
                  <w:tcBorders>
                    <w:tl2br w:val="nil"/>
                    <w:tr2bl w:val="nil"/>
                  </w:tcBorders>
                  <w:tcMar>
                    <w:left w:w="28" w:type="dxa"/>
                    <w:right w:w="28" w:type="dxa"/>
                  </w:tcMar>
                  <w:vAlign w:val="center"/>
                </w:tcPr>
                <w:p w14:paraId="3C49149B">
                  <w:pPr>
                    <w:spacing w:line="360" w:lineRule="exact"/>
                    <w:jc w:val="center"/>
                    <w:rPr>
                      <w:color w:val="auto"/>
                      <w:sz w:val="21"/>
                      <w:szCs w:val="21"/>
                      <w:highlight w:val="none"/>
                    </w:rPr>
                  </w:pPr>
                  <w:r>
                    <w:rPr>
                      <w:color w:val="auto"/>
                      <w:sz w:val="21"/>
                      <w:szCs w:val="21"/>
                      <w:highlight w:val="none"/>
                    </w:rPr>
                    <w:t>天然气主要由甲烷组成</w:t>
                  </w:r>
                  <w:r>
                    <w:rPr>
                      <w:rFonts w:hint="eastAsia"/>
                      <w:color w:val="auto"/>
                      <w:sz w:val="21"/>
                      <w:szCs w:val="21"/>
                      <w:highlight w:val="none"/>
                    </w:rPr>
                    <w:t>，</w:t>
                  </w:r>
                  <w:r>
                    <w:rPr>
                      <w:color w:val="auto"/>
                      <w:sz w:val="21"/>
                      <w:szCs w:val="21"/>
                      <w:highlight w:val="none"/>
                    </w:rPr>
                    <w:t>其性质与纯甲烷相似，属“单纯窒息性”气体，高浓度时因缺氧而引起窒息。</w:t>
                  </w:r>
                </w:p>
              </w:tc>
            </w:tr>
            <w:tr w14:paraId="48BD5D8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954" w:hRule="atLeast"/>
              </w:trPr>
              <w:tc>
                <w:tcPr>
                  <w:tcW w:w="529" w:type="dxa"/>
                  <w:vMerge w:val="continue"/>
                  <w:tcBorders>
                    <w:tl2br w:val="nil"/>
                    <w:tr2bl w:val="nil"/>
                  </w:tcBorders>
                  <w:tcMar>
                    <w:left w:w="28" w:type="dxa"/>
                    <w:right w:w="28" w:type="dxa"/>
                  </w:tcMar>
                  <w:vAlign w:val="center"/>
                </w:tcPr>
                <w:p w14:paraId="772A8918">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1DB5141B">
                  <w:pPr>
                    <w:spacing w:line="360" w:lineRule="exact"/>
                    <w:jc w:val="center"/>
                    <w:rPr>
                      <w:color w:val="auto"/>
                      <w:sz w:val="21"/>
                      <w:szCs w:val="21"/>
                      <w:highlight w:val="none"/>
                    </w:rPr>
                  </w:pPr>
                  <w:r>
                    <w:rPr>
                      <w:color w:val="auto"/>
                      <w:sz w:val="21"/>
                      <w:szCs w:val="21"/>
                      <w:highlight w:val="none"/>
                    </w:rPr>
                    <w:t>急救方法</w:t>
                  </w:r>
                </w:p>
              </w:tc>
              <w:tc>
                <w:tcPr>
                  <w:tcW w:w="5708" w:type="dxa"/>
                  <w:gridSpan w:val="8"/>
                  <w:tcBorders>
                    <w:tl2br w:val="nil"/>
                    <w:tr2bl w:val="nil"/>
                  </w:tcBorders>
                  <w:tcMar>
                    <w:left w:w="28" w:type="dxa"/>
                    <w:right w:w="28" w:type="dxa"/>
                  </w:tcMar>
                  <w:vAlign w:val="center"/>
                </w:tcPr>
                <w:p w14:paraId="3509B5BA">
                  <w:pPr>
                    <w:spacing w:line="360" w:lineRule="exact"/>
                    <w:jc w:val="center"/>
                    <w:rPr>
                      <w:color w:val="auto"/>
                      <w:sz w:val="21"/>
                      <w:szCs w:val="21"/>
                      <w:highlight w:val="none"/>
                    </w:rPr>
                  </w:pPr>
                  <w:r>
                    <w:rPr>
                      <w:color w:val="auto"/>
                      <w:sz w:val="21"/>
                      <w:szCs w:val="21"/>
                      <w:highlight w:val="none"/>
                    </w:rPr>
                    <w:t>应使吸入天然气的患者脱离污染区，安置休息并保暖；当呼吸失调时进行输氧；如呼吸停止，应先清洗口腔和呼吸道中的粘液及呕吐物，然后立即进行口对口人工呼吸，并送医院急救。</w:t>
                  </w:r>
                </w:p>
              </w:tc>
            </w:tr>
            <w:tr w14:paraId="2858069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90" w:hRule="atLeast"/>
              </w:trPr>
              <w:tc>
                <w:tcPr>
                  <w:tcW w:w="529" w:type="dxa"/>
                  <w:vMerge w:val="restart"/>
                  <w:tcBorders>
                    <w:tl2br w:val="nil"/>
                    <w:tr2bl w:val="nil"/>
                  </w:tcBorders>
                  <w:tcMar>
                    <w:left w:w="28" w:type="dxa"/>
                    <w:right w:w="28" w:type="dxa"/>
                  </w:tcMar>
                  <w:vAlign w:val="center"/>
                </w:tcPr>
                <w:p w14:paraId="38CB87B6">
                  <w:pPr>
                    <w:spacing w:line="360" w:lineRule="exact"/>
                    <w:jc w:val="center"/>
                    <w:rPr>
                      <w:color w:val="auto"/>
                      <w:sz w:val="21"/>
                      <w:szCs w:val="21"/>
                      <w:highlight w:val="none"/>
                    </w:rPr>
                  </w:pPr>
                  <w:r>
                    <w:rPr>
                      <w:color w:val="auto"/>
                      <w:sz w:val="21"/>
                      <w:szCs w:val="21"/>
                      <w:highlight w:val="none"/>
                    </w:rPr>
                    <w:t>燃烧爆炸危险性</w:t>
                  </w:r>
                </w:p>
              </w:tc>
              <w:tc>
                <w:tcPr>
                  <w:tcW w:w="1761" w:type="dxa"/>
                  <w:gridSpan w:val="2"/>
                  <w:tcBorders>
                    <w:tl2br w:val="nil"/>
                    <w:tr2bl w:val="nil"/>
                  </w:tcBorders>
                  <w:tcMar>
                    <w:left w:w="28" w:type="dxa"/>
                    <w:right w:w="28" w:type="dxa"/>
                  </w:tcMar>
                  <w:vAlign w:val="center"/>
                </w:tcPr>
                <w:p w14:paraId="75F4B864">
                  <w:pPr>
                    <w:spacing w:line="360" w:lineRule="exact"/>
                    <w:jc w:val="center"/>
                    <w:rPr>
                      <w:color w:val="auto"/>
                      <w:sz w:val="21"/>
                      <w:szCs w:val="21"/>
                      <w:highlight w:val="none"/>
                    </w:rPr>
                  </w:pPr>
                  <w:r>
                    <w:rPr>
                      <w:color w:val="auto"/>
                      <w:sz w:val="21"/>
                      <w:szCs w:val="21"/>
                      <w:highlight w:val="none"/>
                    </w:rPr>
                    <w:t>燃烧性</w:t>
                  </w:r>
                </w:p>
              </w:tc>
              <w:tc>
                <w:tcPr>
                  <w:tcW w:w="1762" w:type="dxa"/>
                  <w:gridSpan w:val="3"/>
                  <w:tcBorders>
                    <w:tl2br w:val="nil"/>
                    <w:tr2bl w:val="nil"/>
                  </w:tcBorders>
                  <w:tcMar>
                    <w:left w:w="28" w:type="dxa"/>
                    <w:right w:w="28" w:type="dxa"/>
                  </w:tcMar>
                  <w:vAlign w:val="center"/>
                </w:tcPr>
                <w:p w14:paraId="69AD7CE1">
                  <w:pPr>
                    <w:spacing w:line="360" w:lineRule="exact"/>
                    <w:jc w:val="center"/>
                    <w:rPr>
                      <w:color w:val="auto"/>
                      <w:sz w:val="21"/>
                      <w:szCs w:val="21"/>
                      <w:highlight w:val="none"/>
                    </w:rPr>
                  </w:pPr>
                  <w:r>
                    <w:rPr>
                      <w:color w:val="auto"/>
                      <w:sz w:val="21"/>
                      <w:szCs w:val="21"/>
                      <w:highlight w:val="none"/>
                    </w:rPr>
                    <w:t>易燃</w:t>
                  </w:r>
                </w:p>
              </w:tc>
              <w:tc>
                <w:tcPr>
                  <w:tcW w:w="2254" w:type="dxa"/>
                  <w:gridSpan w:val="3"/>
                  <w:tcBorders>
                    <w:tl2br w:val="nil"/>
                    <w:tr2bl w:val="nil"/>
                  </w:tcBorders>
                  <w:tcMar>
                    <w:left w:w="28" w:type="dxa"/>
                    <w:right w:w="28" w:type="dxa"/>
                  </w:tcMar>
                  <w:vAlign w:val="center"/>
                </w:tcPr>
                <w:p w14:paraId="41D8F590">
                  <w:pPr>
                    <w:spacing w:line="360" w:lineRule="exact"/>
                    <w:jc w:val="center"/>
                    <w:rPr>
                      <w:color w:val="auto"/>
                      <w:sz w:val="21"/>
                      <w:szCs w:val="21"/>
                      <w:highlight w:val="none"/>
                    </w:rPr>
                  </w:pPr>
                  <w:r>
                    <w:rPr>
                      <w:color w:val="auto"/>
                      <w:sz w:val="21"/>
                      <w:szCs w:val="21"/>
                      <w:highlight w:val="none"/>
                    </w:rPr>
                    <w:t>临界压力（MPa）</w:t>
                  </w:r>
                </w:p>
              </w:tc>
              <w:tc>
                <w:tcPr>
                  <w:tcW w:w="1934" w:type="dxa"/>
                  <w:gridSpan w:val="3"/>
                  <w:tcBorders>
                    <w:tl2br w:val="nil"/>
                    <w:tr2bl w:val="nil"/>
                  </w:tcBorders>
                  <w:tcMar>
                    <w:left w:w="28" w:type="dxa"/>
                    <w:right w:w="28" w:type="dxa"/>
                  </w:tcMar>
                  <w:vAlign w:val="center"/>
                </w:tcPr>
                <w:p w14:paraId="3102FBF6">
                  <w:pPr>
                    <w:spacing w:line="360" w:lineRule="exact"/>
                    <w:jc w:val="center"/>
                    <w:rPr>
                      <w:color w:val="auto"/>
                      <w:sz w:val="21"/>
                      <w:szCs w:val="21"/>
                      <w:highlight w:val="none"/>
                    </w:rPr>
                  </w:pPr>
                  <w:r>
                    <w:rPr>
                      <w:color w:val="auto"/>
                      <w:sz w:val="21"/>
                      <w:szCs w:val="21"/>
                      <w:highlight w:val="none"/>
                    </w:rPr>
                    <w:t>4.59</w:t>
                  </w:r>
                </w:p>
              </w:tc>
            </w:tr>
            <w:tr w14:paraId="3C45A08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90" w:hRule="atLeast"/>
              </w:trPr>
              <w:tc>
                <w:tcPr>
                  <w:tcW w:w="529" w:type="dxa"/>
                  <w:vMerge w:val="continue"/>
                  <w:tcBorders>
                    <w:tl2br w:val="nil"/>
                    <w:tr2bl w:val="nil"/>
                  </w:tcBorders>
                  <w:tcMar>
                    <w:left w:w="28" w:type="dxa"/>
                    <w:right w:w="28" w:type="dxa"/>
                  </w:tcMar>
                  <w:vAlign w:val="center"/>
                </w:tcPr>
                <w:p w14:paraId="17ED3970">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3347DBF3">
                  <w:pPr>
                    <w:spacing w:line="360" w:lineRule="exact"/>
                    <w:jc w:val="center"/>
                    <w:rPr>
                      <w:color w:val="auto"/>
                      <w:sz w:val="21"/>
                      <w:szCs w:val="21"/>
                      <w:highlight w:val="none"/>
                    </w:rPr>
                  </w:pPr>
                  <w:r>
                    <w:rPr>
                      <w:color w:val="auto"/>
                      <w:sz w:val="21"/>
                      <w:szCs w:val="21"/>
                      <w:highlight w:val="none"/>
                    </w:rPr>
                    <w:t>闪点（℃）</w:t>
                  </w:r>
                </w:p>
              </w:tc>
              <w:tc>
                <w:tcPr>
                  <w:tcW w:w="1762" w:type="dxa"/>
                  <w:gridSpan w:val="3"/>
                  <w:tcBorders>
                    <w:tl2br w:val="nil"/>
                    <w:tr2bl w:val="nil"/>
                  </w:tcBorders>
                  <w:tcMar>
                    <w:left w:w="28" w:type="dxa"/>
                    <w:right w:w="28" w:type="dxa"/>
                  </w:tcMar>
                  <w:vAlign w:val="center"/>
                </w:tcPr>
                <w:p w14:paraId="2F1E2740">
                  <w:pPr>
                    <w:spacing w:line="360" w:lineRule="exact"/>
                    <w:jc w:val="center"/>
                    <w:rPr>
                      <w:color w:val="auto"/>
                      <w:sz w:val="21"/>
                      <w:szCs w:val="21"/>
                      <w:highlight w:val="none"/>
                    </w:rPr>
                  </w:pPr>
                  <w:r>
                    <w:rPr>
                      <w:color w:val="auto"/>
                      <w:sz w:val="21"/>
                      <w:szCs w:val="21"/>
                      <w:highlight w:val="none"/>
                    </w:rPr>
                    <w:t>-188</w:t>
                  </w:r>
                </w:p>
              </w:tc>
              <w:tc>
                <w:tcPr>
                  <w:tcW w:w="2254" w:type="dxa"/>
                  <w:gridSpan w:val="3"/>
                  <w:tcBorders>
                    <w:tl2br w:val="nil"/>
                    <w:tr2bl w:val="nil"/>
                  </w:tcBorders>
                  <w:tcMar>
                    <w:left w:w="28" w:type="dxa"/>
                    <w:right w:w="28" w:type="dxa"/>
                  </w:tcMar>
                  <w:vAlign w:val="center"/>
                </w:tcPr>
                <w:p w14:paraId="001EEDCC">
                  <w:pPr>
                    <w:spacing w:line="360" w:lineRule="exact"/>
                    <w:jc w:val="center"/>
                    <w:rPr>
                      <w:color w:val="auto"/>
                      <w:sz w:val="21"/>
                      <w:szCs w:val="21"/>
                      <w:highlight w:val="none"/>
                    </w:rPr>
                  </w:pPr>
                  <w:r>
                    <w:rPr>
                      <w:color w:val="auto"/>
                      <w:sz w:val="21"/>
                      <w:szCs w:val="21"/>
                      <w:highlight w:val="none"/>
                    </w:rPr>
                    <w:t>爆炸上限（v%）</w:t>
                  </w:r>
                </w:p>
              </w:tc>
              <w:tc>
                <w:tcPr>
                  <w:tcW w:w="1934" w:type="dxa"/>
                  <w:gridSpan w:val="3"/>
                  <w:tcBorders>
                    <w:tl2br w:val="nil"/>
                    <w:tr2bl w:val="nil"/>
                  </w:tcBorders>
                  <w:tcMar>
                    <w:left w:w="28" w:type="dxa"/>
                    <w:right w:w="28" w:type="dxa"/>
                  </w:tcMar>
                  <w:vAlign w:val="center"/>
                </w:tcPr>
                <w:p w14:paraId="55651912">
                  <w:pPr>
                    <w:spacing w:line="360" w:lineRule="exact"/>
                    <w:jc w:val="center"/>
                    <w:rPr>
                      <w:color w:val="auto"/>
                      <w:sz w:val="21"/>
                      <w:szCs w:val="21"/>
                      <w:highlight w:val="none"/>
                    </w:rPr>
                  </w:pPr>
                  <w:r>
                    <w:rPr>
                      <w:color w:val="auto"/>
                      <w:sz w:val="21"/>
                      <w:szCs w:val="21"/>
                      <w:highlight w:val="none"/>
                    </w:rPr>
                    <w:t>15</w:t>
                  </w:r>
                </w:p>
              </w:tc>
            </w:tr>
            <w:tr w14:paraId="1FB7C64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cantSplit/>
                <w:trHeight w:val="90" w:hRule="atLeast"/>
              </w:trPr>
              <w:tc>
                <w:tcPr>
                  <w:tcW w:w="529" w:type="dxa"/>
                  <w:vMerge w:val="continue"/>
                  <w:tcBorders>
                    <w:tl2br w:val="nil"/>
                    <w:tr2bl w:val="nil"/>
                  </w:tcBorders>
                  <w:tcMar>
                    <w:left w:w="28" w:type="dxa"/>
                    <w:right w:w="28" w:type="dxa"/>
                  </w:tcMar>
                  <w:vAlign w:val="center"/>
                </w:tcPr>
                <w:p w14:paraId="76F1ACDD">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7D01EB1F">
                  <w:pPr>
                    <w:spacing w:line="360" w:lineRule="exact"/>
                    <w:jc w:val="center"/>
                    <w:rPr>
                      <w:color w:val="auto"/>
                      <w:sz w:val="21"/>
                      <w:szCs w:val="21"/>
                      <w:highlight w:val="none"/>
                    </w:rPr>
                  </w:pPr>
                  <w:r>
                    <w:rPr>
                      <w:color w:val="auto"/>
                      <w:sz w:val="21"/>
                      <w:szCs w:val="21"/>
                      <w:highlight w:val="none"/>
                    </w:rPr>
                    <w:t>引燃温度（℃）</w:t>
                  </w:r>
                </w:p>
              </w:tc>
              <w:tc>
                <w:tcPr>
                  <w:tcW w:w="1762" w:type="dxa"/>
                  <w:gridSpan w:val="3"/>
                  <w:tcBorders>
                    <w:tl2br w:val="nil"/>
                    <w:tr2bl w:val="nil"/>
                  </w:tcBorders>
                  <w:tcMar>
                    <w:left w:w="28" w:type="dxa"/>
                    <w:right w:w="28" w:type="dxa"/>
                  </w:tcMar>
                  <w:vAlign w:val="center"/>
                </w:tcPr>
                <w:p w14:paraId="7AAE3CA8">
                  <w:pPr>
                    <w:spacing w:line="360" w:lineRule="exact"/>
                    <w:jc w:val="center"/>
                    <w:rPr>
                      <w:color w:val="auto"/>
                      <w:sz w:val="21"/>
                      <w:szCs w:val="21"/>
                      <w:highlight w:val="none"/>
                    </w:rPr>
                  </w:pPr>
                  <w:r>
                    <w:rPr>
                      <w:color w:val="auto"/>
                      <w:sz w:val="21"/>
                      <w:szCs w:val="21"/>
                      <w:highlight w:val="none"/>
                    </w:rPr>
                    <w:t>537</w:t>
                  </w:r>
                </w:p>
              </w:tc>
              <w:tc>
                <w:tcPr>
                  <w:tcW w:w="2254" w:type="dxa"/>
                  <w:gridSpan w:val="3"/>
                  <w:tcBorders>
                    <w:tl2br w:val="nil"/>
                    <w:tr2bl w:val="nil"/>
                  </w:tcBorders>
                  <w:tcMar>
                    <w:left w:w="28" w:type="dxa"/>
                    <w:right w:w="28" w:type="dxa"/>
                  </w:tcMar>
                  <w:vAlign w:val="center"/>
                </w:tcPr>
                <w:p w14:paraId="7BDEB64B">
                  <w:pPr>
                    <w:spacing w:line="360" w:lineRule="exact"/>
                    <w:jc w:val="center"/>
                    <w:rPr>
                      <w:color w:val="auto"/>
                      <w:sz w:val="21"/>
                      <w:szCs w:val="21"/>
                      <w:highlight w:val="none"/>
                    </w:rPr>
                  </w:pPr>
                  <w:r>
                    <w:rPr>
                      <w:color w:val="auto"/>
                      <w:sz w:val="21"/>
                      <w:szCs w:val="21"/>
                      <w:highlight w:val="none"/>
                    </w:rPr>
                    <w:t>爆炸下限（v%）</w:t>
                  </w:r>
                </w:p>
              </w:tc>
              <w:tc>
                <w:tcPr>
                  <w:tcW w:w="1934" w:type="dxa"/>
                  <w:gridSpan w:val="3"/>
                  <w:tcBorders>
                    <w:tl2br w:val="nil"/>
                    <w:tr2bl w:val="nil"/>
                  </w:tcBorders>
                  <w:tcMar>
                    <w:left w:w="28" w:type="dxa"/>
                    <w:right w:w="28" w:type="dxa"/>
                  </w:tcMar>
                  <w:vAlign w:val="center"/>
                </w:tcPr>
                <w:p w14:paraId="6BE8ACA3">
                  <w:pPr>
                    <w:spacing w:line="360" w:lineRule="exact"/>
                    <w:jc w:val="center"/>
                    <w:rPr>
                      <w:color w:val="auto"/>
                      <w:sz w:val="21"/>
                      <w:szCs w:val="21"/>
                      <w:highlight w:val="none"/>
                    </w:rPr>
                  </w:pPr>
                  <w:r>
                    <w:rPr>
                      <w:color w:val="auto"/>
                      <w:sz w:val="21"/>
                      <w:szCs w:val="21"/>
                      <w:highlight w:val="none"/>
                    </w:rPr>
                    <w:t>5.3</w:t>
                  </w:r>
                </w:p>
              </w:tc>
            </w:tr>
            <w:tr w14:paraId="537AACC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756" w:hRule="atLeast"/>
              </w:trPr>
              <w:tc>
                <w:tcPr>
                  <w:tcW w:w="529" w:type="dxa"/>
                  <w:vMerge w:val="continue"/>
                  <w:tcBorders>
                    <w:tl2br w:val="nil"/>
                    <w:tr2bl w:val="nil"/>
                  </w:tcBorders>
                  <w:tcMar>
                    <w:left w:w="28" w:type="dxa"/>
                    <w:right w:w="28" w:type="dxa"/>
                  </w:tcMar>
                  <w:vAlign w:val="center"/>
                </w:tcPr>
                <w:p w14:paraId="3EE061F4">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2F914CA1">
                  <w:pPr>
                    <w:spacing w:line="360" w:lineRule="exact"/>
                    <w:jc w:val="center"/>
                    <w:rPr>
                      <w:color w:val="auto"/>
                      <w:sz w:val="21"/>
                      <w:szCs w:val="21"/>
                      <w:highlight w:val="none"/>
                    </w:rPr>
                  </w:pPr>
                  <w:r>
                    <w:rPr>
                      <w:color w:val="auto"/>
                      <w:sz w:val="21"/>
                      <w:szCs w:val="21"/>
                      <w:highlight w:val="none"/>
                    </w:rPr>
                    <w:t>危险特性</w:t>
                  </w:r>
                </w:p>
              </w:tc>
              <w:tc>
                <w:tcPr>
                  <w:tcW w:w="5708" w:type="dxa"/>
                  <w:gridSpan w:val="8"/>
                  <w:tcBorders>
                    <w:tl2br w:val="nil"/>
                    <w:tr2bl w:val="nil"/>
                  </w:tcBorders>
                  <w:tcMar>
                    <w:left w:w="28" w:type="dxa"/>
                    <w:right w:w="28" w:type="dxa"/>
                  </w:tcMar>
                  <w:vAlign w:val="center"/>
                </w:tcPr>
                <w:p w14:paraId="76E84E73">
                  <w:pPr>
                    <w:spacing w:line="360" w:lineRule="exact"/>
                    <w:jc w:val="center"/>
                    <w:rPr>
                      <w:color w:val="auto"/>
                      <w:sz w:val="21"/>
                      <w:szCs w:val="21"/>
                      <w:highlight w:val="none"/>
                    </w:rPr>
                  </w:pPr>
                  <w:r>
                    <w:rPr>
                      <w:color w:val="auto"/>
                      <w:sz w:val="21"/>
                      <w:szCs w:val="21"/>
                      <w:highlight w:val="none"/>
                    </w:rPr>
                    <w:t>蒸气能与空气形成爆炸性混合物；遇热源、明火着火、爆炸危险。与五氟化溴、氯气、次氯酸、三氟化氮、液氧、二氟化溴、强氧化剂接触剧烈反应。</w:t>
                  </w:r>
                </w:p>
              </w:tc>
            </w:tr>
            <w:tr w14:paraId="6A9B2C7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2318" w:hRule="atLeast"/>
              </w:trPr>
              <w:tc>
                <w:tcPr>
                  <w:tcW w:w="529" w:type="dxa"/>
                  <w:vMerge w:val="continue"/>
                  <w:tcBorders>
                    <w:tl2br w:val="nil"/>
                    <w:tr2bl w:val="nil"/>
                  </w:tcBorders>
                  <w:tcMar>
                    <w:left w:w="28" w:type="dxa"/>
                    <w:right w:w="28" w:type="dxa"/>
                  </w:tcMar>
                  <w:vAlign w:val="center"/>
                </w:tcPr>
                <w:p w14:paraId="1FD31E79">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2C5B49B6">
                  <w:pPr>
                    <w:spacing w:line="360" w:lineRule="exact"/>
                    <w:jc w:val="center"/>
                    <w:rPr>
                      <w:color w:val="auto"/>
                      <w:sz w:val="21"/>
                      <w:szCs w:val="21"/>
                      <w:highlight w:val="none"/>
                    </w:rPr>
                  </w:pPr>
                  <w:r>
                    <w:rPr>
                      <w:color w:val="auto"/>
                      <w:sz w:val="21"/>
                      <w:szCs w:val="21"/>
                      <w:highlight w:val="none"/>
                    </w:rPr>
                    <w:t>储运条件</w:t>
                  </w:r>
                </w:p>
                <w:p w14:paraId="6D003010">
                  <w:pPr>
                    <w:spacing w:line="360" w:lineRule="exact"/>
                    <w:jc w:val="center"/>
                    <w:rPr>
                      <w:color w:val="auto"/>
                      <w:sz w:val="21"/>
                      <w:szCs w:val="21"/>
                      <w:highlight w:val="none"/>
                    </w:rPr>
                  </w:pPr>
                  <w:r>
                    <w:rPr>
                      <w:color w:val="auto"/>
                      <w:sz w:val="21"/>
                      <w:szCs w:val="21"/>
                      <w:highlight w:val="none"/>
                    </w:rPr>
                    <w:t>与泄漏处理</w:t>
                  </w:r>
                </w:p>
              </w:tc>
              <w:tc>
                <w:tcPr>
                  <w:tcW w:w="5708" w:type="dxa"/>
                  <w:gridSpan w:val="8"/>
                  <w:tcBorders>
                    <w:tl2br w:val="nil"/>
                    <w:tr2bl w:val="nil"/>
                  </w:tcBorders>
                  <w:tcMar>
                    <w:left w:w="28" w:type="dxa"/>
                    <w:right w:w="28" w:type="dxa"/>
                  </w:tcMar>
                  <w:vAlign w:val="center"/>
                </w:tcPr>
                <w:p w14:paraId="1026E6D8">
                  <w:pPr>
                    <w:spacing w:line="360" w:lineRule="exact"/>
                    <w:jc w:val="left"/>
                    <w:rPr>
                      <w:color w:val="auto"/>
                      <w:sz w:val="21"/>
                      <w:szCs w:val="21"/>
                      <w:highlight w:val="none"/>
                    </w:rPr>
                  </w:pPr>
                  <w:r>
                    <w:rPr>
                      <w:color w:val="auto"/>
                      <w:sz w:val="21"/>
                      <w:szCs w:val="21"/>
                      <w:highlight w:val="none"/>
                    </w:rPr>
                    <w:t>储运条件：储存在阴凉、通风良好的专用库房内或大型气柜，远离容易起火的地方。与五氟化溴、氯气、二氧化氯、三氟化氮、液氧、二氟化氧、氧化剂隔离储运。</w:t>
                  </w:r>
                </w:p>
                <w:p w14:paraId="3F34FF3C">
                  <w:pPr>
                    <w:spacing w:line="360" w:lineRule="exact"/>
                    <w:jc w:val="center"/>
                    <w:rPr>
                      <w:color w:val="auto"/>
                      <w:sz w:val="21"/>
                      <w:szCs w:val="21"/>
                      <w:highlight w:val="none"/>
                    </w:rPr>
                  </w:pPr>
                  <w:r>
                    <w:rPr>
                      <w:color w:val="auto"/>
                      <w:sz w:val="21"/>
                      <w:szCs w:val="21"/>
                      <w:highlight w:val="none"/>
                    </w:rPr>
                    <w:t>泄漏处理：切断火源，勿使其燃烧，同时关闭阀门等，制止渗漏；并用雾状水保护阀门人员；操作时必须穿戴防毒面具与手套。对残余废气或钢瓶泄漏出气要用排风机排至空旷地方。</w:t>
                  </w:r>
                </w:p>
              </w:tc>
            </w:tr>
            <w:tr w14:paraId="77D402C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gridAfter w:val="1"/>
                <w:wAfter w:w="242" w:type="dxa"/>
                <w:cantSplit/>
                <w:trHeight w:val="90" w:hRule="atLeast"/>
              </w:trPr>
              <w:tc>
                <w:tcPr>
                  <w:tcW w:w="529" w:type="dxa"/>
                  <w:vMerge w:val="continue"/>
                  <w:tcBorders>
                    <w:tl2br w:val="nil"/>
                    <w:tr2bl w:val="nil"/>
                  </w:tcBorders>
                  <w:tcMar>
                    <w:left w:w="28" w:type="dxa"/>
                    <w:right w:w="28" w:type="dxa"/>
                  </w:tcMar>
                  <w:vAlign w:val="center"/>
                </w:tcPr>
                <w:p w14:paraId="59978799">
                  <w:pPr>
                    <w:spacing w:line="360" w:lineRule="exact"/>
                    <w:jc w:val="center"/>
                    <w:rPr>
                      <w:color w:val="auto"/>
                      <w:sz w:val="21"/>
                      <w:szCs w:val="21"/>
                      <w:highlight w:val="none"/>
                    </w:rPr>
                  </w:pPr>
                </w:p>
              </w:tc>
              <w:tc>
                <w:tcPr>
                  <w:tcW w:w="1761" w:type="dxa"/>
                  <w:gridSpan w:val="2"/>
                  <w:tcBorders>
                    <w:tl2br w:val="nil"/>
                    <w:tr2bl w:val="nil"/>
                  </w:tcBorders>
                  <w:tcMar>
                    <w:left w:w="28" w:type="dxa"/>
                    <w:right w:w="28" w:type="dxa"/>
                  </w:tcMar>
                  <w:vAlign w:val="center"/>
                </w:tcPr>
                <w:p w14:paraId="753BA502">
                  <w:pPr>
                    <w:spacing w:line="360" w:lineRule="exact"/>
                    <w:jc w:val="center"/>
                    <w:rPr>
                      <w:color w:val="auto"/>
                      <w:sz w:val="21"/>
                      <w:szCs w:val="21"/>
                      <w:highlight w:val="none"/>
                    </w:rPr>
                  </w:pPr>
                  <w:r>
                    <w:rPr>
                      <w:color w:val="auto"/>
                      <w:sz w:val="21"/>
                      <w:szCs w:val="21"/>
                      <w:highlight w:val="none"/>
                    </w:rPr>
                    <w:t>灭火方法</w:t>
                  </w:r>
                </w:p>
              </w:tc>
              <w:tc>
                <w:tcPr>
                  <w:tcW w:w="5708" w:type="dxa"/>
                  <w:gridSpan w:val="8"/>
                  <w:tcBorders>
                    <w:tl2br w:val="nil"/>
                    <w:tr2bl w:val="nil"/>
                  </w:tcBorders>
                  <w:tcMar>
                    <w:left w:w="28" w:type="dxa"/>
                    <w:right w:w="28" w:type="dxa"/>
                  </w:tcMar>
                  <w:vAlign w:val="center"/>
                </w:tcPr>
                <w:p w14:paraId="29513BAF">
                  <w:pPr>
                    <w:spacing w:line="360" w:lineRule="exact"/>
                    <w:jc w:val="center"/>
                    <w:rPr>
                      <w:color w:val="auto"/>
                      <w:sz w:val="21"/>
                      <w:szCs w:val="21"/>
                      <w:highlight w:val="none"/>
                    </w:rPr>
                  </w:pPr>
                  <w:r>
                    <w:rPr>
                      <w:color w:val="auto"/>
                      <w:sz w:val="21"/>
                      <w:szCs w:val="21"/>
                      <w:highlight w:val="none"/>
                    </w:rPr>
                    <w:t>用泡沫、雾状水、二氧化碳、干粉。</w:t>
                  </w:r>
                </w:p>
              </w:tc>
            </w:tr>
          </w:tbl>
          <w:p w14:paraId="22C2BEFA">
            <w:pPr>
              <w:ind w:firstLine="480" w:firstLineChars="200"/>
              <w:rPr>
                <w:color w:val="auto"/>
                <w:highlight w:val="none"/>
              </w:rPr>
            </w:pPr>
            <w:r>
              <w:rPr>
                <w:color w:val="auto"/>
                <w:highlight w:val="none"/>
              </w:rPr>
              <w:t>天然气主要存在于天然气管线中，天然气输气管线为主要危险源。</w:t>
            </w:r>
          </w:p>
          <w:p w14:paraId="0F34957B">
            <w:pPr>
              <w:ind w:firstLine="480" w:firstLineChars="200"/>
              <w:rPr>
                <w:color w:val="auto"/>
                <w:highlight w:val="none"/>
              </w:rPr>
            </w:pPr>
            <w:r>
              <w:rPr>
                <w:color w:val="auto"/>
                <w:highlight w:val="none"/>
              </w:rPr>
              <w:t>运营期若安全管理措施不当，一旦发生管路、阀门等破裂导致</w:t>
            </w:r>
            <w:r>
              <w:rPr>
                <w:rFonts w:hint="eastAsia"/>
                <w:color w:val="auto"/>
                <w:highlight w:val="none"/>
                <w:lang w:eastAsia="zh-CN"/>
              </w:rPr>
              <w:t>燃气</w:t>
            </w:r>
            <w:r>
              <w:rPr>
                <w:color w:val="auto"/>
                <w:highlight w:val="none"/>
              </w:rPr>
              <w:t>泄漏，可能污染大气，同时由于处理火灾等事件产生的消防废水可能对土壤、水体产生伴生/次生污染。因此，拟建项目具有一定潜在的事故隐患和环境风险，危险物质对环境的危害途径主要为大气。</w:t>
            </w:r>
          </w:p>
          <w:p w14:paraId="60C74286">
            <w:pPr>
              <w:pStyle w:val="24"/>
              <w:ind w:firstLine="480"/>
              <w:rPr>
                <w:color w:val="auto"/>
                <w:highlight w:val="none"/>
              </w:rPr>
            </w:pPr>
            <w:r>
              <w:rPr>
                <w:rFonts w:hint="eastAsia"/>
                <w:color w:val="auto"/>
                <w:highlight w:val="none"/>
              </w:rPr>
              <w:t>（3）环境风险分析</w:t>
            </w:r>
          </w:p>
          <w:p w14:paraId="27519F5C">
            <w:pPr>
              <w:ind w:firstLine="480" w:firstLineChars="200"/>
              <w:rPr>
                <w:color w:val="auto"/>
                <w:highlight w:val="none"/>
              </w:rPr>
            </w:pPr>
            <w:r>
              <w:rPr>
                <w:rFonts w:hint="eastAsia"/>
                <w:color w:val="auto"/>
                <w:highlight w:val="none"/>
              </w:rPr>
              <w:t>1）泄漏事故对大气环境危害分析</w:t>
            </w:r>
          </w:p>
          <w:p w14:paraId="7E08DABE">
            <w:pPr>
              <w:ind w:firstLine="480" w:firstLineChars="200"/>
              <w:rPr>
                <w:color w:val="auto"/>
                <w:highlight w:val="none"/>
              </w:rPr>
            </w:pPr>
            <w:r>
              <w:rPr>
                <w:rFonts w:hint="eastAsia"/>
                <w:color w:val="auto"/>
                <w:highlight w:val="none"/>
              </w:rPr>
              <w:t>本项目所使用天然气属于易燃易爆危险品，在储存时可能发生泄漏风险，对外环境的影响程度主要取决于泄漏量、对事故发生采取的应急措施效果和事故后处理的效果。从国内外泄漏事故影响来看，此类事故通常影响严重，不仅表现在对外环境的污染，更严重的表现在对一定范围内人员健康的影响,甚至生命安全因在风力蒸发作用下，泄漏物质会挥发至大气中，产生大气环境影响。若发生泄漏事故后，未能及时启动紧急切断装置或采取堵漏措施，以防止泄漏物在大气中持续扩散，可能会对周边环境敏感点产生不良影响。</w:t>
            </w:r>
          </w:p>
          <w:p w14:paraId="2C7DFB69">
            <w:pPr>
              <w:numPr>
                <w:ilvl w:val="0"/>
                <w:numId w:val="10"/>
              </w:numPr>
              <w:ind w:firstLine="480" w:firstLineChars="200"/>
              <w:rPr>
                <w:color w:val="auto"/>
                <w:highlight w:val="none"/>
              </w:rPr>
            </w:pPr>
            <w:r>
              <w:rPr>
                <w:rFonts w:hint="eastAsia"/>
                <w:color w:val="auto"/>
                <w:highlight w:val="none"/>
              </w:rPr>
              <w:t>火灾爆炸次生事故。</w:t>
            </w:r>
          </w:p>
          <w:p w14:paraId="6A6A66F7">
            <w:pPr>
              <w:pStyle w:val="24"/>
              <w:ind w:firstLine="480"/>
              <w:rPr>
                <w:color w:val="auto"/>
                <w:highlight w:val="none"/>
              </w:rPr>
            </w:pPr>
            <w:r>
              <w:rPr>
                <w:rFonts w:hint="eastAsia"/>
                <w:color w:val="auto"/>
                <w:highlight w:val="none"/>
              </w:rPr>
              <w:t>项目发生天然气遇明火、火花可能会发生燃烧，从而引发火灾。火灾烟尘和废气将对周围大气质量和居民健康造成影响；扑救火灾时产生的泡沫溶液或消防废水进入地表水体，影响地表水环境；同时火灾事故处置过程可能对处置人员造成伤害，包括中毒、窒息、烧伤等。 达到爆炸极限时可能引发爆炸，爆炸将会产生巨大破坏作用，其在极短时间内，释放出大量的能量，产生高温，并放出大量气体，在周围介质中造成高压化学反应及状态变化。爆炸释放的高温、高能、有毒气体将对周围大气环境及厂区员工产生重大的影响，往往会伴随伤亡事故。</w:t>
            </w:r>
          </w:p>
          <w:p w14:paraId="7CEE1812">
            <w:pPr>
              <w:ind w:firstLine="480" w:firstLineChars="200"/>
              <w:rPr>
                <w:color w:val="auto"/>
                <w:highlight w:val="none"/>
              </w:rPr>
            </w:pPr>
            <w:r>
              <w:rPr>
                <w:rFonts w:hint="eastAsia"/>
                <w:color w:val="auto"/>
                <w:highlight w:val="none"/>
              </w:rPr>
              <w:t>（4）风险防范措施</w:t>
            </w:r>
          </w:p>
          <w:p w14:paraId="2CDD7B7F">
            <w:pPr>
              <w:ind w:firstLine="480" w:firstLineChars="200"/>
              <w:rPr>
                <w:color w:val="auto"/>
                <w:highlight w:val="none"/>
              </w:rPr>
            </w:pPr>
            <w:r>
              <w:rPr>
                <w:rFonts w:hint="eastAsia"/>
                <w:color w:val="auto"/>
                <w:highlight w:val="none"/>
              </w:rPr>
              <w:t>1）环境风险防范措施</w:t>
            </w:r>
          </w:p>
          <w:p w14:paraId="34D68DEE">
            <w:pPr>
              <w:ind w:firstLine="480" w:firstLineChars="200"/>
              <w:rPr>
                <w:color w:val="auto"/>
                <w:highlight w:val="none"/>
              </w:rPr>
            </w:pPr>
            <w:r>
              <w:rPr>
                <w:rFonts w:hint="eastAsia"/>
                <w:color w:val="auto"/>
                <w:highlight w:val="none"/>
              </w:rPr>
              <w:t>①加强安全环保教育与培训工作，强化职工风险意识，使职工掌握必要的安全环保知识和应急处理能力；使所有操作人员熟悉自己的岗位，树立严谨规范的操作作风，并且在任何紧急状况下都能及时、独立、正确的实施相关应急措施。</w:t>
            </w:r>
          </w:p>
          <w:p w14:paraId="1A85480E">
            <w:pPr>
              <w:ind w:firstLine="480" w:firstLineChars="200"/>
              <w:rPr>
                <w:color w:val="auto"/>
                <w:highlight w:val="none"/>
              </w:rPr>
            </w:pPr>
            <w:r>
              <w:rPr>
                <w:rFonts w:hint="eastAsia"/>
                <w:color w:val="auto"/>
                <w:highlight w:val="none"/>
              </w:rPr>
              <w:t>②加强安全环保管理，将“安全第一、环保优先、预防为主”作为生产的基本原则；指定安全环保负责人负责全厂的安全环保管理。</w:t>
            </w:r>
          </w:p>
          <w:p w14:paraId="0ADF8452">
            <w:pPr>
              <w:ind w:firstLine="480" w:firstLineChars="200"/>
              <w:rPr>
                <w:rFonts w:hint="eastAsia"/>
                <w:color w:val="auto"/>
                <w:highlight w:val="none"/>
              </w:rPr>
            </w:pPr>
            <w:r>
              <w:rPr>
                <w:rFonts w:hint="eastAsia"/>
                <w:color w:val="auto"/>
                <w:highlight w:val="none"/>
              </w:rPr>
              <w:t>③加强对天然气使用设备的管理与维护，</w:t>
            </w:r>
            <w:r>
              <w:rPr>
                <w:rFonts w:hint="eastAsia"/>
                <w:color w:val="auto"/>
                <w:highlight w:val="none"/>
                <w:lang w:eastAsia="zh-CN"/>
              </w:rPr>
              <w:t>杜绝</w:t>
            </w:r>
            <w:r>
              <w:rPr>
                <w:rFonts w:hint="eastAsia"/>
                <w:color w:val="auto"/>
                <w:highlight w:val="none"/>
              </w:rPr>
              <w:t>天然气</w:t>
            </w:r>
            <w:r>
              <w:rPr>
                <w:rFonts w:hint="eastAsia"/>
                <w:color w:val="auto"/>
                <w:highlight w:val="none"/>
                <w:lang w:eastAsia="zh-CN"/>
              </w:rPr>
              <w:t>泄漏</w:t>
            </w:r>
            <w:r>
              <w:rPr>
                <w:rFonts w:hint="eastAsia"/>
                <w:color w:val="auto"/>
                <w:highlight w:val="none"/>
              </w:rPr>
              <w:t>现象的发生，采取防火、防爆、防雷击措施，配备报警和消防、通讯系统，杜绝一切不安全因素对周围环境造成影响。定期对设备进行安全检测，检测内容、时间、人员有记录保存。安全检测根据设备的安全性、危险性设定检测频次。</w:t>
            </w:r>
          </w:p>
          <w:p w14:paraId="56955A6F">
            <w:pPr>
              <w:ind w:firstLine="480" w:firstLineChars="200"/>
              <w:rPr>
                <w:rFonts w:hint="eastAsia"/>
                <w:color w:val="auto"/>
                <w:highlight w:val="none"/>
              </w:rPr>
            </w:pPr>
            <w:r>
              <w:rPr>
                <w:rFonts w:hint="eastAsia"/>
                <w:color w:val="auto"/>
                <w:highlight w:val="none"/>
              </w:rPr>
              <w:t>④在重要岗位，设置火焰探测器和火警报警系统。并经常检查确保设施正常运转。防止机械着火源（撞击、摩擦）控制高温物体着火源，电气着火源以及化学着火源。明火控制，其发生源为火柴、打火机等，维修用火控制，对设备维修检查，需进行维修焊接，经安全部门确认、准许，并有记录在案。</w:t>
            </w:r>
          </w:p>
          <w:p w14:paraId="0D0D84F4">
            <w:pPr>
              <w:ind w:firstLine="480" w:firstLineChars="200"/>
              <w:rPr>
                <w:color w:val="auto"/>
                <w:highlight w:val="none"/>
              </w:rPr>
            </w:pPr>
            <w:r>
              <w:rPr>
                <w:rFonts w:hint="eastAsia"/>
                <w:color w:val="auto"/>
                <w:highlight w:val="none"/>
              </w:rPr>
              <w:t>⑤进行各种日常的、定期的、专业的安全防火检查，并将发现的问题落实到人、限期整改到位。</w:t>
            </w:r>
          </w:p>
          <w:p w14:paraId="3C3AFB7B">
            <w:pPr>
              <w:ind w:firstLine="480" w:firstLineChars="200"/>
              <w:rPr>
                <w:color w:val="auto"/>
                <w:highlight w:val="none"/>
              </w:rPr>
            </w:pPr>
            <w:r>
              <w:rPr>
                <w:rFonts w:hint="eastAsia"/>
                <w:color w:val="auto"/>
                <w:highlight w:val="none"/>
              </w:rPr>
              <w:t>⑥制定环境风险应急预案，定期组织应急演练。</w:t>
            </w:r>
          </w:p>
          <w:p w14:paraId="21D3571F">
            <w:pPr>
              <w:ind w:firstLine="480" w:firstLineChars="200"/>
              <w:rPr>
                <w:rFonts w:hint="eastAsia"/>
                <w:color w:val="auto"/>
                <w:highlight w:val="none"/>
              </w:rPr>
            </w:pPr>
            <w:r>
              <w:rPr>
                <w:rFonts w:hint="eastAsia" w:ascii="宋体" w:hAnsi="宋体" w:eastAsia="宋体" w:cs="宋体"/>
                <w:color w:val="auto"/>
                <w:highlight w:val="none"/>
              </w:rPr>
              <w:t>⑦</w:t>
            </w:r>
            <w:r>
              <w:rPr>
                <w:rFonts w:hint="eastAsia" w:cs="Times New Roman"/>
                <w:color w:val="auto"/>
                <w:sz w:val="24"/>
                <w:szCs w:val="24"/>
                <w:highlight w:val="none"/>
              </w:rPr>
              <w:t>一旦出现事故，立即由平时的生产管理体制转为事故处理管理体制，应付处理事故的指挥决策。对于火灾废气事故，应急措施主要是断源(减少泄出量)、隔离(将事故区域与其他区域隔离，避免影响扩大)、清污(处理已产生废气造成的后果)和上报(上报有关部门)。</w:t>
            </w:r>
          </w:p>
          <w:p w14:paraId="4C96DED7">
            <w:pPr>
              <w:ind w:firstLine="480" w:firstLineChars="200"/>
              <w:rPr>
                <w:color w:val="auto"/>
                <w:highlight w:val="none"/>
              </w:rPr>
            </w:pPr>
            <w:r>
              <w:rPr>
                <w:rFonts w:hint="eastAsia"/>
                <w:color w:val="auto"/>
                <w:highlight w:val="none"/>
              </w:rPr>
              <w:t>发生火灾时，第一发现人应立即通知厂区安全环保负责人，并拨打119报警，说明起火位置。事故、紧急情况发生后的处理：现场立即建立警戒线，以火灾或泄漏点为中心50m范围为禁区，除事故小组、维修专业技术人员采取必备的防护设施进入，其余人员一概不准进入。禁区严禁携带火种，关闭对讲机、手机等可能引起静电打火的设备；要保持</w:t>
            </w:r>
            <w:r>
              <w:rPr>
                <w:rFonts w:hint="eastAsia"/>
                <w:color w:val="auto"/>
                <w:highlight w:val="none"/>
                <w:lang w:eastAsia="zh-CN"/>
              </w:rPr>
              <w:t>电器</w:t>
            </w:r>
            <w:r>
              <w:rPr>
                <w:rFonts w:hint="eastAsia"/>
                <w:color w:val="auto"/>
                <w:highlight w:val="none"/>
              </w:rPr>
              <w:t>原来的状态，不可随意开关，对接近</w:t>
            </w:r>
            <w:r>
              <w:rPr>
                <w:rFonts w:hint="eastAsia"/>
                <w:color w:val="auto"/>
                <w:highlight w:val="none"/>
                <w:lang w:eastAsia="zh-CN"/>
              </w:rPr>
              <w:t>泄漏点</w:t>
            </w:r>
            <w:r>
              <w:rPr>
                <w:rFonts w:hint="eastAsia"/>
                <w:color w:val="auto"/>
                <w:highlight w:val="none"/>
              </w:rPr>
              <w:t>的电源，要切断。现场施救：对于现场中毒或烧伤人员，应小心谨慎地将伤员抬离现场，送往安全地区，必要时采取人工呼吸，</w:t>
            </w:r>
            <w:r>
              <w:rPr>
                <w:rFonts w:hint="eastAsia"/>
                <w:color w:val="auto"/>
                <w:highlight w:val="none"/>
                <w:lang w:eastAsia="zh-CN"/>
              </w:rPr>
              <w:t>及时</w:t>
            </w:r>
            <w:r>
              <w:rPr>
                <w:rFonts w:hint="eastAsia"/>
                <w:color w:val="auto"/>
                <w:highlight w:val="none"/>
              </w:rPr>
              <w:t>运送医院进行救护。建议应急处理人员戴自给正压式呼吸器，穿消防防护服。构筑围堤或挖坑收容消防废水。</w:t>
            </w:r>
          </w:p>
          <w:p w14:paraId="5CC6C37F">
            <w:pPr>
              <w:ind w:firstLine="480" w:firstLineChars="200"/>
              <w:rPr>
                <w:color w:val="auto"/>
                <w:highlight w:val="none"/>
              </w:rPr>
            </w:pPr>
            <w:r>
              <w:rPr>
                <w:rFonts w:hint="eastAsia"/>
                <w:color w:val="auto"/>
                <w:highlight w:val="none"/>
              </w:rPr>
              <w:t>2）环境风险应急预案</w:t>
            </w:r>
          </w:p>
          <w:p w14:paraId="2A10CD0A">
            <w:pPr>
              <w:ind w:firstLine="480" w:firstLineChars="200"/>
              <w:rPr>
                <w:color w:val="auto"/>
                <w:highlight w:val="none"/>
              </w:rPr>
            </w:pPr>
            <w:r>
              <w:rPr>
                <w:rFonts w:hint="eastAsia"/>
                <w:color w:val="auto"/>
                <w:highlight w:val="none"/>
              </w:rPr>
              <w:t>为了确保在发生突发事故时能够尽快地采取有效抢救措施，及时消除或减少环境污染危害程度，建议建设单位对本项目可能造成环境风险的突发性事故制定详细的应急预案，排查环境风险防范突发环境事故，并做好突发环境事件应急演练。</w:t>
            </w:r>
          </w:p>
          <w:p w14:paraId="0E286DC4">
            <w:pPr>
              <w:pStyle w:val="24"/>
              <w:ind w:firstLine="480"/>
              <w:rPr>
                <w:color w:val="auto"/>
                <w:highlight w:val="none"/>
              </w:rPr>
            </w:pPr>
            <w:r>
              <w:rPr>
                <w:rFonts w:hint="eastAsia"/>
                <w:color w:val="auto"/>
                <w:highlight w:val="none"/>
              </w:rPr>
              <w:t>（5）分析结论</w:t>
            </w:r>
          </w:p>
          <w:p w14:paraId="7F6F3603">
            <w:pPr>
              <w:ind w:firstLine="480" w:firstLineChars="200"/>
              <w:rPr>
                <w:color w:val="auto"/>
                <w:highlight w:val="none"/>
              </w:rPr>
            </w:pPr>
            <w:r>
              <w:rPr>
                <w:rFonts w:hint="eastAsia"/>
                <w:color w:val="auto"/>
                <w:highlight w:val="none"/>
              </w:rPr>
              <w:t>根据分析，本项目风险处于可接受的水平，其风险管理措施有效、可靠，环境风险可防可控。</w:t>
            </w:r>
          </w:p>
          <w:p w14:paraId="46331145">
            <w:pPr>
              <w:pStyle w:val="52"/>
              <w:rPr>
                <w:color w:val="auto"/>
                <w:highlight w:val="none"/>
              </w:rPr>
            </w:pPr>
            <w:r>
              <w:rPr>
                <w:color w:val="auto"/>
                <w:highlight w:val="none"/>
              </w:rPr>
              <w:t>表4</w:t>
            </w:r>
            <w:r>
              <w:rPr>
                <w:rFonts w:hint="eastAsia"/>
                <w:color w:val="auto"/>
                <w:highlight w:val="none"/>
              </w:rPr>
              <w:t>-16</w:t>
            </w:r>
            <w:r>
              <w:rPr>
                <w:color w:val="auto"/>
                <w:highlight w:val="none"/>
              </w:rPr>
              <w:t xml:space="preserve"> </w:t>
            </w:r>
            <w:r>
              <w:rPr>
                <w:rFonts w:hint="eastAsia"/>
                <w:color w:val="auto"/>
                <w:highlight w:val="none"/>
              </w:rPr>
              <w:t>建设项目环境风险简单分析内容表</w:t>
            </w:r>
          </w:p>
          <w:tbl>
            <w:tblPr>
              <w:tblStyle w:val="17"/>
              <w:tblW w:w="0" w:type="auto"/>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1504"/>
              <w:gridCol w:w="883"/>
              <w:gridCol w:w="2028"/>
              <w:gridCol w:w="1372"/>
              <w:gridCol w:w="2112"/>
            </w:tblGrid>
            <w:tr w14:paraId="137A2A0E">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419" w:hRule="atLeast"/>
              </w:trPr>
              <w:tc>
                <w:tcPr>
                  <w:tcW w:w="1504" w:type="dxa"/>
                  <w:tcBorders>
                    <w:tl2br w:val="nil"/>
                    <w:tr2bl w:val="nil"/>
                  </w:tcBorders>
                  <w:vAlign w:val="center"/>
                </w:tcPr>
                <w:p w14:paraId="200D2BAB">
                  <w:pPr>
                    <w:spacing w:line="360" w:lineRule="exact"/>
                    <w:jc w:val="center"/>
                    <w:rPr>
                      <w:color w:val="auto"/>
                      <w:sz w:val="21"/>
                      <w:szCs w:val="21"/>
                      <w:highlight w:val="none"/>
                    </w:rPr>
                  </w:pPr>
                  <w:r>
                    <w:rPr>
                      <w:color w:val="auto"/>
                      <w:sz w:val="21"/>
                      <w:szCs w:val="21"/>
                      <w:highlight w:val="none"/>
                    </w:rPr>
                    <w:t>建设项目名称</w:t>
                  </w:r>
                </w:p>
              </w:tc>
              <w:tc>
                <w:tcPr>
                  <w:tcW w:w="6395" w:type="dxa"/>
                  <w:gridSpan w:val="4"/>
                  <w:tcBorders>
                    <w:tl2br w:val="nil"/>
                    <w:tr2bl w:val="nil"/>
                  </w:tcBorders>
                  <w:vAlign w:val="center"/>
                </w:tcPr>
                <w:p w14:paraId="1B8A7504">
                  <w:pPr>
                    <w:spacing w:line="360" w:lineRule="exact"/>
                    <w:jc w:val="center"/>
                    <w:rPr>
                      <w:color w:val="auto"/>
                      <w:sz w:val="21"/>
                      <w:szCs w:val="21"/>
                      <w:highlight w:val="none"/>
                    </w:rPr>
                  </w:pPr>
                  <w:r>
                    <w:rPr>
                      <w:rFonts w:hint="eastAsia"/>
                      <w:color w:val="auto"/>
                      <w:sz w:val="21"/>
                      <w:szCs w:val="21"/>
                      <w:highlight w:val="none"/>
                    </w:rPr>
                    <w:t>鄂尔多斯蒙苏经济开发区零碳产业园工业废水处理厂锅炉</w:t>
                  </w:r>
                  <w:r>
                    <w:rPr>
                      <w:rFonts w:hint="eastAsia"/>
                      <w:color w:val="auto"/>
                      <w:sz w:val="21"/>
                      <w:szCs w:val="21"/>
                      <w:highlight w:val="none"/>
                      <w:lang w:val="en-US" w:eastAsia="zh-CN"/>
                    </w:rPr>
                    <w:t>变更</w:t>
                  </w:r>
                  <w:r>
                    <w:rPr>
                      <w:rFonts w:hint="eastAsia"/>
                      <w:color w:val="auto"/>
                      <w:sz w:val="21"/>
                      <w:szCs w:val="21"/>
                      <w:highlight w:val="none"/>
                    </w:rPr>
                    <w:t>工程</w:t>
                  </w:r>
                </w:p>
              </w:tc>
            </w:tr>
            <w:tr w14:paraId="3A4852C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89" w:hRule="atLeast"/>
              </w:trPr>
              <w:tc>
                <w:tcPr>
                  <w:tcW w:w="1504" w:type="dxa"/>
                  <w:tcBorders>
                    <w:tl2br w:val="nil"/>
                    <w:tr2bl w:val="nil"/>
                  </w:tcBorders>
                  <w:vAlign w:val="center"/>
                </w:tcPr>
                <w:p w14:paraId="731E8127">
                  <w:pPr>
                    <w:spacing w:line="360" w:lineRule="exact"/>
                    <w:jc w:val="center"/>
                    <w:rPr>
                      <w:color w:val="auto"/>
                      <w:sz w:val="21"/>
                      <w:szCs w:val="21"/>
                      <w:highlight w:val="none"/>
                    </w:rPr>
                  </w:pPr>
                  <w:r>
                    <w:rPr>
                      <w:color w:val="auto"/>
                      <w:sz w:val="21"/>
                      <w:szCs w:val="21"/>
                      <w:highlight w:val="none"/>
                    </w:rPr>
                    <w:t>建设地点</w:t>
                  </w:r>
                </w:p>
              </w:tc>
              <w:tc>
                <w:tcPr>
                  <w:tcW w:w="6395" w:type="dxa"/>
                  <w:gridSpan w:val="4"/>
                  <w:tcBorders>
                    <w:tl2br w:val="nil"/>
                    <w:tr2bl w:val="nil"/>
                  </w:tcBorders>
                  <w:vAlign w:val="center"/>
                </w:tcPr>
                <w:p w14:paraId="238BB4C9">
                  <w:pPr>
                    <w:spacing w:line="360" w:lineRule="exact"/>
                    <w:jc w:val="center"/>
                    <w:rPr>
                      <w:color w:val="auto"/>
                      <w:sz w:val="21"/>
                      <w:szCs w:val="21"/>
                      <w:highlight w:val="none"/>
                    </w:rPr>
                  </w:pPr>
                  <w:r>
                    <w:rPr>
                      <w:color w:val="auto"/>
                      <w:sz w:val="21"/>
                      <w:szCs w:val="21"/>
                      <w:highlight w:val="none"/>
                    </w:rPr>
                    <w:t>内蒙古自治区鄂尔多斯市蒙苏经济开发区零碳产业园工业废水处理厂厂区内</w:t>
                  </w:r>
                </w:p>
              </w:tc>
            </w:tr>
            <w:tr w14:paraId="28A0EA5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89" w:hRule="atLeast"/>
              </w:trPr>
              <w:tc>
                <w:tcPr>
                  <w:tcW w:w="1504" w:type="dxa"/>
                  <w:tcBorders>
                    <w:tl2br w:val="nil"/>
                    <w:tr2bl w:val="nil"/>
                  </w:tcBorders>
                  <w:vAlign w:val="center"/>
                </w:tcPr>
                <w:p w14:paraId="502A392D">
                  <w:pPr>
                    <w:spacing w:line="360" w:lineRule="exact"/>
                    <w:jc w:val="center"/>
                    <w:rPr>
                      <w:color w:val="auto"/>
                      <w:sz w:val="21"/>
                      <w:szCs w:val="21"/>
                      <w:highlight w:val="none"/>
                    </w:rPr>
                  </w:pPr>
                  <w:r>
                    <w:rPr>
                      <w:color w:val="auto"/>
                      <w:sz w:val="21"/>
                      <w:szCs w:val="21"/>
                      <w:highlight w:val="none"/>
                    </w:rPr>
                    <w:t>地理坐标</w:t>
                  </w:r>
                </w:p>
              </w:tc>
              <w:tc>
                <w:tcPr>
                  <w:tcW w:w="883" w:type="dxa"/>
                  <w:tcBorders>
                    <w:tl2br w:val="nil"/>
                    <w:tr2bl w:val="nil"/>
                  </w:tcBorders>
                  <w:vAlign w:val="center"/>
                </w:tcPr>
                <w:p w14:paraId="035BDEFF">
                  <w:pPr>
                    <w:spacing w:line="360" w:lineRule="exact"/>
                    <w:jc w:val="center"/>
                    <w:rPr>
                      <w:color w:val="auto"/>
                      <w:sz w:val="21"/>
                      <w:szCs w:val="21"/>
                      <w:highlight w:val="none"/>
                    </w:rPr>
                  </w:pPr>
                  <w:r>
                    <w:rPr>
                      <w:color w:val="auto"/>
                      <w:sz w:val="21"/>
                      <w:szCs w:val="21"/>
                      <w:highlight w:val="none"/>
                    </w:rPr>
                    <w:t>经度</w:t>
                  </w:r>
                </w:p>
              </w:tc>
              <w:tc>
                <w:tcPr>
                  <w:tcW w:w="2028" w:type="dxa"/>
                  <w:tcBorders>
                    <w:tl2br w:val="nil"/>
                    <w:tr2bl w:val="nil"/>
                  </w:tcBorders>
                  <w:vAlign w:val="center"/>
                </w:tcPr>
                <w:p w14:paraId="68A71C38">
                  <w:pPr>
                    <w:spacing w:line="360" w:lineRule="exact"/>
                    <w:jc w:val="center"/>
                    <w:rPr>
                      <w:color w:val="auto"/>
                      <w:sz w:val="21"/>
                      <w:szCs w:val="21"/>
                      <w:highlight w:val="none"/>
                    </w:rPr>
                  </w:pPr>
                  <w:r>
                    <w:rPr>
                      <w:color w:val="auto"/>
                      <w:sz w:val="21"/>
                      <w:szCs w:val="21"/>
                      <w:highlight w:val="none"/>
                    </w:rPr>
                    <w:t>1</w:t>
                  </w:r>
                  <w:r>
                    <w:rPr>
                      <w:rFonts w:hint="eastAsia"/>
                      <w:color w:val="auto"/>
                      <w:sz w:val="21"/>
                      <w:szCs w:val="21"/>
                      <w:highlight w:val="none"/>
                    </w:rPr>
                    <w:t>09</w:t>
                  </w:r>
                  <w:r>
                    <w:rPr>
                      <w:color w:val="auto"/>
                      <w:sz w:val="21"/>
                      <w:szCs w:val="21"/>
                      <w:highlight w:val="none"/>
                    </w:rPr>
                    <w:t>°</w:t>
                  </w:r>
                  <w:r>
                    <w:rPr>
                      <w:rFonts w:hint="eastAsia"/>
                      <w:color w:val="auto"/>
                      <w:sz w:val="21"/>
                      <w:szCs w:val="21"/>
                      <w:highlight w:val="none"/>
                    </w:rPr>
                    <w:t>30</w:t>
                  </w:r>
                  <w:r>
                    <w:rPr>
                      <w:color w:val="auto"/>
                      <w:sz w:val="21"/>
                      <w:szCs w:val="21"/>
                      <w:highlight w:val="none"/>
                    </w:rPr>
                    <w:t>'</w:t>
                  </w:r>
                  <w:r>
                    <w:rPr>
                      <w:rFonts w:hint="eastAsia"/>
                      <w:color w:val="auto"/>
                      <w:sz w:val="21"/>
                      <w:szCs w:val="21"/>
                      <w:highlight w:val="none"/>
                    </w:rPr>
                    <w:t>39.484</w:t>
                  </w:r>
                  <w:r>
                    <w:rPr>
                      <w:color w:val="auto"/>
                      <w:sz w:val="21"/>
                      <w:szCs w:val="21"/>
                      <w:highlight w:val="none"/>
                    </w:rPr>
                    <w:t>"</w:t>
                  </w:r>
                </w:p>
              </w:tc>
              <w:tc>
                <w:tcPr>
                  <w:tcW w:w="1372" w:type="dxa"/>
                  <w:tcBorders>
                    <w:tl2br w:val="nil"/>
                    <w:tr2bl w:val="nil"/>
                  </w:tcBorders>
                  <w:vAlign w:val="center"/>
                </w:tcPr>
                <w:p w14:paraId="7FC9A2A3">
                  <w:pPr>
                    <w:spacing w:line="360" w:lineRule="exact"/>
                    <w:jc w:val="center"/>
                    <w:rPr>
                      <w:color w:val="auto"/>
                      <w:sz w:val="21"/>
                      <w:szCs w:val="21"/>
                      <w:highlight w:val="none"/>
                    </w:rPr>
                  </w:pPr>
                  <w:r>
                    <w:rPr>
                      <w:color w:val="auto"/>
                      <w:sz w:val="21"/>
                      <w:szCs w:val="21"/>
                      <w:highlight w:val="none"/>
                    </w:rPr>
                    <w:t>纬度</w:t>
                  </w:r>
                </w:p>
              </w:tc>
              <w:tc>
                <w:tcPr>
                  <w:tcW w:w="2112" w:type="dxa"/>
                  <w:tcBorders>
                    <w:tl2br w:val="nil"/>
                    <w:tr2bl w:val="nil"/>
                  </w:tcBorders>
                  <w:vAlign w:val="center"/>
                </w:tcPr>
                <w:p w14:paraId="59E38750">
                  <w:pPr>
                    <w:spacing w:line="360" w:lineRule="exact"/>
                    <w:jc w:val="center"/>
                    <w:rPr>
                      <w:color w:val="auto"/>
                      <w:sz w:val="21"/>
                      <w:szCs w:val="21"/>
                      <w:highlight w:val="none"/>
                    </w:rPr>
                  </w:pPr>
                  <w:r>
                    <w:rPr>
                      <w:color w:val="auto"/>
                      <w:sz w:val="21"/>
                      <w:szCs w:val="21"/>
                      <w:highlight w:val="none"/>
                    </w:rPr>
                    <w:t>39°</w:t>
                  </w:r>
                  <w:r>
                    <w:rPr>
                      <w:rFonts w:hint="eastAsia"/>
                      <w:color w:val="auto"/>
                      <w:sz w:val="21"/>
                      <w:szCs w:val="21"/>
                      <w:highlight w:val="none"/>
                    </w:rPr>
                    <w:t>34</w:t>
                  </w:r>
                  <w:r>
                    <w:rPr>
                      <w:color w:val="auto"/>
                      <w:sz w:val="21"/>
                      <w:szCs w:val="21"/>
                      <w:highlight w:val="none"/>
                    </w:rPr>
                    <w:t>'</w:t>
                  </w:r>
                  <w:r>
                    <w:rPr>
                      <w:rFonts w:hint="eastAsia"/>
                      <w:color w:val="auto"/>
                      <w:sz w:val="21"/>
                      <w:szCs w:val="21"/>
                      <w:highlight w:val="none"/>
                    </w:rPr>
                    <w:t>45.473</w:t>
                  </w:r>
                  <w:r>
                    <w:rPr>
                      <w:color w:val="auto"/>
                      <w:sz w:val="21"/>
                      <w:szCs w:val="21"/>
                      <w:highlight w:val="none"/>
                    </w:rPr>
                    <w:t>"，</w:t>
                  </w:r>
                </w:p>
              </w:tc>
            </w:tr>
            <w:tr w14:paraId="19BD919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733" w:hRule="atLeast"/>
              </w:trPr>
              <w:tc>
                <w:tcPr>
                  <w:tcW w:w="1504" w:type="dxa"/>
                  <w:tcBorders>
                    <w:tl2br w:val="nil"/>
                    <w:tr2bl w:val="nil"/>
                  </w:tcBorders>
                  <w:vAlign w:val="center"/>
                </w:tcPr>
                <w:p w14:paraId="2B628ED8">
                  <w:pPr>
                    <w:spacing w:line="360" w:lineRule="exact"/>
                    <w:jc w:val="center"/>
                    <w:rPr>
                      <w:color w:val="auto"/>
                      <w:sz w:val="21"/>
                      <w:szCs w:val="21"/>
                      <w:highlight w:val="none"/>
                    </w:rPr>
                  </w:pPr>
                  <w:r>
                    <w:rPr>
                      <w:color w:val="auto"/>
                      <w:sz w:val="21"/>
                      <w:szCs w:val="21"/>
                      <w:highlight w:val="none"/>
                    </w:rPr>
                    <w:t>主要危险物质及分布</w:t>
                  </w:r>
                </w:p>
              </w:tc>
              <w:tc>
                <w:tcPr>
                  <w:tcW w:w="6395" w:type="dxa"/>
                  <w:gridSpan w:val="4"/>
                  <w:tcBorders>
                    <w:tl2br w:val="nil"/>
                    <w:tr2bl w:val="nil"/>
                  </w:tcBorders>
                  <w:vAlign w:val="center"/>
                </w:tcPr>
                <w:p w14:paraId="624D2C73">
                  <w:pPr>
                    <w:spacing w:line="360" w:lineRule="exact"/>
                    <w:jc w:val="center"/>
                    <w:rPr>
                      <w:color w:val="auto"/>
                      <w:sz w:val="21"/>
                      <w:szCs w:val="21"/>
                      <w:highlight w:val="none"/>
                    </w:rPr>
                  </w:pPr>
                  <w:r>
                    <w:rPr>
                      <w:color w:val="auto"/>
                      <w:sz w:val="21"/>
                      <w:szCs w:val="21"/>
                      <w:highlight w:val="none"/>
                    </w:rPr>
                    <w:t>主要危险物质：天然气</w:t>
                  </w:r>
                </w:p>
                <w:p w14:paraId="1093FBA8">
                  <w:pPr>
                    <w:spacing w:line="360" w:lineRule="exact"/>
                    <w:jc w:val="center"/>
                    <w:rPr>
                      <w:color w:val="auto"/>
                      <w:sz w:val="21"/>
                      <w:szCs w:val="21"/>
                      <w:highlight w:val="none"/>
                    </w:rPr>
                  </w:pPr>
                  <w:r>
                    <w:rPr>
                      <w:color w:val="auto"/>
                      <w:sz w:val="21"/>
                      <w:szCs w:val="21"/>
                      <w:highlight w:val="none"/>
                    </w:rPr>
                    <w:t>分布：主要天然气供气管线</w:t>
                  </w:r>
                </w:p>
              </w:tc>
            </w:tr>
            <w:tr w14:paraId="5586C649">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733" w:hRule="atLeast"/>
              </w:trPr>
              <w:tc>
                <w:tcPr>
                  <w:tcW w:w="1504" w:type="dxa"/>
                  <w:tcBorders>
                    <w:tl2br w:val="nil"/>
                    <w:tr2bl w:val="nil"/>
                  </w:tcBorders>
                  <w:vAlign w:val="center"/>
                </w:tcPr>
                <w:p w14:paraId="7FAEC109">
                  <w:pPr>
                    <w:spacing w:line="360" w:lineRule="exact"/>
                    <w:jc w:val="center"/>
                    <w:rPr>
                      <w:color w:val="auto"/>
                      <w:sz w:val="21"/>
                      <w:szCs w:val="21"/>
                      <w:highlight w:val="none"/>
                    </w:rPr>
                  </w:pPr>
                  <w:r>
                    <w:rPr>
                      <w:color w:val="auto"/>
                      <w:sz w:val="21"/>
                      <w:szCs w:val="21"/>
                      <w:highlight w:val="none"/>
                    </w:rPr>
                    <w:t>环境影响途径及危害后果</w:t>
                  </w:r>
                </w:p>
              </w:tc>
              <w:tc>
                <w:tcPr>
                  <w:tcW w:w="6395" w:type="dxa"/>
                  <w:gridSpan w:val="4"/>
                  <w:tcBorders>
                    <w:tl2br w:val="nil"/>
                    <w:tr2bl w:val="nil"/>
                  </w:tcBorders>
                  <w:vAlign w:val="center"/>
                </w:tcPr>
                <w:p w14:paraId="47505FEE">
                  <w:pPr>
                    <w:spacing w:line="360" w:lineRule="exact"/>
                    <w:jc w:val="center"/>
                    <w:rPr>
                      <w:color w:val="auto"/>
                      <w:sz w:val="21"/>
                      <w:szCs w:val="21"/>
                      <w:highlight w:val="none"/>
                    </w:rPr>
                  </w:pPr>
                  <w:r>
                    <w:rPr>
                      <w:color w:val="auto"/>
                      <w:sz w:val="21"/>
                      <w:szCs w:val="21"/>
                      <w:highlight w:val="none"/>
                    </w:rPr>
                    <w:t>天然气发生泄漏、火灾、爆炸等，有害物质进入大气、地下水、地表水，从而对环境造成污染等。</w:t>
                  </w:r>
                </w:p>
              </w:tc>
            </w:tr>
            <w:tr w14:paraId="6DF31E73">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trPr>
              <w:tc>
                <w:tcPr>
                  <w:tcW w:w="1504" w:type="dxa"/>
                  <w:tcBorders>
                    <w:tl2br w:val="nil"/>
                    <w:tr2bl w:val="nil"/>
                  </w:tcBorders>
                  <w:vAlign w:val="center"/>
                </w:tcPr>
                <w:p w14:paraId="120F8211">
                  <w:pPr>
                    <w:spacing w:line="360" w:lineRule="exact"/>
                    <w:jc w:val="center"/>
                    <w:rPr>
                      <w:color w:val="auto"/>
                      <w:sz w:val="21"/>
                      <w:szCs w:val="21"/>
                      <w:highlight w:val="none"/>
                    </w:rPr>
                  </w:pPr>
                  <w:r>
                    <w:rPr>
                      <w:color w:val="auto"/>
                      <w:sz w:val="21"/>
                      <w:szCs w:val="21"/>
                      <w:highlight w:val="none"/>
                    </w:rPr>
                    <w:t>风险防范要求</w:t>
                  </w:r>
                </w:p>
              </w:tc>
              <w:tc>
                <w:tcPr>
                  <w:tcW w:w="6395" w:type="dxa"/>
                  <w:gridSpan w:val="4"/>
                  <w:tcBorders>
                    <w:tl2br w:val="nil"/>
                    <w:tr2bl w:val="nil"/>
                  </w:tcBorders>
                  <w:vAlign w:val="center"/>
                </w:tcPr>
                <w:p w14:paraId="793F8012">
                  <w:pPr>
                    <w:spacing w:line="360" w:lineRule="exact"/>
                    <w:jc w:val="center"/>
                    <w:rPr>
                      <w:color w:val="auto"/>
                      <w:sz w:val="21"/>
                      <w:szCs w:val="21"/>
                      <w:highlight w:val="none"/>
                    </w:rPr>
                  </w:pPr>
                  <w:r>
                    <w:rPr>
                      <w:color w:val="auto"/>
                      <w:sz w:val="21"/>
                      <w:szCs w:val="21"/>
                      <w:highlight w:val="none"/>
                    </w:rPr>
                    <w:t>加强安全环保管理和教育、培训，在防火、灭火设施等方面采取相应的措施，采用防静电、防雷击等措施，配备报警和消防、通讯系统，一旦发生火情及时报警和扑救，制定环境风险应急预案、定期演练。</w:t>
                  </w:r>
                </w:p>
              </w:tc>
            </w:tr>
            <w:tr w14:paraId="007BBD4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90" w:hRule="atLeast"/>
              </w:trPr>
              <w:tc>
                <w:tcPr>
                  <w:tcW w:w="1504" w:type="dxa"/>
                  <w:tcBorders>
                    <w:tl2br w:val="nil"/>
                    <w:tr2bl w:val="nil"/>
                  </w:tcBorders>
                  <w:vAlign w:val="center"/>
                </w:tcPr>
                <w:p w14:paraId="179010D1">
                  <w:pPr>
                    <w:spacing w:line="360" w:lineRule="exact"/>
                    <w:jc w:val="center"/>
                    <w:rPr>
                      <w:color w:val="auto"/>
                      <w:sz w:val="21"/>
                      <w:szCs w:val="21"/>
                      <w:highlight w:val="none"/>
                    </w:rPr>
                  </w:pPr>
                  <w:r>
                    <w:rPr>
                      <w:color w:val="auto"/>
                      <w:sz w:val="21"/>
                      <w:szCs w:val="21"/>
                      <w:highlight w:val="none"/>
                    </w:rPr>
                    <w:t>填表说明</w:t>
                  </w:r>
                </w:p>
              </w:tc>
              <w:tc>
                <w:tcPr>
                  <w:tcW w:w="6395" w:type="dxa"/>
                  <w:gridSpan w:val="4"/>
                  <w:tcBorders>
                    <w:tl2br w:val="nil"/>
                    <w:tr2bl w:val="nil"/>
                  </w:tcBorders>
                  <w:vAlign w:val="center"/>
                </w:tcPr>
                <w:p w14:paraId="7E09A85F">
                  <w:pPr>
                    <w:spacing w:line="360" w:lineRule="exact"/>
                    <w:jc w:val="center"/>
                    <w:rPr>
                      <w:color w:val="auto"/>
                      <w:sz w:val="21"/>
                      <w:szCs w:val="21"/>
                      <w:highlight w:val="none"/>
                    </w:rPr>
                  </w:pPr>
                  <w:r>
                    <w:rPr>
                      <w:color w:val="auto"/>
                      <w:sz w:val="21"/>
                      <w:szCs w:val="21"/>
                      <w:highlight w:val="none"/>
                    </w:rPr>
                    <w:t>项目物质的总量与其临界量的比值Q＜1，环境风险潜势为</w:t>
                  </w:r>
                  <w:r>
                    <w:rPr>
                      <w:color w:val="auto"/>
                      <w:sz w:val="21"/>
                      <w:szCs w:val="21"/>
                      <w:highlight w:val="none"/>
                    </w:rPr>
                    <w:fldChar w:fldCharType="begin"/>
                  </w:r>
                  <w:r>
                    <w:rPr>
                      <w:color w:val="auto"/>
                      <w:sz w:val="21"/>
                      <w:szCs w:val="21"/>
                      <w:highlight w:val="none"/>
                    </w:rPr>
                    <w:instrText xml:space="preserve"> = 1 \* ROMAN </w:instrText>
                  </w:r>
                  <w:r>
                    <w:rPr>
                      <w:color w:val="auto"/>
                      <w:sz w:val="21"/>
                      <w:szCs w:val="21"/>
                      <w:highlight w:val="none"/>
                    </w:rPr>
                    <w:fldChar w:fldCharType="separate"/>
                  </w:r>
                  <w:r>
                    <w:rPr>
                      <w:color w:val="auto"/>
                      <w:sz w:val="21"/>
                      <w:szCs w:val="21"/>
                      <w:highlight w:val="none"/>
                    </w:rPr>
                    <w:t>I</w:t>
                  </w:r>
                  <w:r>
                    <w:rPr>
                      <w:color w:val="auto"/>
                      <w:sz w:val="21"/>
                      <w:szCs w:val="21"/>
                      <w:highlight w:val="none"/>
                    </w:rPr>
                    <w:fldChar w:fldCharType="end"/>
                  </w:r>
                  <w:r>
                    <w:rPr>
                      <w:color w:val="auto"/>
                      <w:sz w:val="21"/>
                      <w:szCs w:val="21"/>
                      <w:highlight w:val="none"/>
                    </w:rPr>
                    <w:t>，评价工作等级为简单分析。根据分析，本项目风险处于可接受的水平。</w:t>
                  </w:r>
                </w:p>
              </w:tc>
            </w:tr>
          </w:tbl>
          <w:p w14:paraId="61A63BB6">
            <w:pPr>
              <w:numPr>
                <w:ilvl w:val="0"/>
                <w:numId w:val="11"/>
              </w:numPr>
              <w:rPr>
                <w:b/>
                <w:bCs/>
                <w:color w:val="auto"/>
                <w:highlight w:val="none"/>
              </w:rPr>
            </w:pPr>
            <w:r>
              <w:rPr>
                <w:rFonts w:hint="eastAsia"/>
                <w:b/>
                <w:bCs/>
                <w:color w:val="auto"/>
                <w:highlight w:val="none"/>
              </w:rPr>
              <w:t>排污口规范化</w:t>
            </w:r>
          </w:p>
          <w:p w14:paraId="06C08577">
            <w:pPr>
              <w:pStyle w:val="24"/>
              <w:ind w:firstLine="480"/>
              <w:rPr>
                <w:color w:val="auto"/>
                <w:highlight w:val="none"/>
              </w:rPr>
            </w:pPr>
            <w:r>
              <w:rPr>
                <w:color w:val="auto"/>
                <w:highlight w:val="none"/>
              </w:rPr>
              <w:t>根据</w:t>
            </w:r>
            <w:r>
              <w:rPr>
                <w:rFonts w:hint="eastAsia"/>
                <w:color w:val="auto"/>
                <w:highlight w:val="none"/>
                <w:lang w:val="en-US" w:eastAsia="zh-CN"/>
              </w:rPr>
              <w:t>中华人民共和国环境保护部</w:t>
            </w:r>
            <w:bookmarkStart w:id="23" w:name="_GoBack"/>
            <w:bookmarkEnd w:id="23"/>
            <w:r>
              <w:rPr>
                <w:color w:val="auto"/>
                <w:highlight w:val="none"/>
              </w:rPr>
              <w:t>《关于开展排放口规范化整治工作的通知》(2006年6月5 日修正版)文件的要求，为进一步强化对污染源的现场监督管理及更好地落实国务院提出的实施 污染物排放总量控制和“一控双达标”的要求，规定</w:t>
            </w:r>
            <w:r>
              <w:rPr>
                <w:rFonts w:hint="eastAsia"/>
                <w:color w:val="auto"/>
                <w:highlight w:val="none"/>
                <w:lang w:eastAsia="zh-CN"/>
              </w:rPr>
              <w:t>其</w:t>
            </w:r>
            <w:r>
              <w:rPr>
                <w:color w:val="auto"/>
                <w:highlight w:val="none"/>
              </w:rPr>
              <w:t>新建、扩建、改造和限期治理的排污单位必须在建设污染治理设施的同时建设规范化排放口，并作为落实环境保护“三同时”制度 的必要组成部分和项目验收内容之一，因此企业应做到</w:t>
            </w:r>
            <w:r>
              <w:rPr>
                <w:rFonts w:hint="eastAsia"/>
                <w:color w:val="auto"/>
                <w:highlight w:val="none"/>
              </w:rPr>
              <w:t>：</w:t>
            </w:r>
          </w:p>
          <w:p w14:paraId="3BC4EDAA">
            <w:pPr>
              <w:pStyle w:val="24"/>
              <w:ind w:firstLine="480"/>
              <w:rPr>
                <w:color w:val="auto"/>
                <w:highlight w:val="none"/>
              </w:rPr>
            </w:pPr>
            <w:r>
              <w:rPr>
                <w:color w:val="auto"/>
                <w:highlight w:val="none"/>
              </w:rPr>
              <w:t>建立排污口档案。内容包括排污单位名称、排污口编号、适用的计量方式排污口位置</w:t>
            </w:r>
            <w:r>
              <w:rPr>
                <w:rFonts w:hint="eastAsia"/>
                <w:color w:val="auto"/>
                <w:highlight w:val="none"/>
              </w:rPr>
              <w:t>；</w:t>
            </w:r>
            <w:r>
              <w:rPr>
                <w:color w:val="auto"/>
                <w:highlight w:val="none"/>
              </w:rPr>
              <w:t>所排污染物来源、种类、浓度及计量</w:t>
            </w:r>
            <w:r>
              <w:rPr>
                <w:rFonts w:hint="eastAsia"/>
                <w:color w:val="auto"/>
                <w:highlight w:val="none"/>
                <w:lang w:eastAsia="zh-CN"/>
              </w:rPr>
              <w:t>记录</w:t>
            </w:r>
            <w:r>
              <w:rPr>
                <w:rFonts w:hint="eastAsia"/>
                <w:color w:val="auto"/>
                <w:highlight w:val="none"/>
              </w:rPr>
              <w:t>；</w:t>
            </w:r>
            <w:r>
              <w:rPr>
                <w:color w:val="auto"/>
                <w:highlight w:val="none"/>
              </w:rPr>
              <w:t>排放去向、维护和更新</w:t>
            </w:r>
            <w:r>
              <w:rPr>
                <w:rFonts w:hint="eastAsia"/>
                <w:color w:val="auto"/>
                <w:highlight w:val="none"/>
                <w:lang w:eastAsia="zh-CN"/>
              </w:rPr>
              <w:t>记录</w:t>
            </w:r>
            <w:r>
              <w:rPr>
                <w:color w:val="auto"/>
                <w:highlight w:val="none"/>
              </w:rPr>
              <w:t>。</w:t>
            </w:r>
          </w:p>
          <w:p w14:paraId="4B8D0BFB">
            <w:pPr>
              <w:rPr>
                <w:b/>
                <w:bCs/>
                <w:color w:val="auto"/>
                <w:highlight w:val="none"/>
              </w:rPr>
            </w:pPr>
            <w:r>
              <w:rPr>
                <w:rFonts w:hint="eastAsia"/>
                <w:b/>
                <w:bCs/>
                <w:color w:val="auto"/>
                <w:highlight w:val="none"/>
              </w:rPr>
              <w:t>9</w:t>
            </w:r>
            <w:r>
              <w:rPr>
                <w:b/>
                <w:bCs/>
                <w:color w:val="auto"/>
                <w:highlight w:val="none"/>
              </w:rPr>
              <w:t>.</w:t>
            </w:r>
            <w:r>
              <w:rPr>
                <w:rFonts w:hint="eastAsia"/>
                <w:b/>
                <w:bCs/>
                <w:color w:val="auto"/>
                <w:highlight w:val="none"/>
              </w:rPr>
              <w:t>环保竣工验收</w:t>
            </w:r>
          </w:p>
          <w:p w14:paraId="51286833">
            <w:pPr>
              <w:ind w:firstLine="480" w:firstLineChars="200"/>
              <w:rPr>
                <w:color w:val="auto"/>
                <w:highlight w:val="none"/>
              </w:rPr>
            </w:pPr>
            <w:r>
              <w:rPr>
                <w:rFonts w:hint="eastAsia"/>
                <w:color w:val="auto"/>
                <w:highlight w:val="none"/>
              </w:rPr>
              <w:t>根据建设项目污染源产生及排放情况和污染防治措施，提出本项目环境保护设施竣工验收内容见下表。</w:t>
            </w:r>
          </w:p>
          <w:p w14:paraId="3723788D">
            <w:pPr>
              <w:pStyle w:val="52"/>
              <w:rPr>
                <w:color w:val="auto"/>
                <w:highlight w:val="none"/>
              </w:rPr>
            </w:pPr>
            <w:r>
              <w:rPr>
                <w:color w:val="auto"/>
                <w:highlight w:val="none"/>
              </w:rPr>
              <w:t>表</w:t>
            </w:r>
            <w:r>
              <w:rPr>
                <w:rFonts w:hint="eastAsia"/>
                <w:color w:val="auto"/>
                <w:highlight w:val="none"/>
              </w:rPr>
              <w:t>4-17</w:t>
            </w:r>
            <w:r>
              <w:rPr>
                <w:color w:val="auto"/>
                <w:highlight w:val="none"/>
              </w:rPr>
              <w:t xml:space="preserve"> </w:t>
            </w:r>
            <w:r>
              <w:rPr>
                <w:rFonts w:hint="eastAsia"/>
                <w:color w:val="auto"/>
                <w:highlight w:val="none"/>
              </w:rPr>
              <w:t>三同时验收内容一览表</w:t>
            </w:r>
          </w:p>
          <w:tbl>
            <w:tblPr>
              <w:tblStyle w:val="17"/>
              <w:tblW w:w="7958" w:type="dxa"/>
              <w:tblInd w:w="0" w:type="dxa"/>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080"/>
              <w:gridCol w:w="864"/>
              <w:gridCol w:w="2658"/>
              <w:gridCol w:w="2689"/>
            </w:tblGrid>
            <w:tr w14:paraId="180279D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7" w:type="dxa"/>
                  <w:tcBorders>
                    <w:tl2br w:val="nil"/>
                    <w:tr2bl w:val="nil"/>
                  </w:tcBorders>
                  <w:tcMar>
                    <w:top w:w="0" w:type="dxa"/>
                    <w:left w:w="108" w:type="dxa"/>
                    <w:bottom w:w="0" w:type="dxa"/>
                    <w:right w:w="108" w:type="dxa"/>
                  </w:tcMar>
                  <w:vAlign w:val="center"/>
                </w:tcPr>
                <w:p w14:paraId="0FAD3B48">
                  <w:pPr>
                    <w:spacing w:line="360" w:lineRule="exact"/>
                    <w:jc w:val="center"/>
                    <w:rPr>
                      <w:color w:val="auto"/>
                      <w:kern w:val="0"/>
                      <w:sz w:val="21"/>
                      <w:szCs w:val="21"/>
                      <w:highlight w:val="none"/>
                    </w:rPr>
                  </w:pPr>
                  <w:r>
                    <w:rPr>
                      <w:color w:val="auto"/>
                      <w:kern w:val="0"/>
                      <w:sz w:val="21"/>
                      <w:szCs w:val="21"/>
                      <w:highlight w:val="none"/>
                    </w:rPr>
                    <w:t>类别</w:t>
                  </w:r>
                </w:p>
              </w:tc>
              <w:tc>
                <w:tcPr>
                  <w:tcW w:w="1080" w:type="dxa"/>
                  <w:tcBorders>
                    <w:tl2br w:val="nil"/>
                    <w:tr2bl w:val="nil"/>
                  </w:tcBorders>
                  <w:tcMar>
                    <w:top w:w="0" w:type="dxa"/>
                    <w:left w:w="108" w:type="dxa"/>
                    <w:bottom w:w="0" w:type="dxa"/>
                    <w:right w:w="108" w:type="dxa"/>
                  </w:tcMar>
                  <w:vAlign w:val="center"/>
                </w:tcPr>
                <w:p w14:paraId="0CE07871">
                  <w:pPr>
                    <w:spacing w:line="360" w:lineRule="exact"/>
                    <w:jc w:val="center"/>
                    <w:rPr>
                      <w:color w:val="auto"/>
                      <w:kern w:val="0"/>
                      <w:sz w:val="21"/>
                      <w:szCs w:val="21"/>
                      <w:highlight w:val="none"/>
                    </w:rPr>
                  </w:pPr>
                  <w:r>
                    <w:rPr>
                      <w:color w:val="auto"/>
                      <w:kern w:val="0"/>
                      <w:sz w:val="21"/>
                      <w:szCs w:val="21"/>
                      <w:highlight w:val="none"/>
                    </w:rPr>
                    <w:t>污染</w:t>
                  </w:r>
                  <w:r>
                    <w:rPr>
                      <w:rFonts w:hint="eastAsia"/>
                      <w:color w:val="auto"/>
                      <w:kern w:val="0"/>
                      <w:sz w:val="21"/>
                      <w:szCs w:val="21"/>
                      <w:highlight w:val="none"/>
                    </w:rPr>
                    <w:t>工序</w:t>
                  </w:r>
                </w:p>
              </w:tc>
              <w:tc>
                <w:tcPr>
                  <w:tcW w:w="864" w:type="dxa"/>
                  <w:tcBorders>
                    <w:tl2br w:val="nil"/>
                    <w:tr2bl w:val="nil"/>
                  </w:tcBorders>
                  <w:tcMar>
                    <w:top w:w="0" w:type="dxa"/>
                    <w:left w:w="108" w:type="dxa"/>
                    <w:bottom w:w="0" w:type="dxa"/>
                    <w:right w:w="108" w:type="dxa"/>
                  </w:tcMar>
                  <w:vAlign w:val="center"/>
                </w:tcPr>
                <w:p w14:paraId="778915B3">
                  <w:pPr>
                    <w:spacing w:line="360" w:lineRule="exact"/>
                    <w:jc w:val="center"/>
                    <w:rPr>
                      <w:color w:val="auto"/>
                      <w:kern w:val="0"/>
                      <w:sz w:val="21"/>
                      <w:szCs w:val="21"/>
                      <w:highlight w:val="none"/>
                    </w:rPr>
                  </w:pPr>
                  <w:r>
                    <w:rPr>
                      <w:color w:val="auto"/>
                      <w:kern w:val="0"/>
                      <w:sz w:val="21"/>
                      <w:szCs w:val="21"/>
                      <w:highlight w:val="none"/>
                    </w:rPr>
                    <w:t>污染物</w:t>
                  </w:r>
                </w:p>
              </w:tc>
              <w:tc>
                <w:tcPr>
                  <w:tcW w:w="2658" w:type="dxa"/>
                  <w:tcBorders>
                    <w:tl2br w:val="nil"/>
                    <w:tr2bl w:val="nil"/>
                  </w:tcBorders>
                  <w:tcMar>
                    <w:top w:w="0" w:type="dxa"/>
                    <w:left w:w="108" w:type="dxa"/>
                    <w:bottom w:w="0" w:type="dxa"/>
                    <w:right w:w="108" w:type="dxa"/>
                  </w:tcMar>
                  <w:vAlign w:val="center"/>
                </w:tcPr>
                <w:p w14:paraId="34F357A1">
                  <w:pPr>
                    <w:spacing w:line="360" w:lineRule="exact"/>
                    <w:jc w:val="center"/>
                    <w:rPr>
                      <w:color w:val="auto"/>
                      <w:kern w:val="0"/>
                      <w:sz w:val="21"/>
                      <w:szCs w:val="21"/>
                      <w:highlight w:val="none"/>
                    </w:rPr>
                  </w:pPr>
                  <w:r>
                    <w:rPr>
                      <w:color w:val="auto"/>
                      <w:kern w:val="0"/>
                      <w:sz w:val="21"/>
                      <w:szCs w:val="21"/>
                      <w:highlight w:val="none"/>
                    </w:rPr>
                    <w:t>环保</w:t>
                  </w:r>
                  <w:r>
                    <w:rPr>
                      <w:rFonts w:hint="eastAsia"/>
                      <w:color w:val="auto"/>
                      <w:kern w:val="0"/>
                      <w:sz w:val="21"/>
                      <w:szCs w:val="21"/>
                      <w:highlight w:val="none"/>
                    </w:rPr>
                    <w:t>措施</w:t>
                  </w:r>
                </w:p>
              </w:tc>
              <w:tc>
                <w:tcPr>
                  <w:tcW w:w="2689" w:type="dxa"/>
                  <w:tcBorders>
                    <w:tl2br w:val="nil"/>
                    <w:tr2bl w:val="nil"/>
                  </w:tcBorders>
                  <w:tcMar>
                    <w:top w:w="0" w:type="dxa"/>
                    <w:left w:w="108" w:type="dxa"/>
                    <w:bottom w:w="0" w:type="dxa"/>
                    <w:right w:w="108" w:type="dxa"/>
                  </w:tcMar>
                  <w:vAlign w:val="center"/>
                </w:tcPr>
                <w:p w14:paraId="49BFEA2E">
                  <w:pPr>
                    <w:spacing w:line="360" w:lineRule="exact"/>
                    <w:jc w:val="center"/>
                    <w:rPr>
                      <w:color w:val="auto"/>
                      <w:kern w:val="0"/>
                      <w:sz w:val="21"/>
                      <w:szCs w:val="21"/>
                      <w:highlight w:val="none"/>
                    </w:rPr>
                  </w:pPr>
                  <w:r>
                    <w:rPr>
                      <w:bCs/>
                      <w:color w:val="auto"/>
                      <w:sz w:val="21"/>
                      <w:szCs w:val="21"/>
                      <w:highlight w:val="none"/>
                    </w:rPr>
                    <w:t>验收标准</w:t>
                  </w:r>
                </w:p>
              </w:tc>
            </w:tr>
            <w:tr w14:paraId="2184027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667" w:type="dxa"/>
                  <w:vMerge w:val="restart"/>
                  <w:tcBorders>
                    <w:tl2br w:val="nil"/>
                    <w:tr2bl w:val="nil"/>
                  </w:tcBorders>
                  <w:tcMar>
                    <w:top w:w="0" w:type="dxa"/>
                    <w:left w:w="108" w:type="dxa"/>
                    <w:bottom w:w="0" w:type="dxa"/>
                    <w:right w:w="108" w:type="dxa"/>
                  </w:tcMar>
                  <w:vAlign w:val="center"/>
                </w:tcPr>
                <w:p w14:paraId="40276463">
                  <w:pPr>
                    <w:spacing w:line="360" w:lineRule="exact"/>
                    <w:jc w:val="center"/>
                    <w:rPr>
                      <w:color w:val="auto"/>
                      <w:kern w:val="0"/>
                      <w:sz w:val="21"/>
                      <w:szCs w:val="21"/>
                      <w:highlight w:val="none"/>
                    </w:rPr>
                  </w:pPr>
                  <w:r>
                    <w:rPr>
                      <w:rFonts w:hint="eastAsia"/>
                      <w:color w:val="auto"/>
                      <w:kern w:val="0"/>
                      <w:sz w:val="21"/>
                      <w:szCs w:val="21"/>
                      <w:highlight w:val="none"/>
                    </w:rPr>
                    <w:t>废气</w:t>
                  </w:r>
                </w:p>
              </w:tc>
              <w:tc>
                <w:tcPr>
                  <w:tcW w:w="1080" w:type="dxa"/>
                  <w:vMerge w:val="restart"/>
                  <w:tcBorders>
                    <w:tl2br w:val="nil"/>
                    <w:tr2bl w:val="nil"/>
                  </w:tcBorders>
                  <w:tcMar>
                    <w:top w:w="0" w:type="dxa"/>
                    <w:left w:w="108" w:type="dxa"/>
                    <w:bottom w:w="0" w:type="dxa"/>
                    <w:right w:w="108" w:type="dxa"/>
                  </w:tcMar>
                  <w:vAlign w:val="center"/>
                </w:tcPr>
                <w:p w14:paraId="2C0A8A70">
                  <w:pPr>
                    <w:spacing w:line="360" w:lineRule="exact"/>
                    <w:jc w:val="center"/>
                    <w:rPr>
                      <w:color w:val="auto"/>
                      <w:kern w:val="0"/>
                      <w:sz w:val="21"/>
                      <w:szCs w:val="21"/>
                      <w:highlight w:val="none"/>
                    </w:rPr>
                  </w:pPr>
                  <w:r>
                    <w:rPr>
                      <w:rFonts w:hint="eastAsia"/>
                      <w:color w:val="auto"/>
                      <w:kern w:val="0"/>
                      <w:sz w:val="21"/>
                      <w:szCs w:val="21"/>
                      <w:highlight w:val="none"/>
                    </w:rPr>
                    <w:t>燃料燃烧</w:t>
                  </w:r>
                </w:p>
              </w:tc>
              <w:tc>
                <w:tcPr>
                  <w:tcW w:w="864" w:type="dxa"/>
                  <w:tcBorders>
                    <w:tl2br w:val="nil"/>
                    <w:tr2bl w:val="nil"/>
                  </w:tcBorders>
                  <w:tcMar>
                    <w:top w:w="0" w:type="dxa"/>
                    <w:left w:w="108" w:type="dxa"/>
                    <w:bottom w:w="0" w:type="dxa"/>
                    <w:right w:w="108" w:type="dxa"/>
                  </w:tcMar>
                  <w:vAlign w:val="center"/>
                </w:tcPr>
                <w:p w14:paraId="281BD07E">
                  <w:pPr>
                    <w:spacing w:line="360" w:lineRule="exact"/>
                    <w:jc w:val="center"/>
                    <w:rPr>
                      <w:color w:val="auto"/>
                      <w:kern w:val="0"/>
                      <w:sz w:val="21"/>
                      <w:szCs w:val="21"/>
                      <w:highlight w:val="none"/>
                    </w:rPr>
                  </w:pPr>
                  <w:r>
                    <w:rPr>
                      <w:rFonts w:hint="eastAsia"/>
                      <w:color w:val="auto"/>
                      <w:kern w:val="0"/>
                      <w:sz w:val="21"/>
                      <w:szCs w:val="21"/>
                      <w:highlight w:val="none"/>
                    </w:rPr>
                    <w:t>颗粒物</w:t>
                  </w:r>
                </w:p>
              </w:tc>
              <w:tc>
                <w:tcPr>
                  <w:tcW w:w="2658" w:type="dxa"/>
                  <w:vMerge w:val="restart"/>
                  <w:tcBorders>
                    <w:tl2br w:val="nil"/>
                    <w:tr2bl w:val="nil"/>
                  </w:tcBorders>
                  <w:tcMar>
                    <w:top w:w="0" w:type="dxa"/>
                    <w:left w:w="108" w:type="dxa"/>
                    <w:bottom w:w="0" w:type="dxa"/>
                    <w:right w:w="108" w:type="dxa"/>
                  </w:tcMar>
                  <w:vAlign w:val="center"/>
                </w:tcPr>
                <w:p w14:paraId="4C1C30FA">
                  <w:pPr>
                    <w:spacing w:line="360" w:lineRule="exact"/>
                    <w:jc w:val="center"/>
                    <w:rPr>
                      <w:color w:val="auto"/>
                      <w:sz w:val="21"/>
                      <w:szCs w:val="21"/>
                      <w:highlight w:val="none"/>
                    </w:rPr>
                  </w:pPr>
                  <w:r>
                    <w:rPr>
                      <w:rFonts w:hint="eastAsia"/>
                      <w:color w:val="auto"/>
                      <w:sz w:val="21"/>
                      <w:szCs w:val="21"/>
                      <w:highlight w:val="none"/>
                    </w:rPr>
                    <w:t>低氮燃烧器+</w:t>
                  </w:r>
                  <w:r>
                    <w:rPr>
                      <w:rFonts w:hint="eastAsia"/>
                      <w:color w:val="auto"/>
                      <w:sz w:val="21"/>
                      <w:szCs w:val="21"/>
                      <w:highlight w:val="none"/>
                      <w:lang w:val="en-US" w:eastAsia="zh-CN"/>
                    </w:rPr>
                    <w:t>12</w:t>
                  </w:r>
                  <w:r>
                    <w:rPr>
                      <w:rFonts w:hint="eastAsia"/>
                      <w:color w:val="auto"/>
                      <w:sz w:val="21"/>
                      <w:szCs w:val="21"/>
                      <w:highlight w:val="none"/>
                    </w:rPr>
                    <w:t>m高排气筒排放（共两套，一用一备）</w:t>
                  </w:r>
                </w:p>
              </w:tc>
              <w:tc>
                <w:tcPr>
                  <w:tcW w:w="2689" w:type="dxa"/>
                  <w:vMerge w:val="restart"/>
                  <w:tcBorders>
                    <w:tl2br w:val="nil"/>
                    <w:tr2bl w:val="nil"/>
                  </w:tcBorders>
                  <w:tcMar>
                    <w:top w:w="0" w:type="dxa"/>
                    <w:left w:w="108" w:type="dxa"/>
                    <w:bottom w:w="0" w:type="dxa"/>
                    <w:right w:w="108" w:type="dxa"/>
                  </w:tcMar>
                  <w:vAlign w:val="center"/>
                </w:tcPr>
                <w:p w14:paraId="48D18FDC">
                  <w:pPr>
                    <w:pStyle w:val="76"/>
                    <w:spacing w:line="360" w:lineRule="exact"/>
                    <w:jc w:val="center"/>
                    <w:rPr>
                      <w:rFonts w:ascii="Times New Roman"/>
                      <w:color w:val="auto"/>
                      <w:sz w:val="21"/>
                      <w:szCs w:val="21"/>
                      <w:highlight w:val="none"/>
                    </w:rPr>
                  </w:pPr>
                  <w:r>
                    <w:rPr>
                      <w:rFonts w:ascii="Times New Roman"/>
                      <w:color w:val="auto"/>
                      <w:sz w:val="21"/>
                      <w:szCs w:val="21"/>
                      <w:highlight w:val="none"/>
                    </w:rPr>
                    <w:t>《锅炉大气污染物排放标准》（GB13271-2014）表2新建锅炉大气污染物排放浓度限值中燃气锅炉排放限值要求</w:t>
                  </w:r>
                </w:p>
              </w:tc>
            </w:tr>
            <w:tr w14:paraId="509C6D6D">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667" w:type="dxa"/>
                  <w:vMerge w:val="continue"/>
                  <w:tcBorders>
                    <w:tl2br w:val="nil"/>
                    <w:tr2bl w:val="nil"/>
                  </w:tcBorders>
                  <w:tcMar>
                    <w:top w:w="0" w:type="dxa"/>
                    <w:left w:w="108" w:type="dxa"/>
                    <w:bottom w:w="0" w:type="dxa"/>
                    <w:right w:w="108" w:type="dxa"/>
                  </w:tcMar>
                  <w:vAlign w:val="center"/>
                </w:tcPr>
                <w:p w14:paraId="1ADE9227">
                  <w:pPr>
                    <w:spacing w:line="360" w:lineRule="exact"/>
                    <w:jc w:val="center"/>
                    <w:rPr>
                      <w:color w:val="auto"/>
                      <w:highlight w:val="none"/>
                    </w:rPr>
                  </w:pPr>
                </w:p>
              </w:tc>
              <w:tc>
                <w:tcPr>
                  <w:tcW w:w="1080" w:type="dxa"/>
                  <w:vMerge w:val="continue"/>
                  <w:tcBorders>
                    <w:tl2br w:val="nil"/>
                    <w:tr2bl w:val="nil"/>
                  </w:tcBorders>
                  <w:tcMar>
                    <w:top w:w="0" w:type="dxa"/>
                    <w:left w:w="108" w:type="dxa"/>
                    <w:bottom w:w="0" w:type="dxa"/>
                    <w:right w:w="108" w:type="dxa"/>
                  </w:tcMar>
                  <w:vAlign w:val="center"/>
                </w:tcPr>
                <w:p w14:paraId="0CDC29D0">
                  <w:pPr>
                    <w:spacing w:line="360" w:lineRule="exact"/>
                    <w:jc w:val="center"/>
                    <w:rPr>
                      <w:color w:val="auto"/>
                      <w:highlight w:val="none"/>
                    </w:rPr>
                  </w:pPr>
                </w:p>
              </w:tc>
              <w:tc>
                <w:tcPr>
                  <w:tcW w:w="864" w:type="dxa"/>
                  <w:tcBorders>
                    <w:tl2br w:val="nil"/>
                    <w:tr2bl w:val="nil"/>
                  </w:tcBorders>
                  <w:tcMar>
                    <w:top w:w="0" w:type="dxa"/>
                    <w:left w:w="108" w:type="dxa"/>
                    <w:bottom w:w="0" w:type="dxa"/>
                    <w:right w:w="108" w:type="dxa"/>
                  </w:tcMar>
                  <w:vAlign w:val="center"/>
                </w:tcPr>
                <w:p w14:paraId="71B415BF">
                  <w:pPr>
                    <w:spacing w:line="360" w:lineRule="exact"/>
                    <w:jc w:val="center"/>
                    <w:rPr>
                      <w:color w:val="auto"/>
                      <w:kern w:val="0"/>
                      <w:sz w:val="21"/>
                      <w:szCs w:val="21"/>
                      <w:highlight w:val="none"/>
                    </w:rPr>
                  </w:pPr>
                  <w:r>
                    <w:rPr>
                      <w:rFonts w:hint="eastAsia"/>
                      <w:color w:val="auto"/>
                      <w:kern w:val="0"/>
                      <w:sz w:val="21"/>
                      <w:szCs w:val="21"/>
                      <w:highlight w:val="none"/>
                    </w:rPr>
                    <w:t>SO</w:t>
                  </w:r>
                  <w:r>
                    <w:rPr>
                      <w:rFonts w:hint="eastAsia"/>
                      <w:color w:val="auto"/>
                      <w:kern w:val="0"/>
                      <w:sz w:val="21"/>
                      <w:szCs w:val="21"/>
                      <w:highlight w:val="none"/>
                      <w:vertAlign w:val="subscript"/>
                    </w:rPr>
                    <w:t>2</w:t>
                  </w:r>
                </w:p>
              </w:tc>
              <w:tc>
                <w:tcPr>
                  <w:tcW w:w="2658" w:type="dxa"/>
                  <w:vMerge w:val="continue"/>
                  <w:tcBorders>
                    <w:tl2br w:val="nil"/>
                    <w:tr2bl w:val="nil"/>
                  </w:tcBorders>
                  <w:tcMar>
                    <w:top w:w="0" w:type="dxa"/>
                    <w:left w:w="108" w:type="dxa"/>
                    <w:bottom w:w="0" w:type="dxa"/>
                    <w:right w:w="108" w:type="dxa"/>
                  </w:tcMar>
                  <w:vAlign w:val="center"/>
                </w:tcPr>
                <w:p w14:paraId="7FE0ABCE">
                  <w:pPr>
                    <w:spacing w:line="360" w:lineRule="exact"/>
                    <w:jc w:val="center"/>
                    <w:rPr>
                      <w:color w:val="auto"/>
                      <w:kern w:val="0"/>
                      <w:sz w:val="21"/>
                      <w:szCs w:val="21"/>
                      <w:highlight w:val="none"/>
                    </w:rPr>
                  </w:pPr>
                </w:p>
              </w:tc>
              <w:tc>
                <w:tcPr>
                  <w:tcW w:w="2689" w:type="dxa"/>
                  <w:vMerge w:val="continue"/>
                  <w:tcBorders>
                    <w:tl2br w:val="nil"/>
                    <w:tr2bl w:val="nil"/>
                  </w:tcBorders>
                  <w:tcMar>
                    <w:top w:w="0" w:type="dxa"/>
                    <w:left w:w="108" w:type="dxa"/>
                    <w:bottom w:w="0" w:type="dxa"/>
                    <w:right w:w="108" w:type="dxa"/>
                  </w:tcMar>
                  <w:vAlign w:val="center"/>
                </w:tcPr>
                <w:p w14:paraId="2A3088D1">
                  <w:pPr>
                    <w:spacing w:line="360" w:lineRule="exact"/>
                    <w:jc w:val="center"/>
                    <w:rPr>
                      <w:color w:val="auto"/>
                      <w:kern w:val="0"/>
                      <w:sz w:val="21"/>
                      <w:szCs w:val="21"/>
                      <w:highlight w:val="none"/>
                    </w:rPr>
                  </w:pPr>
                </w:p>
              </w:tc>
            </w:tr>
            <w:tr w14:paraId="57245878">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7" w:type="dxa"/>
                  <w:vMerge w:val="continue"/>
                  <w:tcBorders>
                    <w:tl2br w:val="nil"/>
                    <w:tr2bl w:val="nil"/>
                  </w:tcBorders>
                  <w:tcMar>
                    <w:top w:w="0" w:type="dxa"/>
                    <w:left w:w="108" w:type="dxa"/>
                    <w:bottom w:w="0" w:type="dxa"/>
                    <w:right w:w="108" w:type="dxa"/>
                  </w:tcMar>
                  <w:vAlign w:val="center"/>
                </w:tcPr>
                <w:p w14:paraId="61ED7B88">
                  <w:pPr>
                    <w:spacing w:line="360" w:lineRule="exact"/>
                    <w:jc w:val="center"/>
                    <w:rPr>
                      <w:color w:val="auto"/>
                      <w:kern w:val="0"/>
                      <w:sz w:val="21"/>
                      <w:szCs w:val="21"/>
                      <w:highlight w:val="none"/>
                    </w:rPr>
                  </w:pPr>
                </w:p>
              </w:tc>
              <w:tc>
                <w:tcPr>
                  <w:tcW w:w="1080" w:type="dxa"/>
                  <w:vMerge w:val="continue"/>
                  <w:tcBorders>
                    <w:tl2br w:val="nil"/>
                    <w:tr2bl w:val="nil"/>
                  </w:tcBorders>
                  <w:tcMar>
                    <w:top w:w="0" w:type="dxa"/>
                    <w:left w:w="108" w:type="dxa"/>
                    <w:bottom w:w="0" w:type="dxa"/>
                    <w:right w:w="108" w:type="dxa"/>
                  </w:tcMar>
                  <w:vAlign w:val="center"/>
                </w:tcPr>
                <w:p w14:paraId="194CE75D">
                  <w:pPr>
                    <w:spacing w:line="360" w:lineRule="exact"/>
                    <w:jc w:val="center"/>
                    <w:rPr>
                      <w:color w:val="auto"/>
                      <w:kern w:val="0"/>
                      <w:sz w:val="21"/>
                      <w:szCs w:val="21"/>
                      <w:highlight w:val="none"/>
                    </w:rPr>
                  </w:pPr>
                </w:p>
              </w:tc>
              <w:tc>
                <w:tcPr>
                  <w:tcW w:w="864" w:type="dxa"/>
                  <w:tcBorders>
                    <w:tl2br w:val="nil"/>
                    <w:tr2bl w:val="nil"/>
                  </w:tcBorders>
                  <w:tcMar>
                    <w:top w:w="0" w:type="dxa"/>
                    <w:left w:w="108" w:type="dxa"/>
                    <w:bottom w:w="0" w:type="dxa"/>
                    <w:right w:w="108" w:type="dxa"/>
                  </w:tcMar>
                  <w:vAlign w:val="center"/>
                </w:tcPr>
                <w:p w14:paraId="135048BA">
                  <w:pPr>
                    <w:spacing w:line="360" w:lineRule="exact"/>
                    <w:jc w:val="center"/>
                    <w:rPr>
                      <w:color w:val="auto"/>
                      <w:kern w:val="0"/>
                      <w:sz w:val="21"/>
                      <w:szCs w:val="21"/>
                      <w:highlight w:val="none"/>
                    </w:rPr>
                  </w:pPr>
                  <w:r>
                    <w:rPr>
                      <w:rFonts w:hint="eastAsia"/>
                      <w:color w:val="auto"/>
                      <w:kern w:val="0"/>
                      <w:sz w:val="21"/>
                      <w:szCs w:val="21"/>
                      <w:highlight w:val="none"/>
                    </w:rPr>
                    <w:t>NO</w:t>
                  </w:r>
                  <w:r>
                    <w:rPr>
                      <w:rFonts w:hint="eastAsia"/>
                      <w:color w:val="auto"/>
                      <w:kern w:val="0"/>
                      <w:sz w:val="21"/>
                      <w:szCs w:val="21"/>
                      <w:highlight w:val="none"/>
                      <w:vertAlign w:val="subscript"/>
                    </w:rPr>
                    <w:t>X</w:t>
                  </w:r>
                </w:p>
              </w:tc>
              <w:tc>
                <w:tcPr>
                  <w:tcW w:w="2658" w:type="dxa"/>
                  <w:vMerge w:val="continue"/>
                  <w:tcBorders>
                    <w:tl2br w:val="nil"/>
                    <w:tr2bl w:val="nil"/>
                  </w:tcBorders>
                  <w:tcMar>
                    <w:top w:w="0" w:type="dxa"/>
                    <w:left w:w="108" w:type="dxa"/>
                    <w:bottom w:w="0" w:type="dxa"/>
                    <w:right w:w="108" w:type="dxa"/>
                  </w:tcMar>
                  <w:vAlign w:val="center"/>
                </w:tcPr>
                <w:p w14:paraId="5AEF9626">
                  <w:pPr>
                    <w:spacing w:line="360" w:lineRule="exact"/>
                    <w:jc w:val="center"/>
                    <w:rPr>
                      <w:color w:val="auto"/>
                      <w:kern w:val="0"/>
                      <w:sz w:val="21"/>
                      <w:szCs w:val="21"/>
                      <w:highlight w:val="none"/>
                    </w:rPr>
                  </w:pPr>
                </w:p>
              </w:tc>
              <w:tc>
                <w:tcPr>
                  <w:tcW w:w="2689" w:type="dxa"/>
                  <w:vMerge w:val="continue"/>
                  <w:tcBorders>
                    <w:tl2br w:val="nil"/>
                    <w:tr2bl w:val="nil"/>
                  </w:tcBorders>
                  <w:tcMar>
                    <w:top w:w="0" w:type="dxa"/>
                    <w:left w:w="108" w:type="dxa"/>
                    <w:bottom w:w="0" w:type="dxa"/>
                    <w:right w:w="108" w:type="dxa"/>
                  </w:tcMar>
                  <w:vAlign w:val="center"/>
                </w:tcPr>
                <w:p w14:paraId="489A32E4">
                  <w:pPr>
                    <w:spacing w:line="360" w:lineRule="exact"/>
                    <w:jc w:val="center"/>
                    <w:rPr>
                      <w:color w:val="auto"/>
                      <w:kern w:val="0"/>
                      <w:sz w:val="21"/>
                      <w:szCs w:val="21"/>
                      <w:highlight w:val="none"/>
                    </w:rPr>
                  </w:pPr>
                </w:p>
              </w:tc>
            </w:tr>
            <w:tr w14:paraId="590E3F05">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0" w:hRule="atLeast"/>
              </w:trPr>
              <w:tc>
                <w:tcPr>
                  <w:tcW w:w="667" w:type="dxa"/>
                  <w:vMerge w:val="restart"/>
                  <w:tcBorders>
                    <w:tl2br w:val="nil"/>
                    <w:tr2bl w:val="nil"/>
                  </w:tcBorders>
                  <w:tcMar>
                    <w:top w:w="0" w:type="dxa"/>
                    <w:left w:w="108" w:type="dxa"/>
                    <w:bottom w:w="0" w:type="dxa"/>
                    <w:right w:w="108" w:type="dxa"/>
                  </w:tcMar>
                  <w:vAlign w:val="center"/>
                </w:tcPr>
                <w:p w14:paraId="49F6B376">
                  <w:pPr>
                    <w:spacing w:line="360" w:lineRule="exact"/>
                    <w:jc w:val="center"/>
                    <w:rPr>
                      <w:color w:val="auto"/>
                      <w:kern w:val="0"/>
                      <w:sz w:val="21"/>
                      <w:szCs w:val="21"/>
                      <w:highlight w:val="none"/>
                    </w:rPr>
                  </w:pPr>
                  <w:r>
                    <w:rPr>
                      <w:rFonts w:hint="eastAsia"/>
                      <w:color w:val="auto"/>
                      <w:kern w:val="0"/>
                      <w:sz w:val="21"/>
                      <w:szCs w:val="21"/>
                      <w:highlight w:val="none"/>
                    </w:rPr>
                    <w:t>废</w:t>
                  </w:r>
                  <w:r>
                    <w:rPr>
                      <w:color w:val="auto"/>
                      <w:kern w:val="0"/>
                      <w:sz w:val="21"/>
                      <w:szCs w:val="21"/>
                      <w:highlight w:val="none"/>
                    </w:rPr>
                    <w:t>水</w:t>
                  </w:r>
                </w:p>
              </w:tc>
              <w:tc>
                <w:tcPr>
                  <w:tcW w:w="1080" w:type="dxa"/>
                  <w:tcBorders>
                    <w:tl2br w:val="nil"/>
                    <w:tr2bl w:val="nil"/>
                  </w:tcBorders>
                  <w:tcMar>
                    <w:top w:w="0" w:type="dxa"/>
                    <w:left w:w="108" w:type="dxa"/>
                    <w:bottom w:w="0" w:type="dxa"/>
                    <w:right w:w="108" w:type="dxa"/>
                  </w:tcMar>
                  <w:vAlign w:val="center"/>
                </w:tcPr>
                <w:p w14:paraId="634C3947">
                  <w:pPr>
                    <w:spacing w:line="360" w:lineRule="exact"/>
                    <w:jc w:val="center"/>
                    <w:rPr>
                      <w:color w:val="auto"/>
                      <w:kern w:val="0"/>
                      <w:sz w:val="21"/>
                      <w:szCs w:val="21"/>
                      <w:highlight w:val="none"/>
                    </w:rPr>
                  </w:pPr>
                  <w:r>
                    <w:rPr>
                      <w:rFonts w:hint="eastAsia"/>
                      <w:color w:val="auto"/>
                      <w:kern w:val="0"/>
                      <w:sz w:val="21"/>
                      <w:szCs w:val="21"/>
                      <w:highlight w:val="none"/>
                    </w:rPr>
                    <w:t>人员生活</w:t>
                  </w:r>
                </w:p>
              </w:tc>
              <w:tc>
                <w:tcPr>
                  <w:tcW w:w="864" w:type="dxa"/>
                  <w:tcBorders>
                    <w:tl2br w:val="nil"/>
                    <w:tr2bl w:val="nil"/>
                  </w:tcBorders>
                  <w:tcMar>
                    <w:top w:w="0" w:type="dxa"/>
                    <w:left w:w="108" w:type="dxa"/>
                    <w:bottom w:w="0" w:type="dxa"/>
                    <w:right w:w="108" w:type="dxa"/>
                  </w:tcMar>
                  <w:vAlign w:val="center"/>
                </w:tcPr>
                <w:p w14:paraId="1315F7DB">
                  <w:pPr>
                    <w:spacing w:line="360" w:lineRule="exact"/>
                    <w:jc w:val="center"/>
                    <w:rPr>
                      <w:color w:val="auto"/>
                      <w:kern w:val="0"/>
                      <w:sz w:val="21"/>
                      <w:szCs w:val="21"/>
                      <w:highlight w:val="none"/>
                    </w:rPr>
                  </w:pPr>
                  <w:r>
                    <w:rPr>
                      <w:rFonts w:hint="eastAsia"/>
                      <w:color w:val="auto"/>
                      <w:sz w:val="21"/>
                      <w:szCs w:val="21"/>
                      <w:highlight w:val="none"/>
                    </w:rPr>
                    <w:t>/</w:t>
                  </w:r>
                </w:p>
              </w:tc>
              <w:tc>
                <w:tcPr>
                  <w:tcW w:w="2658" w:type="dxa"/>
                  <w:tcBorders>
                    <w:tl2br w:val="nil"/>
                    <w:tr2bl w:val="nil"/>
                  </w:tcBorders>
                  <w:tcMar>
                    <w:top w:w="0" w:type="dxa"/>
                    <w:left w:w="108" w:type="dxa"/>
                    <w:bottom w:w="0" w:type="dxa"/>
                    <w:right w:w="108" w:type="dxa"/>
                  </w:tcMar>
                  <w:vAlign w:val="center"/>
                </w:tcPr>
                <w:p w14:paraId="6655005C">
                  <w:pPr>
                    <w:spacing w:line="360" w:lineRule="exact"/>
                    <w:jc w:val="center"/>
                    <w:rPr>
                      <w:color w:val="auto"/>
                      <w:kern w:val="0"/>
                      <w:sz w:val="21"/>
                      <w:szCs w:val="21"/>
                      <w:highlight w:val="none"/>
                    </w:rPr>
                  </w:pPr>
                  <w:r>
                    <w:rPr>
                      <w:color w:val="auto"/>
                      <w:kern w:val="0"/>
                      <w:sz w:val="21"/>
                      <w:szCs w:val="21"/>
                      <w:highlight w:val="none"/>
                    </w:rPr>
                    <w:t>本项目不新增劳动人员，无新增生活污水</w:t>
                  </w:r>
                </w:p>
              </w:tc>
              <w:tc>
                <w:tcPr>
                  <w:tcW w:w="2689" w:type="dxa"/>
                  <w:tcBorders>
                    <w:tl2br w:val="nil"/>
                    <w:tr2bl w:val="nil"/>
                  </w:tcBorders>
                  <w:tcMar>
                    <w:top w:w="0" w:type="dxa"/>
                    <w:left w:w="108" w:type="dxa"/>
                    <w:bottom w:w="0" w:type="dxa"/>
                    <w:right w:w="108" w:type="dxa"/>
                  </w:tcMar>
                  <w:vAlign w:val="center"/>
                </w:tcPr>
                <w:p w14:paraId="53ADD5A3">
                  <w:pPr>
                    <w:spacing w:line="360" w:lineRule="exact"/>
                    <w:jc w:val="center"/>
                    <w:rPr>
                      <w:color w:val="auto"/>
                      <w:kern w:val="0"/>
                      <w:sz w:val="21"/>
                      <w:szCs w:val="21"/>
                      <w:highlight w:val="none"/>
                    </w:rPr>
                  </w:pPr>
                  <w:r>
                    <w:rPr>
                      <w:rFonts w:hint="eastAsia"/>
                      <w:color w:val="auto"/>
                      <w:kern w:val="0"/>
                      <w:sz w:val="21"/>
                      <w:szCs w:val="21"/>
                      <w:highlight w:val="none"/>
                    </w:rPr>
                    <w:t>/</w:t>
                  </w:r>
                </w:p>
              </w:tc>
            </w:tr>
            <w:tr w14:paraId="4743DB67">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0" w:hRule="atLeast"/>
              </w:trPr>
              <w:tc>
                <w:tcPr>
                  <w:tcW w:w="667" w:type="dxa"/>
                  <w:vMerge w:val="continue"/>
                  <w:tcBorders>
                    <w:tl2br w:val="nil"/>
                    <w:tr2bl w:val="nil"/>
                  </w:tcBorders>
                  <w:tcMar>
                    <w:top w:w="0" w:type="dxa"/>
                    <w:left w:w="108" w:type="dxa"/>
                    <w:bottom w:w="0" w:type="dxa"/>
                    <w:right w:w="108" w:type="dxa"/>
                  </w:tcMar>
                  <w:vAlign w:val="center"/>
                </w:tcPr>
                <w:p w14:paraId="739246C8">
                  <w:pPr>
                    <w:spacing w:line="360" w:lineRule="exact"/>
                    <w:jc w:val="center"/>
                    <w:rPr>
                      <w:color w:val="auto"/>
                      <w:kern w:val="0"/>
                      <w:sz w:val="21"/>
                      <w:szCs w:val="21"/>
                      <w:highlight w:val="none"/>
                    </w:rPr>
                  </w:pPr>
                </w:p>
              </w:tc>
              <w:tc>
                <w:tcPr>
                  <w:tcW w:w="1080" w:type="dxa"/>
                  <w:tcBorders>
                    <w:tl2br w:val="nil"/>
                    <w:tr2bl w:val="nil"/>
                  </w:tcBorders>
                  <w:tcMar>
                    <w:top w:w="0" w:type="dxa"/>
                    <w:left w:w="108" w:type="dxa"/>
                    <w:bottom w:w="0" w:type="dxa"/>
                    <w:right w:w="108" w:type="dxa"/>
                  </w:tcMar>
                  <w:vAlign w:val="center"/>
                </w:tcPr>
                <w:p w14:paraId="27550A6F">
                  <w:pPr>
                    <w:spacing w:line="360" w:lineRule="exact"/>
                    <w:jc w:val="center"/>
                    <w:rPr>
                      <w:color w:val="auto"/>
                      <w:kern w:val="0"/>
                      <w:sz w:val="21"/>
                      <w:szCs w:val="21"/>
                      <w:highlight w:val="none"/>
                    </w:rPr>
                  </w:pPr>
                  <w:r>
                    <w:rPr>
                      <w:rFonts w:hint="eastAsia"/>
                      <w:color w:val="auto"/>
                      <w:kern w:val="0"/>
                      <w:sz w:val="21"/>
                      <w:szCs w:val="21"/>
                      <w:highlight w:val="none"/>
                    </w:rPr>
                    <w:t>生产废水</w:t>
                  </w:r>
                </w:p>
              </w:tc>
              <w:tc>
                <w:tcPr>
                  <w:tcW w:w="864" w:type="dxa"/>
                  <w:tcBorders>
                    <w:tl2br w:val="nil"/>
                    <w:tr2bl w:val="nil"/>
                  </w:tcBorders>
                  <w:tcMar>
                    <w:top w:w="0" w:type="dxa"/>
                    <w:left w:w="108" w:type="dxa"/>
                    <w:bottom w:w="0" w:type="dxa"/>
                    <w:right w:w="108" w:type="dxa"/>
                  </w:tcMar>
                  <w:vAlign w:val="center"/>
                </w:tcPr>
                <w:p w14:paraId="39755984">
                  <w:pPr>
                    <w:spacing w:line="360" w:lineRule="exact"/>
                    <w:jc w:val="center"/>
                    <w:rPr>
                      <w:color w:val="auto"/>
                      <w:sz w:val="21"/>
                      <w:szCs w:val="21"/>
                      <w:highlight w:val="none"/>
                    </w:rPr>
                  </w:pPr>
                  <w:r>
                    <w:rPr>
                      <w:rFonts w:hint="eastAsia"/>
                      <w:color w:val="auto"/>
                      <w:sz w:val="21"/>
                      <w:szCs w:val="21"/>
                      <w:highlight w:val="none"/>
                    </w:rPr>
                    <w:t>COD、溶解性总固体</w:t>
                  </w:r>
                </w:p>
              </w:tc>
              <w:tc>
                <w:tcPr>
                  <w:tcW w:w="5347" w:type="dxa"/>
                  <w:gridSpan w:val="2"/>
                  <w:tcBorders>
                    <w:tl2br w:val="nil"/>
                    <w:tr2bl w:val="nil"/>
                  </w:tcBorders>
                  <w:tcMar>
                    <w:top w:w="0" w:type="dxa"/>
                    <w:left w:w="108" w:type="dxa"/>
                    <w:bottom w:w="0" w:type="dxa"/>
                    <w:right w:w="108" w:type="dxa"/>
                  </w:tcMar>
                  <w:vAlign w:val="center"/>
                </w:tcPr>
                <w:p w14:paraId="5A8F1489">
                  <w:pPr>
                    <w:spacing w:line="360" w:lineRule="exact"/>
                    <w:jc w:val="center"/>
                    <w:rPr>
                      <w:color w:val="auto"/>
                      <w:kern w:val="0"/>
                      <w:sz w:val="21"/>
                      <w:szCs w:val="21"/>
                      <w:highlight w:val="none"/>
                    </w:rPr>
                  </w:pPr>
                  <w:r>
                    <w:rPr>
                      <w:color w:val="auto"/>
                      <w:kern w:val="0"/>
                      <w:sz w:val="21"/>
                      <w:szCs w:val="21"/>
                      <w:highlight w:val="none"/>
                    </w:rPr>
                    <w:t>锅炉排污废水、软水制备排污废水均排入园区内本公司</w:t>
                  </w:r>
                  <w:r>
                    <w:rPr>
                      <w:rFonts w:hint="eastAsia" w:ascii="宋体" w:hAnsi="宋体"/>
                      <w:color w:val="000000"/>
                      <w:sz w:val="21"/>
                      <w:szCs w:val="21"/>
                      <w:lang w:val="zh-CN"/>
                    </w:rPr>
                    <w:t>废水处理厂</w:t>
                  </w:r>
                  <w:r>
                    <w:rPr>
                      <w:rFonts w:hint="eastAsia" w:ascii="宋体" w:hAnsi="宋体"/>
                      <w:color w:val="000000"/>
                      <w:sz w:val="21"/>
                      <w:szCs w:val="21"/>
                      <w:lang w:val="en-US"/>
                    </w:rPr>
                    <w:t>隆基废水处理系统</w:t>
                  </w:r>
                  <w:r>
                    <w:rPr>
                      <w:color w:val="auto"/>
                      <w:kern w:val="0"/>
                      <w:sz w:val="21"/>
                      <w:szCs w:val="21"/>
                      <w:highlight w:val="none"/>
                    </w:rPr>
                    <w:t>进行处理后回用</w:t>
                  </w:r>
                  <w:r>
                    <w:rPr>
                      <w:rFonts w:hint="eastAsia" w:ascii="宋体" w:hAnsi="宋体"/>
                      <w:color w:val="000000"/>
                      <w:sz w:val="21"/>
                      <w:szCs w:val="21"/>
                      <w:lang w:val="en-US"/>
                    </w:rPr>
                    <w:t>隆基</w:t>
                  </w:r>
                  <w:r>
                    <w:rPr>
                      <w:color w:val="auto"/>
                      <w:kern w:val="0"/>
                      <w:sz w:val="21"/>
                      <w:szCs w:val="21"/>
                      <w:highlight w:val="none"/>
                    </w:rPr>
                    <w:t>生产用水，不外排</w:t>
                  </w:r>
                </w:p>
              </w:tc>
            </w:tr>
            <w:tr w14:paraId="2653524F">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97" w:hRule="atLeast"/>
              </w:trPr>
              <w:tc>
                <w:tcPr>
                  <w:tcW w:w="667" w:type="dxa"/>
                  <w:tcBorders>
                    <w:tl2br w:val="nil"/>
                    <w:tr2bl w:val="nil"/>
                  </w:tcBorders>
                  <w:tcMar>
                    <w:top w:w="0" w:type="dxa"/>
                    <w:left w:w="108" w:type="dxa"/>
                    <w:bottom w:w="0" w:type="dxa"/>
                    <w:right w:w="108" w:type="dxa"/>
                  </w:tcMar>
                  <w:vAlign w:val="center"/>
                </w:tcPr>
                <w:p w14:paraId="55386F3C">
                  <w:pPr>
                    <w:spacing w:line="360" w:lineRule="exact"/>
                    <w:jc w:val="center"/>
                    <w:rPr>
                      <w:color w:val="auto"/>
                      <w:kern w:val="0"/>
                      <w:sz w:val="21"/>
                      <w:szCs w:val="21"/>
                      <w:highlight w:val="none"/>
                    </w:rPr>
                  </w:pPr>
                  <w:r>
                    <w:rPr>
                      <w:color w:val="auto"/>
                      <w:kern w:val="0"/>
                      <w:sz w:val="21"/>
                      <w:szCs w:val="21"/>
                      <w:highlight w:val="none"/>
                    </w:rPr>
                    <w:t>噪声</w:t>
                  </w:r>
                </w:p>
              </w:tc>
              <w:tc>
                <w:tcPr>
                  <w:tcW w:w="1080" w:type="dxa"/>
                  <w:tcBorders>
                    <w:tl2br w:val="nil"/>
                    <w:tr2bl w:val="nil"/>
                  </w:tcBorders>
                  <w:tcMar>
                    <w:top w:w="0" w:type="dxa"/>
                    <w:left w:w="108" w:type="dxa"/>
                    <w:bottom w:w="0" w:type="dxa"/>
                    <w:right w:w="108" w:type="dxa"/>
                  </w:tcMar>
                  <w:vAlign w:val="center"/>
                </w:tcPr>
                <w:p w14:paraId="31475329">
                  <w:pPr>
                    <w:spacing w:line="360" w:lineRule="exact"/>
                    <w:jc w:val="center"/>
                    <w:rPr>
                      <w:color w:val="auto"/>
                      <w:kern w:val="0"/>
                      <w:sz w:val="21"/>
                      <w:szCs w:val="21"/>
                      <w:highlight w:val="none"/>
                    </w:rPr>
                  </w:pPr>
                  <w:r>
                    <w:rPr>
                      <w:rFonts w:hint="eastAsia"/>
                      <w:color w:val="auto"/>
                      <w:kern w:val="0"/>
                      <w:sz w:val="21"/>
                      <w:szCs w:val="21"/>
                      <w:highlight w:val="none"/>
                    </w:rPr>
                    <w:t>生产活动</w:t>
                  </w:r>
                </w:p>
              </w:tc>
              <w:tc>
                <w:tcPr>
                  <w:tcW w:w="864" w:type="dxa"/>
                  <w:tcBorders>
                    <w:tl2br w:val="nil"/>
                    <w:tr2bl w:val="nil"/>
                  </w:tcBorders>
                  <w:tcMar>
                    <w:top w:w="0" w:type="dxa"/>
                    <w:left w:w="108" w:type="dxa"/>
                    <w:bottom w:w="0" w:type="dxa"/>
                    <w:right w:w="108" w:type="dxa"/>
                  </w:tcMar>
                  <w:vAlign w:val="center"/>
                </w:tcPr>
                <w:p w14:paraId="2C066A36">
                  <w:pPr>
                    <w:spacing w:line="360" w:lineRule="exact"/>
                    <w:jc w:val="center"/>
                    <w:rPr>
                      <w:color w:val="auto"/>
                      <w:kern w:val="0"/>
                      <w:sz w:val="21"/>
                      <w:szCs w:val="21"/>
                      <w:highlight w:val="none"/>
                    </w:rPr>
                  </w:pPr>
                  <w:r>
                    <w:rPr>
                      <w:color w:val="auto"/>
                      <w:kern w:val="0"/>
                      <w:sz w:val="21"/>
                      <w:szCs w:val="21"/>
                      <w:highlight w:val="none"/>
                    </w:rPr>
                    <w:t>噪声</w:t>
                  </w:r>
                </w:p>
              </w:tc>
              <w:tc>
                <w:tcPr>
                  <w:tcW w:w="2658" w:type="dxa"/>
                  <w:tcBorders>
                    <w:tl2br w:val="nil"/>
                    <w:tr2bl w:val="nil"/>
                  </w:tcBorders>
                  <w:tcMar>
                    <w:top w:w="0" w:type="dxa"/>
                    <w:left w:w="108" w:type="dxa"/>
                    <w:bottom w:w="0" w:type="dxa"/>
                    <w:right w:w="108" w:type="dxa"/>
                  </w:tcMar>
                  <w:vAlign w:val="center"/>
                </w:tcPr>
                <w:p w14:paraId="3DA800F5">
                  <w:pPr>
                    <w:spacing w:line="360" w:lineRule="exact"/>
                    <w:jc w:val="center"/>
                    <w:rPr>
                      <w:color w:val="auto"/>
                      <w:kern w:val="0"/>
                      <w:sz w:val="21"/>
                      <w:szCs w:val="21"/>
                      <w:highlight w:val="none"/>
                    </w:rPr>
                  </w:pPr>
                  <w:r>
                    <w:rPr>
                      <w:rFonts w:hint="eastAsia"/>
                      <w:color w:val="auto"/>
                      <w:spacing w:val="8"/>
                      <w:sz w:val="21"/>
                      <w:szCs w:val="21"/>
                      <w:highlight w:val="none"/>
                    </w:rPr>
                    <w:t>燃烧器、给水泵等选用低噪音设备，并采用基础减振、厂房隔声</w:t>
                  </w:r>
                </w:p>
              </w:tc>
              <w:tc>
                <w:tcPr>
                  <w:tcW w:w="2689" w:type="dxa"/>
                  <w:tcBorders>
                    <w:tl2br w:val="nil"/>
                    <w:tr2bl w:val="nil"/>
                  </w:tcBorders>
                  <w:tcMar>
                    <w:top w:w="0" w:type="dxa"/>
                    <w:left w:w="108" w:type="dxa"/>
                    <w:bottom w:w="0" w:type="dxa"/>
                    <w:right w:w="108" w:type="dxa"/>
                  </w:tcMar>
                  <w:vAlign w:val="center"/>
                </w:tcPr>
                <w:p w14:paraId="168B3F4B">
                  <w:pPr>
                    <w:spacing w:line="360" w:lineRule="exact"/>
                    <w:jc w:val="center"/>
                    <w:rPr>
                      <w:color w:val="auto"/>
                      <w:kern w:val="0"/>
                      <w:sz w:val="21"/>
                      <w:szCs w:val="21"/>
                      <w:highlight w:val="none"/>
                    </w:rPr>
                  </w:pPr>
                  <w:r>
                    <w:rPr>
                      <w:bCs/>
                      <w:color w:val="auto"/>
                      <w:sz w:val="21"/>
                      <w:szCs w:val="21"/>
                      <w:highlight w:val="none"/>
                    </w:rPr>
                    <w:t>《工业企业厂界环境噪声排放标准》</w:t>
                  </w:r>
                  <w:r>
                    <w:rPr>
                      <w:rFonts w:hint="eastAsia"/>
                      <w:bCs/>
                      <w:color w:val="auto"/>
                      <w:sz w:val="21"/>
                      <w:szCs w:val="21"/>
                      <w:highlight w:val="none"/>
                    </w:rPr>
                    <w:t>3</w:t>
                  </w:r>
                  <w:r>
                    <w:rPr>
                      <w:bCs/>
                      <w:color w:val="auto"/>
                      <w:sz w:val="21"/>
                      <w:szCs w:val="21"/>
                      <w:highlight w:val="none"/>
                    </w:rPr>
                    <w:t>类标准</w:t>
                  </w:r>
                </w:p>
              </w:tc>
            </w:tr>
            <w:tr w14:paraId="1B213286">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667" w:type="dxa"/>
                  <w:vMerge w:val="restart"/>
                  <w:tcBorders>
                    <w:tl2br w:val="nil"/>
                    <w:tr2bl w:val="nil"/>
                  </w:tcBorders>
                  <w:tcMar>
                    <w:top w:w="0" w:type="dxa"/>
                    <w:left w:w="108" w:type="dxa"/>
                    <w:bottom w:w="0" w:type="dxa"/>
                    <w:right w:w="108" w:type="dxa"/>
                  </w:tcMar>
                  <w:vAlign w:val="center"/>
                </w:tcPr>
                <w:p w14:paraId="79582A25">
                  <w:pPr>
                    <w:spacing w:line="360" w:lineRule="exact"/>
                    <w:jc w:val="center"/>
                    <w:rPr>
                      <w:color w:val="auto"/>
                      <w:kern w:val="0"/>
                      <w:sz w:val="21"/>
                      <w:szCs w:val="21"/>
                      <w:highlight w:val="none"/>
                    </w:rPr>
                  </w:pPr>
                  <w:r>
                    <w:rPr>
                      <w:color w:val="auto"/>
                      <w:kern w:val="0"/>
                      <w:sz w:val="21"/>
                      <w:szCs w:val="21"/>
                      <w:highlight w:val="none"/>
                    </w:rPr>
                    <w:t>固体</w:t>
                  </w:r>
                </w:p>
                <w:p w14:paraId="1AC43AE7">
                  <w:pPr>
                    <w:spacing w:line="360" w:lineRule="exact"/>
                    <w:jc w:val="center"/>
                    <w:rPr>
                      <w:color w:val="auto"/>
                      <w:kern w:val="0"/>
                      <w:sz w:val="21"/>
                      <w:szCs w:val="21"/>
                      <w:highlight w:val="none"/>
                    </w:rPr>
                  </w:pPr>
                  <w:r>
                    <w:rPr>
                      <w:color w:val="auto"/>
                      <w:kern w:val="0"/>
                      <w:sz w:val="21"/>
                      <w:szCs w:val="21"/>
                      <w:highlight w:val="none"/>
                    </w:rPr>
                    <w:t>废物</w:t>
                  </w:r>
                </w:p>
              </w:tc>
              <w:tc>
                <w:tcPr>
                  <w:tcW w:w="1080" w:type="dxa"/>
                  <w:tcBorders>
                    <w:tl2br w:val="nil"/>
                    <w:tr2bl w:val="nil"/>
                  </w:tcBorders>
                  <w:tcMar>
                    <w:top w:w="0" w:type="dxa"/>
                    <w:left w:w="108" w:type="dxa"/>
                    <w:bottom w:w="0" w:type="dxa"/>
                    <w:right w:w="108" w:type="dxa"/>
                  </w:tcMar>
                  <w:vAlign w:val="center"/>
                </w:tcPr>
                <w:p w14:paraId="1C6100DC">
                  <w:pPr>
                    <w:pStyle w:val="76"/>
                    <w:spacing w:line="360" w:lineRule="exact"/>
                    <w:jc w:val="center"/>
                    <w:rPr>
                      <w:rFonts w:ascii="Times New Roman"/>
                      <w:color w:val="auto"/>
                      <w:sz w:val="21"/>
                      <w:szCs w:val="21"/>
                      <w:highlight w:val="none"/>
                    </w:rPr>
                  </w:pPr>
                  <w:r>
                    <w:rPr>
                      <w:rFonts w:hint="eastAsia" w:ascii="Times New Roman"/>
                      <w:color w:val="auto"/>
                      <w:sz w:val="21"/>
                      <w:szCs w:val="21"/>
                      <w:highlight w:val="none"/>
                    </w:rPr>
                    <w:t>人员生活</w:t>
                  </w:r>
                </w:p>
              </w:tc>
              <w:tc>
                <w:tcPr>
                  <w:tcW w:w="864" w:type="dxa"/>
                  <w:tcBorders>
                    <w:tl2br w:val="nil"/>
                    <w:tr2bl w:val="nil"/>
                  </w:tcBorders>
                  <w:tcMar>
                    <w:top w:w="0" w:type="dxa"/>
                    <w:left w:w="108" w:type="dxa"/>
                    <w:bottom w:w="0" w:type="dxa"/>
                    <w:right w:w="108" w:type="dxa"/>
                  </w:tcMar>
                  <w:vAlign w:val="center"/>
                </w:tcPr>
                <w:p w14:paraId="29066AB0">
                  <w:pPr>
                    <w:pStyle w:val="76"/>
                    <w:spacing w:line="360" w:lineRule="exact"/>
                    <w:jc w:val="center"/>
                    <w:rPr>
                      <w:rFonts w:ascii="Times New Roman"/>
                      <w:color w:val="auto"/>
                      <w:sz w:val="21"/>
                      <w:szCs w:val="21"/>
                      <w:highlight w:val="none"/>
                    </w:rPr>
                  </w:pPr>
                  <w:r>
                    <w:rPr>
                      <w:rFonts w:hint="eastAsia" w:ascii="Times New Roman"/>
                      <w:color w:val="auto"/>
                      <w:sz w:val="21"/>
                      <w:szCs w:val="21"/>
                      <w:highlight w:val="none"/>
                    </w:rPr>
                    <w:t>生活</w:t>
                  </w:r>
                </w:p>
                <w:p w14:paraId="274423FB">
                  <w:pPr>
                    <w:pStyle w:val="76"/>
                    <w:spacing w:line="360" w:lineRule="exact"/>
                    <w:jc w:val="center"/>
                    <w:rPr>
                      <w:rFonts w:ascii="Times New Roman"/>
                      <w:color w:val="auto"/>
                      <w:sz w:val="21"/>
                      <w:szCs w:val="21"/>
                      <w:highlight w:val="none"/>
                    </w:rPr>
                  </w:pPr>
                  <w:r>
                    <w:rPr>
                      <w:rFonts w:hint="eastAsia" w:ascii="Times New Roman"/>
                      <w:color w:val="auto"/>
                      <w:sz w:val="21"/>
                      <w:szCs w:val="21"/>
                      <w:highlight w:val="none"/>
                    </w:rPr>
                    <w:t>垃圾</w:t>
                  </w:r>
                </w:p>
              </w:tc>
              <w:tc>
                <w:tcPr>
                  <w:tcW w:w="2658" w:type="dxa"/>
                  <w:tcBorders>
                    <w:tl2br w:val="nil"/>
                    <w:tr2bl w:val="nil"/>
                  </w:tcBorders>
                  <w:tcMar>
                    <w:top w:w="0" w:type="dxa"/>
                    <w:left w:w="108" w:type="dxa"/>
                    <w:bottom w:w="0" w:type="dxa"/>
                    <w:right w:w="108" w:type="dxa"/>
                  </w:tcMar>
                  <w:vAlign w:val="center"/>
                </w:tcPr>
                <w:p w14:paraId="33E342C0">
                  <w:pPr>
                    <w:spacing w:line="360" w:lineRule="exact"/>
                    <w:jc w:val="center"/>
                    <w:rPr>
                      <w:color w:val="auto"/>
                      <w:sz w:val="21"/>
                      <w:szCs w:val="21"/>
                      <w:highlight w:val="none"/>
                    </w:rPr>
                  </w:pPr>
                  <w:r>
                    <w:rPr>
                      <w:color w:val="auto"/>
                      <w:sz w:val="21"/>
                      <w:szCs w:val="21"/>
                      <w:highlight w:val="none"/>
                    </w:rPr>
                    <w:t>本项目不新增劳动人员，无新增生活</w:t>
                  </w:r>
                  <w:r>
                    <w:rPr>
                      <w:rFonts w:hint="eastAsia"/>
                      <w:color w:val="auto"/>
                      <w:sz w:val="21"/>
                      <w:szCs w:val="21"/>
                      <w:highlight w:val="none"/>
                    </w:rPr>
                    <w:t>垃圾</w:t>
                  </w:r>
                </w:p>
              </w:tc>
              <w:tc>
                <w:tcPr>
                  <w:tcW w:w="2689" w:type="dxa"/>
                  <w:tcBorders>
                    <w:tl2br w:val="nil"/>
                    <w:tr2bl w:val="nil"/>
                  </w:tcBorders>
                  <w:tcMar>
                    <w:top w:w="0" w:type="dxa"/>
                    <w:left w:w="108" w:type="dxa"/>
                    <w:bottom w:w="0" w:type="dxa"/>
                    <w:right w:w="108" w:type="dxa"/>
                  </w:tcMar>
                  <w:vAlign w:val="center"/>
                </w:tcPr>
                <w:p w14:paraId="38478319">
                  <w:pPr>
                    <w:pStyle w:val="76"/>
                    <w:spacing w:line="360" w:lineRule="exact"/>
                    <w:jc w:val="center"/>
                    <w:rPr>
                      <w:rFonts w:ascii="Times New Roman"/>
                      <w:bCs/>
                      <w:color w:val="auto"/>
                      <w:sz w:val="21"/>
                      <w:szCs w:val="21"/>
                      <w:highlight w:val="none"/>
                    </w:rPr>
                  </w:pPr>
                  <w:r>
                    <w:rPr>
                      <w:rFonts w:hint="eastAsia" w:ascii="Times New Roman"/>
                      <w:bCs/>
                      <w:color w:val="auto"/>
                      <w:sz w:val="21"/>
                      <w:szCs w:val="21"/>
                      <w:highlight w:val="none"/>
                    </w:rPr>
                    <w:t>/</w:t>
                  </w:r>
                </w:p>
              </w:tc>
            </w:tr>
            <w:tr w14:paraId="7D6A702A">
              <w:tblPrEx>
                <w:tblBorders>
                  <w:top w:val="thinThickSmallGap" w:color="auto" w:sz="12" w:space="0"/>
                  <w:left w:val="none" w:color="auto" w:sz="0" w:space="0"/>
                  <w:bottom w:val="thickThinSmallGap"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667" w:type="dxa"/>
                  <w:vMerge w:val="continue"/>
                  <w:tcBorders>
                    <w:tl2br w:val="nil"/>
                    <w:tr2bl w:val="nil"/>
                  </w:tcBorders>
                  <w:tcMar>
                    <w:top w:w="0" w:type="dxa"/>
                    <w:left w:w="108" w:type="dxa"/>
                    <w:bottom w:w="0" w:type="dxa"/>
                    <w:right w:w="108" w:type="dxa"/>
                  </w:tcMar>
                  <w:vAlign w:val="center"/>
                </w:tcPr>
                <w:p w14:paraId="7CA89C01">
                  <w:pPr>
                    <w:spacing w:line="360" w:lineRule="exact"/>
                    <w:jc w:val="center"/>
                    <w:rPr>
                      <w:color w:val="auto"/>
                      <w:kern w:val="0"/>
                      <w:sz w:val="21"/>
                      <w:szCs w:val="21"/>
                      <w:highlight w:val="none"/>
                    </w:rPr>
                  </w:pPr>
                </w:p>
              </w:tc>
              <w:tc>
                <w:tcPr>
                  <w:tcW w:w="1080" w:type="dxa"/>
                  <w:tcBorders>
                    <w:tl2br w:val="nil"/>
                    <w:tr2bl w:val="nil"/>
                  </w:tcBorders>
                  <w:tcMar>
                    <w:top w:w="0" w:type="dxa"/>
                    <w:left w:w="108" w:type="dxa"/>
                    <w:bottom w:w="0" w:type="dxa"/>
                    <w:right w:w="108" w:type="dxa"/>
                  </w:tcMar>
                  <w:vAlign w:val="center"/>
                </w:tcPr>
                <w:p w14:paraId="5FE5F934">
                  <w:pPr>
                    <w:pStyle w:val="76"/>
                    <w:spacing w:line="360" w:lineRule="exact"/>
                    <w:jc w:val="center"/>
                    <w:rPr>
                      <w:rFonts w:ascii="Times New Roman"/>
                      <w:color w:val="auto"/>
                      <w:sz w:val="21"/>
                      <w:szCs w:val="21"/>
                      <w:highlight w:val="none"/>
                    </w:rPr>
                  </w:pPr>
                  <w:r>
                    <w:rPr>
                      <w:rFonts w:hint="eastAsia" w:ascii="Times New Roman"/>
                      <w:color w:val="auto"/>
                      <w:sz w:val="21"/>
                      <w:szCs w:val="21"/>
                      <w:highlight w:val="none"/>
                    </w:rPr>
                    <w:t>软水制备</w:t>
                  </w:r>
                </w:p>
              </w:tc>
              <w:tc>
                <w:tcPr>
                  <w:tcW w:w="864" w:type="dxa"/>
                  <w:tcBorders>
                    <w:tl2br w:val="nil"/>
                    <w:tr2bl w:val="nil"/>
                  </w:tcBorders>
                  <w:tcMar>
                    <w:top w:w="0" w:type="dxa"/>
                    <w:left w:w="108" w:type="dxa"/>
                    <w:bottom w:w="0" w:type="dxa"/>
                    <w:right w:w="108" w:type="dxa"/>
                  </w:tcMar>
                  <w:vAlign w:val="center"/>
                </w:tcPr>
                <w:p w14:paraId="59C2A79F">
                  <w:pPr>
                    <w:pStyle w:val="76"/>
                    <w:spacing w:line="360" w:lineRule="exact"/>
                    <w:jc w:val="center"/>
                    <w:rPr>
                      <w:rFonts w:ascii="Times New Roman"/>
                      <w:color w:val="auto"/>
                      <w:sz w:val="21"/>
                      <w:szCs w:val="21"/>
                      <w:highlight w:val="none"/>
                    </w:rPr>
                  </w:pPr>
                  <w:r>
                    <w:rPr>
                      <w:rFonts w:ascii="Times New Roman"/>
                      <w:color w:val="auto"/>
                      <w:sz w:val="21"/>
                      <w:szCs w:val="21"/>
                      <w:highlight w:val="none"/>
                    </w:rPr>
                    <w:t>废离子交换树脂</w:t>
                  </w:r>
                </w:p>
              </w:tc>
              <w:tc>
                <w:tcPr>
                  <w:tcW w:w="2658" w:type="dxa"/>
                  <w:tcBorders>
                    <w:tl2br w:val="nil"/>
                    <w:tr2bl w:val="nil"/>
                  </w:tcBorders>
                  <w:tcMar>
                    <w:top w:w="0" w:type="dxa"/>
                    <w:left w:w="108" w:type="dxa"/>
                    <w:bottom w:w="0" w:type="dxa"/>
                    <w:right w:w="108" w:type="dxa"/>
                  </w:tcMar>
                  <w:vAlign w:val="center"/>
                </w:tcPr>
                <w:p w14:paraId="17AFF8E0">
                  <w:pPr>
                    <w:spacing w:line="360" w:lineRule="exact"/>
                    <w:jc w:val="center"/>
                    <w:rPr>
                      <w:color w:val="auto"/>
                      <w:sz w:val="21"/>
                      <w:szCs w:val="21"/>
                      <w:highlight w:val="none"/>
                    </w:rPr>
                  </w:pPr>
                  <w:r>
                    <w:rPr>
                      <w:rFonts w:hint="eastAsia"/>
                      <w:color w:val="auto"/>
                      <w:sz w:val="21"/>
                      <w:szCs w:val="21"/>
                      <w:highlight w:val="none"/>
                      <w:lang w:val="en-US" w:eastAsia="zh-CN"/>
                    </w:rPr>
                    <w:t>依托污水处理厂危废库（已验收）暂存，委托有资质单位处理</w:t>
                  </w:r>
                </w:p>
              </w:tc>
              <w:tc>
                <w:tcPr>
                  <w:tcW w:w="2689" w:type="dxa"/>
                  <w:tcBorders>
                    <w:tl2br w:val="nil"/>
                    <w:tr2bl w:val="nil"/>
                  </w:tcBorders>
                  <w:tcMar>
                    <w:top w:w="0" w:type="dxa"/>
                    <w:left w:w="108" w:type="dxa"/>
                    <w:bottom w:w="0" w:type="dxa"/>
                    <w:right w:w="108" w:type="dxa"/>
                  </w:tcMar>
                  <w:vAlign w:val="center"/>
                </w:tcPr>
                <w:p w14:paraId="6129F9FB">
                  <w:pPr>
                    <w:pStyle w:val="76"/>
                    <w:spacing w:line="360" w:lineRule="exact"/>
                    <w:jc w:val="center"/>
                    <w:rPr>
                      <w:rFonts w:ascii="Times New Roman"/>
                      <w:bCs/>
                      <w:color w:val="auto"/>
                      <w:sz w:val="21"/>
                      <w:szCs w:val="21"/>
                      <w:highlight w:val="none"/>
                    </w:rPr>
                  </w:pPr>
                  <w:r>
                    <w:rPr>
                      <w:rFonts w:hint="eastAsia" w:ascii="Times New Roman"/>
                      <w:bCs/>
                      <w:color w:val="auto"/>
                      <w:sz w:val="21"/>
                      <w:szCs w:val="21"/>
                      <w:highlight w:val="none"/>
                    </w:rPr>
                    <w:t>/</w:t>
                  </w:r>
                </w:p>
              </w:tc>
            </w:tr>
          </w:tbl>
          <w:p w14:paraId="30FAEE40">
            <w:pPr>
              <w:numPr>
                <w:ilvl w:val="0"/>
                <w:numId w:val="11"/>
              </w:numPr>
              <w:rPr>
                <w:b/>
                <w:bCs/>
                <w:color w:val="auto"/>
                <w:highlight w:val="none"/>
              </w:rPr>
            </w:pPr>
            <w:r>
              <w:rPr>
                <w:rFonts w:hint="eastAsia"/>
                <w:b/>
                <w:bCs/>
                <w:color w:val="auto"/>
                <w:highlight w:val="none"/>
              </w:rPr>
              <w:t>环保投资</w:t>
            </w:r>
          </w:p>
          <w:p w14:paraId="76645AEF">
            <w:pPr>
              <w:ind w:firstLine="480" w:firstLineChars="200"/>
              <w:rPr>
                <w:color w:val="auto"/>
                <w:highlight w:val="none"/>
              </w:rPr>
            </w:pPr>
            <w:r>
              <w:rPr>
                <w:color w:val="auto"/>
                <w:highlight w:val="none"/>
              </w:rPr>
              <w:t>本</w:t>
            </w:r>
            <w:r>
              <w:rPr>
                <w:rFonts w:hint="eastAsia"/>
                <w:color w:val="auto"/>
                <w:highlight w:val="none"/>
              </w:rPr>
              <w:t>项目已建设完成，本次仅提高锅炉运行时间无土建及环保工程，本次无总投资及环保投资。</w:t>
            </w:r>
          </w:p>
          <w:p w14:paraId="29D6BF59">
            <w:pPr>
              <w:pStyle w:val="52"/>
              <w:rPr>
                <w:color w:val="auto"/>
                <w:highlight w:val="none"/>
              </w:rPr>
            </w:pPr>
          </w:p>
        </w:tc>
      </w:tr>
      <w:bookmarkEnd w:id="18"/>
    </w:tbl>
    <w:p w14:paraId="386F7C9A">
      <w:pPr>
        <w:adjustRightInd w:val="0"/>
        <w:snapToGrid w:val="0"/>
        <w:rPr>
          <w:b/>
          <w:color w:val="auto"/>
          <w:kern w:val="0"/>
          <w:sz w:val="28"/>
          <w:szCs w:val="28"/>
        </w:rPr>
        <w:sectPr>
          <w:pgSz w:w="11907" w:h="16840"/>
          <w:pgMar w:top="1701" w:right="1531" w:bottom="2127" w:left="1531" w:header="851" w:footer="851" w:gutter="0"/>
          <w:cols w:space="720" w:num="1"/>
          <w:docGrid w:linePitch="312" w:charSpace="0"/>
        </w:sectPr>
      </w:pPr>
    </w:p>
    <w:p w14:paraId="7550EC46">
      <w:pPr>
        <w:pStyle w:val="15"/>
        <w:spacing w:before="0" w:beforeAutospacing="0" w:line="240" w:lineRule="auto"/>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五、</w:t>
      </w:r>
      <w:bookmarkStart w:id="21" w:name="_Hlk54167917"/>
      <w:r>
        <w:rPr>
          <w:rFonts w:ascii="Times New Roman" w:hAnsi="Times New Roman" w:eastAsia="黑体"/>
          <w:snapToGrid w:val="0"/>
          <w:color w:val="auto"/>
          <w:sz w:val="30"/>
          <w:szCs w:val="30"/>
        </w:rPr>
        <w:t>环境保护措施监督检查清单</w:t>
      </w:r>
      <w:bookmarkEnd w:id="21"/>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615"/>
        <w:gridCol w:w="1276"/>
        <w:gridCol w:w="2410"/>
        <w:gridCol w:w="1722"/>
      </w:tblGrid>
      <w:tr w14:paraId="106CB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tcPr>
          <w:p w14:paraId="03B67BAD">
            <w:pPr>
              <w:adjustRightInd w:val="0"/>
              <w:snapToGrid w:val="0"/>
              <w:spacing w:line="240" w:lineRule="auto"/>
              <w:ind w:firstLine="840"/>
              <w:rPr>
                <w:color w:val="auto"/>
                <w:sz w:val="21"/>
                <w:szCs w:val="21"/>
              </w:rPr>
            </w:pPr>
            <w:bookmarkStart w:id="22" w:name="_Hlk99461626"/>
            <w:r>
              <w:rPr>
                <w:color w:val="auto"/>
                <w:sz w:val="21"/>
                <w:szCs w:val="21"/>
              </w:rPr>
              <w:t>内容</w:t>
            </w:r>
          </w:p>
          <w:p w14:paraId="0AF30C68">
            <w:pPr>
              <w:adjustRightInd w:val="0"/>
              <w:snapToGrid w:val="0"/>
              <w:spacing w:line="240" w:lineRule="auto"/>
              <w:rPr>
                <w:color w:val="auto"/>
                <w:sz w:val="21"/>
                <w:szCs w:val="21"/>
              </w:rPr>
            </w:pPr>
            <w:r>
              <w:rPr>
                <w:color w:val="auto"/>
                <w:sz w:val="21"/>
                <w:szCs w:val="21"/>
              </w:rPr>
              <w:t>要素</w:t>
            </w:r>
          </w:p>
        </w:tc>
        <w:tc>
          <w:tcPr>
            <w:tcW w:w="1615" w:type="dxa"/>
            <w:vAlign w:val="center"/>
          </w:tcPr>
          <w:p w14:paraId="743CE012">
            <w:pPr>
              <w:adjustRightInd w:val="0"/>
              <w:snapToGrid w:val="0"/>
              <w:spacing w:line="240" w:lineRule="auto"/>
              <w:jc w:val="center"/>
              <w:rPr>
                <w:color w:val="auto"/>
                <w:sz w:val="21"/>
                <w:szCs w:val="21"/>
              </w:rPr>
            </w:pPr>
            <w:r>
              <w:rPr>
                <w:color w:val="auto"/>
                <w:sz w:val="21"/>
                <w:szCs w:val="21"/>
              </w:rPr>
              <w:t>排放口(编号、</w:t>
            </w:r>
          </w:p>
          <w:p w14:paraId="16D78326">
            <w:pPr>
              <w:adjustRightInd w:val="0"/>
              <w:snapToGrid w:val="0"/>
              <w:spacing w:line="240" w:lineRule="auto"/>
              <w:jc w:val="center"/>
              <w:rPr>
                <w:color w:val="auto"/>
                <w:sz w:val="21"/>
                <w:szCs w:val="21"/>
              </w:rPr>
            </w:pPr>
            <w:r>
              <w:rPr>
                <w:color w:val="auto"/>
                <w:sz w:val="21"/>
                <w:szCs w:val="21"/>
              </w:rPr>
              <w:t>名称)/污染源</w:t>
            </w:r>
          </w:p>
        </w:tc>
        <w:tc>
          <w:tcPr>
            <w:tcW w:w="1276" w:type="dxa"/>
            <w:vAlign w:val="center"/>
          </w:tcPr>
          <w:p w14:paraId="34CBA3C0">
            <w:pPr>
              <w:adjustRightInd w:val="0"/>
              <w:snapToGrid w:val="0"/>
              <w:spacing w:line="240" w:lineRule="auto"/>
              <w:jc w:val="center"/>
              <w:rPr>
                <w:color w:val="auto"/>
                <w:sz w:val="21"/>
                <w:szCs w:val="21"/>
              </w:rPr>
            </w:pPr>
            <w:r>
              <w:rPr>
                <w:color w:val="auto"/>
                <w:sz w:val="21"/>
                <w:szCs w:val="21"/>
              </w:rPr>
              <w:t>污染物项目</w:t>
            </w:r>
          </w:p>
        </w:tc>
        <w:tc>
          <w:tcPr>
            <w:tcW w:w="2410" w:type="dxa"/>
            <w:vAlign w:val="center"/>
          </w:tcPr>
          <w:p w14:paraId="41134445">
            <w:pPr>
              <w:adjustRightInd w:val="0"/>
              <w:snapToGrid w:val="0"/>
              <w:spacing w:line="240" w:lineRule="auto"/>
              <w:jc w:val="center"/>
              <w:rPr>
                <w:color w:val="auto"/>
                <w:sz w:val="21"/>
                <w:szCs w:val="21"/>
              </w:rPr>
            </w:pPr>
            <w:r>
              <w:rPr>
                <w:color w:val="auto"/>
                <w:sz w:val="21"/>
                <w:szCs w:val="21"/>
              </w:rPr>
              <w:t>环境保护措施</w:t>
            </w:r>
          </w:p>
        </w:tc>
        <w:tc>
          <w:tcPr>
            <w:tcW w:w="1722" w:type="dxa"/>
            <w:vAlign w:val="center"/>
          </w:tcPr>
          <w:p w14:paraId="770BAFC5">
            <w:pPr>
              <w:adjustRightInd w:val="0"/>
              <w:snapToGrid w:val="0"/>
              <w:spacing w:line="240" w:lineRule="auto"/>
              <w:jc w:val="center"/>
              <w:rPr>
                <w:color w:val="auto"/>
                <w:sz w:val="21"/>
                <w:szCs w:val="21"/>
              </w:rPr>
            </w:pPr>
            <w:r>
              <w:rPr>
                <w:color w:val="auto"/>
                <w:sz w:val="21"/>
                <w:szCs w:val="21"/>
              </w:rPr>
              <w:t>执行标准</w:t>
            </w:r>
          </w:p>
        </w:tc>
      </w:tr>
      <w:tr w14:paraId="30859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vAlign w:val="center"/>
          </w:tcPr>
          <w:p w14:paraId="5A6EF7B1">
            <w:pPr>
              <w:adjustRightInd w:val="0"/>
              <w:snapToGrid w:val="0"/>
              <w:spacing w:line="240" w:lineRule="auto"/>
              <w:jc w:val="center"/>
              <w:rPr>
                <w:color w:val="auto"/>
                <w:sz w:val="21"/>
                <w:szCs w:val="21"/>
              </w:rPr>
            </w:pPr>
            <w:r>
              <w:rPr>
                <w:color w:val="auto"/>
                <w:sz w:val="21"/>
                <w:szCs w:val="21"/>
              </w:rPr>
              <w:t>大气环境</w:t>
            </w:r>
          </w:p>
        </w:tc>
        <w:tc>
          <w:tcPr>
            <w:tcW w:w="1615" w:type="dxa"/>
            <w:vMerge w:val="restart"/>
            <w:vAlign w:val="center"/>
          </w:tcPr>
          <w:p w14:paraId="1502EE14">
            <w:pPr>
              <w:adjustRightInd w:val="0"/>
              <w:snapToGrid w:val="0"/>
              <w:spacing w:line="240" w:lineRule="auto"/>
              <w:jc w:val="center"/>
              <w:rPr>
                <w:color w:val="auto"/>
                <w:sz w:val="21"/>
                <w:szCs w:val="21"/>
              </w:rPr>
            </w:pPr>
            <w:r>
              <w:rPr>
                <w:rFonts w:hint="eastAsia"/>
                <w:color w:val="auto"/>
                <w:sz w:val="21"/>
                <w:szCs w:val="21"/>
              </w:rPr>
              <w:t>DA001</w:t>
            </w:r>
          </w:p>
        </w:tc>
        <w:tc>
          <w:tcPr>
            <w:tcW w:w="1276" w:type="dxa"/>
            <w:vAlign w:val="center"/>
          </w:tcPr>
          <w:p w14:paraId="4401E12C">
            <w:pPr>
              <w:spacing w:line="360" w:lineRule="exact"/>
              <w:jc w:val="center"/>
              <w:rPr>
                <w:color w:val="auto"/>
                <w:sz w:val="21"/>
                <w:szCs w:val="21"/>
              </w:rPr>
            </w:pPr>
            <w:r>
              <w:rPr>
                <w:rFonts w:hint="eastAsia"/>
                <w:color w:val="auto"/>
                <w:kern w:val="0"/>
                <w:sz w:val="21"/>
                <w:szCs w:val="21"/>
              </w:rPr>
              <w:t>颗粒物</w:t>
            </w:r>
          </w:p>
        </w:tc>
        <w:tc>
          <w:tcPr>
            <w:tcW w:w="2410" w:type="dxa"/>
            <w:vMerge w:val="restart"/>
            <w:vAlign w:val="center"/>
          </w:tcPr>
          <w:p w14:paraId="703EA302">
            <w:pPr>
              <w:adjustRightInd w:val="0"/>
              <w:snapToGrid w:val="0"/>
              <w:spacing w:line="240" w:lineRule="auto"/>
              <w:jc w:val="center"/>
              <w:rPr>
                <w:color w:val="auto"/>
                <w:sz w:val="21"/>
                <w:szCs w:val="21"/>
              </w:rPr>
            </w:pPr>
            <w:r>
              <w:rPr>
                <w:rFonts w:hint="eastAsia"/>
                <w:color w:val="auto"/>
                <w:sz w:val="21"/>
                <w:szCs w:val="21"/>
              </w:rPr>
              <w:t>低氮燃烧器+</w:t>
            </w:r>
            <w:r>
              <w:rPr>
                <w:rFonts w:hint="eastAsia"/>
                <w:color w:val="auto"/>
                <w:sz w:val="21"/>
                <w:szCs w:val="21"/>
                <w:lang w:val="en-US" w:eastAsia="zh-CN"/>
              </w:rPr>
              <w:t>12</w:t>
            </w:r>
            <w:r>
              <w:rPr>
                <w:rFonts w:hint="eastAsia"/>
                <w:color w:val="auto"/>
                <w:sz w:val="21"/>
                <w:szCs w:val="21"/>
              </w:rPr>
              <w:t>m高排气筒排放（共两套，一用一备</w:t>
            </w:r>
            <w:r>
              <w:rPr>
                <w:rFonts w:hint="eastAsia"/>
                <w:color w:val="auto"/>
                <w:sz w:val="21"/>
                <w:szCs w:val="21"/>
                <w:lang w:eastAsia="zh-CN"/>
              </w:rPr>
              <w:t>，每个锅炉配备一根</w:t>
            </w:r>
            <w:r>
              <w:rPr>
                <w:rFonts w:hint="eastAsia"/>
                <w:color w:val="auto"/>
                <w:sz w:val="21"/>
                <w:szCs w:val="21"/>
                <w:lang w:val="en-US" w:eastAsia="zh-CN"/>
              </w:rPr>
              <w:t>排气筒</w:t>
            </w:r>
            <w:r>
              <w:rPr>
                <w:rFonts w:hint="eastAsia"/>
                <w:color w:val="auto"/>
                <w:sz w:val="21"/>
                <w:szCs w:val="21"/>
              </w:rPr>
              <w:t>）</w:t>
            </w:r>
          </w:p>
        </w:tc>
        <w:tc>
          <w:tcPr>
            <w:tcW w:w="1722" w:type="dxa"/>
            <w:vMerge w:val="restart"/>
            <w:vAlign w:val="center"/>
          </w:tcPr>
          <w:p w14:paraId="21C68C29">
            <w:pPr>
              <w:adjustRightInd w:val="0"/>
              <w:snapToGrid w:val="0"/>
              <w:spacing w:line="240" w:lineRule="auto"/>
              <w:jc w:val="center"/>
              <w:rPr>
                <w:color w:val="auto"/>
                <w:sz w:val="21"/>
                <w:szCs w:val="21"/>
              </w:rPr>
            </w:pPr>
            <w:r>
              <w:rPr>
                <w:rFonts w:hint="eastAsia"/>
                <w:color w:val="auto"/>
                <w:sz w:val="21"/>
                <w:szCs w:val="21"/>
              </w:rPr>
              <w:t>《锅炉大气污染物排放标准》（GB13271-2014）表2新建锅炉大气污染物排放浓度限值中燃气锅炉排放限值要求</w:t>
            </w:r>
          </w:p>
        </w:tc>
      </w:tr>
      <w:tr w14:paraId="0213B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vAlign w:val="center"/>
          </w:tcPr>
          <w:p w14:paraId="5F609B89">
            <w:pPr>
              <w:adjustRightInd w:val="0"/>
              <w:snapToGrid w:val="0"/>
              <w:spacing w:line="240" w:lineRule="auto"/>
              <w:jc w:val="center"/>
              <w:rPr>
                <w:color w:val="auto"/>
                <w:sz w:val="21"/>
                <w:szCs w:val="21"/>
              </w:rPr>
            </w:pPr>
          </w:p>
        </w:tc>
        <w:tc>
          <w:tcPr>
            <w:tcW w:w="1615" w:type="dxa"/>
            <w:vMerge w:val="continue"/>
            <w:vAlign w:val="center"/>
          </w:tcPr>
          <w:p w14:paraId="22F5599E">
            <w:pPr>
              <w:adjustRightInd w:val="0"/>
              <w:snapToGrid w:val="0"/>
              <w:spacing w:line="240" w:lineRule="auto"/>
              <w:jc w:val="center"/>
              <w:rPr>
                <w:color w:val="auto"/>
                <w:sz w:val="21"/>
                <w:szCs w:val="21"/>
              </w:rPr>
            </w:pPr>
          </w:p>
        </w:tc>
        <w:tc>
          <w:tcPr>
            <w:tcW w:w="1276" w:type="dxa"/>
            <w:vAlign w:val="center"/>
          </w:tcPr>
          <w:p w14:paraId="23FEDE6A">
            <w:pPr>
              <w:spacing w:line="360" w:lineRule="exact"/>
              <w:jc w:val="center"/>
              <w:rPr>
                <w:color w:val="auto"/>
                <w:sz w:val="21"/>
                <w:szCs w:val="21"/>
              </w:rPr>
            </w:pPr>
            <w:r>
              <w:rPr>
                <w:rFonts w:hint="eastAsia"/>
                <w:color w:val="auto"/>
                <w:kern w:val="0"/>
                <w:sz w:val="21"/>
                <w:szCs w:val="21"/>
              </w:rPr>
              <w:t>SO</w:t>
            </w:r>
            <w:r>
              <w:rPr>
                <w:rFonts w:hint="eastAsia"/>
                <w:color w:val="auto"/>
                <w:kern w:val="0"/>
                <w:sz w:val="21"/>
                <w:szCs w:val="21"/>
                <w:vertAlign w:val="subscript"/>
              </w:rPr>
              <w:t>2</w:t>
            </w:r>
          </w:p>
        </w:tc>
        <w:tc>
          <w:tcPr>
            <w:tcW w:w="2410" w:type="dxa"/>
            <w:vMerge w:val="continue"/>
            <w:vAlign w:val="center"/>
          </w:tcPr>
          <w:p w14:paraId="3019993A">
            <w:pPr>
              <w:adjustRightInd w:val="0"/>
              <w:snapToGrid w:val="0"/>
              <w:spacing w:line="240" w:lineRule="auto"/>
              <w:jc w:val="center"/>
              <w:rPr>
                <w:color w:val="auto"/>
                <w:sz w:val="21"/>
                <w:szCs w:val="21"/>
              </w:rPr>
            </w:pPr>
          </w:p>
        </w:tc>
        <w:tc>
          <w:tcPr>
            <w:tcW w:w="1722" w:type="dxa"/>
            <w:vMerge w:val="continue"/>
            <w:vAlign w:val="center"/>
          </w:tcPr>
          <w:p w14:paraId="3C1E1CD0">
            <w:pPr>
              <w:adjustRightInd w:val="0"/>
              <w:snapToGrid w:val="0"/>
              <w:spacing w:line="240" w:lineRule="auto"/>
              <w:jc w:val="center"/>
              <w:rPr>
                <w:color w:val="auto"/>
                <w:sz w:val="21"/>
                <w:szCs w:val="21"/>
              </w:rPr>
            </w:pPr>
          </w:p>
        </w:tc>
      </w:tr>
      <w:tr w14:paraId="7FEDA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vAlign w:val="center"/>
          </w:tcPr>
          <w:p w14:paraId="7D7E8901">
            <w:pPr>
              <w:adjustRightInd w:val="0"/>
              <w:snapToGrid w:val="0"/>
              <w:spacing w:line="240" w:lineRule="auto"/>
              <w:jc w:val="center"/>
              <w:rPr>
                <w:color w:val="auto"/>
                <w:sz w:val="21"/>
                <w:szCs w:val="21"/>
              </w:rPr>
            </w:pPr>
          </w:p>
        </w:tc>
        <w:tc>
          <w:tcPr>
            <w:tcW w:w="1615" w:type="dxa"/>
            <w:vMerge w:val="continue"/>
            <w:vAlign w:val="center"/>
          </w:tcPr>
          <w:p w14:paraId="5738BC5A">
            <w:pPr>
              <w:adjustRightInd w:val="0"/>
              <w:snapToGrid w:val="0"/>
              <w:spacing w:line="240" w:lineRule="auto"/>
              <w:jc w:val="center"/>
              <w:rPr>
                <w:color w:val="auto"/>
                <w:sz w:val="21"/>
                <w:szCs w:val="21"/>
              </w:rPr>
            </w:pPr>
          </w:p>
        </w:tc>
        <w:tc>
          <w:tcPr>
            <w:tcW w:w="1276" w:type="dxa"/>
            <w:vAlign w:val="center"/>
          </w:tcPr>
          <w:p w14:paraId="63DCBE64">
            <w:pPr>
              <w:spacing w:line="360" w:lineRule="exact"/>
              <w:jc w:val="center"/>
              <w:rPr>
                <w:color w:val="auto"/>
                <w:sz w:val="21"/>
                <w:szCs w:val="21"/>
              </w:rPr>
            </w:pPr>
            <w:r>
              <w:rPr>
                <w:rFonts w:hint="eastAsia"/>
                <w:color w:val="auto"/>
                <w:kern w:val="0"/>
                <w:sz w:val="21"/>
                <w:szCs w:val="21"/>
              </w:rPr>
              <w:t>NO</w:t>
            </w:r>
            <w:r>
              <w:rPr>
                <w:rFonts w:hint="eastAsia"/>
                <w:color w:val="auto"/>
                <w:kern w:val="0"/>
                <w:sz w:val="21"/>
                <w:szCs w:val="21"/>
                <w:vertAlign w:val="subscript"/>
              </w:rPr>
              <w:t>X</w:t>
            </w:r>
          </w:p>
        </w:tc>
        <w:tc>
          <w:tcPr>
            <w:tcW w:w="2410" w:type="dxa"/>
            <w:vMerge w:val="continue"/>
            <w:vAlign w:val="center"/>
          </w:tcPr>
          <w:p w14:paraId="5D84B0D2">
            <w:pPr>
              <w:adjustRightInd w:val="0"/>
              <w:snapToGrid w:val="0"/>
              <w:spacing w:line="240" w:lineRule="auto"/>
              <w:jc w:val="center"/>
              <w:rPr>
                <w:color w:val="auto"/>
                <w:sz w:val="21"/>
                <w:szCs w:val="21"/>
              </w:rPr>
            </w:pPr>
          </w:p>
        </w:tc>
        <w:tc>
          <w:tcPr>
            <w:tcW w:w="1722" w:type="dxa"/>
            <w:vMerge w:val="continue"/>
            <w:vAlign w:val="center"/>
          </w:tcPr>
          <w:p w14:paraId="2E57F956">
            <w:pPr>
              <w:adjustRightInd w:val="0"/>
              <w:snapToGrid w:val="0"/>
              <w:spacing w:line="240" w:lineRule="auto"/>
              <w:jc w:val="center"/>
              <w:rPr>
                <w:color w:val="auto"/>
                <w:sz w:val="21"/>
                <w:szCs w:val="21"/>
              </w:rPr>
            </w:pPr>
          </w:p>
        </w:tc>
      </w:tr>
      <w:tr w14:paraId="79E2C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78" w:type="dxa"/>
            <w:vAlign w:val="center"/>
          </w:tcPr>
          <w:p w14:paraId="515FC2C9">
            <w:pPr>
              <w:adjustRightInd w:val="0"/>
              <w:snapToGrid w:val="0"/>
              <w:spacing w:line="240" w:lineRule="auto"/>
              <w:jc w:val="center"/>
              <w:rPr>
                <w:color w:val="auto"/>
                <w:sz w:val="21"/>
                <w:szCs w:val="21"/>
              </w:rPr>
            </w:pPr>
            <w:r>
              <w:rPr>
                <w:color w:val="auto"/>
                <w:sz w:val="21"/>
                <w:szCs w:val="21"/>
              </w:rPr>
              <w:t>地表水环境</w:t>
            </w:r>
          </w:p>
        </w:tc>
        <w:tc>
          <w:tcPr>
            <w:tcW w:w="7023" w:type="dxa"/>
            <w:gridSpan w:val="4"/>
            <w:vAlign w:val="center"/>
          </w:tcPr>
          <w:p w14:paraId="330161A0">
            <w:pPr>
              <w:adjustRightInd w:val="0"/>
              <w:snapToGrid w:val="0"/>
              <w:spacing w:line="240" w:lineRule="auto"/>
              <w:jc w:val="center"/>
              <w:rPr>
                <w:color w:val="auto"/>
                <w:sz w:val="21"/>
                <w:szCs w:val="21"/>
              </w:rPr>
            </w:pPr>
            <w:r>
              <w:rPr>
                <w:rFonts w:hint="eastAsia"/>
                <w:color w:val="auto"/>
                <w:sz w:val="21"/>
                <w:szCs w:val="21"/>
              </w:rPr>
              <w:t>本项目不新增劳动人员，无新增生活污水；</w:t>
            </w:r>
          </w:p>
          <w:p w14:paraId="5AE25FF9">
            <w:pPr>
              <w:adjustRightInd w:val="0"/>
              <w:snapToGrid w:val="0"/>
              <w:spacing w:line="240" w:lineRule="auto"/>
              <w:jc w:val="center"/>
              <w:rPr>
                <w:color w:val="auto"/>
              </w:rPr>
            </w:pPr>
            <w:r>
              <w:rPr>
                <w:color w:val="auto"/>
                <w:kern w:val="0"/>
                <w:sz w:val="21"/>
                <w:szCs w:val="21"/>
              </w:rPr>
              <w:t>锅炉排污废水、软水制备排污废水均排入园区内</w:t>
            </w:r>
            <w:r>
              <w:rPr>
                <w:color w:val="auto"/>
                <w:kern w:val="0"/>
                <w:sz w:val="21"/>
                <w:szCs w:val="21"/>
                <w:highlight w:val="none"/>
              </w:rPr>
              <w:t>本公司</w:t>
            </w:r>
            <w:r>
              <w:rPr>
                <w:rFonts w:hint="eastAsia" w:ascii="宋体" w:hAnsi="宋体"/>
                <w:color w:val="000000"/>
                <w:sz w:val="21"/>
                <w:szCs w:val="21"/>
                <w:lang w:val="zh-CN"/>
              </w:rPr>
              <w:t>废水处理厂</w:t>
            </w:r>
            <w:r>
              <w:rPr>
                <w:rFonts w:hint="eastAsia" w:ascii="宋体" w:hAnsi="宋体"/>
                <w:color w:val="000000"/>
                <w:sz w:val="21"/>
                <w:szCs w:val="21"/>
                <w:lang w:val="en-US"/>
              </w:rPr>
              <w:t>隆基废水处理系统</w:t>
            </w:r>
            <w:r>
              <w:rPr>
                <w:color w:val="auto"/>
                <w:kern w:val="0"/>
                <w:sz w:val="21"/>
                <w:szCs w:val="21"/>
                <w:highlight w:val="none"/>
              </w:rPr>
              <w:t>进行处理后回用</w:t>
            </w:r>
            <w:r>
              <w:rPr>
                <w:rFonts w:hint="eastAsia" w:ascii="宋体" w:hAnsi="宋体"/>
                <w:color w:val="000000"/>
                <w:sz w:val="21"/>
                <w:szCs w:val="21"/>
                <w:lang w:val="en-US"/>
              </w:rPr>
              <w:t>隆基</w:t>
            </w:r>
            <w:r>
              <w:rPr>
                <w:color w:val="auto"/>
                <w:kern w:val="0"/>
                <w:sz w:val="21"/>
                <w:szCs w:val="21"/>
                <w:highlight w:val="none"/>
              </w:rPr>
              <w:t>生产用水</w:t>
            </w:r>
            <w:r>
              <w:rPr>
                <w:color w:val="auto"/>
                <w:kern w:val="0"/>
                <w:sz w:val="21"/>
                <w:szCs w:val="21"/>
              </w:rPr>
              <w:t>，不外排</w:t>
            </w:r>
          </w:p>
        </w:tc>
      </w:tr>
      <w:tr w14:paraId="2E97C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78" w:type="dxa"/>
            <w:vAlign w:val="center"/>
          </w:tcPr>
          <w:p w14:paraId="2C7B394F">
            <w:pPr>
              <w:adjustRightInd w:val="0"/>
              <w:snapToGrid w:val="0"/>
              <w:spacing w:line="240" w:lineRule="auto"/>
              <w:jc w:val="center"/>
              <w:rPr>
                <w:color w:val="auto"/>
                <w:sz w:val="21"/>
                <w:szCs w:val="21"/>
              </w:rPr>
            </w:pPr>
            <w:r>
              <w:rPr>
                <w:rFonts w:hint="eastAsia"/>
                <w:color w:val="auto"/>
                <w:sz w:val="21"/>
                <w:szCs w:val="21"/>
              </w:rPr>
              <w:t>地下水环境</w:t>
            </w:r>
          </w:p>
        </w:tc>
        <w:tc>
          <w:tcPr>
            <w:tcW w:w="1615" w:type="dxa"/>
            <w:vAlign w:val="center"/>
          </w:tcPr>
          <w:p w14:paraId="7CB24209">
            <w:pPr>
              <w:adjustRightInd w:val="0"/>
              <w:snapToGrid w:val="0"/>
              <w:spacing w:line="240" w:lineRule="auto"/>
              <w:jc w:val="center"/>
              <w:rPr>
                <w:color w:val="auto"/>
                <w:sz w:val="21"/>
                <w:szCs w:val="21"/>
              </w:rPr>
            </w:pPr>
            <w:r>
              <w:rPr>
                <w:color w:val="auto"/>
                <w:sz w:val="21"/>
                <w:szCs w:val="21"/>
              </w:rPr>
              <w:t>/</w:t>
            </w:r>
          </w:p>
        </w:tc>
        <w:tc>
          <w:tcPr>
            <w:tcW w:w="1276" w:type="dxa"/>
            <w:vAlign w:val="center"/>
          </w:tcPr>
          <w:p w14:paraId="70C4A6AC">
            <w:pPr>
              <w:adjustRightInd w:val="0"/>
              <w:snapToGrid w:val="0"/>
              <w:spacing w:line="240" w:lineRule="auto"/>
              <w:jc w:val="center"/>
              <w:rPr>
                <w:color w:val="auto"/>
                <w:sz w:val="21"/>
                <w:szCs w:val="21"/>
              </w:rPr>
            </w:pPr>
            <w:r>
              <w:rPr>
                <w:color w:val="auto"/>
                <w:sz w:val="21"/>
                <w:szCs w:val="21"/>
              </w:rPr>
              <w:t>/</w:t>
            </w:r>
          </w:p>
        </w:tc>
        <w:tc>
          <w:tcPr>
            <w:tcW w:w="2410" w:type="dxa"/>
            <w:vAlign w:val="center"/>
          </w:tcPr>
          <w:p w14:paraId="6F9CF125">
            <w:pPr>
              <w:adjustRightInd w:val="0"/>
              <w:snapToGrid w:val="0"/>
              <w:spacing w:line="240" w:lineRule="auto"/>
              <w:jc w:val="center"/>
              <w:rPr>
                <w:color w:val="auto"/>
                <w:sz w:val="21"/>
                <w:szCs w:val="21"/>
              </w:rPr>
            </w:pPr>
            <w:r>
              <w:rPr>
                <w:color w:val="auto"/>
                <w:sz w:val="21"/>
                <w:szCs w:val="21"/>
              </w:rPr>
              <w:t>/</w:t>
            </w:r>
          </w:p>
        </w:tc>
        <w:tc>
          <w:tcPr>
            <w:tcW w:w="1722" w:type="dxa"/>
            <w:vAlign w:val="center"/>
          </w:tcPr>
          <w:p w14:paraId="478A36F0">
            <w:pPr>
              <w:adjustRightInd w:val="0"/>
              <w:snapToGrid w:val="0"/>
              <w:spacing w:line="240" w:lineRule="auto"/>
              <w:jc w:val="center"/>
              <w:rPr>
                <w:color w:val="auto"/>
                <w:sz w:val="21"/>
                <w:szCs w:val="21"/>
              </w:rPr>
            </w:pPr>
            <w:r>
              <w:rPr>
                <w:color w:val="auto"/>
                <w:sz w:val="21"/>
                <w:szCs w:val="21"/>
              </w:rPr>
              <w:t>/</w:t>
            </w:r>
          </w:p>
        </w:tc>
      </w:tr>
      <w:tr w14:paraId="567A9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78" w:type="dxa"/>
            <w:vAlign w:val="center"/>
          </w:tcPr>
          <w:p w14:paraId="5D0C43E0">
            <w:pPr>
              <w:adjustRightInd w:val="0"/>
              <w:snapToGrid w:val="0"/>
              <w:spacing w:line="240" w:lineRule="auto"/>
              <w:jc w:val="center"/>
              <w:rPr>
                <w:color w:val="auto"/>
                <w:sz w:val="21"/>
                <w:szCs w:val="21"/>
              </w:rPr>
            </w:pPr>
            <w:r>
              <w:rPr>
                <w:rFonts w:hint="eastAsia"/>
                <w:color w:val="auto"/>
                <w:sz w:val="21"/>
                <w:szCs w:val="21"/>
              </w:rPr>
              <w:t>土壤环境</w:t>
            </w:r>
          </w:p>
        </w:tc>
        <w:tc>
          <w:tcPr>
            <w:tcW w:w="1615" w:type="dxa"/>
            <w:vAlign w:val="center"/>
          </w:tcPr>
          <w:p w14:paraId="107BBCFC">
            <w:pPr>
              <w:adjustRightInd w:val="0"/>
              <w:snapToGrid w:val="0"/>
              <w:spacing w:line="240" w:lineRule="auto"/>
              <w:jc w:val="center"/>
              <w:rPr>
                <w:color w:val="auto"/>
                <w:sz w:val="21"/>
                <w:szCs w:val="21"/>
              </w:rPr>
            </w:pPr>
            <w:r>
              <w:rPr>
                <w:color w:val="auto"/>
                <w:sz w:val="21"/>
                <w:szCs w:val="21"/>
              </w:rPr>
              <w:t>/</w:t>
            </w:r>
          </w:p>
        </w:tc>
        <w:tc>
          <w:tcPr>
            <w:tcW w:w="1276" w:type="dxa"/>
            <w:vAlign w:val="center"/>
          </w:tcPr>
          <w:p w14:paraId="54F18E45">
            <w:pPr>
              <w:adjustRightInd w:val="0"/>
              <w:snapToGrid w:val="0"/>
              <w:spacing w:line="240" w:lineRule="auto"/>
              <w:jc w:val="center"/>
              <w:rPr>
                <w:color w:val="auto"/>
                <w:sz w:val="21"/>
                <w:szCs w:val="21"/>
              </w:rPr>
            </w:pPr>
            <w:r>
              <w:rPr>
                <w:color w:val="auto"/>
                <w:sz w:val="21"/>
                <w:szCs w:val="21"/>
              </w:rPr>
              <w:t>/</w:t>
            </w:r>
          </w:p>
        </w:tc>
        <w:tc>
          <w:tcPr>
            <w:tcW w:w="2410" w:type="dxa"/>
            <w:vAlign w:val="center"/>
          </w:tcPr>
          <w:p w14:paraId="3CA73829">
            <w:pPr>
              <w:adjustRightInd w:val="0"/>
              <w:snapToGrid w:val="0"/>
              <w:spacing w:line="240" w:lineRule="auto"/>
              <w:jc w:val="center"/>
              <w:rPr>
                <w:color w:val="auto"/>
                <w:sz w:val="21"/>
                <w:szCs w:val="21"/>
              </w:rPr>
            </w:pPr>
            <w:r>
              <w:rPr>
                <w:color w:val="auto"/>
                <w:sz w:val="21"/>
                <w:szCs w:val="21"/>
              </w:rPr>
              <w:t>/</w:t>
            </w:r>
          </w:p>
        </w:tc>
        <w:tc>
          <w:tcPr>
            <w:tcW w:w="1722" w:type="dxa"/>
            <w:vAlign w:val="center"/>
          </w:tcPr>
          <w:p w14:paraId="3ACC3046">
            <w:pPr>
              <w:adjustRightInd w:val="0"/>
              <w:snapToGrid w:val="0"/>
              <w:spacing w:line="240" w:lineRule="auto"/>
              <w:jc w:val="center"/>
              <w:rPr>
                <w:color w:val="auto"/>
                <w:sz w:val="21"/>
                <w:szCs w:val="21"/>
              </w:rPr>
            </w:pPr>
            <w:r>
              <w:rPr>
                <w:color w:val="auto"/>
                <w:sz w:val="21"/>
                <w:szCs w:val="21"/>
              </w:rPr>
              <w:t>/</w:t>
            </w:r>
          </w:p>
        </w:tc>
      </w:tr>
      <w:tr w14:paraId="2569D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1778" w:type="dxa"/>
            <w:vAlign w:val="center"/>
          </w:tcPr>
          <w:p w14:paraId="76E092DD">
            <w:pPr>
              <w:adjustRightInd w:val="0"/>
              <w:snapToGrid w:val="0"/>
              <w:spacing w:line="240" w:lineRule="auto"/>
              <w:jc w:val="center"/>
              <w:rPr>
                <w:color w:val="auto"/>
                <w:sz w:val="21"/>
                <w:szCs w:val="21"/>
              </w:rPr>
            </w:pPr>
            <w:r>
              <w:rPr>
                <w:color w:val="auto"/>
                <w:sz w:val="21"/>
                <w:szCs w:val="21"/>
              </w:rPr>
              <w:t>声环境</w:t>
            </w:r>
          </w:p>
        </w:tc>
        <w:tc>
          <w:tcPr>
            <w:tcW w:w="1615" w:type="dxa"/>
            <w:vAlign w:val="center"/>
          </w:tcPr>
          <w:p w14:paraId="7D1CFC9E">
            <w:pPr>
              <w:adjustRightInd w:val="0"/>
              <w:snapToGrid w:val="0"/>
              <w:spacing w:line="240" w:lineRule="auto"/>
              <w:jc w:val="center"/>
              <w:rPr>
                <w:color w:val="auto"/>
                <w:sz w:val="21"/>
                <w:szCs w:val="21"/>
              </w:rPr>
            </w:pPr>
            <w:r>
              <w:rPr>
                <w:rFonts w:hint="eastAsia"/>
                <w:color w:val="auto"/>
                <w:sz w:val="21"/>
                <w:szCs w:val="21"/>
              </w:rPr>
              <w:t>厂界</w:t>
            </w:r>
          </w:p>
        </w:tc>
        <w:tc>
          <w:tcPr>
            <w:tcW w:w="1276" w:type="dxa"/>
            <w:vAlign w:val="center"/>
          </w:tcPr>
          <w:p w14:paraId="088B9820">
            <w:pPr>
              <w:adjustRightInd w:val="0"/>
              <w:snapToGrid w:val="0"/>
              <w:spacing w:line="240" w:lineRule="auto"/>
              <w:jc w:val="center"/>
              <w:rPr>
                <w:color w:val="auto"/>
                <w:sz w:val="21"/>
                <w:szCs w:val="21"/>
              </w:rPr>
            </w:pPr>
            <w:r>
              <w:rPr>
                <w:color w:val="auto"/>
                <w:sz w:val="21"/>
                <w:szCs w:val="21"/>
              </w:rPr>
              <w:t>连续等效A声级</w:t>
            </w:r>
          </w:p>
        </w:tc>
        <w:tc>
          <w:tcPr>
            <w:tcW w:w="2410" w:type="dxa"/>
            <w:vAlign w:val="center"/>
          </w:tcPr>
          <w:p w14:paraId="1DBAA113">
            <w:pPr>
              <w:adjustRightInd w:val="0"/>
              <w:snapToGrid w:val="0"/>
              <w:spacing w:line="240" w:lineRule="auto"/>
              <w:jc w:val="center"/>
              <w:rPr>
                <w:color w:val="auto"/>
                <w:sz w:val="21"/>
                <w:szCs w:val="21"/>
              </w:rPr>
            </w:pPr>
            <w:r>
              <w:rPr>
                <w:rFonts w:hint="eastAsia"/>
                <w:color w:val="auto"/>
                <w:sz w:val="21"/>
                <w:szCs w:val="21"/>
              </w:rPr>
              <w:t>选用低噪声设备并采取减震、隔声等措施</w:t>
            </w:r>
          </w:p>
        </w:tc>
        <w:tc>
          <w:tcPr>
            <w:tcW w:w="1722" w:type="dxa"/>
            <w:vAlign w:val="center"/>
          </w:tcPr>
          <w:p w14:paraId="5C81CB61">
            <w:pPr>
              <w:adjustRightInd w:val="0"/>
              <w:snapToGrid w:val="0"/>
              <w:spacing w:line="240" w:lineRule="auto"/>
              <w:jc w:val="center"/>
              <w:rPr>
                <w:color w:val="auto"/>
                <w:sz w:val="21"/>
                <w:szCs w:val="21"/>
              </w:rPr>
            </w:pPr>
            <w:r>
              <w:rPr>
                <w:color w:val="auto"/>
                <w:sz w:val="21"/>
                <w:szCs w:val="21"/>
              </w:rPr>
              <w:t>《工业企业厂界</w:t>
            </w:r>
          </w:p>
          <w:p w14:paraId="7444CB19">
            <w:pPr>
              <w:adjustRightInd w:val="0"/>
              <w:snapToGrid w:val="0"/>
              <w:spacing w:line="240" w:lineRule="auto"/>
              <w:jc w:val="center"/>
              <w:rPr>
                <w:color w:val="auto"/>
                <w:sz w:val="21"/>
                <w:szCs w:val="21"/>
              </w:rPr>
            </w:pPr>
            <w:r>
              <w:rPr>
                <w:color w:val="auto"/>
                <w:sz w:val="21"/>
                <w:szCs w:val="21"/>
              </w:rPr>
              <w:t>环境噪声排放标</w:t>
            </w:r>
          </w:p>
          <w:p w14:paraId="20B6C65A">
            <w:pPr>
              <w:adjustRightInd w:val="0"/>
              <w:snapToGrid w:val="0"/>
              <w:spacing w:line="240" w:lineRule="auto"/>
              <w:jc w:val="center"/>
              <w:rPr>
                <w:color w:val="auto"/>
                <w:sz w:val="21"/>
                <w:szCs w:val="21"/>
              </w:rPr>
            </w:pPr>
            <w:r>
              <w:rPr>
                <w:color w:val="auto"/>
                <w:sz w:val="21"/>
                <w:szCs w:val="21"/>
              </w:rPr>
              <w:t>准》（GB12348-2008）3类区标准</w:t>
            </w:r>
          </w:p>
        </w:tc>
      </w:tr>
      <w:tr w14:paraId="5319A6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5610D201">
            <w:pPr>
              <w:adjustRightInd w:val="0"/>
              <w:snapToGrid w:val="0"/>
              <w:spacing w:line="240" w:lineRule="auto"/>
              <w:jc w:val="center"/>
              <w:rPr>
                <w:color w:val="auto"/>
                <w:sz w:val="21"/>
                <w:szCs w:val="21"/>
              </w:rPr>
            </w:pPr>
            <w:r>
              <w:rPr>
                <w:color w:val="auto"/>
                <w:sz w:val="21"/>
                <w:szCs w:val="21"/>
              </w:rPr>
              <w:t>电磁辐射</w:t>
            </w:r>
          </w:p>
        </w:tc>
        <w:tc>
          <w:tcPr>
            <w:tcW w:w="1615" w:type="dxa"/>
            <w:vAlign w:val="center"/>
          </w:tcPr>
          <w:p w14:paraId="73437382">
            <w:pPr>
              <w:adjustRightInd w:val="0"/>
              <w:snapToGrid w:val="0"/>
              <w:spacing w:line="240" w:lineRule="auto"/>
              <w:jc w:val="center"/>
              <w:rPr>
                <w:color w:val="auto"/>
                <w:sz w:val="21"/>
                <w:szCs w:val="21"/>
              </w:rPr>
            </w:pPr>
            <w:r>
              <w:rPr>
                <w:color w:val="auto"/>
                <w:sz w:val="21"/>
                <w:szCs w:val="21"/>
              </w:rPr>
              <w:t>/</w:t>
            </w:r>
          </w:p>
        </w:tc>
        <w:tc>
          <w:tcPr>
            <w:tcW w:w="1276" w:type="dxa"/>
            <w:vAlign w:val="center"/>
          </w:tcPr>
          <w:p w14:paraId="554E98C1">
            <w:pPr>
              <w:adjustRightInd w:val="0"/>
              <w:snapToGrid w:val="0"/>
              <w:spacing w:line="240" w:lineRule="auto"/>
              <w:jc w:val="center"/>
              <w:rPr>
                <w:color w:val="auto"/>
                <w:sz w:val="21"/>
                <w:szCs w:val="21"/>
              </w:rPr>
            </w:pPr>
            <w:r>
              <w:rPr>
                <w:color w:val="auto"/>
                <w:sz w:val="21"/>
                <w:szCs w:val="21"/>
              </w:rPr>
              <w:t>/</w:t>
            </w:r>
          </w:p>
        </w:tc>
        <w:tc>
          <w:tcPr>
            <w:tcW w:w="2410" w:type="dxa"/>
            <w:vAlign w:val="center"/>
          </w:tcPr>
          <w:p w14:paraId="453D8B56">
            <w:pPr>
              <w:adjustRightInd w:val="0"/>
              <w:snapToGrid w:val="0"/>
              <w:spacing w:line="240" w:lineRule="auto"/>
              <w:jc w:val="center"/>
              <w:rPr>
                <w:color w:val="auto"/>
                <w:sz w:val="21"/>
                <w:szCs w:val="21"/>
              </w:rPr>
            </w:pPr>
            <w:r>
              <w:rPr>
                <w:color w:val="auto"/>
                <w:sz w:val="21"/>
                <w:szCs w:val="21"/>
              </w:rPr>
              <w:t>/</w:t>
            </w:r>
          </w:p>
        </w:tc>
        <w:tc>
          <w:tcPr>
            <w:tcW w:w="1722" w:type="dxa"/>
            <w:vAlign w:val="center"/>
          </w:tcPr>
          <w:p w14:paraId="354BC5C7">
            <w:pPr>
              <w:adjustRightInd w:val="0"/>
              <w:snapToGrid w:val="0"/>
              <w:spacing w:line="240" w:lineRule="auto"/>
              <w:jc w:val="center"/>
              <w:rPr>
                <w:color w:val="auto"/>
                <w:sz w:val="21"/>
                <w:szCs w:val="21"/>
              </w:rPr>
            </w:pPr>
            <w:r>
              <w:rPr>
                <w:color w:val="auto"/>
                <w:sz w:val="21"/>
                <w:szCs w:val="21"/>
              </w:rPr>
              <w:t>/</w:t>
            </w:r>
          </w:p>
        </w:tc>
      </w:tr>
      <w:tr w14:paraId="02425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778" w:type="dxa"/>
            <w:vAlign w:val="center"/>
          </w:tcPr>
          <w:p w14:paraId="27C4F808">
            <w:pPr>
              <w:adjustRightInd w:val="0"/>
              <w:snapToGrid w:val="0"/>
              <w:spacing w:line="240" w:lineRule="auto"/>
              <w:jc w:val="center"/>
              <w:rPr>
                <w:color w:val="auto"/>
                <w:sz w:val="21"/>
                <w:szCs w:val="21"/>
              </w:rPr>
            </w:pPr>
            <w:r>
              <w:rPr>
                <w:color w:val="auto"/>
                <w:sz w:val="21"/>
                <w:szCs w:val="21"/>
              </w:rPr>
              <w:t>固体废物</w:t>
            </w:r>
          </w:p>
        </w:tc>
        <w:tc>
          <w:tcPr>
            <w:tcW w:w="1615" w:type="dxa"/>
            <w:vAlign w:val="center"/>
          </w:tcPr>
          <w:p w14:paraId="69289ED0">
            <w:pPr>
              <w:adjustRightInd w:val="0"/>
              <w:snapToGrid w:val="0"/>
              <w:spacing w:line="240" w:lineRule="auto"/>
              <w:jc w:val="center"/>
              <w:rPr>
                <w:rFonts w:hint="eastAsia" w:eastAsia="宋体"/>
                <w:color w:val="auto"/>
                <w:sz w:val="21"/>
                <w:szCs w:val="21"/>
                <w:lang w:eastAsia="zh-CN"/>
              </w:rPr>
            </w:pPr>
            <w:r>
              <w:rPr>
                <w:rFonts w:hint="eastAsia"/>
                <w:color w:val="auto"/>
                <w:sz w:val="21"/>
                <w:szCs w:val="21"/>
                <w:lang w:val="en-US" w:eastAsia="zh-CN"/>
              </w:rPr>
              <w:t>危险废物</w:t>
            </w:r>
          </w:p>
        </w:tc>
        <w:tc>
          <w:tcPr>
            <w:tcW w:w="5408" w:type="dxa"/>
            <w:gridSpan w:val="3"/>
            <w:vAlign w:val="center"/>
          </w:tcPr>
          <w:p w14:paraId="387304F2">
            <w:pPr>
              <w:adjustRightInd w:val="0"/>
              <w:snapToGrid w:val="0"/>
              <w:spacing w:line="240" w:lineRule="auto"/>
              <w:jc w:val="center"/>
              <w:rPr>
                <w:color w:val="auto"/>
                <w:sz w:val="21"/>
                <w:szCs w:val="21"/>
              </w:rPr>
            </w:pPr>
            <w:r>
              <w:rPr>
                <w:rFonts w:hint="eastAsia"/>
                <w:color w:val="auto"/>
                <w:sz w:val="21"/>
                <w:szCs w:val="21"/>
              </w:rPr>
              <w:t>依托污水处理厂危废库（已验收）暂存，委托有资质单位处理</w:t>
            </w:r>
          </w:p>
        </w:tc>
      </w:tr>
      <w:tr w14:paraId="011443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78" w:type="dxa"/>
            <w:vAlign w:val="center"/>
          </w:tcPr>
          <w:p w14:paraId="2FF23F01">
            <w:pPr>
              <w:adjustRightInd w:val="0"/>
              <w:snapToGrid w:val="0"/>
              <w:spacing w:line="240" w:lineRule="auto"/>
              <w:jc w:val="center"/>
              <w:rPr>
                <w:color w:val="auto"/>
                <w:sz w:val="21"/>
                <w:szCs w:val="21"/>
              </w:rPr>
            </w:pPr>
            <w:r>
              <w:rPr>
                <w:color w:val="auto"/>
                <w:sz w:val="21"/>
                <w:szCs w:val="21"/>
              </w:rPr>
              <w:t>土壤及地下水</w:t>
            </w:r>
          </w:p>
          <w:p w14:paraId="5E0799F6">
            <w:pPr>
              <w:adjustRightInd w:val="0"/>
              <w:snapToGrid w:val="0"/>
              <w:spacing w:line="240" w:lineRule="auto"/>
              <w:jc w:val="center"/>
              <w:rPr>
                <w:color w:val="auto"/>
                <w:sz w:val="21"/>
                <w:szCs w:val="21"/>
              </w:rPr>
            </w:pPr>
            <w:r>
              <w:rPr>
                <w:color w:val="auto"/>
                <w:sz w:val="21"/>
                <w:szCs w:val="21"/>
              </w:rPr>
              <w:t>污染防治措施</w:t>
            </w:r>
          </w:p>
        </w:tc>
        <w:tc>
          <w:tcPr>
            <w:tcW w:w="7023" w:type="dxa"/>
            <w:gridSpan w:val="4"/>
            <w:vAlign w:val="center"/>
          </w:tcPr>
          <w:p w14:paraId="6E878998">
            <w:pPr>
              <w:adjustRightInd w:val="0"/>
              <w:snapToGrid w:val="0"/>
              <w:spacing w:line="240" w:lineRule="auto"/>
              <w:jc w:val="center"/>
              <w:rPr>
                <w:color w:val="auto"/>
                <w:sz w:val="21"/>
                <w:szCs w:val="21"/>
              </w:rPr>
            </w:pPr>
            <w:r>
              <w:rPr>
                <w:rFonts w:hint="eastAsia"/>
                <w:color w:val="auto"/>
                <w:sz w:val="21"/>
                <w:szCs w:val="21"/>
              </w:rPr>
              <w:t>/</w:t>
            </w:r>
          </w:p>
        </w:tc>
      </w:tr>
      <w:tr w14:paraId="7DBFBA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778" w:type="dxa"/>
            <w:vAlign w:val="center"/>
          </w:tcPr>
          <w:p w14:paraId="7DF33947">
            <w:pPr>
              <w:adjustRightInd w:val="0"/>
              <w:snapToGrid w:val="0"/>
              <w:spacing w:line="240" w:lineRule="auto"/>
              <w:jc w:val="center"/>
              <w:rPr>
                <w:color w:val="auto"/>
                <w:sz w:val="21"/>
                <w:szCs w:val="21"/>
              </w:rPr>
            </w:pPr>
            <w:r>
              <w:rPr>
                <w:color w:val="auto"/>
                <w:sz w:val="21"/>
                <w:szCs w:val="21"/>
              </w:rPr>
              <w:t>生态保护措施</w:t>
            </w:r>
          </w:p>
        </w:tc>
        <w:tc>
          <w:tcPr>
            <w:tcW w:w="7023" w:type="dxa"/>
            <w:gridSpan w:val="4"/>
            <w:vAlign w:val="center"/>
          </w:tcPr>
          <w:p w14:paraId="06EFBA82">
            <w:pPr>
              <w:adjustRightInd w:val="0"/>
              <w:snapToGrid w:val="0"/>
              <w:spacing w:line="240" w:lineRule="auto"/>
              <w:jc w:val="center"/>
              <w:rPr>
                <w:color w:val="auto"/>
                <w:sz w:val="21"/>
                <w:szCs w:val="21"/>
              </w:rPr>
            </w:pPr>
            <w:r>
              <w:rPr>
                <w:color w:val="auto"/>
                <w:sz w:val="21"/>
                <w:szCs w:val="21"/>
              </w:rPr>
              <w:t xml:space="preserve">/ </w:t>
            </w:r>
          </w:p>
        </w:tc>
      </w:tr>
      <w:tr w14:paraId="3D7B3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778" w:type="dxa"/>
            <w:vAlign w:val="center"/>
          </w:tcPr>
          <w:p w14:paraId="1A70321D">
            <w:pPr>
              <w:adjustRightInd w:val="0"/>
              <w:snapToGrid w:val="0"/>
              <w:spacing w:line="240" w:lineRule="auto"/>
              <w:jc w:val="center"/>
              <w:rPr>
                <w:color w:val="auto"/>
                <w:spacing w:val="-8"/>
                <w:sz w:val="21"/>
                <w:szCs w:val="21"/>
              </w:rPr>
            </w:pPr>
            <w:r>
              <w:rPr>
                <w:color w:val="auto"/>
                <w:spacing w:val="-8"/>
                <w:sz w:val="21"/>
                <w:szCs w:val="21"/>
              </w:rPr>
              <w:t>环境风险</w:t>
            </w:r>
          </w:p>
          <w:p w14:paraId="5B086238">
            <w:pPr>
              <w:adjustRightInd w:val="0"/>
              <w:snapToGrid w:val="0"/>
              <w:spacing w:line="240" w:lineRule="auto"/>
              <w:jc w:val="center"/>
              <w:rPr>
                <w:color w:val="auto"/>
                <w:spacing w:val="-8"/>
                <w:sz w:val="21"/>
                <w:szCs w:val="21"/>
              </w:rPr>
            </w:pPr>
            <w:r>
              <w:rPr>
                <w:color w:val="auto"/>
                <w:spacing w:val="-8"/>
                <w:sz w:val="21"/>
                <w:szCs w:val="21"/>
              </w:rPr>
              <w:t>防范措施</w:t>
            </w:r>
          </w:p>
        </w:tc>
        <w:tc>
          <w:tcPr>
            <w:tcW w:w="7023" w:type="dxa"/>
            <w:gridSpan w:val="4"/>
            <w:vAlign w:val="center"/>
          </w:tcPr>
          <w:p w14:paraId="50C3BFDB">
            <w:pPr>
              <w:pStyle w:val="25"/>
              <w:ind w:firstLine="420" w:firstLineChars="200"/>
              <w:jc w:val="center"/>
              <w:rPr>
                <w:color w:val="auto"/>
              </w:rPr>
            </w:pPr>
            <w:r>
              <w:rPr>
                <w:rFonts w:hint="eastAsia"/>
                <w:color w:val="auto"/>
              </w:rPr>
              <w:t>加强安全环保管理和教育、培训，在防火、灭火设施等方面采取相应的措施，采用防静电、防雷击等措施，配备报警和消防、通讯系统，一旦发生火情及时报警和扑救，制定环境风险应急预案、定期演练</w:t>
            </w:r>
          </w:p>
        </w:tc>
      </w:tr>
      <w:tr w14:paraId="7C6B5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1778" w:type="dxa"/>
            <w:vAlign w:val="center"/>
          </w:tcPr>
          <w:p w14:paraId="0AA1693F">
            <w:pPr>
              <w:adjustRightInd w:val="0"/>
              <w:snapToGrid w:val="0"/>
              <w:spacing w:line="240" w:lineRule="auto"/>
              <w:jc w:val="center"/>
              <w:rPr>
                <w:color w:val="auto"/>
                <w:spacing w:val="-8"/>
                <w:sz w:val="21"/>
                <w:szCs w:val="21"/>
              </w:rPr>
            </w:pPr>
            <w:r>
              <w:rPr>
                <w:color w:val="auto"/>
                <w:spacing w:val="-8"/>
                <w:sz w:val="21"/>
                <w:szCs w:val="21"/>
              </w:rPr>
              <w:t>其他环境</w:t>
            </w:r>
          </w:p>
          <w:p w14:paraId="7EE71BEB">
            <w:pPr>
              <w:adjustRightInd w:val="0"/>
              <w:snapToGrid w:val="0"/>
              <w:spacing w:line="240" w:lineRule="auto"/>
              <w:jc w:val="center"/>
              <w:rPr>
                <w:color w:val="auto"/>
                <w:spacing w:val="-8"/>
                <w:sz w:val="21"/>
                <w:szCs w:val="21"/>
              </w:rPr>
            </w:pPr>
            <w:r>
              <w:rPr>
                <w:color w:val="auto"/>
                <w:spacing w:val="-8"/>
                <w:sz w:val="21"/>
                <w:szCs w:val="21"/>
              </w:rPr>
              <w:t>管理要求</w:t>
            </w:r>
          </w:p>
        </w:tc>
        <w:tc>
          <w:tcPr>
            <w:tcW w:w="7023" w:type="dxa"/>
            <w:gridSpan w:val="4"/>
            <w:vAlign w:val="center"/>
          </w:tcPr>
          <w:p w14:paraId="619B4998">
            <w:pPr>
              <w:adjustRightInd w:val="0"/>
              <w:snapToGrid w:val="0"/>
              <w:spacing w:line="240" w:lineRule="auto"/>
              <w:jc w:val="left"/>
              <w:rPr>
                <w:color w:val="auto"/>
                <w:sz w:val="21"/>
                <w:szCs w:val="21"/>
              </w:rPr>
            </w:pPr>
            <w:r>
              <w:rPr>
                <w:rFonts w:hint="eastAsia"/>
                <w:color w:val="auto"/>
                <w:sz w:val="21"/>
                <w:szCs w:val="21"/>
              </w:rPr>
              <w:t>（1）制定明确健全的环境管理制度</w:t>
            </w:r>
          </w:p>
          <w:p w14:paraId="168153BA">
            <w:pPr>
              <w:adjustRightInd w:val="0"/>
              <w:snapToGrid w:val="0"/>
              <w:spacing w:line="240" w:lineRule="auto"/>
              <w:ind w:firstLine="420" w:firstLineChars="200"/>
              <w:jc w:val="left"/>
              <w:rPr>
                <w:color w:val="auto"/>
                <w:sz w:val="21"/>
                <w:szCs w:val="21"/>
              </w:rPr>
            </w:pPr>
            <w:r>
              <w:rPr>
                <w:rFonts w:hint="eastAsia"/>
                <w:color w:val="auto"/>
                <w:sz w:val="21"/>
                <w:szCs w:val="21"/>
              </w:rPr>
              <w:t>制定《关于对污染源加强管理防治污染反弹的目标责任书》、《环保工作管理制度》等管理制度，并设置专人检查制度，将环境管理纳入企业生产管理和经济考核体系，对由于工作人员的过失和失误造成企业环保出现严重问题的应处以罚款的处罚；制定环境保护</w:t>
            </w:r>
            <w:r>
              <w:rPr>
                <w:rFonts w:hint="eastAsia"/>
                <w:color w:val="auto"/>
                <w:sz w:val="21"/>
                <w:szCs w:val="21"/>
                <w:lang w:eastAsia="zh-CN"/>
              </w:rPr>
              <w:t>安全</w:t>
            </w:r>
            <w:r>
              <w:rPr>
                <w:rFonts w:hint="eastAsia"/>
                <w:color w:val="auto"/>
                <w:sz w:val="21"/>
                <w:szCs w:val="21"/>
              </w:rPr>
              <w:t>生产制度和防止污染事故应急措施。</w:t>
            </w:r>
          </w:p>
          <w:p w14:paraId="2170D93D">
            <w:pPr>
              <w:adjustRightInd w:val="0"/>
              <w:snapToGrid w:val="0"/>
              <w:spacing w:line="240" w:lineRule="auto"/>
              <w:jc w:val="left"/>
              <w:rPr>
                <w:color w:val="auto"/>
                <w:sz w:val="21"/>
                <w:szCs w:val="21"/>
              </w:rPr>
            </w:pPr>
            <w:r>
              <w:rPr>
                <w:rFonts w:hint="eastAsia"/>
                <w:color w:val="auto"/>
                <w:sz w:val="21"/>
                <w:szCs w:val="21"/>
              </w:rPr>
              <w:t>（2）保证环保设施的运转率和完好率</w:t>
            </w:r>
          </w:p>
          <w:p w14:paraId="54B9272A">
            <w:pPr>
              <w:adjustRightInd w:val="0"/>
              <w:snapToGrid w:val="0"/>
              <w:spacing w:line="240" w:lineRule="auto"/>
              <w:ind w:firstLine="420" w:firstLineChars="200"/>
              <w:jc w:val="left"/>
              <w:rPr>
                <w:color w:val="auto"/>
                <w:sz w:val="21"/>
                <w:szCs w:val="21"/>
              </w:rPr>
            </w:pPr>
            <w:r>
              <w:rPr>
                <w:rFonts w:hint="eastAsia"/>
                <w:color w:val="auto"/>
                <w:sz w:val="21"/>
                <w:szCs w:val="21"/>
              </w:rPr>
              <w:t>配套熟悉环保知识的专职管理人员 1 名，专门负责日常环保设施的正常运行；定期检查环保设施的运转情况，发现问题及时解决，确保环保设施正常运行；将环保工作纳入日常管理，每天记录台账，并责成专人负责，将环保指标汇报给公司负责人。</w:t>
            </w:r>
          </w:p>
        </w:tc>
      </w:tr>
      <w:bookmarkEnd w:id="22"/>
    </w:tbl>
    <w:p w14:paraId="1B4EFA5D">
      <w:pPr>
        <w:pStyle w:val="15"/>
        <w:jc w:val="center"/>
        <w:outlineLvl w:val="0"/>
        <w:rPr>
          <w:rFonts w:ascii="Times New Roman" w:hAnsi="Times New Roman" w:eastAsia="黑体"/>
          <w:snapToGrid w:val="0"/>
          <w:color w:val="auto"/>
          <w:sz w:val="30"/>
          <w:szCs w:val="30"/>
        </w:rPr>
      </w:pPr>
      <w:r>
        <w:rPr>
          <w:rFonts w:ascii="Times New Roman" w:hAnsi="Times New Roman"/>
          <w:snapToGrid w:val="0"/>
          <w:color w:val="auto"/>
        </w:rPr>
        <w:br w:type="page"/>
      </w:r>
      <w:r>
        <w:rPr>
          <w:rFonts w:ascii="Times New Roman" w:hAnsi="Times New Roman" w:eastAsia="黑体"/>
          <w:snapToGrid w:val="0"/>
          <w:color w:val="auto"/>
          <w:sz w:val="30"/>
          <w:szCs w:val="30"/>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F9837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5AE20CB5">
            <w:pPr>
              <w:ind w:firstLine="480" w:firstLineChars="200"/>
              <w:jc w:val="left"/>
              <w:rPr>
                <w:color w:val="auto"/>
                <w:szCs w:val="21"/>
              </w:rPr>
            </w:pPr>
            <w:r>
              <w:rPr>
                <w:rFonts w:hint="eastAsia"/>
                <w:color w:val="auto"/>
              </w:rPr>
              <w:t>综上所述,项目建设符合国家和地方的相关政策,厂址选择项目周边无居民点,评价范围内不涉及敏感目标。厂址四周均为本公司其它车间或空地，四邻环境影响隐患较小；项目厂址不处在国家法律、法规、行政规章及规划确定或县级以上人民政府批准的饮用水水源保护区、自然保护区、风景名胜区、生态功能保护区等需要特殊保护的地区范围内。项目所在地为达标区。项目用地为工业用地，符合“三线一单”生态环境分区管控的意见，符合国家产业结构调整，在各项污染防治措施落实后，污染物均能达标排放。因此，该项目在采取相应的环保措施之后，从环保角度讲项目建设是可行的。</w:t>
            </w:r>
          </w:p>
        </w:tc>
      </w:tr>
    </w:tbl>
    <w:p w14:paraId="5217A4BA">
      <w:pPr>
        <w:rPr>
          <w:color w:val="auto"/>
        </w:rPr>
        <w:sectPr>
          <w:pgSz w:w="11906" w:h="16838"/>
          <w:pgMar w:top="1701" w:right="1531" w:bottom="1701" w:left="1531" w:header="851" w:footer="851" w:gutter="0"/>
          <w:cols w:space="720" w:num="1"/>
          <w:docGrid w:linePitch="312" w:charSpace="0"/>
        </w:sectPr>
      </w:pPr>
    </w:p>
    <w:p w14:paraId="63760107">
      <w:pPr>
        <w:pStyle w:val="15"/>
        <w:adjustRightInd w:val="0"/>
        <w:snapToGrid w:val="0"/>
        <w:spacing w:before="0" w:beforeAutospacing="0" w:after="0" w:afterAutospacing="0" w:line="648" w:lineRule="auto"/>
        <w:outlineLvl w:val="0"/>
        <w:rPr>
          <w:rFonts w:ascii="Times New Roman" w:hAnsi="Times New Roman" w:eastAsia="黑体"/>
          <w:snapToGrid w:val="0"/>
          <w:color w:val="auto"/>
          <w:sz w:val="32"/>
          <w:szCs w:val="32"/>
        </w:rPr>
      </w:pPr>
      <w:r>
        <w:rPr>
          <w:rFonts w:ascii="Times New Roman" w:hAnsi="Times New Roman" w:eastAsia="黑体"/>
          <w:snapToGrid w:val="0"/>
          <w:color w:val="auto"/>
          <w:sz w:val="32"/>
          <w:szCs w:val="32"/>
        </w:rPr>
        <w:t>附表</w:t>
      </w:r>
    </w:p>
    <w:p w14:paraId="1DABDAA9">
      <w:pPr>
        <w:pStyle w:val="15"/>
        <w:adjustRightInd w:val="0"/>
        <w:snapToGrid w:val="0"/>
        <w:spacing w:before="0" w:beforeAutospacing="0" w:after="0" w:afterAutospacing="0" w:line="552" w:lineRule="auto"/>
        <w:jc w:val="center"/>
        <w:outlineLvl w:val="0"/>
        <w:rPr>
          <w:rFonts w:ascii="Times New Roman" w:hAnsi="Times New Roman" w:eastAsia="方正小标宋_GBK"/>
          <w:snapToGrid w:val="0"/>
          <w:color w:val="auto"/>
          <w:sz w:val="38"/>
          <w:szCs w:val="38"/>
        </w:rPr>
      </w:pPr>
      <w:r>
        <w:rPr>
          <w:rFonts w:ascii="Times New Roman" w:hAnsi="Times New Roman" w:eastAsia="方正小标宋_GBK"/>
          <w:snapToGrid w:val="0"/>
          <w:color w:val="auto"/>
          <w:sz w:val="38"/>
          <w:szCs w:val="38"/>
        </w:rPr>
        <w:t>建设项目污染物排放量汇总表</w:t>
      </w:r>
    </w:p>
    <w:tbl>
      <w:tblPr>
        <w:tblStyle w:val="17"/>
        <w:tblW w:w="138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655"/>
        <w:gridCol w:w="1291"/>
        <w:gridCol w:w="1478"/>
        <w:gridCol w:w="1478"/>
        <w:gridCol w:w="1478"/>
        <w:gridCol w:w="1479"/>
        <w:gridCol w:w="1478"/>
        <w:gridCol w:w="1478"/>
        <w:gridCol w:w="1479"/>
      </w:tblGrid>
      <w:tr w14:paraId="4E69B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tcMar>
              <w:left w:w="28" w:type="dxa"/>
              <w:right w:w="28" w:type="dxa"/>
            </w:tcMar>
            <w:vAlign w:val="center"/>
          </w:tcPr>
          <w:p w14:paraId="1700A7E0">
            <w:pPr>
              <w:pStyle w:val="34"/>
              <w:spacing w:beforeLines="0" w:afterLines="0" w:line="240" w:lineRule="auto"/>
              <w:jc w:val="right"/>
              <w:rPr>
                <w:rFonts w:ascii="Times New Roman" w:eastAsia="黑体"/>
                <w:snapToGrid w:val="0"/>
                <w:color w:val="auto"/>
                <w:spacing w:val="-6"/>
                <w:kern w:val="21"/>
                <w:szCs w:val="21"/>
              </w:rPr>
            </w:pPr>
            <w:r>
              <w:rPr>
                <w:rFonts w:ascii="Times New Roman" w:eastAsia="黑体"/>
                <w:snapToGrid w:val="0"/>
                <w:color w:val="auto"/>
                <w:spacing w:val="-6"/>
                <w:kern w:val="21"/>
                <w:szCs w:val="21"/>
              </w:rPr>
              <w:t>项目</w:t>
            </w:r>
          </w:p>
          <w:p w14:paraId="3D4820D3">
            <w:pPr>
              <w:pStyle w:val="34"/>
              <w:spacing w:beforeLines="0" w:afterLines="0" w:line="240" w:lineRule="auto"/>
              <w:jc w:val="left"/>
              <w:rPr>
                <w:rFonts w:ascii="Times New Roman" w:eastAsia="黑体"/>
                <w:snapToGrid w:val="0"/>
                <w:color w:val="auto"/>
                <w:spacing w:val="-6"/>
                <w:kern w:val="21"/>
                <w:szCs w:val="21"/>
              </w:rPr>
            </w:pPr>
            <w:r>
              <w:rPr>
                <w:rFonts w:ascii="Times New Roman" w:eastAsia="黑体"/>
                <w:snapToGrid w:val="0"/>
                <w:color w:val="auto"/>
                <w:spacing w:val="-6"/>
                <w:kern w:val="21"/>
                <w:szCs w:val="21"/>
              </w:rPr>
              <w:t>分类</w:t>
            </w:r>
          </w:p>
        </w:tc>
        <w:tc>
          <w:tcPr>
            <w:tcW w:w="1946" w:type="dxa"/>
            <w:gridSpan w:val="2"/>
            <w:tcMar>
              <w:left w:w="28" w:type="dxa"/>
              <w:right w:w="28" w:type="dxa"/>
            </w:tcMar>
            <w:vAlign w:val="center"/>
          </w:tcPr>
          <w:p w14:paraId="5778AF57">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污染物名称</w:t>
            </w:r>
          </w:p>
        </w:tc>
        <w:tc>
          <w:tcPr>
            <w:tcW w:w="1478" w:type="dxa"/>
            <w:tcMar>
              <w:left w:w="28" w:type="dxa"/>
              <w:right w:w="28" w:type="dxa"/>
            </w:tcMar>
            <w:vAlign w:val="center"/>
          </w:tcPr>
          <w:p w14:paraId="6F6A1FAC">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114F1A36">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1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①</w:t>
            </w:r>
            <w:r>
              <w:rPr>
                <w:rFonts w:ascii="Times New Roman" w:eastAsia="黑体"/>
                <w:snapToGrid w:val="0"/>
                <w:color w:val="auto"/>
                <w:spacing w:val="-6"/>
                <w:kern w:val="21"/>
                <w:szCs w:val="21"/>
              </w:rPr>
              <w:fldChar w:fldCharType="end"/>
            </w:r>
          </w:p>
        </w:tc>
        <w:tc>
          <w:tcPr>
            <w:tcW w:w="1478" w:type="dxa"/>
            <w:tcMar>
              <w:left w:w="28" w:type="dxa"/>
              <w:right w:w="28" w:type="dxa"/>
            </w:tcMar>
            <w:vAlign w:val="center"/>
          </w:tcPr>
          <w:p w14:paraId="7C9ABBF3">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1FE12609">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许可排放量</w:t>
            </w:r>
          </w:p>
          <w:p w14:paraId="5BD02EE3">
            <w:pPr>
              <w:pStyle w:val="34"/>
              <w:spacing w:beforeLines="0" w:afterLines="0"/>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2 \* GB3 \* MERGEFORMAT </w:instrText>
            </w:r>
            <w:r>
              <w:rPr>
                <w:rFonts w:ascii="Times New Roman" w:eastAsia="黑体"/>
                <w:snapToGrid w:val="0"/>
                <w:color w:val="auto"/>
                <w:spacing w:val="-6"/>
                <w:kern w:val="21"/>
                <w:szCs w:val="21"/>
              </w:rPr>
              <w:fldChar w:fldCharType="separate"/>
            </w:r>
            <w:r>
              <w:rPr>
                <w:rFonts w:hint="eastAsia" w:hAnsi="宋体" w:cs="宋体"/>
                <w:snapToGrid w:val="0"/>
                <w:color w:val="auto"/>
                <w:spacing w:val="-6"/>
                <w:kern w:val="21"/>
                <w:szCs w:val="21"/>
              </w:rPr>
              <w:t>②</w:t>
            </w:r>
            <w:r>
              <w:rPr>
                <w:rFonts w:ascii="Times New Roman" w:eastAsia="黑体"/>
                <w:snapToGrid w:val="0"/>
                <w:color w:val="auto"/>
                <w:spacing w:val="-6"/>
                <w:kern w:val="21"/>
                <w:szCs w:val="21"/>
              </w:rPr>
              <w:fldChar w:fldCharType="end"/>
            </w:r>
          </w:p>
        </w:tc>
        <w:tc>
          <w:tcPr>
            <w:tcW w:w="1478" w:type="dxa"/>
            <w:tcMar>
              <w:left w:w="28" w:type="dxa"/>
              <w:right w:w="28" w:type="dxa"/>
            </w:tcMar>
            <w:vAlign w:val="center"/>
          </w:tcPr>
          <w:p w14:paraId="69281115">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在建工程</w:t>
            </w:r>
          </w:p>
          <w:p w14:paraId="5DD7CA29">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3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③</w:t>
            </w:r>
            <w:r>
              <w:rPr>
                <w:rFonts w:ascii="Times New Roman" w:eastAsia="黑体"/>
                <w:snapToGrid w:val="0"/>
                <w:color w:val="auto"/>
                <w:spacing w:val="-6"/>
                <w:kern w:val="21"/>
                <w:szCs w:val="21"/>
              </w:rPr>
              <w:fldChar w:fldCharType="end"/>
            </w:r>
          </w:p>
        </w:tc>
        <w:tc>
          <w:tcPr>
            <w:tcW w:w="1479" w:type="dxa"/>
            <w:tcMar>
              <w:left w:w="28" w:type="dxa"/>
              <w:right w:w="28" w:type="dxa"/>
            </w:tcMar>
            <w:vAlign w:val="center"/>
          </w:tcPr>
          <w:p w14:paraId="4C056B8E">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w:t>
            </w:r>
          </w:p>
          <w:p w14:paraId="21D7D699">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4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④</w:t>
            </w:r>
            <w:r>
              <w:rPr>
                <w:rFonts w:ascii="Times New Roman" w:eastAsia="黑体"/>
                <w:snapToGrid w:val="0"/>
                <w:color w:val="auto"/>
                <w:spacing w:val="-6"/>
                <w:kern w:val="21"/>
                <w:szCs w:val="21"/>
              </w:rPr>
              <w:fldChar w:fldCharType="end"/>
            </w:r>
          </w:p>
        </w:tc>
        <w:tc>
          <w:tcPr>
            <w:tcW w:w="1478" w:type="dxa"/>
            <w:tcMar>
              <w:left w:w="28" w:type="dxa"/>
              <w:right w:w="28" w:type="dxa"/>
            </w:tcMar>
            <w:vAlign w:val="center"/>
          </w:tcPr>
          <w:p w14:paraId="6957FC90">
            <w:pPr>
              <w:pStyle w:val="3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以新带老削减量</w:t>
            </w:r>
          </w:p>
          <w:p w14:paraId="034208DA">
            <w:pPr>
              <w:pStyle w:val="3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（新建项目不填）</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5 \* GB3 \* MERGEFORMAT </w:instrText>
            </w:r>
            <w:r>
              <w:rPr>
                <w:rFonts w:ascii="Times New Roman" w:eastAsia="黑体"/>
                <w:snapToGrid w:val="0"/>
                <w:color w:val="auto"/>
                <w:spacing w:val="-16"/>
                <w:kern w:val="21"/>
                <w:szCs w:val="21"/>
              </w:rPr>
              <w:fldChar w:fldCharType="separate"/>
            </w:r>
            <w:r>
              <w:rPr>
                <w:rFonts w:hint="eastAsia" w:hAnsi="宋体" w:cs="宋体"/>
                <w:color w:val="auto"/>
                <w:kern w:val="2"/>
                <w:szCs w:val="21"/>
              </w:rPr>
              <w:t>⑤</w:t>
            </w:r>
            <w:r>
              <w:rPr>
                <w:rFonts w:ascii="Times New Roman" w:eastAsia="黑体"/>
                <w:snapToGrid w:val="0"/>
                <w:color w:val="auto"/>
                <w:spacing w:val="-16"/>
                <w:kern w:val="21"/>
                <w:szCs w:val="21"/>
              </w:rPr>
              <w:fldChar w:fldCharType="end"/>
            </w:r>
          </w:p>
        </w:tc>
        <w:tc>
          <w:tcPr>
            <w:tcW w:w="1478" w:type="dxa"/>
            <w:tcMar>
              <w:left w:w="28" w:type="dxa"/>
              <w:right w:w="28" w:type="dxa"/>
            </w:tcMar>
            <w:vAlign w:val="center"/>
          </w:tcPr>
          <w:p w14:paraId="078003E0">
            <w:pPr>
              <w:pStyle w:val="3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本项目建成后</w:t>
            </w:r>
          </w:p>
          <w:p w14:paraId="45B0DB8B">
            <w:pPr>
              <w:pStyle w:val="3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全厂排放量（固体废物产生量）</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6 \* GB3 \* MERGEFORMAT </w:instrText>
            </w:r>
            <w:r>
              <w:rPr>
                <w:rFonts w:ascii="Times New Roman" w:eastAsia="黑体"/>
                <w:snapToGrid w:val="0"/>
                <w:color w:val="auto"/>
                <w:spacing w:val="-16"/>
                <w:kern w:val="21"/>
                <w:szCs w:val="21"/>
              </w:rPr>
              <w:fldChar w:fldCharType="separate"/>
            </w:r>
            <w:r>
              <w:rPr>
                <w:rFonts w:hint="eastAsia" w:hAnsi="宋体" w:cs="宋体"/>
                <w:color w:val="auto"/>
                <w:kern w:val="2"/>
                <w:szCs w:val="21"/>
              </w:rPr>
              <w:t>⑥</w:t>
            </w:r>
            <w:r>
              <w:rPr>
                <w:rFonts w:ascii="Times New Roman" w:eastAsia="黑体"/>
                <w:snapToGrid w:val="0"/>
                <w:color w:val="auto"/>
                <w:spacing w:val="-16"/>
                <w:kern w:val="21"/>
                <w:szCs w:val="21"/>
              </w:rPr>
              <w:fldChar w:fldCharType="end"/>
            </w:r>
          </w:p>
        </w:tc>
        <w:tc>
          <w:tcPr>
            <w:tcW w:w="1479" w:type="dxa"/>
            <w:tcMar>
              <w:left w:w="28" w:type="dxa"/>
              <w:right w:w="28" w:type="dxa"/>
            </w:tcMar>
            <w:vAlign w:val="center"/>
          </w:tcPr>
          <w:p w14:paraId="680D3E8D">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变化量</w:t>
            </w:r>
          </w:p>
          <w:p w14:paraId="4C77BEE1">
            <w:pPr>
              <w:pStyle w:val="3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7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⑦</w:t>
            </w:r>
            <w:r>
              <w:rPr>
                <w:rFonts w:ascii="Times New Roman" w:eastAsia="黑体"/>
                <w:snapToGrid w:val="0"/>
                <w:color w:val="auto"/>
                <w:spacing w:val="-6"/>
                <w:kern w:val="21"/>
                <w:szCs w:val="21"/>
              </w:rPr>
              <w:fldChar w:fldCharType="end"/>
            </w:r>
          </w:p>
        </w:tc>
      </w:tr>
      <w:tr w14:paraId="7511C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167082F2">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655" w:type="dxa"/>
            <w:vMerge w:val="restart"/>
            <w:vAlign w:val="center"/>
          </w:tcPr>
          <w:p w14:paraId="5CF82495">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锅炉废气</w:t>
            </w:r>
          </w:p>
        </w:tc>
        <w:tc>
          <w:tcPr>
            <w:tcW w:w="1291" w:type="dxa"/>
            <w:vAlign w:val="center"/>
          </w:tcPr>
          <w:p w14:paraId="2C531995">
            <w:pPr>
              <w:pStyle w:val="34"/>
              <w:spacing w:before="24" w:after="24" w:line="240" w:lineRule="auto"/>
              <w:rPr>
                <w:rFonts w:ascii="Times New Roman"/>
                <w:snapToGrid w:val="0"/>
                <w:color w:val="auto"/>
                <w:kern w:val="21"/>
                <w:szCs w:val="21"/>
              </w:rPr>
            </w:pPr>
            <w:r>
              <w:rPr>
                <w:rFonts w:hint="eastAsia" w:ascii="Times New Roman"/>
                <w:snapToGrid w:val="0"/>
                <w:color w:val="auto"/>
                <w:kern w:val="21"/>
                <w:szCs w:val="21"/>
              </w:rPr>
              <w:t>SO</w:t>
            </w:r>
            <w:r>
              <w:rPr>
                <w:rFonts w:hint="eastAsia" w:ascii="Times New Roman"/>
                <w:snapToGrid w:val="0"/>
                <w:color w:val="auto"/>
                <w:kern w:val="21"/>
                <w:szCs w:val="21"/>
                <w:vertAlign w:val="subscript"/>
              </w:rPr>
              <w:t>2</w:t>
            </w:r>
          </w:p>
        </w:tc>
        <w:tc>
          <w:tcPr>
            <w:tcW w:w="1478" w:type="dxa"/>
            <w:vAlign w:val="center"/>
          </w:tcPr>
          <w:p w14:paraId="5DCD18B4">
            <w:pPr>
              <w:pStyle w:val="34"/>
              <w:spacing w:beforeLines="0" w:afterLines="0" w:line="240" w:lineRule="auto"/>
              <w:rPr>
                <w:rFonts w:ascii="Times New Roman"/>
                <w:snapToGrid w:val="0"/>
                <w:color w:val="auto"/>
                <w:kern w:val="21"/>
                <w:szCs w:val="21"/>
              </w:rPr>
            </w:pPr>
            <w:r>
              <w:rPr>
                <w:rFonts w:ascii="Times New Roman"/>
                <w:color w:val="auto"/>
              </w:rPr>
              <w:t>0.11t/a</w:t>
            </w:r>
          </w:p>
        </w:tc>
        <w:tc>
          <w:tcPr>
            <w:tcW w:w="1478" w:type="dxa"/>
            <w:vAlign w:val="center"/>
          </w:tcPr>
          <w:p w14:paraId="47D01B70">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0</w:t>
            </w:r>
          </w:p>
        </w:tc>
        <w:tc>
          <w:tcPr>
            <w:tcW w:w="1478" w:type="dxa"/>
            <w:vAlign w:val="center"/>
          </w:tcPr>
          <w:p w14:paraId="676954B8">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0</w:t>
            </w:r>
          </w:p>
        </w:tc>
        <w:tc>
          <w:tcPr>
            <w:tcW w:w="1479" w:type="dxa"/>
            <w:vAlign w:val="center"/>
          </w:tcPr>
          <w:p w14:paraId="52C724F0">
            <w:pPr>
              <w:pStyle w:val="34"/>
              <w:spacing w:beforeLines="0" w:afterLines="0" w:line="240" w:lineRule="auto"/>
              <w:rPr>
                <w:rFonts w:ascii="Times New Roman"/>
                <w:snapToGrid w:val="0"/>
                <w:color w:val="auto"/>
                <w:kern w:val="21"/>
                <w:szCs w:val="21"/>
              </w:rPr>
            </w:pPr>
            <w:r>
              <w:rPr>
                <w:rFonts w:ascii="Times New Roman"/>
                <w:color w:val="auto"/>
              </w:rPr>
              <w:t>0.333t/a</w:t>
            </w:r>
          </w:p>
        </w:tc>
        <w:tc>
          <w:tcPr>
            <w:tcW w:w="1478" w:type="dxa"/>
            <w:vAlign w:val="center"/>
          </w:tcPr>
          <w:p w14:paraId="4A39674B">
            <w:pPr>
              <w:pStyle w:val="34"/>
              <w:spacing w:beforeLines="0" w:afterLines="0" w:line="240" w:lineRule="auto"/>
              <w:rPr>
                <w:rFonts w:ascii="Times New Roman"/>
                <w:snapToGrid w:val="0"/>
                <w:color w:val="auto"/>
                <w:kern w:val="21"/>
                <w:szCs w:val="21"/>
              </w:rPr>
            </w:pPr>
            <w:r>
              <w:rPr>
                <w:rFonts w:ascii="Times New Roman"/>
                <w:color w:val="auto"/>
              </w:rPr>
              <w:t>0.11t/a</w:t>
            </w:r>
          </w:p>
        </w:tc>
        <w:tc>
          <w:tcPr>
            <w:tcW w:w="1478" w:type="dxa"/>
            <w:vAlign w:val="center"/>
          </w:tcPr>
          <w:p w14:paraId="79317481">
            <w:pPr>
              <w:pStyle w:val="34"/>
              <w:spacing w:beforeLines="0" w:afterLines="0" w:line="240" w:lineRule="auto"/>
              <w:rPr>
                <w:rFonts w:ascii="Times New Roman"/>
                <w:snapToGrid w:val="0"/>
                <w:color w:val="auto"/>
                <w:kern w:val="21"/>
                <w:szCs w:val="21"/>
              </w:rPr>
            </w:pPr>
            <w:r>
              <w:rPr>
                <w:rFonts w:ascii="Times New Roman"/>
                <w:color w:val="auto"/>
              </w:rPr>
              <w:t>0.333t/a</w:t>
            </w:r>
          </w:p>
        </w:tc>
        <w:tc>
          <w:tcPr>
            <w:tcW w:w="1479" w:type="dxa"/>
            <w:vAlign w:val="center"/>
          </w:tcPr>
          <w:p w14:paraId="21BEDB52">
            <w:pPr>
              <w:pStyle w:val="34"/>
              <w:spacing w:beforeLines="0" w:afterLines="0" w:line="240" w:lineRule="auto"/>
              <w:rPr>
                <w:rFonts w:ascii="Times New Roman"/>
                <w:snapToGrid w:val="0"/>
                <w:color w:val="auto"/>
                <w:kern w:val="21"/>
                <w:szCs w:val="21"/>
              </w:rPr>
            </w:pPr>
            <w:r>
              <w:rPr>
                <w:rFonts w:ascii="Times New Roman"/>
                <w:color w:val="auto"/>
              </w:rPr>
              <w:t>+0.223t/a</w:t>
            </w:r>
          </w:p>
        </w:tc>
      </w:tr>
      <w:tr w14:paraId="506DD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11DD5F67">
            <w:pPr>
              <w:pStyle w:val="34"/>
              <w:spacing w:beforeLines="0" w:afterLines="0" w:line="240" w:lineRule="auto"/>
              <w:rPr>
                <w:rFonts w:ascii="Times New Roman"/>
                <w:snapToGrid w:val="0"/>
                <w:color w:val="auto"/>
                <w:kern w:val="21"/>
                <w:szCs w:val="21"/>
              </w:rPr>
            </w:pPr>
          </w:p>
        </w:tc>
        <w:tc>
          <w:tcPr>
            <w:tcW w:w="655" w:type="dxa"/>
            <w:vMerge w:val="continue"/>
            <w:vAlign w:val="center"/>
          </w:tcPr>
          <w:p w14:paraId="6F5A717E">
            <w:pPr>
              <w:pStyle w:val="34"/>
              <w:spacing w:beforeLines="0" w:afterLines="0" w:line="240" w:lineRule="auto"/>
              <w:rPr>
                <w:rFonts w:ascii="Times New Roman"/>
                <w:snapToGrid w:val="0"/>
                <w:color w:val="auto"/>
                <w:kern w:val="21"/>
                <w:szCs w:val="21"/>
              </w:rPr>
            </w:pPr>
          </w:p>
        </w:tc>
        <w:tc>
          <w:tcPr>
            <w:tcW w:w="1291" w:type="dxa"/>
            <w:vAlign w:val="center"/>
          </w:tcPr>
          <w:p w14:paraId="47103F06">
            <w:pPr>
              <w:pStyle w:val="34"/>
              <w:spacing w:before="24" w:after="24" w:line="240" w:lineRule="auto"/>
              <w:rPr>
                <w:rFonts w:ascii="Times New Roman"/>
                <w:snapToGrid w:val="0"/>
                <w:color w:val="auto"/>
                <w:kern w:val="21"/>
                <w:szCs w:val="21"/>
              </w:rPr>
            </w:pPr>
            <w:r>
              <w:rPr>
                <w:rFonts w:hint="eastAsia" w:ascii="Times New Roman"/>
                <w:snapToGrid w:val="0"/>
                <w:color w:val="auto"/>
                <w:kern w:val="21"/>
                <w:szCs w:val="21"/>
              </w:rPr>
              <w:t>NO</w:t>
            </w:r>
            <w:r>
              <w:rPr>
                <w:rFonts w:hint="eastAsia" w:ascii="Times New Roman"/>
                <w:snapToGrid w:val="0"/>
                <w:color w:val="auto"/>
                <w:kern w:val="21"/>
                <w:szCs w:val="21"/>
                <w:vertAlign w:val="subscript"/>
              </w:rPr>
              <w:t>X</w:t>
            </w:r>
          </w:p>
        </w:tc>
        <w:tc>
          <w:tcPr>
            <w:tcW w:w="1478" w:type="dxa"/>
            <w:vAlign w:val="center"/>
          </w:tcPr>
          <w:p w14:paraId="2F0D80E3">
            <w:pPr>
              <w:pStyle w:val="34"/>
              <w:spacing w:beforeLines="0" w:afterLines="0" w:line="240" w:lineRule="auto"/>
              <w:rPr>
                <w:rFonts w:ascii="Times New Roman"/>
                <w:snapToGrid w:val="0"/>
                <w:color w:val="auto"/>
                <w:kern w:val="21"/>
                <w:szCs w:val="21"/>
              </w:rPr>
            </w:pPr>
            <w:r>
              <w:rPr>
                <w:rFonts w:ascii="Times New Roman"/>
                <w:color w:val="auto"/>
              </w:rPr>
              <w:t>0.13t/a</w:t>
            </w:r>
          </w:p>
        </w:tc>
        <w:tc>
          <w:tcPr>
            <w:tcW w:w="1478" w:type="dxa"/>
            <w:vAlign w:val="center"/>
          </w:tcPr>
          <w:p w14:paraId="549DE98E">
            <w:pPr>
              <w:pStyle w:val="34"/>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rPr>
              <w:t>0.13</w:t>
            </w:r>
            <w:r>
              <w:rPr>
                <w:rFonts w:ascii="Times New Roman"/>
                <w:color w:val="auto"/>
              </w:rPr>
              <w:t>t/a</w:t>
            </w:r>
          </w:p>
        </w:tc>
        <w:tc>
          <w:tcPr>
            <w:tcW w:w="1478" w:type="dxa"/>
            <w:vAlign w:val="center"/>
          </w:tcPr>
          <w:p w14:paraId="142756E9">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p>
        </w:tc>
        <w:tc>
          <w:tcPr>
            <w:tcW w:w="1479" w:type="dxa"/>
            <w:vAlign w:val="center"/>
          </w:tcPr>
          <w:p w14:paraId="0B942C84">
            <w:pPr>
              <w:pStyle w:val="34"/>
              <w:spacing w:beforeLines="0" w:afterLines="0" w:line="240" w:lineRule="auto"/>
              <w:rPr>
                <w:rFonts w:ascii="Times New Roman"/>
                <w:snapToGrid w:val="0"/>
                <w:color w:val="auto"/>
                <w:kern w:val="21"/>
                <w:szCs w:val="21"/>
              </w:rPr>
            </w:pPr>
            <w:r>
              <w:rPr>
                <w:rFonts w:hint="eastAsia" w:ascii="Times New Roman"/>
                <w:color w:val="auto"/>
                <w:lang w:val="en-US" w:eastAsia="zh-CN"/>
              </w:rPr>
              <w:t>2.522</w:t>
            </w:r>
            <w:r>
              <w:rPr>
                <w:rFonts w:ascii="Times New Roman"/>
                <w:color w:val="auto"/>
              </w:rPr>
              <w:t>t/a</w:t>
            </w:r>
          </w:p>
        </w:tc>
        <w:tc>
          <w:tcPr>
            <w:tcW w:w="1478" w:type="dxa"/>
            <w:vAlign w:val="center"/>
          </w:tcPr>
          <w:p w14:paraId="059FE00F">
            <w:pPr>
              <w:pStyle w:val="34"/>
              <w:spacing w:beforeLines="0" w:afterLines="0" w:line="240" w:lineRule="auto"/>
              <w:rPr>
                <w:rFonts w:ascii="Times New Roman"/>
                <w:snapToGrid w:val="0"/>
                <w:color w:val="auto"/>
                <w:kern w:val="21"/>
                <w:szCs w:val="21"/>
              </w:rPr>
            </w:pPr>
            <w:r>
              <w:rPr>
                <w:rFonts w:ascii="Times New Roman"/>
                <w:color w:val="auto"/>
              </w:rPr>
              <w:t>0.13t/a</w:t>
            </w:r>
          </w:p>
        </w:tc>
        <w:tc>
          <w:tcPr>
            <w:tcW w:w="1478" w:type="dxa"/>
            <w:vAlign w:val="center"/>
          </w:tcPr>
          <w:p w14:paraId="020D19F8">
            <w:pPr>
              <w:pStyle w:val="34"/>
              <w:spacing w:beforeLines="0" w:afterLines="0" w:line="240" w:lineRule="auto"/>
              <w:rPr>
                <w:rFonts w:ascii="Times New Roman"/>
                <w:snapToGrid w:val="0"/>
                <w:color w:val="auto"/>
                <w:kern w:val="21"/>
                <w:szCs w:val="21"/>
              </w:rPr>
            </w:pPr>
            <w:r>
              <w:rPr>
                <w:rFonts w:hint="eastAsia" w:ascii="Times New Roman"/>
                <w:color w:val="auto"/>
                <w:lang w:val="en-US" w:eastAsia="zh-CN"/>
              </w:rPr>
              <w:t>2.522</w:t>
            </w:r>
            <w:r>
              <w:rPr>
                <w:rFonts w:ascii="Times New Roman"/>
                <w:color w:val="auto"/>
              </w:rPr>
              <w:t>t/a</w:t>
            </w:r>
          </w:p>
        </w:tc>
        <w:tc>
          <w:tcPr>
            <w:tcW w:w="1479" w:type="dxa"/>
            <w:vAlign w:val="center"/>
          </w:tcPr>
          <w:p w14:paraId="5ED71747">
            <w:pPr>
              <w:pStyle w:val="34"/>
              <w:spacing w:beforeLines="0" w:afterLines="0" w:line="240" w:lineRule="auto"/>
              <w:rPr>
                <w:rFonts w:ascii="Times New Roman"/>
                <w:snapToGrid w:val="0"/>
                <w:color w:val="auto"/>
                <w:kern w:val="21"/>
                <w:szCs w:val="21"/>
              </w:rPr>
            </w:pPr>
            <w:r>
              <w:rPr>
                <w:rFonts w:ascii="Times New Roman"/>
                <w:color w:val="auto"/>
              </w:rPr>
              <w:t>+</w:t>
            </w:r>
            <w:r>
              <w:rPr>
                <w:rFonts w:hint="eastAsia" w:ascii="Times New Roman"/>
                <w:color w:val="auto"/>
                <w:lang w:val="en-US" w:eastAsia="zh-CN"/>
              </w:rPr>
              <w:t>2.4</w:t>
            </w:r>
            <w:r>
              <w:rPr>
                <w:rFonts w:ascii="Times New Roman"/>
                <w:color w:val="auto"/>
              </w:rPr>
              <w:t>t/a</w:t>
            </w:r>
          </w:p>
        </w:tc>
      </w:tr>
      <w:tr w14:paraId="0F9AB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53A911E3">
            <w:pPr>
              <w:pStyle w:val="34"/>
              <w:spacing w:beforeLines="0" w:afterLines="0" w:line="240" w:lineRule="auto"/>
              <w:rPr>
                <w:rFonts w:ascii="Times New Roman"/>
                <w:snapToGrid w:val="0"/>
                <w:color w:val="auto"/>
                <w:kern w:val="21"/>
                <w:szCs w:val="21"/>
              </w:rPr>
            </w:pPr>
          </w:p>
        </w:tc>
        <w:tc>
          <w:tcPr>
            <w:tcW w:w="655" w:type="dxa"/>
            <w:vMerge w:val="continue"/>
            <w:vAlign w:val="center"/>
          </w:tcPr>
          <w:p w14:paraId="006D1F26">
            <w:pPr>
              <w:pStyle w:val="34"/>
              <w:spacing w:beforeLines="0" w:afterLines="0" w:line="240" w:lineRule="auto"/>
              <w:rPr>
                <w:rFonts w:ascii="Times New Roman"/>
                <w:snapToGrid w:val="0"/>
                <w:color w:val="auto"/>
                <w:kern w:val="21"/>
                <w:szCs w:val="21"/>
              </w:rPr>
            </w:pPr>
          </w:p>
        </w:tc>
        <w:tc>
          <w:tcPr>
            <w:tcW w:w="1291" w:type="dxa"/>
            <w:vAlign w:val="center"/>
          </w:tcPr>
          <w:p w14:paraId="1D5FDCC3">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颗粒物</w:t>
            </w:r>
          </w:p>
        </w:tc>
        <w:tc>
          <w:tcPr>
            <w:tcW w:w="1478" w:type="dxa"/>
            <w:vAlign w:val="center"/>
          </w:tcPr>
          <w:p w14:paraId="1140E530">
            <w:pPr>
              <w:pStyle w:val="34"/>
              <w:spacing w:beforeLines="0" w:afterLines="0" w:line="240" w:lineRule="auto"/>
              <w:rPr>
                <w:rFonts w:ascii="Times New Roman"/>
                <w:snapToGrid w:val="0"/>
                <w:color w:val="auto"/>
                <w:kern w:val="21"/>
                <w:szCs w:val="21"/>
              </w:rPr>
            </w:pPr>
            <w:r>
              <w:rPr>
                <w:rFonts w:ascii="Times New Roman"/>
                <w:color w:val="auto"/>
              </w:rPr>
              <w:t>0.37t/a</w:t>
            </w:r>
          </w:p>
        </w:tc>
        <w:tc>
          <w:tcPr>
            <w:tcW w:w="1478" w:type="dxa"/>
            <w:vAlign w:val="center"/>
          </w:tcPr>
          <w:p w14:paraId="1504CFB6">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p>
        </w:tc>
        <w:tc>
          <w:tcPr>
            <w:tcW w:w="1478" w:type="dxa"/>
            <w:vAlign w:val="center"/>
          </w:tcPr>
          <w:p w14:paraId="2ACA1C27">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p>
        </w:tc>
        <w:tc>
          <w:tcPr>
            <w:tcW w:w="1479" w:type="dxa"/>
            <w:vAlign w:val="center"/>
          </w:tcPr>
          <w:p w14:paraId="5B165868">
            <w:pPr>
              <w:pStyle w:val="34"/>
              <w:spacing w:beforeLines="0" w:afterLines="0" w:line="240" w:lineRule="auto"/>
              <w:rPr>
                <w:rFonts w:ascii="Times New Roman"/>
                <w:snapToGrid w:val="0"/>
                <w:color w:val="auto"/>
                <w:kern w:val="21"/>
                <w:szCs w:val="21"/>
              </w:rPr>
            </w:pPr>
            <w:r>
              <w:rPr>
                <w:rFonts w:ascii="Times New Roman"/>
                <w:color w:val="auto"/>
              </w:rPr>
              <w:t>1.165t/a</w:t>
            </w:r>
          </w:p>
        </w:tc>
        <w:tc>
          <w:tcPr>
            <w:tcW w:w="1478" w:type="dxa"/>
            <w:vAlign w:val="center"/>
          </w:tcPr>
          <w:p w14:paraId="3E681CEC">
            <w:pPr>
              <w:pStyle w:val="34"/>
              <w:spacing w:beforeLines="0" w:afterLines="0" w:line="240" w:lineRule="auto"/>
              <w:rPr>
                <w:rFonts w:ascii="Times New Roman"/>
                <w:snapToGrid w:val="0"/>
                <w:color w:val="auto"/>
                <w:kern w:val="21"/>
                <w:szCs w:val="21"/>
              </w:rPr>
            </w:pPr>
            <w:r>
              <w:rPr>
                <w:rFonts w:ascii="Times New Roman"/>
                <w:color w:val="auto"/>
              </w:rPr>
              <w:t>0.37t/a</w:t>
            </w:r>
          </w:p>
        </w:tc>
        <w:tc>
          <w:tcPr>
            <w:tcW w:w="1478" w:type="dxa"/>
            <w:vAlign w:val="center"/>
          </w:tcPr>
          <w:p w14:paraId="7754619A">
            <w:pPr>
              <w:pStyle w:val="34"/>
              <w:spacing w:beforeLines="0" w:afterLines="0" w:line="240" w:lineRule="auto"/>
              <w:rPr>
                <w:rFonts w:ascii="Times New Roman"/>
                <w:snapToGrid w:val="0"/>
                <w:color w:val="auto"/>
                <w:kern w:val="21"/>
                <w:szCs w:val="21"/>
              </w:rPr>
            </w:pPr>
            <w:r>
              <w:rPr>
                <w:rFonts w:ascii="Times New Roman"/>
                <w:color w:val="auto"/>
              </w:rPr>
              <w:t>1.165t/a</w:t>
            </w:r>
          </w:p>
        </w:tc>
        <w:tc>
          <w:tcPr>
            <w:tcW w:w="1479" w:type="dxa"/>
            <w:vAlign w:val="center"/>
          </w:tcPr>
          <w:p w14:paraId="3A5348A5">
            <w:pPr>
              <w:pStyle w:val="34"/>
              <w:spacing w:beforeLines="0" w:afterLines="0" w:line="240" w:lineRule="auto"/>
              <w:rPr>
                <w:rFonts w:ascii="Times New Roman"/>
                <w:snapToGrid w:val="0"/>
                <w:color w:val="auto"/>
                <w:kern w:val="21"/>
                <w:szCs w:val="21"/>
              </w:rPr>
            </w:pPr>
            <w:r>
              <w:rPr>
                <w:rFonts w:ascii="Times New Roman"/>
                <w:color w:val="auto"/>
              </w:rPr>
              <w:t>+0.795t/a</w:t>
            </w:r>
          </w:p>
        </w:tc>
      </w:tr>
      <w:tr w14:paraId="35E944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1990DC6B">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1946" w:type="dxa"/>
            <w:gridSpan w:val="2"/>
            <w:vAlign w:val="center"/>
          </w:tcPr>
          <w:p w14:paraId="1BA4F40C">
            <w:pPr>
              <w:pStyle w:val="34"/>
              <w:spacing w:beforeLines="0" w:afterLines="0" w:line="240" w:lineRule="auto"/>
              <w:rPr>
                <w:rFonts w:ascii="Times New Roman"/>
                <w:snapToGrid w:val="0"/>
                <w:color w:val="auto"/>
                <w:kern w:val="21"/>
                <w:szCs w:val="21"/>
              </w:rPr>
            </w:pPr>
            <w:r>
              <w:rPr>
                <w:rFonts w:hint="eastAsia"/>
                <w:color w:val="auto"/>
              </w:rPr>
              <w:t>锅炉房排水及软化水排水</w:t>
            </w:r>
          </w:p>
        </w:tc>
        <w:tc>
          <w:tcPr>
            <w:tcW w:w="1478" w:type="dxa"/>
            <w:vAlign w:val="center"/>
          </w:tcPr>
          <w:p w14:paraId="00338CB0">
            <w:pPr>
              <w:pStyle w:val="34"/>
              <w:spacing w:beforeLines="0" w:afterLines="0" w:line="240" w:lineRule="auto"/>
              <w:rPr>
                <w:rFonts w:hint="eastAsia" w:ascii="Times New Roman" w:hAnsi="Times New Roman" w:eastAsia="宋体" w:cs="Times New Roman"/>
                <w:snapToGrid w:val="0"/>
                <w:color w:val="auto"/>
                <w:kern w:val="21"/>
                <w:szCs w:val="21"/>
                <w:lang w:eastAsia="zh-CN"/>
              </w:rPr>
            </w:pPr>
            <w:r>
              <w:rPr>
                <w:rFonts w:hint="eastAsia" w:ascii="Times New Roman" w:cs="Times New Roman"/>
                <w:color w:val="auto"/>
                <w:lang w:val="en-US" w:eastAsia="zh-CN"/>
              </w:rPr>
              <w:t>不外排</w:t>
            </w:r>
          </w:p>
        </w:tc>
        <w:tc>
          <w:tcPr>
            <w:tcW w:w="1478" w:type="dxa"/>
            <w:vAlign w:val="center"/>
          </w:tcPr>
          <w:p w14:paraId="4FA1BC89">
            <w:pPr>
              <w:pStyle w:val="34"/>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auto"/>
                <w:kern w:val="21"/>
                <w:szCs w:val="21"/>
                <w:lang w:val="en-US" w:eastAsia="zh-CN"/>
              </w:rPr>
              <w:t>/</w:t>
            </w:r>
          </w:p>
        </w:tc>
        <w:tc>
          <w:tcPr>
            <w:tcW w:w="1478" w:type="dxa"/>
            <w:vAlign w:val="center"/>
          </w:tcPr>
          <w:p w14:paraId="1B6EFD84">
            <w:pPr>
              <w:pStyle w:val="34"/>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auto"/>
                <w:kern w:val="21"/>
                <w:szCs w:val="21"/>
                <w:lang w:val="en-US" w:eastAsia="zh-CN"/>
              </w:rPr>
              <w:t>/</w:t>
            </w:r>
          </w:p>
        </w:tc>
        <w:tc>
          <w:tcPr>
            <w:tcW w:w="1479" w:type="dxa"/>
            <w:vAlign w:val="center"/>
          </w:tcPr>
          <w:p w14:paraId="5F18CA57">
            <w:pPr>
              <w:pStyle w:val="34"/>
              <w:spacing w:beforeLines="0" w:afterLines="0" w:line="240" w:lineRule="auto"/>
              <w:rPr>
                <w:rFonts w:hint="default" w:ascii="Times New Roman" w:hAnsi="Times New Roman" w:cs="Times New Roman"/>
                <w:snapToGrid w:val="0"/>
                <w:color w:val="auto"/>
                <w:kern w:val="21"/>
                <w:szCs w:val="21"/>
              </w:rPr>
            </w:pPr>
            <w:r>
              <w:rPr>
                <w:rFonts w:hint="eastAsia" w:ascii="Times New Roman" w:cs="Times New Roman"/>
                <w:color w:val="auto"/>
                <w:lang w:val="en-US" w:eastAsia="zh-CN"/>
              </w:rPr>
              <w:t>不外排</w:t>
            </w:r>
          </w:p>
        </w:tc>
        <w:tc>
          <w:tcPr>
            <w:tcW w:w="1478" w:type="dxa"/>
            <w:vAlign w:val="center"/>
          </w:tcPr>
          <w:p w14:paraId="3547752C">
            <w:pPr>
              <w:pStyle w:val="34"/>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auto"/>
                <w:kern w:val="21"/>
                <w:szCs w:val="21"/>
                <w:lang w:val="en-US" w:eastAsia="zh-CN"/>
              </w:rPr>
              <w:t>/</w:t>
            </w:r>
          </w:p>
        </w:tc>
        <w:tc>
          <w:tcPr>
            <w:tcW w:w="1478" w:type="dxa"/>
            <w:vAlign w:val="center"/>
          </w:tcPr>
          <w:p w14:paraId="4DD05989">
            <w:pPr>
              <w:pStyle w:val="34"/>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color w:val="auto"/>
                <w:lang w:val="en-US" w:eastAsia="zh-CN"/>
              </w:rPr>
              <w:t>不外排</w:t>
            </w:r>
          </w:p>
        </w:tc>
        <w:tc>
          <w:tcPr>
            <w:tcW w:w="1479" w:type="dxa"/>
            <w:vAlign w:val="center"/>
          </w:tcPr>
          <w:p w14:paraId="125015C4">
            <w:pPr>
              <w:pStyle w:val="34"/>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cs="Times New Roman"/>
                <w:snapToGrid w:val="0"/>
                <w:color w:val="auto"/>
                <w:kern w:val="21"/>
                <w:szCs w:val="21"/>
                <w:lang w:val="en-US" w:eastAsia="zh-CN"/>
              </w:rPr>
              <w:t>/</w:t>
            </w:r>
          </w:p>
        </w:tc>
      </w:tr>
      <w:tr w14:paraId="1C799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08CA0EF3">
            <w:pPr>
              <w:pStyle w:val="34"/>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lang w:val="en-US" w:eastAsia="zh-CN"/>
              </w:rPr>
              <w:t>危险废物</w:t>
            </w:r>
          </w:p>
        </w:tc>
        <w:tc>
          <w:tcPr>
            <w:tcW w:w="1946" w:type="dxa"/>
            <w:gridSpan w:val="2"/>
            <w:vAlign w:val="center"/>
          </w:tcPr>
          <w:p w14:paraId="08858D44">
            <w:pPr>
              <w:pStyle w:val="34"/>
              <w:spacing w:beforeLines="0" w:afterLines="0" w:line="240" w:lineRule="auto"/>
              <w:rPr>
                <w:rFonts w:ascii="Times New Roman"/>
                <w:color w:val="auto"/>
              </w:rPr>
            </w:pPr>
            <w:r>
              <w:rPr>
                <w:rFonts w:hint="eastAsia"/>
                <w:color w:val="auto"/>
              </w:rPr>
              <w:t>废离子交换树脂</w:t>
            </w:r>
          </w:p>
        </w:tc>
        <w:tc>
          <w:tcPr>
            <w:tcW w:w="1478" w:type="dxa"/>
            <w:vAlign w:val="center"/>
          </w:tcPr>
          <w:p w14:paraId="29D67CB8">
            <w:pPr>
              <w:pStyle w:val="34"/>
              <w:spacing w:beforeLines="0" w:afterLines="0" w:line="240" w:lineRule="auto"/>
              <w:rPr>
                <w:rFonts w:ascii="Times New Roman"/>
                <w:color w:val="auto"/>
              </w:rPr>
            </w:pPr>
            <w:r>
              <w:rPr>
                <w:rFonts w:ascii="Times New Roman"/>
                <w:color w:val="auto"/>
              </w:rPr>
              <w:t>5 t/a</w:t>
            </w:r>
          </w:p>
        </w:tc>
        <w:tc>
          <w:tcPr>
            <w:tcW w:w="1478" w:type="dxa"/>
            <w:vAlign w:val="center"/>
          </w:tcPr>
          <w:p w14:paraId="394815C7">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0</w:t>
            </w:r>
          </w:p>
        </w:tc>
        <w:tc>
          <w:tcPr>
            <w:tcW w:w="1478" w:type="dxa"/>
            <w:vAlign w:val="center"/>
          </w:tcPr>
          <w:p w14:paraId="1F42F80E">
            <w:pPr>
              <w:pStyle w:val="34"/>
              <w:spacing w:beforeLines="0" w:afterLines="0" w:line="240" w:lineRule="auto"/>
              <w:rPr>
                <w:rFonts w:ascii="Times New Roman"/>
                <w:snapToGrid w:val="0"/>
                <w:color w:val="auto"/>
                <w:kern w:val="21"/>
                <w:szCs w:val="21"/>
              </w:rPr>
            </w:pPr>
            <w:r>
              <w:rPr>
                <w:rFonts w:ascii="Times New Roman"/>
                <w:snapToGrid w:val="0"/>
                <w:color w:val="auto"/>
                <w:kern w:val="21"/>
                <w:szCs w:val="21"/>
              </w:rPr>
              <w:t>0</w:t>
            </w:r>
          </w:p>
        </w:tc>
        <w:tc>
          <w:tcPr>
            <w:tcW w:w="1479" w:type="dxa"/>
            <w:vAlign w:val="center"/>
          </w:tcPr>
          <w:p w14:paraId="4E74C18D">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10</w:t>
            </w:r>
            <w:r>
              <w:rPr>
                <w:rFonts w:hint="eastAsia" w:ascii="Times New Roman"/>
                <w:snapToGrid w:val="0"/>
                <w:color w:val="auto"/>
                <w:kern w:val="21"/>
                <w:szCs w:val="21"/>
              </w:rPr>
              <w:t>t</w:t>
            </w:r>
            <w:r>
              <w:rPr>
                <w:rFonts w:ascii="Times New Roman"/>
                <w:snapToGrid w:val="0"/>
                <w:color w:val="auto"/>
                <w:kern w:val="21"/>
                <w:szCs w:val="21"/>
              </w:rPr>
              <w:t>/</w:t>
            </w:r>
            <w:r>
              <w:rPr>
                <w:rFonts w:hint="eastAsia" w:ascii="Times New Roman"/>
                <w:snapToGrid w:val="0"/>
                <w:color w:val="auto"/>
                <w:kern w:val="21"/>
                <w:szCs w:val="21"/>
              </w:rPr>
              <w:t>a</w:t>
            </w:r>
          </w:p>
        </w:tc>
        <w:tc>
          <w:tcPr>
            <w:tcW w:w="1478" w:type="dxa"/>
            <w:vAlign w:val="center"/>
          </w:tcPr>
          <w:p w14:paraId="66E57C63">
            <w:pPr>
              <w:pStyle w:val="34"/>
              <w:spacing w:beforeLines="0" w:afterLines="0" w:line="240" w:lineRule="auto"/>
              <w:rPr>
                <w:rFonts w:hint="eastAsia" w:ascii="Times New Roman" w:eastAsia="宋体"/>
                <w:snapToGrid w:val="0"/>
                <w:color w:val="auto"/>
                <w:kern w:val="21"/>
                <w:szCs w:val="21"/>
                <w:lang w:eastAsia="zh-CN"/>
              </w:rPr>
            </w:pPr>
            <w:r>
              <w:rPr>
                <w:rFonts w:ascii="Times New Roman"/>
                <w:color w:val="auto"/>
              </w:rPr>
              <w:t>5 t/a</w:t>
            </w:r>
          </w:p>
        </w:tc>
        <w:tc>
          <w:tcPr>
            <w:tcW w:w="1478" w:type="dxa"/>
            <w:vAlign w:val="center"/>
          </w:tcPr>
          <w:p w14:paraId="0EF359D4">
            <w:pPr>
              <w:pStyle w:val="3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10</w:t>
            </w:r>
            <w:r>
              <w:rPr>
                <w:rFonts w:hint="eastAsia" w:ascii="Times New Roman"/>
                <w:snapToGrid w:val="0"/>
                <w:color w:val="auto"/>
                <w:kern w:val="21"/>
                <w:szCs w:val="21"/>
              </w:rPr>
              <w:t>t</w:t>
            </w:r>
            <w:r>
              <w:rPr>
                <w:rFonts w:ascii="Times New Roman"/>
                <w:snapToGrid w:val="0"/>
                <w:color w:val="auto"/>
                <w:kern w:val="21"/>
                <w:szCs w:val="21"/>
              </w:rPr>
              <w:t>/</w:t>
            </w:r>
            <w:r>
              <w:rPr>
                <w:rFonts w:hint="eastAsia" w:ascii="Times New Roman"/>
                <w:snapToGrid w:val="0"/>
                <w:color w:val="auto"/>
                <w:kern w:val="21"/>
                <w:szCs w:val="21"/>
              </w:rPr>
              <w:t>a</w:t>
            </w:r>
          </w:p>
        </w:tc>
        <w:tc>
          <w:tcPr>
            <w:tcW w:w="1479" w:type="dxa"/>
            <w:vAlign w:val="center"/>
          </w:tcPr>
          <w:p w14:paraId="5B53AC66">
            <w:pPr>
              <w:pStyle w:val="34"/>
              <w:spacing w:beforeLines="0" w:afterLines="0" w:line="240" w:lineRule="auto"/>
              <w:rPr>
                <w:rFonts w:hint="eastAsia"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0</w:t>
            </w:r>
          </w:p>
        </w:tc>
      </w:tr>
    </w:tbl>
    <w:p w14:paraId="17582166">
      <w:pPr>
        <w:pStyle w:val="34"/>
        <w:spacing w:before="192" w:beforeLines="80" w:after="24"/>
        <w:jc w:val="left"/>
        <w:rPr>
          <w:rFonts w:ascii="Times New Roman"/>
          <w:snapToGrid w:val="0"/>
          <w:color w:val="auto"/>
          <w:spacing w:val="-6"/>
          <w:kern w:val="21"/>
          <w:szCs w:val="21"/>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hint="eastAsia" w:hAnsi="宋体" w:cs="宋体"/>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hint="eastAsia" w:hAnsi="宋体" w:cs="宋体"/>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hint="eastAsia" w:hAnsi="宋体" w:cs="宋体"/>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hint="eastAsia" w:hAnsi="宋体" w:cs="宋体"/>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p>
    <w:p w14:paraId="5AC30875">
      <w:pPr>
        <w:rPr>
          <w:color w:val="auto"/>
        </w:rPr>
        <w:sectPr>
          <w:footerReference r:id="rId10" w:type="default"/>
          <w:pgSz w:w="16838" w:h="11906" w:orient="landscape"/>
          <w:pgMar w:top="1701" w:right="1531" w:bottom="1701" w:left="1531" w:header="851" w:footer="851" w:gutter="0"/>
          <w:cols w:space="720" w:num="1"/>
          <w:docGrid w:linePitch="312" w:charSpace="0"/>
        </w:sectPr>
      </w:pPr>
    </w:p>
    <w:p w14:paraId="0790EF26">
      <w:pPr>
        <w:adjustRightInd w:val="0"/>
        <w:snapToGrid w:val="0"/>
        <w:outlineLvl w:val="0"/>
        <w:rPr>
          <w:rFonts w:eastAsia="黑体"/>
          <w:b/>
          <w:bCs/>
          <w:color w:val="auto"/>
          <w:sz w:val="32"/>
          <w:szCs w:val="32"/>
        </w:rPr>
      </w:pPr>
      <w:r>
        <w:rPr>
          <w:rFonts w:eastAsia="黑体"/>
          <w:b/>
          <w:bCs/>
          <w:color w:val="auto"/>
          <w:sz w:val="32"/>
          <w:szCs w:val="32"/>
        </w:rPr>
        <w:t>附件</w:t>
      </w:r>
    </w:p>
    <w:p w14:paraId="59CE01B5">
      <w:pPr>
        <w:autoSpaceDE w:val="0"/>
        <w:autoSpaceDN w:val="0"/>
        <w:adjustRightInd w:val="0"/>
        <w:snapToGrid w:val="0"/>
        <w:outlineLvl w:val="1"/>
        <w:rPr>
          <w:b/>
          <w:bCs/>
          <w:color w:val="auto"/>
        </w:rPr>
      </w:pPr>
      <w:r>
        <w:rPr>
          <w:b/>
          <w:bCs/>
          <w:color w:val="auto"/>
        </w:rPr>
        <w:t>附件1：项目委托书</w:t>
      </w:r>
    </w:p>
    <w:p w14:paraId="217E70BD">
      <w:pPr>
        <w:rPr>
          <w:color w:val="auto"/>
        </w:rPr>
      </w:pPr>
      <w:r>
        <w:drawing>
          <wp:inline distT="0" distB="0" distL="114300" distR="114300">
            <wp:extent cx="5234305" cy="6567805"/>
            <wp:effectExtent l="0" t="0" r="4445" b="444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24"/>
                    <a:srcRect l="7437" t="10625" b="13185"/>
                    <a:stretch>
                      <a:fillRect/>
                    </a:stretch>
                  </pic:blipFill>
                  <pic:spPr>
                    <a:xfrm>
                      <a:off x="0" y="0"/>
                      <a:ext cx="5234305" cy="6567805"/>
                    </a:xfrm>
                    <a:prstGeom prst="rect">
                      <a:avLst/>
                    </a:prstGeom>
                    <a:noFill/>
                    <a:ln>
                      <a:noFill/>
                    </a:ln>
                  </pic:spPr>
                </pic:pic>
              </a:graphicData>
            </a:graphic>
          </wp:inline>
        </w:drawing>
      </w:r>
    </w:p>
    <w:p w14:paraId="47F290F9">
      <w:pPr>
        <w:adjustRightInd w:val="0"/>
        <w:snapToGrid w:val="0"/>
        <w:rPr>
          <w:b/>
          <w:bCs/>
          <w:color w:val="auto"/>
        </w:rPr>
        <w:sectPr>
          <w:footerReference r:id="rId11" w:type="default"/>
          <w:pgSz w:w="11906" w:h="16838"/>
          <w:pgMar w:top="1440" w:right="1800" w:bottom="1440" w:left="1800" w:header="851" w:footer="851" w:gutter="0"/>
          <w:cols w:space="720" w:num="1"/>
          <w:docGrid w:linePitch="326" w:charSpace="0"/>
        </w:sectPr>
      </w:pPr>
    </w:p>
    <w:p w14:paraId="44067AC4">
      <w:pPr>
        <w:autoSpaceDE w:val="0"/>
        <w:autoSpaceDN w:val="0"/>
        <w:adjustRightInd w:val="0"/>
        <w:snapToGrid w:val="0"/>
        <w:outlineLvl w:val="1"/>
        <w:rPr>
          <w:b/>
          <w:bCs/>
          <w:color w:val="auto"/>
        </w:rPr>
      </w:pPr>
      <w:r>
        <w:rPr>
          <w:b/>
          <w:bCs/>
          <w:color w:val="auto"/>
        </w:rPr>
        <w:t>附件2：</w:t>
      </w:r>
      <w:r>
        <w:rPr>
          <w:rFonts w:hint="eastAsia"/>
          <w:b/>
          <w:bCs/>
          <w:color w:val="auto"/>
        </w:rPr>
        <w:t>环评批复</w:t>
      </w:r>
    </w:p>
    <w:p w14:paraId="4BF63BE1">
      <w:pPr>
        <w:adjustRightInd w:val="0"/>
        <w:snapToGrid w:val="0"/>
        <w:jc w:val="center"/>
        <w:rPr>
          <w:b/>
          <w:bCs/>
          <w:color w:val="auto"/>
        </w:rPr>
      </w:pPr>
      <w:r>
        <w:rPr>
          <w:color w:val="auto"/>
        </w:rPr>
        <w:drawing>
          <wp:inline distT="0" distB="0" distL="0" distR="0">
            <wp:extent cx="5213350" cy="7374255"/>
            <wp:effectExtent l="0" t="0" r="6350" b="0"/>
            <wp:docPr id="121"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3.jpeg"/>
                    <pic:cNvPicPr>
                      <a:picLocks noChangeAspect="1"/>
                    </pic:cNvPicPr>
                  </pic:nvPicPr>
                  <pic:blipFill>
                    <a:blip r:embed="rId25" cstate="print"/>
                    <a:stretch>
                      <a:fillRect/>
                    </a:stretch>
                  </pic:blipFill>
                  <pic:spPr>
                    <a:xfrm>
                      <a:off x="0" y="0"/>
                      <a:ext cx="5213350" cy="7374255"/>
                    </a:xfrm>
                    <a:prstGeom prst="rect">
                      <a:avLst/>
                    </a:prstGeom>
                  </pic:spPr>
                </pic:pic>
              </a:graphicData>
            </a:graphic>
          </wp:inline>
        </w:drawing>
      </w:r>
    </w:p>
    <w:p w14:paraId="635F9C57">
      <w:pPr>
        <w:adjustRightInd w:val="0"/>
        <w:snapToGrid w:val="0"/>
        <w:jc w:val="center"/>
        <w:rPr>
          <w:b/>
          <w:bCs/>
          <w:color w:val="auto"/>
        </w:rPr>
        <w:sectPr>
          <w:pgSz w:w="11906" w:h="16838"/>
          <w:pgMar w:top="1440" w:right="1800" w:bottom="1440" w:left="1800" w:header="851" w:footer="851" w:gutter="0"/>
          <w:cols w:space="720" w:num="1"/>
          <w:docGrid w:linePitch="326" w:charSpace="0"/>
        </w:sectPr>
      </w:pPr>
      <w:r>
        <w:rPr>
          <w:color w:val="auto"/>
        </w:rPr>
        <w:drawing>
          <wp:inline distT="0" distB="0" distL="0" distR="0">
            <wp:extent cx="5205095" cy="7077710"/>
            <wp:effectExtent l="0" t="0" r="0" b="8890"/>
            <wp:docPr id="123"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84.jpeg"/>
                    <pic:cNvPicPr>
                      <a:picLocks noChangeAspect="1"/>
                    </pic:cNvPicPr>
                  </pic:nvPicPr>
                  <pic:blipFill>
                    <a:blip r:embed="rId26" cstate="print"/>
                    <a:stretch>
                      <a:fillRect/>
                    </a:stretch>
                  </pic:blipFill>
                  <pic:spPr>
                    <a:xfrm>
                      <a:off x="0" y="0"/>
                      <a:ext cx="5205095" cy="7077710"/>
                    </a:xfrm>
                    <a:prstGeom prst="rect">
                      <a:avLst/>
                    </a:prstGeom>
                  </pic:spPr>
                </pic:pic>
              </a:graphicData>
            </a:graphic>
          </wp:inline>
        </w:drawing>
      </w:r>
      <w:r>
        <w:rPr>
          <w:color w:val="auto"/>
        </w:rPr>
        <w:t xml:space="preserve"> </w:t>
      </w:r>
      <w:r>
        <w:rPr>
          <w:color w:val="auto"/>
        </w:rPr>
        <w:drawing>
          <wp:inline distT="0" distB="0" distL="0" distR="0">
            <wp:extent cx="5274310" cy="7200900"/>
            <wp:effectExtent l="0" t="0" r="2540" b="0"/>
            <wp:docPr id="12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85.jpeg"/>
                    <pic:cNvPicPr>
                      <a:picLocks noChangeAspect="1"/>
                    </pic:cNvPicPr>
                  </pic:nvPicPr>
                  <pic:blipFill>
                    <a:blip r:embed="rId27" cstate="print"/>
                    <a:stretch>
                      <a:fillRect/>
                    </a:stretch>
                  </pic:blipFill>
                  <pic:spPr>
                    <a:xfrm>
                      <a:off x="0" y="0"/>
                      <a:ext cx="5274310" cy="7200900"/>
                    </a:xfrm>
                    <a:prstGeom prst="rect">
                      <a:avLst/>
                    </a:prstGeom>
                  </pic:spPr>
                </pic:pic>
              </a:graphicData>
            </a:graphic>
          </wp:inline>
        </w:drawing>
      </w:r>
      <w:r>
        <w:rPr>
          <w:color w:val="auto"/>
        </w:rPr>
        <w:t xml:space="preserve"> </w:t>
      </w:r>
      <w:r>
        <w:rPr>
          <w:color w:val="auto"/>
        </w:rPr>
        <w:drawing>
          <wp:inline distT="0" distB="0" distL="0" distR="0">
            <wp:extent cx="5266055" cy="7460615"/>
            <wp:effectExtent l="0" t="0" r="0" b="6985"/>
            <wp:docPr id="127"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86.jpeg"/>
                    <pic:cNvPicPr>
                      <a:picLocks noChangeAspect="1"/>
                    </pic:cNvPicPr>
                  </pic:nvPicPr>
                  <pic:blipFill>
                    <a:blip r:embed="rId28" cstate="print"/>
                    <a:stretch>
                      <a:fillRect/>
                    </a:stretch>
                  </pic:blipFill>
                  <pic:spPr>
                    <a:xfrm>
                      <a:off x="0" y="0"/>
                      <a:ext cx="5266055" cy="7460615"/>
                    </a:xfrm>
                    <a:prstGeom prst="rect">
                      <a:avLst/>
                    </a:prstGeom>
                  </pic:spPr>
                </pic:pic>
              </a:graphicData>
            </a:graphic>
          </wp:inline>
        </w:drawing>
      </w:r>
      <w:r>
        <w:rPr>
          <w:color w:val="auto"/>
        </w:rPr>
        <w:t xml:space="preserve"> </w:t>
      </w:r>
      <w:r>
        <w:rPr>
          <w:color w:val="auto"/>
        </w:rPr>
        <w:drawing>
          <wp:inline distT="0" distB="0" distL="0" distR="0">
            <wp:extent cx="5212080" cy="7320915"/>
            <wp:effectExtent l="0" t="0" r="7620" b="0"/>
            <wp:docPr id="12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87.jpeg"/>
                    <pic:cNvPicPr>
                      <a:picLocks noChangeAspect="1"/>
                    </pic:cNvPicPr>
                  </pic:nvPicPr>
                  <pic:blipFill>
                    <a:blip r:embed="rId29" cstate="print"/>
                    <a:stretch>
                      <a:fillRect/>
                    </a:stretch>
                  </pic:blipFill>
                  <pic:spPr>
                    <a:xfrm>
                      <a:off x="0" y="0"/>
                      <a:ext cx="5212080" cy="7320915"/>
                    </a:xfrm>
                    <a:prstGeom prst="rect">
                      <a:avLst/>
                    </a:prstGeom>
                  </pic:spPr>
                </pic:pic>
              </a:graphicData>
            </a:graphic>
          </wp:inline>
        </w:drawing>
      </w:r>
      <w:r>
        <w:rPr>
          <w:color w:val="auto"/>
        </w:rPr>
        <w:t xml:space="preserve"> </w:t>
      </w:r>
      <w:r>
        <w:rPr>
          <w:color w:val="auto"/>
        </w:rPr>
        <w:drawing>
          <wp:inline distT="0" distB="0" distL="0" distR="0">
            <wp:extent cx="5212080" cy="7465695"/>
            <wp:effectExtent l="0" t="0" r="7620" b="1905"/>
            <wp:docPr id="13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88.jpeg"/>
                    <pic:cNvPicPr>
                      <a:picLocks noChangeAspect="1"/>
                    </pic:cNvPicPr>
                  </pic:nvPicPr>
                  <pic:blipFill>
                    <a:blip r:embed="rId30" cstate="print"/>
                    <a:stretch>
                      <a:fillRect/>
                    </a:stretch>
                  </pic:blipFill>
                  <pic:spPr>
                    <a:xfrm>
                      <a:off x="0" y="0"/>
                      <a:ext cx="5212080" cy="7465695"/>
                    </a:xfrm>
                    <a:prstGeom prst="rect">
                      <a:avLst/>
                    </a:prstGeom>
                  </pic:spPr>
                </pic:pic>
              </a:graphicData>
            </a:graphic>
          </wp:inline>
        </w:drawing>
      </w:r>
    </w:p>
    <w:p w14:paraId="65810795">
      <w:pPr>
        <w:autoSpaceDE w:val="0"/>
        <w:autoSpaceDN w:val="0"/>
        <w:adjustRightInd w:val="0"/>
        <w:snapToGrid w:val="0"/>
        <w:outlineLvl w:val="1"/>
        <w:rPr>
          <w:b/>
          <w:bCs/>
          <w:color w:val="auto"/>
        </w:rPr>
      </w:pPr>
      <w:r>
        <w:rPr>
          <w:b/>
          <w:bCs/>
          <w:color w:val="auto"/>
        </w:rPr>
        <w:t>附件3：</w:t>
      </w:r>
      <w:r>
        <w:rPr>
          <w:rFonts w:hint="eastAsia"/>
          <w:b/>
          <w:bCs/>
          <w:color w:val="auto"/>
        </w:rPr>
        <w:t>验收意见</w:t>
      </w:r>
    </w:p>
    <w:p w14:paraId="40CB95F5">
      <w:pPr>
        <w:rPr>
          <w:b/>
          <w:bCs/>
          <w:color w:val="auto"/>
        </w:rPr>
      </w:pPr>
    </w:p>
    <w:p w14:paraId="70CE91B0">
      <w:pPr>
        <w:rPr>
          <w:b/>
          <w:bCs/>
          <w:color w:val="auto"/>
        </w:rPr>
        <w:sectPr>
          <w:pgSz w:w="11906" w:h="16838"/>
          <w:pgMar w:top="1440" w:right="1800" w:bottom="1440" w:left="1800" w:header="851" w:footer="851" w:gutter="0"/>
          <w:cols w:space="720" w:num="1"/>
          <w:docGrid w:linePitch="326" w:charSpace="0"/>
        </w:sectPr>
      </w:pPr>
      <w:r>
        <w:rPr>
          <w:color w:val="auto"/>
        </w:rPr>
        <w:drawing>
          <wp:inline distT="0" distB="0" distL="0" distR="0">
            <wp:extent cx="5274310" cy="7571105"/>
            <wp:effectExtent l="0" t="0" r="2540" b="0"/>
            <wp:docPr id="1455418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18642" name="图片 1"/>
                    <pic:cNvPicPr>
                      <a:picLocks noChangeAspect="1"/>
                    </pic:cNvPicPr>
                  </pic:nvPicPr>
                  <pic:blipFill>
                    <a:blip r:embed="rId31"/>
                    <a:stretch>
                      <a:fillRect/>
                    </a:stretch>
                  </pic:blipFill>
                  <pic:spPr>
                    <a:xfrm>
                      <a:off x="0" y="0"/>
                      <a:ext cx="5274310" cy="7571105"/>
                    </a:xfrm>
                    <a:prstGeom prst="rect">
                      <a:avLst/>
                    </a:prstGeom>
                  </pic:spPr>
                </pic:pic>
              </a:graphicData>
            </a:graphic>
          </wp:inline>
        </w:drawing>
      </w:r>
      <w:r>
        <w:rPr>
          <w:color w:val="auto"/>
        </w:rPr>
        <w:t xml:space="preserve"> </w:t>
      </w:r>
      <w:r>
        <w:rPr>
          <w:color w:val="auto"/>
        </w:rPr>
        <w:drawing>
          <wp:inline distT="0" distB="0" distL="0" distR="0">
            <wp:extent cx="5274310" cy="7621270"/>
            <wp:effectExtent l="0" t="0" r="2540" b="0"/>
            <wp:docPr id="261456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56800" name="图片 1"/>
                    <pic:cNvPicPr>
                      <a:picLocks noChangeAspect="1"/>
                    </pic:cNvPicPr>
                  </pic:nvPicPr>
                  <pic:blipFill>
                    <a:blip r:embed="rId32"/>
                    <a:stretch>
                      <a:fillRect/>
                    </a:stretch>
                  </pic:blipFill>
                  <pic:spPr>
                    <a:xfrm>
                      <a:off x="0" y="0"/>
                      <a:ext cx="5274310" cy="7621270"/>
                    </a:xfrm>
                    <a:prstGeom prst="rect">
                      <a:avLst/>
                    </a:prstGeom>
                  </pic:spPr>
                </pic:pic>
              </a:graphicData>
            </a:graphic>
          </wp:inline>
        </w:drawing>
      </w:r>
      <w:r>
        <w:rPr>
          <w:color w:val="auto"/>
        </w:rPr>
        <w:t xml:space="preserve"> </w:t>
      </w:r>
      <w:r>
        <w:rPr>
          <w:color w:val="auto"/>
        </w:rPr>
        <w:drawing>
          <wp:inline distT="0" distB="0" distL="0" distR="0">
            <wp:extent cx="5274310" cy="7535545"/>
            <wp:effectExtent l="0" t="0" r="2540" b="8255"/>
            <wp:docPr id="2023934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34542" name="图片 1"/>
                    <pic:cNvPicPr>
                      <a:picLocks noChangeAspect="1"/>
                    </pic:cNvPicPr>
                  </pic:nvPicPr>
                  <pic:blipFill>
                    <a:blip r:embed="rId33"/>
                    <a:stretch>
                      <a:fillRect/>
                    </a:stretch>
                  </pic:blipFill>
                  <pic:spPr>
                    <a:xfrm>
                      <a:off x="0" y="0"/>
                      <a:ext cx="5274310" cy="7535545"/>
                    </a:xfrm>
                    <a:prstGeom prst="rect">
                      <a:avLst/>
                    </a:prstGeom>
                  </pic:spPr>
                </pic:pic>
              </a:graphicData>
            </a:graphic>
          </wp:inline>
        </w:drawing>
      </w:r>
      <w:r>
        <w:rPr>
          <w:color w:val="auto"/>
        </w:rPr>
        <w:t xml:space="preserve"> </w:t>
      </w:r>
      <w:r>
        <w:rPr>
          <w:color w:val="auto"/>
        </w:rPr>
        <w:drawing>
          <wp:inline distT="0" distB="0" distL="0" distR="0">
            <wp:extent cx="5274310" cy="7670800"/>
            <wp:effectExtent l="0" t="0" r="2540" b="6350"/>
            <wp:docPr id="10793525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52521" name="图片 1"/>
                    <pic:cNvPicPr>
                      <a:picLocks noChangeAspect="1"/>
                    </pic:cNvPicPr>
                  </pic:nvPicPr>
                  <pic:blipFill>
                    <a:blip r:embed="rId34"/>
                    <a:stretch>
                      <a:fillRect/>
                    </a:stretch>
                  </pic:blipFill>
                  <pic:spPr>
                    <a:xfrm>
                      <a:off x="0" y="0"/>
                      <a:ext cx="5274310" cy="7670800"/>
                    </a:xfrm>
                    <a:prstGeom prst="rect">
                      <a:avLst/>
                    </a:prstGeom>
                  </pic:spPr>
                </pic:pic>
              </a:graphicData>
            </a:graphic>
          </wp:inline>
        </w:drawing>
      </w:r>
      <w:r>
        <w:rPr>
          <w:color w:val="auto"/>
        </w:rPr>
        <w:t xml:space="preserve"> </w:t>
      </w:r>
      <w:r>
        <w:rPr>
          <w:color w:val="auto"/>
        </w:rPr>
        <w:drawing>
          <wp:inline distT="0" distB="0" distL="0" distR="0">
            <wp:extent cx="5274310" cy="7507605"/>
            <wp:effectExtent l="0" t="0" r="2540" b="0"/>
            <wp:docPr id="649609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09802" name="图片 1"/>
                    <pic:cNvPicPr>
                      <a:picLocks noChangeAspect="1"/>
                    </pic:cNvPicPr>
                  </pic:nvPicPr>
                  <pic:blipFill>
                    <a:blip r:embed="rId35"/>
                    <a:stretch>
                      <a:fillRect/>
                    </a:stretch>
                  </pic:blipFill>
                  <pic:spPr>
                    <a:xfrm>
                      <a:off x="0" y="0"/>
                      <a:ext cx="5274310" cy="7507605"/>
                    </a:xfrm>
                    <a:prstGeom prst="rect">
                      <a:avLst/>
                    </a:prstGeom>
                  </pic:spPr>
                </pic:pic>
              </a:graphicData>
            </a:graphic>
          </wp:inline>
        </w:drawing>
      </w:r>
      <w:r>
        <w:rPr>
          <w:color w:val="auto"/>
        </w:rPr>
        <w:t xml:space="preserve"> </w:t>
      </w:r>
      <w:r>
        <w:rPr>
          <w:color w:val="auto"/>
        </w:rPr>
        <w:drawing>
          <wp:inline distT="0" distB="0" distL="0" distR="0">
            <wp:extent cx="5274310" cy="7783195"/>
            <wp:effectExtent l="0" t="0" r="2540" b="8255"/>
            <wp:docPr id="1543538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38459" name="图片 1"/>
                    <pic:cNvPicPr>
                      <a:picLocks noChangeAspect="1"/>
                    </pic:cNvPicPr>
                  </pic:nvPicPr>
                  <pic:blipFill>
                    <a:blip r:embed="rId36"/>
                    <a:stretch>
                      <a:fillRect/>
                    </a:stretch>
                  </pic:blipFill>
                  <pic:spPr>
                    <a:xfrm>
                      <a:off x="0" y="0"/>
                      <a:ext cx="5274310" cy="7783195"/>
                    </a:xfrm>
                    <a:prstGeom prst="rect">
                      <a:avLst/>
                    </a:prstGeom>
                  </pic:spPr>
                </pic:pic>
              </a:graphicData>
            </a:graphic>
          </wp:inline>
        </w:drawing>
      </w:r>
      <w:r>
        <w:rPr>
          <w:color w:val="auto"/>
        </w:rPr>
        <w:t xml:space="preserve"> </w:t>
      </w:r>
      <w:r>
        <w:rPr>
          <w:color w:val="auto"/>
        </w:rPr>
        <w:drawing>
          <wp:inline distT="0" distB="0" distL="0" distR="0">
            <wp:extent cx="5274310" cy="7606665"/>
            <wp:effectExtent l="0" t="0" r="2540" b="0"/>
            <wp:docPr id="829401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01561" name="图片 1"/>
                    <pic:cNvPicPr>
                      <a:picLocks noChangeAspect="1"/>
                    </pic:cNvPicPr>
                  </pic:nvPicPr>
                  <pic:blipFill>
                    <a:blip r:embed="rId37"/>
                    <a:stretch>
                      <a:fillRect/>
                    </a:stretch>
                  </pic:blipFill>
                  <pic:spPr>
                    <a:xfrm>
                      <a:off x="0" y="0"/>
                      <a:ext cx="5274310" cy="7606665"/>
                    </a:xfrm>
                    <a:prstGeom prst="rect">
                      <a:avLst/>
                    </a:prstGeom>
                  </pic:spPr>
                </pic:pic>
              </a:graphicData>
            </a:graphic>
          </wp:inline>
        </w:drawing>
      </w:r>
      <w:r>
        <w:rPr>
          <w:color w:val="auto"/>
        </w:rPr>
        <w:t xml:space="preserve"> </w:t>
      </w:r>
      <w:r>
        <w:rPr>
          <w:color w:val="auto"/>
        </w:rPr>
        <w:drawing>
          <wp:inline distT="0" distB="0" distL="0" distR="0">
            <wp:extent cx="5274310" cy="7564120"/>
            <wp:effectExtent l="0" t="0" r="2540" b="0"/>
            <wp:docPr id="11935250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25019" name="图片 1"/>
                    <pic:cNvPicPr>
                      <a:picLocks noChangeAspect="1"/>
                    </pic:cNvPicPr>
                  </pic:nvPicPr>
                  <pic:blipFill>
                    <a:blip r:embed="rId38"/>
                    <a:stretch>
                      <a:fillRect/>
                    </a:stretch>
                  </pic:blipFill>
                  <pic:spPr>
                    <a:xfrm>
                      <a:off x="0" y="0"/>
                      <a:ext cx="5274310" cy="7564120"/>
                    </a:xfrm>
                    <a:prstGeom prst="rect">
                      <a:avLst/>
                    </a:prstGeom>
                  </pic:spPr>
                </pic:pic>
              </a:graphicData>
            </a:graphic>
          </wp:inline>
        </w:drawing>
      </w:r>
      <w:r>
        <w:rPr>
          <w:color w:val="auto"/>
        </w:rPr>
        <w:t xml:space="preserve"> </w:t>
      </w:r>
      <w:r>
        <w:rPr>
          <w:color w:val="auto"/>
        </w:rPr>
        <w:drawing>
          <wp:inline distT="0" distB="0" distL="0" distR="0">
            <wp:extent cx="5274310" cy="7690485"/>
            <wp:effectExtent l="0" t="0" r="2540" b="5715"/>
            <wp:docPr id="15145158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15808" name="图片 1"/>
                    <pic:cNvPicPr>
                      <a:picLocks noChangeAspect="1"/>
                    </pic:cNvPicPr>
                  </pic:nvPicPr>
                  <pic:blipFill>
                    <a:blip r:embed="rId39"/>
                    <a:stretch>
                      <a:fillRect/>
                    </a:stretch>
                  </pic:blipFill>
                  <pic:spPr>
                    <a:xfrm>
                      <a:off x="0" y="0"/>
                      <a:ext cx="5274310" cy="7690485"/>
                    </a:xfrm>
                    <a:prstGeom prst="rect">
                      <a:avLst/>
                    </a:prstGeom>
                  </pic:spPr>
                </pic:pic>
              </a:graphicData>
            </a:graphic>
          </wp:inline>
        </w:drawing>
      </w:r>
    </w:p>
    <w:p w14:paraId="2BA70471">
      <w:pPr>
        <w:autoSpaceDE w:val="0"/>
        <w:autoSpaceDN w:val="0"/>
        <w:adjustRightInd w:val="0"/>
        <w:snapToGrid w:val="0"/>
        <w:outlineLvl w:val="1"/>
        <w:rPr>
          <w:b/>
          <w:bCs/>
          <w:color w:val="auto"/>
        </w:rPr>
      </w:pPr>
      <w:r>
        <w:rPr>
          <w:b/>
          <w:bCs/>
          <w:color w:val="auto"/>
        </w:rPr>
        <w:t>附件4：</w:t>
      </w:r>
      <w:r>
        <w:rPr>
          <w:rFonts w:hint="eastAsia"/>
          <w:b/>
          <w:bCs/>
          <w:color w:val="auto"/>
        </w:rPr>
        <w:t>排污许可证</w:t>
      </w:r>
    </w:p>
    <w:p w14:paraId="7000B1AD">
      <w:pPr>
        <w:rPr>
          <w:color w:val="auto"/>
        </w:rPr>
      </w:pPr>
      <w:r>
        <w:rPr>
          <w:color w:val="auto"/>
        </w:rPr>
        <w:drawing>
          <wp:inline distT="0" distB="0" distL="0" distR="0">
            <wp:extent cx="5191125" cy="3674110"/>
            <wp:effectExtent l="0" t="0" r="9525" b="2540"/>
            <wp:docPr id="207"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32.jpeg"/>
                    <pic:cNvPicPr>
                      <a:picLocks noChangeAspect="1"/>
                    </pic:cNvPicPr>
                  </pic:nvPicPr>
                  <pic:blipFill>
                    <a:blip r:embed="rId40" cstate="print"/>
                    <a:stretch>
                      <a:fillRect/>
                    </a:stretch>
                  </pic:blipFill>
                  <pic:spPr>
                    <a:xfrm>
                      <a:off x="0" y="0"/>
                      <a:ext cx="5191125" cy="3674110"/>
                    </a:xfrm>
                    <a:prstGeom prst="rect">
                      <a:avLst/>
                    </a:prstGeom>
                  </pic:spPr>
                </pic:pic>
              </a:graphicData>
            </a:graphic>
          </wp:inline>
        </w:drawing>
      </w:r>
    </w:p>
    <w:p w14:paraId="1E21C1C9">
      <w:pPr>
        <w:rPr>
          <w:b/>
          <w:bCs/>
          <w:color w:val="auto"/>
        </w:rPr>
        <w:sectPr>
          <w:pgSz w:w="11906" w:h="16838"/>
          <w:pgMar w:top="1440" w:right="1800" w:bottom="1440" w:left="1800" w:header="851" w:footer="851" w:gutter="0"/>
          <w:cols w:space="720" w:num="1"/>
          <w:docGrid w:linePitch="326" w:charSpace="0"/>
        </w:sectPr>
      </w:pPr>
    </w:p>
    <w:p w14:paraId="47CE0642">
      <w:pPr>
        <w:autoSpaceDE w:val="0"/>
        <w:autoSpaceDN w:val="0"/>
        <w:adjustRightInd w:val="0"/>
        <w:snapToGrid w:val="0"/>
        <w:outlineLvl w:val="1"/>
        <w:rPr>
          <w:b/>
          <w:bCs/>
          <w:color w:val="auto"/>
        </w:rPr>
      </w:pPr>
      <w:r>
        <w:rPr>
          <w:b/>
          <w:bCs/>
          <w:color w:val="auto"/>
        </w:rPr>
        <w:t>附件5：</w:t>
      </w:r>
      <w:r>
        <w:rPr>
          <w:rFonts w:hint="eastAsia"/>
          <w:b/>
          <w:bCs/>
          <w:color w:val="auto"/>
        </w:rPr>
        <w:t>应急预案备案文件</w:t>
      </w:r>
      <w:r>
        <w:rPr>
          <w:b/>
          <w:bCs/>
          <w:color w:val="auto"/>
        </w:rPr>
        <w:t xml:space="preserve"> </w:t>
      </w:r>
    </w:p>
    <w:p w14:paraId="6714DE0F">
      <w:pPr>
        <w:rPr>
          <w:color w:val="auto"/>
        </w:rPr>
      </w:pPr>
    </w:p>
    <w:p w14:paraId="0002D8DA">
      <w:pPr>
        <w:adjustRightInd w:val="0"/>
        <w:snapToGrid w:val="0"/>
        <w:rPr>
          <w:color w:val="auto"/>
        </w:rPr>
      </w:pPr>
      <w:r>
        <w:rPr>
          <w:color w:val="auto"/>
        </w:rPr>
        <w:drawing>
          <wp:inline distT="0" distB="0" distL="0" distR="0">
            <wp:extent cx="5261610" cy="7392035"/>
            <wp:effectExtent l="0" t="0" r="0" b="0"/>
            <wp:docPr id="133"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89.jpeg"/>
                    <pic:cNvPicPr>
                      <a:picLocks noChangeAspect="1"/>
                    </pic:cNvPicPr>
                  </pic:nvPicPr>
                  <pic:blipFill>
                    <a:blip r:embed="rId41" cstate="print"/>
                    <a:stretch>
                      <a:fillRect/>
                    </a:stretch>
                  </pic:blipFill>
                  <pic:spPr>
                    <a:xfrm>
                      <a:off x="0" y="0"/>
                      <a:ext cx="5261610" cy="7392035"/>
                    </a:xfrm>
                    <a:prstGeom prst="rect">
                      <a:avLst/>
                    </a:prstGeom>
                  </pic:spPr>
                </pic:pic>
              </a:graphicData>
            </a:graphic>
          </wp:inline>
        </w:drawing>
      </w:r>
      <w:r>
        <w:rPr>
          <w:color w:val="auto"/>
        </w:rPr>
        <w:t xml:space="preserve"> </w:t>
      </w:r>
      <w:r>
        <w:rPr>
          <w:color w:val="auto"/>
        </w:rPr>
        <w:drawing>
          <wp:inline distT="0" distB="0" distL="0" distR="0">
            <wp:extent cx="5189220" cy="7277735"/>
            <wp:effectExtent l="0" t="0" r="0" b="0"/>
            <wp:docPr id="13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90.jpeg"/>
                    <pic:cNvPicPr>
                      <a:picLocks noChangeAspect="1"/>
                    </pic:cNvPicPr>
                  </pic:nvPicPr>
                  <pic:blipFill>
                    <a:blip r:embed="rId42" cstate="print"/>
                    <a:stretch>
                      <a:fillRect/>
                    </a:stretch>
                  </pic:blipFill>
                  <pic:spPr>
                    <a:xfrm>
                      <a:off x="0" y="0"/>
                      <a:ext cx="5189220" cy="7277735"/>
                    </a:xfrm>
                    <a:prstGeom prst="rect">
                      <a:avLst/>
                    </a:prstGeom>
                  </pic:spPr>
                </pic:pic>
              </a:graphicData>
            </a:graphic>
          </wp:inline>
        </w:drawing>
      </w:r>
    </w:p>
    <w:p w14:paraId="41E01DC7">
      <w:pPr>
        <w:adjustRightInd w:val="0"/>
        <w:snapToGrid w:val="0"/>
        <w:rPr>
          <w:color w:val="auto"/>
        </w:rPr>
      </w:pPr>
    </w:p>
    <w:p w14:paraId="22A88B8F">
      <w:pPr>
        <w:adjustRightInd w:val="0"/>
        <w:snapToGrid w:val="0"/>
        <w:rPr>
          <w:color w:val="auto"/>
        </w:rPr>
      </w:pPr>
    </w:p>
    <w:p w14:paraId="555524AC">
      <w:pPr>
        <w:rPr>
          <w:b/>
          <w:bCs/>
          <w:color w:val="auto"/>
        </w:rPr>
      </w:pPr>
      <w:r>
        <w:rPr>
          <w:b/>
          <w:bCs/>
          <w:color w:val="auto"/>
        </w:rPr>
        <w:br w:type="page"/>
      </w:r>
    </w:p>
    <w:p w14:paraId="7AB703EA">
      <w:pPr>
        <w:autoSpaceDE w:val="0"/>
        <w:autoSpaceDN w:val="0"/>
        <w:adjustRightInd w:val="0"/>
        <w:snapToGrid w:val="0"/>
        <w:outlineLvl w:val="1"/>
        <w:rPr>
          <w:b/>
          <w:bCs/>
          <w:color w:val="auto"/>
        </w:rPr>
      </w:pPr>
      <w:r>
        <w:rPr>
          <w:b/>
          <w:bCs/>
          <w:color w:val="auto"/>
        </w:rPr>
        <w:t>附件</w:t>
      </w:r>
      <w:r>
        <w:rPr>
          <w:rFonts w:hint="eastAsia"/>
          <w:b/>
          <w:bCs/>
          <w:color w:val="auto"/>
          <w:lang w:val="en-US" w:eastAsia="zh-CN"/>
        </w:rPr>
        <w:t>6</w:t>
      </w:r>
      <w:r>
        <w:rPr>
          <w:b/>
          <w:bCs/>
          <w:color w:val="auto"/>
        </w:rPr>
        <w:t>：</w:t>
      </w:r>
      <w:r>
        <w:rPr>
          <w:rFonts w:hint="eastAsia"/>
          <w:b/>
          <w:bCs/>
          <w:color w:val="auto"/>
          <w:lang w:val="en-US" w:eastAsia="zh-CN"/>
        </w:rPr>
        <w:t>园区规划环评审查意见</w:t>
      </w:r>
      <w:r>
        <w:rPr>
          <w:b/>
          <w:bCs/>
          <w:color w:val="auto"/>
        </w:rPr>
        <w:t xml:space="preserve"> </w:t>
      </w:r>
    </w:p>
    <w:p w14:paraId="393CBAAB">
      <w:pPr>
        <w:adjustRightInd w:val="0"/>
        <w:snapToGrid w:val="0"/>
        <w:rPr>
          <w:color w:val="auto"/>
        </w:rPr>
      </w:pPr>
      <w:r>
        <w:drawing>
          <wp:inline distT="0" distB="0" distL="114300" distR="114300">
            <wp:extent cx="5260340" cy="7441565"/>
            <wp:effectExtent l="0" t="0" r="16510" b="698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43"/>
                    <a:stretch>
                      <a:fillRect/>
                    </a:stretch>
                  </pic:blipFill>
                  <pic:spPr>
                    <a:xfrm>
                      <a:off x="0" y="0"/>
                      <a:ext cx="5260340" cy="7441565"/>
                    </a:xfrm>
                    <a:prstGeom prst="rect">
                      <a:avLst/>
                    </a:prstGeom>
                    <a:noFill/>
                    <a:ln>
                      <a:noFill/>
                    </a:ln>
                  </pic:spPr>
                </pic:pic>
              </a:graphicData>
            </a:graphic>
          </wp:inline>
        </w:drawing>
      </w:r>
      <w:r>
        <w:drawing>
          <wp:inline distT="0" distB="0" distL="114300" distR="114300">
            <wp:extent cx="5260340" cy="7441565"/>
            <wp:effectExtent l="0" t="0" r="16510" b="6985"/>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44"/>
                    <a:stretch>
                      <a:fillRect/>
                    </a:stretch>
                  </pic:blipFill>
                  <pic:spPr>
                    <a:xfrm>
                      <a:off x="0" y="0"/>
                      <a:ext cx="5260340" cy="7441565"/>
                    </a:xfrm>
                    <a:prstGeom prst="rect">
                      <a:avLst/>
                    </a:prstGeom>
                    <a:noFill/>
                    <a:ln>
                      <a:noFill/>
                    </a:ln>
                  </pic:spPr>
                </pic:pic>
              </a:graphicData>
            </a:graphic>
          </wp:inline>
        </w:drawing>
      </w:r>
      <w:r>
        <w:drawing>
          <wp:inline distT="0" distB="0" distL="114300" distR="114300">
            <wp:extent cx="5260340" cy="7441565"/>
            <wp:effectExtent l="0" t="0" r="16510" b="6985"/>
            <wp:docPr id="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pic:cNvPicPr>
                      <a:picLocks noChangeAspect="1"/>
                    </pic:cNvPicPr>
                  </pic:nvPicPr>
                  <pic:blipFill>
                    <a:blip r:embed="rId45"/>
                    <a:stretch>
                      <a:fillRect/>
                    </a:stretch>
                  </pic:blipFill>
                  <pic:spPr>
                    <a:xfrm>
                      <a:off x="0" y="0"/>
                      <a:ext cx="5260340" cy="7441565"/>
                    </a:xfrm>
                    <a:prstGeom prst="rect">
                      <a:avLst/>
                    </a:prstGeom>
                    <a:noFill/>
                    <a:ln>
                      <a:noFill/>
                    </a:ln>
                  </pic:spPr>
                </pic:pic>
              </a:graphicData>
            </a:graphic>
          </wp:inline>
        </w:drawing>
      </w:r>
      <w:r>
        <w:drawing>
          <wp:inline distT="0" distB="0" distL="114300" distR="114300">
            <wp:extent cx="5260340" cy="7441565"/>
            <wp:effectExtent l="0" t="0" r="16510" b="6985"/>
            <wp:docPr id="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pic:cNvPicPr>
                      <a:picLocks noChangeAspect="1"/>
                    </pic:cNvPicPr>
                  </pic:nvPicPr>
                  <pic:blipFill>
                    <a:blip r:embed="rId46"/>
                    <a:stretch>
                      <a:fillRect/>
                    </a:stretch>
                  </pic:blipFill>
                  <pic:spPr>
                    <a:xfrm>
                      <a:off x="0" y="0"/>
                      <a:ext cx="5260340" cy="7441565"/>
                    </a:xfrm>
                    <a:prstGeom prst="rect">
                      <a:avLst/>
                    </a:prstGeom>
                    <a:noFill/>
                    <a:ln>
                      <a:noFill/>
                    </a:ln>
                  </pic:spPr>
                </pic:pic>
              </a:graphicData>
            </a:graphic>
          </wp:inline>
        </w:drawing>
      </w:r>
      <w:r>
        <w:drawing>
          <wp:inline distT="0" distB="0" distL="114300" distR="114300">
            <wp:extent cx="5260340" cy="7441565"/>
            <wp:effectExtent l="0" t="0" r="16510" b="6985"/>
            <wp:docPr id="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47"/>
                    <a:stretch>
                      <a:fillRect/>
                    </a:stretch>
                  </pic:blipFill>
                  <pic:spPr>
                    <a:xfrm>
                      <a:off x="0" y="0"/>
                      <a:ext cx="5260340" cy="7441565"/>
                    </a:xfrm>
                    <a:prstGeom prst="rect">
                      <a:avLst/>
                    </a:prstGeom>
                    <a:noFill/>
                    <a:ln>
                      <a:noFill/>
                    </a:ln>
                  </pic:spPr>
                </pic:pic>
              </a:graphicData>
            </a:graphic>
          </wp:inline>
        </w:drawing>
      </w:r>
      <w:r>
        <w:drawing>
          <wp:inline distT="0" distB="0" distL="114300" distR="114300">
            <wp:extent cx="5260340" cy="7441565"/>
            <wp:effectExtent l="0" t="0" r="16510" b="6985"/>
            <wp:docPr id="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3"/>
                    <pic:cNvPicPr>
                      <a:picLocks noChangeAspect="1"/>
                    </pic:cNvPicPr>
                  </pic:nvPicPr>
                  <pic:blipFill>
                    <a:blip r:embed="rId48"/>
                    <a:stretch>
                      <a:fillRect/>
                    </a:stretch>
                  </pic:blipFill>
                  <pic:spPr>
                    <a:xfrm>
                      <a:off x="0" y="0"/>
                      <a:ext cx="5260340" cy="7441565"/>
                    </a:xfrm>
                    <a:prstGeom prst="rect">
                      <a:avLst/>
                    </a:prstGeom>
                    <a:noFill/>
                    <a:ln>
                      <a:noFill/>
                    </a:ln>
                  </pic:spPr>
                </pic:pic>
              </a:graphicData>
            </a:graphic>
          </wp:inline>
        </w:drawing>
      </w:r>
    </w:p>
    <w:p w14:paraId="0CE01E30">
      <w:pPr>
        <w:adjustRightInd w:val="0"/>
        <w:snapToGrid w:val="0"/>
        <w:rPr>
          <w:color w:val="auto"/>
        </w:rPr>
      </w:pPr>
    </w:p>
    <w:p w14:paraId="73957048">
      <w:pPr>
        <w:adjustRightInd w:val="0"/>
        <w:snapToGrid w:val="0"/>
        <w:rPr>
          <w:color w:val="auto"/>
        </w:rPr>
      </w:pPr>
    </w:p>
    <w:p w14:paraId="12E4C26A">
      <w:pPr>
        <w:adjustRightInd w:val="0"/>
        <w:snapToGrid w:val="0"/>
        <w:rPr>
          <w:color w:val="auto"/>
        </w:rPr>
      </w:pPr>
    </w:p>
    <w:p w14:paraId="7B2EA8A3">
      <w:pPr>
        <w:adjustRightInd w:val="0"/>
        <w:snapToGrid w:val="0"/>
        <w:rPr>
          <w:color w:val="auto"/>
        </w:rPr>
      </w:pPr>
    </w:p>
    <w:p w14:paraId="67F87701">
      <w:pPr>
        <w:adjustRightInd w:val="0"/>
        <w:snapToGrid w:val="0"/>
        <w:rPr>
          <w:color w:val="auto"/>
        </w:rPr>
      </w:pPr>
    </w:p>
    <w:p w14:paraId="2F6C6A8C">
      <w:pPr>
        <w:adjustRightInd w:val="0"/>
        <w:snapToGrid w:val="0"/>
        <w:rPr>
          <w:color w:val="auto"/>
        </w:rPr>
        <w:sectPr>
          <w:pgSz w:w="11906" w:h="16838"/>
          <w:pgMar w:top="1440" w:right="1800" w:bottom="1440" w:left="1800" w:header="851" w:footer="851" w:gutter="0"/>
          <w:cols w:space="720" w:num="1"/>
          <w:docGrid w:linePitch="326" w:charSpace="0"/>
        </w:sectPr>
      </w:pPr>
    </w:p>
    <w:p w14:paraId="4D30B950">
      <w:pPr>
        <w:outlineLvl w:val="0"/>
        <w:rPr>
          <w:rFonts w:eastAsia="黑体"/>
          <w:b/>
          <w:bCs/>
          <w:color w:val="auto"/>
          <w:sz w:val="32"/>
          <w:szCs w:val="32"/>
        </w:rPr>
      </w:pPr>
      <w:r>
        <w:rPr>
          <w:rFonts w:eastAsia="黑体"/>
          <w:b/>
          <w:bCs/>
          <w:color w:val="auto"/>
          <w:sz w:val="32"/>
          <w:szCs w:val="32"/>
        </w:rPr>
        <w:t>附图</w:t>
      </w:r>
    </w:p>
    <w:p w14:paraId="31656AE4">
      <w:pPr>
        <w:keepNext w:val="0"/>
        <w:keepLines w:val="0"/>
        <w:pageBreakBefore w:val="0"/>
        <w:widowControl w:val="0"/>
        <w:kinsoku/>
        <w:wordWrap/>
        <w:overflowPunct/>
        <w:topLinePunct w:val="0"/>
        <w:autoSpaceDE/>
        <w:autoSpaceDN/>
        <w:bidi w:val="0"/>
        <w:adjustRightInd/>
        <w:snapToGrid/>
        <w:jc w:val="both"/>
        <w:textAlignment w:val="auto"/>
        <w:outlineLvl w:val="1"/>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附图1  项目与“三线一单”符合性分析图</w:t>
      </w:r>
    </w:p>
    <w:p w14:paraId="6FC93A28">
      <w:pPr>
        <w:autoSpaceDE w:val="0"/>
        <w:autoSpaceDN w:val="0"/>
        <w:adjustRightInd w:val="0"/>
        <w:snapToGrid w:val="0"/>
        <w:rPr>
          <w:color w:val="auto"/>
        </w:rPr>
        <w:sectPr>
          <w:footerReference r:id="rId12" w:type="default"/>
          <w:pgSz w:w="11906" w:h="16838"/>
          <w:pgMar w:top="1080" w:right="1440" w:bottom="1080" w:left="1440" w:header="851" w:footer="851" w:gutter="0"/>
          <w:cols w:space="720" w:num="1"/>
          <w:docGrid w:linePitch="326" w:charSpace="0"/>
        </w:sectPr>
      </w:pPr>
      <w:r>
        <w:rPr>
          <w:color w:val="auto"/>
        </w:rPr>
        <w:drawing>
          <wp:inline distT="0" distB="0" distL="114300" distR="114300">
            <wp:extent cx="5356225" cy="4126865"/>
            <wp:effectExtent l="0" t="0" r="15875" b="698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9"/>
                    <a:stretch>
                      <a:fillRect/>
                    </a:stretch>
                  </pic:blipFill>
                  <pic:spPr>
                    <a:xfrm>
                      <a:off x="0" y="0"/>
                      <a:ext cx="5356225" cy="4126865"/>
                    </a:xfrm>
                    <a:prstGeom prst="rect">
                      <a:avLst/>
                    </a:prstGeom>
                    <a:noFill/>
                    <a:ln>
                      <a:noFill/>
                    </a:ln>
                  </pic:spPr>
                </pic:pic>
              </a:graphicData>
            </a:graphic>
          </wp:inline>
        </w:drawing>
      </w:r>
    </w:p>
    <w:p w14:paraId="4BD4D491">
      <w:pPr>
        <w:keepNext w:val="0"/>
        <w:keepLines w:val="0"/>
        <w:pageBreakBefore w:val="0"/>
        <w:widowControl w:val="0"/>
        <w:kinsoku/>
        <w:wordWrap/>
        <w:overflowPunct/>
        <w:topLinePunct w:val="0"/>
        <w:autoSpaceDE/>
        <w:autoSpaceDN/>
        <w:bidi w:val="0"/>
        <w:adjustRightInd/>
        <w:snapToGrid/>
        <w:jc w:val="both"/>
        <w:textAlignment w:val="auto"/>
        <w:outlineLvl w:val="1"/>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附图2  项目地理位置图</w:t>
      </w:r>
    </w:p>
    <w:p w14:paraId="5CDA898F">
      <w:pPr>
        <w:adjustRightInd w:val="0"/>
        <w:snapToGrid w:val="0"/>
        <w:jc w:val="center"/>
        <w:rPr>
          <w:color w:val="auto"/>
        </w:rPr>
      </w:pPr>
      <w:r>
        <w:rPr>
          <w:color w:val="auto"/>
        </w:rPr>
        <mc:AlternateContent>
          <mc:Choice Requires="wps">
            <w:drawing>
              <wp:anchor distT="0" distB="0" distL="114300" distR="114300" simplePos="0" relativeHeight="251660288" behindDoc="0" locked="0" layoutInCell="1" allowOverlap="1">
                <wp:simplePos x="0" y="0"/>
                <wp:positionH relativeFrom="column">
                  <wp:posOffset>3857625</wp:posOffset>
                </wp:positionH>
                <wp:positionV relativeFrom="paragraph">
                  <wp:posOffset>1413510</wp:posOffset>
                </wp:positionV>
                <wp:extent cx="1210310" cy="327025"/>
                <wp:effectExtent l="4445" t="4445" r="118745" b="201930"/>
                <wp:wrapNone/>
                <wp:docPr id="80" name="文本框 80"/>
                <wp:cNvGraphicFramePr/>
                <a:graphic xmlns:a="http://schemas.openxmlformats.org/drawingml/2006/main">
                  <a:graphicData uri="http://schemas.microsoft.com/office/word/2010/wordprocessingShape">
                    <wps:wsp>
                      <wps:cNvSpPr txBox="1"/>
                      <wps:spPr>
                        <a:xfrm>
                          <a:off x="0" y="0"/>
                          <a:ext cx="1210310" cy="327025"/>
                        </a:xfrm>
                        <a:prstGeom prst="wedgeRoundRectCallout">
                          <a:avLst>
                            <a:gd name="adj1" fmla="val 58499"/>
                            <a:gd name="adj2" fmla="val 107864"/>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82973">
                            <w:pPr>
                              <w:pStyle w:val="59"/>
                              <w:rPr>
                                <w:rFonts w:hint="eastAsia" w:eastAsia="宋体"/>
                                <w:lang w:val="en-US" w:eastAsia="zh-CN"/>
                              </w:rPr>
                            </w:pPr>
                            <w:r>
                              <w:rPr>
                                <w:rFonts w:hint="eastAsia"/>
                              </w:rPr>
                              <w:t>本项目</w:t>
                            </w:r>
                            <w:r>
                              <w:rPr>
                                <w:rFonts w:hint="eastAsia"/>
                                <w:lang w:val="en-US" w:eastAsia="zh-CN"/>
                              </w:rPr>
                              <w:t>建设位置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62" type="#_x0000_t62" style="position:absolute;left:0pt;margin-left:303.75pt;margin-top:111.3pt;height:25.75pt;width:95.3pt;z-index:251660288;mso-width-relative:page;mso-height-relative:page;" fillcolor="#FFFFFF [3201]" filled="t" stroked="t" coordsize="21600,21600" o:gfxdata="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xeNGsdkAAAALAQAADwAAAAAAAAABACAAAAAiAAAAZHJzL2Rvd25yZXYueG1sUEsBAhQAFAAA&#10;AAgAh07iQKnxc/OZAgAATgUAAA4AAAAAAAAAAQAgAAAAKAEAAGRycy9lMm9Eb2MueG1sUEsFBgAA&#10;AAAGAAYAWQEAADMGAAAAAA==&#10;" adj="23436,34099,14400">
                <v:fill on="t" focussize="0,0"/>
                <v:stroke weight="0.5pt" color="#000000 [3204]" joinstyle="round"/>
                <v:imagedata o:title=""/>
                <o:lock v:ext="edit" aspectratio="f"/>
                <v:textbox>
                  <w:txbxContent>
                    <w:p w14:paraId="08882973">
                      <w:pPr>
                        <w:pStyle w:val="59"/>
                        <w:rPr>
                          <w:rFonts w:hint="eastAsia" w:eastAsia="宋体"/>
                          <w:lang w:val="en-US" w:eastAsia="zh-CN"/>
                        </w:rPr>
                      </w:pPr>
                      <w:r>
                        <w:rPr>
                          <w:rFonts w:hint="eastAsia"/>
                        </w:rPr>
                        <w:t>本项目</w:t>
                      </w:r>
                      <w:r>
                        <w:rPr>
                          <w:rFonts w:hint="eastAsia"/>
                          <w:lang w:val="en-US" w:eastAsia="zh-CN"/>
                        </w:rPr>
                        <w:t>建设位置</w:t>
                      </w:r>
                    </w:p>
                  </w:txbxContent>
                </v:textbox>
              </v:shap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5135245</wp:posOffset>
                </wp:positionH>
                <wp:positionV relativeFrom="paragraph">
                  <wp:posOffset>1895475</wp:posOffset>
                </wp:positionV>
                <wp:extent cx="109220" cy="109220"/>
                <wp:effectExtent l="19050" t="38100" r="43180" b="43180"/>
                <wp:wrapNone/>
                <wp:docPr id="68" name="五角星 68"/>
                <wp:cNvGraphicFramePr/>
                <a:graphic xmlns:a="http://schemas.openxmlformats.org/drawingml/2006/main">
                  <a:graphicData uri="http://schemas.microsoft.com/office/word/2010/wordprocessingShape">
                    <wps:wsp>
                      <wps:cNvSpPr/>
                      <wps:spPr>
                        <a:xfrm>
                          <a:off x="0" y="0"/>
                          <a:ext cx="109220" cy="1092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04.35pt;margin-top:149.25pt;height:8.6pt;width:8.6pt;z-index:251661312;v-text-anchor:middle;mso-width-relative:page;mso-height-relative:page;" fillcolor="#FF0000" filled="t" stroked="t" coordsize="109220,109220" o:gfxdata="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SOdnR2QAAAAsBAAAPAAAAAAAAAAEAIAAAACIAAABkcnMvZG93bnJl&#10;di54bWxQSwECFAAUAAAACACHTuJAtoptNW4CAAD5BAAADgAAAAAAAAABACAAAAAoAQAAZHJzL2Uy&#10;b0RvYy54bWxQSwUGAAAAAAYABgBZAQAACAYAAAAA&#10;" path="m0,41718l41718,41718,54610,0,67501,41718,109219,41718,75468,67501,88360,109219,54610,83436,20859,109219,33751,67501xe">
                <v:path o:connectlocs="54610,0;0,41718;20859,109219;88360,109219;109219,41718" o:connectangles="247,164,82,82,0"/>
                <v:fill on="t" focussize="0,0"/>
                <v:stroke weight="1pt" color="#FF0000 [3204]" miterlimit="8" joinstyle="miter"/>
                <v:imagedata o:title=""/>
                <o:lock v:ext="edit" aspectratio="f"/>
              </v:shape>
            </w:pict>
          </mc:Fallback>
        </mc:AlternateContent>
      </w:r>
      <w:r>
        <w:rPr>
          <w:color w:val="auto"/>
        </w:rPr>
        <w:drawing>
          <wp:anchor distT="0" distB="0" distL="114300" distR="114300" simplePos="0" relativeHeight="251659264" behindDoc="0" locked="0" layoutInCell="1" allowOverlap="1">
            <wp:simplePos x="0" y="0"/>
            <wp:positionH relativeFrom="column">
              <wp:posOffset>968375</wp:posOffset>
            </wp:positionH>
            <wp:positionV relativeFrom="paragraph">
              <wp:posOffset>59055</wp:posOffset>
            </wp:positionV>
            <wp:extent cx="692785" cy="765175"/>
            <wp:effectExtent l="0" t="0" r="12065" b="1587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0">
                      <a:clrChange>
                        <a:clrFrom>
                          <a:srgbClr val="FDFDFD">
                            <a:alpha val="100000"/>
                          </a:srgbClr>
                        </a:clrFrom>
                        <a:clrTo>
                          <a:srgbClr val="FDFDFD">
                            <a:alpha val="100000"/>
                            <a:alpha val="0"/>
                          </a:srgbClr>
                        </a:clrTo>
                      </a:clrChange>
                      <a:extLst>
                        <a:ext uri="{28A0092B-C50C-407E-A947-70E740481C1C}">
                          <a14:useLocalDpi xmlns:a14="http://schemas.microsoft.com/office/drawing/2010/main" val="0"/>
                        </a:ext>
                      </a:extLst>
                    </a:blip>
                    <a:stretch>
                      <a:fillRect/>
                    </a:stretch>
                  </pic:blipFill>
                  <pic:spPr>
                    <a:xfrm>
                      <a:off x="0" y="0"/>
                      <a:ext cx="692785" cy="765414"/>
                    </a:xfrm>
                    <a:prstGeom prst="rect">
                      <a:avLst/>
                    </a:prstGeom>
                  </pic:spPr>
                </pic:pic>
              </a:graphicData>
            </a:graphic>
          </wp:anchor>
        </w:drawing>
      </w:r>
      <w:r>
        <w:rPr>
          <w:rFonts w:hint="eastAsia"/>
          <w:color w:val="auto"/>
        </w:rPr>
        <w:drawing>
          <wp:inline distT="0" distB="0" distL="114300" distR="114300">
            <wp:extent cx="7652385" cy="5145405"/>
            <wp:effectExtent l="0" t="0" r="5715" b="17145"/>
            <wp:docPr id="2" name="图片 2" descr="鄂尔多斯市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鄂尔多斯市地图"/>
                    <pic:cNvPicPr>
                      <a:picLocks noChangeAspect="1"/>
                    </pic:cNvPicPr>
                  </pic:nvPicPr>
                  <pic:blipFill>
                    <a:blip r:embed="rId51"/>
                    <a:stretch>
                      <a:fillRect/>
                    </a:stretch>
                  </pic:blipFill>
                  <pic:spPr>
                    <a:xfrm>
                      <a:off x="0" y="0"/>
                      <a:ext cx="7652385" cy="5145405"/>
                    </a:xfrm>
                    <a:prstGeom prst="rect">
                      <a:avLst/>
                    </a:prstGeom>
                  </pic:spPr>
                </pic:pic>
              </a:graphicData>
            </a:graphic>
          </wp:inline>
        </w:drawing>
      </w:r>
    </w:p>
    <w:p w14:paraId="3CD6DEE7">
      <w:pPr>
        <w:adjustRightInd w:val="0"/>
        <w:snapToGrid w:val="0"/>
        <w:rPr>
          <w:b/>
          <w:color w:val="auto"/>
          <w:szCs w:val="21"/>
        </w:rPr>
        <w:sectPr>
          <w:pgSz w:w="16838" w:h="11906" w:orient="landscape"/>
          <w:pgMar w:top="1440" w:right="1080" w:bottom="1440" w:left="1080" w:header="851" w:footer="851" w:gutter="0"/>
          <w:cols w:space="720" w:num="1"/>
          <w:docGrid w:linePitch="326" w:charSpace="0"/>
        </w:sectPr>
      </w:pPr>
    </w:p>
    <w:p w14:paraId="3CC04439">
      <w:pPr>
        <w:keepNext w:val="0"/>
        <w:keepLines w:val="0"/>
        <w:pageBreakBefore w:val="0"/>
        <w:widowControl w:val="0"/>
        <w:kinsoku/>
        <w:wordWrap/>
        <w:overflowPunct/>
        <w:topLinePunct w:val="0"/>
        <w:autoSpaceDE/>
        <w:autoSpaceDN/>
        <w:bidi w:val="0"/>
        <w:adjustRightInd/>
        <w:snapToGrid/>
        <w:jc w:val="both"/>
        <w:textAlignment w:val="auto"/>
        <w:outlineLvl w:val="1"/>
        <w:rPr>
          <w:rFonts w:hint="eastAsia"/>
          <w:b/>
          <w:bCs/>
          <w:color w:val="auto"/>
        </w:rPr>
      </w:pPr>
      <w:r>
        <w:rPr>
          <w:rFonts w:hint="eastAsia"/>
          <w:b/>
          <w:bCs/>
          <w:color w:val="auto"/>
        </w:rPr>
        <w:t>附图3</w:t>
      </w:r>
      <w:r>
        <w:rPr>
          <w:b/>
          <w:bCs/>
          <w:color w:val="auto"/>
        </w:rPr>
        <w:t xml:space="preserve">  </w:t>
      </w:r>
      <w:r>
        <w:rPr>
          <w:rFonts w:hint="eastAsia"/>
          <w:b/>
          <w:bCs/>
          <w:color w:val="auto"/>
        </w:rPr>
        <w:t>锅炉间与废水处理厂相对位置图</w:t>
      </w:r>
    </w:p>
    <w:p w14:paraId="4058A463">
      <w:pPr>
        <w:jc w:val="center"/>
        <w:rPr>
          <w:rFonts w:hint="eastAsia"/>
          <w:b/>
          <w:bCs/>
          <w:color w:val="auto"/>
        </w:rPr>
      </w:pPr>
      <w:r>
        <w:rPr>
          <w:sz w:val="24"/>
        </w:rPr>
        <mc:AlternateContent>
          <mc:Choice Requires="wps">
            <w:drawing>
              <wp:anchor distT="0" distB="0" distL="114300" distR="114300" simplePos="0" relativeHeight="251684864" behindDoc="0" locked="0" layoutInCell="1" allowOverlap="1">
                <wp:simplePos x="0" y="0"/>
                <wp:positionH relativeFrom="column">
                  <wp:posOffset>5748020</wp:posOffset>
                </wp:positionH>
                <wp:positionV relativeFrom="paragraph">
                  <wp:posOffset>4080510</wp:posOffset>
                </wp:positionV>
                <wp:extent cx="258445" cy="191770"/>
                <wp:effectExtent l="6350" t="6350" r="20955" b="11430"/>
                <wp:wrapNone/>
                <wp:docPr id="37" name="矩形 37"/>
                <wp:cNvGraphicFramePr/>
                <a:graphic xmlns:a="http://schemas.openxmlformats.org/drawingml/2006/main">
                  <a:graphicData uri="http://schemas.microsoft.com/office/word/2010/wordprocessingShape">
                    <wps:wsp>
                      <wps:cNvSpPr/>
                      <wps:spPr>
                        <a:xfrm>
                          <a:off x="0" y="0"/>
                          <a:ext cx="258445" cy="191770"/>
                        </a:xfrm>
                        <a:prstGeom prst="rect">
                          <a:avLst/>
                        </a:prstGeom>
                        <a:noFill/>
                        <a:ln w="1270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2.6pt;margin-top:321.3pt;height:15.1pt;width:20.35pt;z-index:251684864;v-text-anchor:middle;mso-width-relative:page;mso-height-relative:page;" filled="f" stroked="t" coordsize="21600,21600" o:gfxdata="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FMy0cNsAAAALAQAADwAAAAAAAAABACAAAAAiAAAAZHJzL2Rvd25yZXYu&#10;eG1sUEsBAhQAFAAAAAgAh07iQCPg1pdqAgAAzAQAAA4AAAAAAAAAAQAgAAAAKgEAAGRycy9lMm9E&#10;b2MueG1sUEsFBgAAAAAGAAYAWQEAAAYGAAAAAA==&#10;">
                <v:fill on="f" focussize="0,0"/>
                <v:stroke weight="1pt" color="#FFFF00 [2404]" miterlimit="8" joinstyle="miter"/>
                <v:imagedata o:title=""/>
                <o:lock v:ext="edit" aspectratio="f"/>
              </v:rect>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5744210</wp:posOffset>
                </wp:positionH>
                <wp:positionV relativeFrom="paragraph">
                  <wp:posOffset>3794760</wp:posOffset>
                </wp:positionV>
                <wp:extent cx="259080" cy="189865"/>
                <wp:effectExtent l="0" t="0" r="27305" b="20320"/>
                <wp:wrapNone/>
                <wp:docPr id="57" name="矩形 57"/>
                <wp:cNvGraphicFramePr/>
                <a:graphic xmlns:a="http://schemas.openxmlformats.org/drawingml/2006/main">
                  <a:graphicData uri="http://schemas.microsoft.com/office/word/2010/wordprocessingShape">
                    <wps:wsp>
                      <wps:cNvSpPr/>
                      <wps:spPr>
                        <a:xfrm>
                          <a:off x="0" y="0"/>
                          <a:ext cx="258793" cy="1897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2.3pt;margin-top:298.8pt;height:14.95pt;width:20.4pt;z-index:251664384;v-text-anchor:middle;mso-width-relative:page;mso-height-relative:page;" filled="f" stroked="t" coordsize="21600,21600" o:gfxdata="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b0rK2AAAAAsBAAAPAAAAAAAAAAEAIAAAACIAAABkcnMvZG93bnJldi54&#10;bWxQSwECFAAUAAAACACHTuJALWZMLWwCAADMBAAADgAAAAAAAAABACAAAAAnAQAAZHJzL2Uyb0Rv&#10;Yy54bWxQSwUGAAAAAAYABgBZAQAABQYAAAAA&#10;">
                <v:fill on="f" focussize="0,0"/>
                <v:stroke weight="1pt" color="#FF0000 [3204]" miterlimit="8" joinstyle="miter"/>
                <v:imagedata o:title=""/>
                <o:lock v:ext="edit" aspectratio="f"/>
              </v:rect>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5643880</wp:posOffset>
                </wp:positionH>
                <wp:positionV relativeFrom="paragraph">
                  <wp:posOffset>3446145</wp:posOffset>
                </wp:positionV>
                <wp:extent cx="2190115" cy="965835"/>
                <wp:effectExtent l="4445" t="4445" r="15240" b="20320"/>
                <wp:wrapNone/>
                <wp:docPr id="34" name="文本框 34"/>
                <wp:cNvGraphicFramePr/>
                <a:graphic xmlns:a="http://schemas.openxmlformats.org/drawingml/2006/main">
                  <a:graphicData uri="http://schemas.microsoft.com/office/word/2010/wordprocessingShape">
                    <wps:wsp>
                      <wps:cNvSpPr txBox="1"/>
                      <wps:spPr>
                        <a:xfrm>
                          <a:off x="0" y="0"/>
                          <a:ext cx="2190115" cy="965835"/>
                        </a:xfrm>
                        <a:prstGeom prst="rect">
                          <a:avLst/>
                        </a:prstGeom>
                        <a:solidFill>
                          <a:srgbClr val="FFFFFF"/>
                        </a:solidFill>
                        <a:ln w="6350">
                          <a:solidFill>
                            <a:prstClr val="black"/>
                          </a:solidFill>
                        </a:ln>
                      </wps:spPr>
                      <wps:txbx>
                        <w:txbxContent>
                          <w:p w14:paraId="110D67E6">
                            <w:pPr>
                              <w:jc w:val="center"/>
                            </w:pPr>
                            <w:r>
                              <w:rPr>
                                <w:rFonts w:hint="eastAsia"/>
                              </w:rPr>
                              <w:t>图例</w:t>
                            </w:r>
                          </w:p>
                          <w:p w14:paraId="09BF0FDE">
                            <w:pPr>
                              <w:ind w:firstLine="480"/>
                              <w:jc w:val="left"/>
                            </w:pPr>
                            <w:r>
                              <w:rPr>
                                <w:rFonts w:hint="eastAsia"/>
                              </w:rPr>
                              <w:t>工业废水处理厂</w:t>
                            </w:r>
                          </w:p>
                          <w:p w14:paraId="403911E0">
                            <w:pPr>
                              <w:ind w:firstLine="480"/>
                              <w:jc w:val="left"/>
                              <w:rPr>
                                <w:rFonts w:hint="default" w:eastAsia="宋体"/>
                                <w:lang w:val="en-US" w:eastAsia="zh-CN"/>
                              </w:rPr>
                            </w:pPr>
                            <w:r>
                              <w:rPr>
                                <w:rFonts w:hint="eastAsia"/>
                              </w:rPr>
                              <w:t>蒸汽锅炉间</w:t>
                            </w:r>
                            <w:r>
                              <w:rPr>
                                <w:rFonts w:hint="eastAsia"/>
                                <w:lang w:eastAsia="zh-CN"/>
                              </w:rPr>
                              <w:t>、</w:t>
                            </w:r>
                            <w:r>
                              <w:rPr>
                                <w:rFonts w:hint="eastAsia"/>
                                <w:lang w:val="en-US" w:eastAsia="zh-CN"/>
                              </w:rPr>
                              <w:t>软水制备间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4pt;margin-top:271.35pt;height:76.05pt;width:172.45pt;z-index:251663360;mso-width-relative:page;mso-height-relative:page;" fillcolor="#FFFFFF" filled="t" stroked="t" coordsize="21600,21600" o:gfxdata="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hSAerX&#10;AAAADAEAAA8AAAAAAAAAAQAgAAAAIgAAAGRycy9kb3ducmV2LnhtbFBLAQIUABQAAAAIAIdO4kAx&#10;RltQWgIAALkEAAAOAAAAAAAAAAEAIAAAACYBAABkcnMvZTJvRG9jLnhtbFBLBQYAAAAABgAGAFkB&#10;AADyBQAAAAA=&#10;">
                <v:fill on="t" focussize="0,0"/>
                <v:stroke weight="0.5pt" color="#000000" joinstyle="round"/>
                <v:imagedata o:title=""/>
                <o:lock v:ext="edit" aspectratio="f"/>
                <v:textbox>
                  <w:txbxContent>
                    <w:p w14:paraId="110D67E6">
                      <w:pPr>
                        <w:jc w:val="center"/>
                      </w:pPr>
                      <w:r>
                        <w:rPr>
                          <w:rFonts w:hint="eastAsia"/>
                        </w:rPr>
                        <w:t>图例</w:t>
                      </w:r>
                    </w:p>
                    <w:p w14:paraId="09BF0FDE">
                      <w:pPr>
                        <w:ind w:firstLine="480"/>
                        <w:jc w:val="left"/>
                      </w:pPr>
                      <w:r>
                        <w:rPr>
                          <w:rFonts w:hint="eastAsia"/>
                        </w:rPr>
                        <w:t>工业废水处理厂</w:t>
                      </w:r>
                    </w:p>
                    <w:p w14:paraId="403911E0">
                      <w:pPr>
                        <w:ind w:firstLine="480"/>
                        <w:jc w:val="left"/>
                        <w:rPr>
                          <w:rFonts w:hint="default" w:eastAsia="宋体"/>
                          <w:lang w:val="en-US" w:eastAsia="zh-CN"/>
                        </w:rPr>
                      </w:pPr>
                      <w:r>
                        <w:rPr>
                          <w:rFonts w:hint="eastAsia"/>
                        </w:rPr>
                        <w:t>蒸汽锅炉间</w:t>
                      </w:r>
                      <w:r>
                        <w:rPr>
                          <w:rFonts w:hint="eastAsia"/>
                          <w:lang w:eastAsia="zh-CN"/>
                        </w:rPr>
                        <w:t>、</w:t>
                      </w:r>
                      <w:r>
                        <w:rPr>
                          <w:rFonts w:hint="eastAsia"/>
                          <w:lang w:val="en-US" w:eastAsia="zh-CN"/>
                        </w:rPr>
                        <w:t>软水制备间</w:t>
                      </w:r>
                    </w:p>
                  </w:txbxContent>
                </v:textbox>
              </v:shape>
            </w:pict>
          </mc:Fallback>
        </mc:AlternateContent>
      </w:r>
      <w:r>
        <w:rPr>
          <w:color w:val="auto"/>
        </w:rPr>
        <mc:AlternateContent>
          <mc:Choice Requires="wps">
            <w:drawing>
              <wp:anchor distT="0" distB="0" distL="114300" distR="114300" simplePos="0" relativeHeight="251677696" behindDoc="0" locked="0" layoutInCell="1" allowOverlap="1">
                <wp:simplePos x="0" y="0"/>
                <wp:positionH relativeFrom="column">
                  <wp:posOffset>4900295</wp:posOffset>
                </wp:positionH>
                <wp:positionV relativeFrom="paragraph">
                  <wp:posOffset>1002030</wp:posOffset>
                </wp:positionV>
                <wp:extent cx="892810" cy="452120"/>
                <wp:effectExtent l="862965" t="6350" r="15875" b="93980"/>
                <wp:wrapNone/>
                <wp:docPr id="8" name="对话气泡: 矩形 41"/>
                <wp:cNvGraphicFramePr/>
                <a:graphic xmlns:a="http://schemas.openxmlformats.org/drawingml/2006/main">
                  <a:graphicData uri="http://schemas.microsoft.com/office/word/2010/wordprocessingShape">
                    <wps:wsp>
                      <wps:cNvSpPr/>
                      <wps:spPr>
                        <a:xfrm>
                          <a:off x="0" y="0"/>
                          <a:ext cx="892810" cy="452120"/>
                        </a:xfrm>
                        <a:prstGeom prst="wedgeRectCallout">
                          <a:avLst>
                            <a:gd name="adj1" fmla="val -141038"/>
                            <a:gd name="adj2" fmla="val 64044"/>
                          </a:avLst>
                        </a:prstGeom>
                      </wps:spPr>
                      <wps:style>
                        <a:lnRef idx="2">
                          <a:schemeClr val="dk1"/>
                        </a:lnRef>
                        <a:fillRef idx="1">
                          <a:schemeClr val="lt1"/>
                        </a:fillRef>
                        <a:effectRef idx="0">
                          <a:schemeClr val="dk1"/>
                        </a:effectRef>
                        <a:fontRef idx="minor">
                          <a:schemeClr val="dk1"/>
                        </a:fontRef>
                      </wps:style>
                      <wps:txbx>
                        <w:txbxContent>
                          <w:p w14:paraId="5CA21197">
                            <w:pPr>
                              <w:spacing w:line="0" w:lineRule="atLeast"/>
                              <w:rPr>
                                <w:sz w:val="21"/>
                                <w:szCs w:val="21"/>
                              </w:rPr>
                            </w:pPr>
                            <w:r>
                              <w:rPr>
                                <w:rFonts w:hint="eastAsia"/>
                                <w:sz w:val="21"/>
                                <w:szCs w:val="21"/>
                                <w:lang w:val="en-US" w:eastAsia="zh-CN"/>
                              </w:rPr>
                              <w:t>软水制备</w:t>
                            </w:r>
                            <w:r>
                              <w:rPr>
                                <w:rFonts w:hint="eastAsia"/>
                                <w:sz w:val="21"/>
                                <w:szCs w:val="21"/>
                              </w:rPr>
                              <w:t>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41" o:spid="_x0000_s1026" o:spt="61" type="#_x0000_t61" style="position:absolute;left:0pt;margin-left:385.85pt;margin-top:78.9pt;height:35.6pt;width:70.3pt;z-index:251677696;v-text-anchor:middle;mso-width-relative:page;mso-height-relative:page;" fillcolor="#FFFFFF [3201]" filled="t" stroked="t" coordsize="21600,21600" o:gfxdata="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BphkuraAAAACwEAAA8AAAAAAAAAAQAg&#10;AAAAIgAAAGRycy9kb3ducmV2LnhtbFBLAQIUABQAAAAIAIdO4kA3QQtMtwIAAGwFAAAOAAAAAAAA&#10;AAEAIAAAACkBAABkcnMvZTJvRG9jLnhtbFBLBQYAAAAABgAGAFkBAABSBgAAAAA=&#10;" adj="-19664,24634">
                <v:fill on="t" focussize="0,0"/>
                <v:stroke weight="1pt" color="#000000 [3200]" miterlimit="8" joinstyle="miter"/>
                <v:imagedata o:title=""/>
                <o:lock v:ext="edit" aspectratio="f"/>
                <v:textbox>
                  <w:txbxContent>
                    <w:p w14:paraId="5CA21197">
                      <w:pPr>
                        <w:spacing w:line="0" w:lineRule="atLeast"/>
                        <w:rPr>
                          <w:sz w:val="21"/>
                          <w:szCs w:val="21"/>
                        </w:rPr>
                      </w:pPr>
                      <w:r>
                        <w:rPr>
                          <w:rFonts w:hint="eastAsia"/>
                          <w:sz w:val="21"/>
                          <w:szCs w:val="21"/>
                          <w:lang w:val="en-US" w:eastAsia="zh-CN"/>
                        </w:rPr>
                        <w:t>软水制备</w:t>
                      </w:r>
                      <w:r>
                        <w:rPr>
                          <w:rFonts w:hint="eastAsia"/>
                          <w:sz w:val="21"/>
                          <w:szCs w:val="21"/>
                        </w:rPr>
                        <w:t>间</w:t>
                      </w:r>
                    </w:p>
                  </w:txbxContent>
                </v:textbox>
              </v:shape>
            </w:pict>
          </mc:Fallback>
        </mc:AlternateContent>
      </w:r>
      <w:r>
        <w:rPr>
          <w:color w:val="auto"/>
        </w:rPr>
        <mc:AlternateContent>
          <mc:Choice Requires="wps">
            <w:drawing>
              <wp:anchor distT="0" distB="0" distL="114300" distR="114300" simplePos="0" relativeHeight="251662336" behindDoc="0" locked="0" layoutInCell="1" allowOverlap="1">
                <wp:simplePos x="0" y="0"/>
                <wp:positionH relativeFrom="column">
                  <wp:posOffset>1610360</wp:posOffset>
                </wp:positionH>
                <wp:positionV relativeFrom="paragraph">
                  <wp:posOffset>1349375</wp:posOffset>
                </wp:positionV>
                <wp:extent cx="934085" cy="452120"/>
                <wp:effectExtent l="6350" t="6350" r="1345565" b="17780"/>
                <wp:wrapNone/>
                <wp:docPr id="41" name="对话气泡: 矩形 41"/>
                <wp:cNvGraphicFramePr/>
                <a:graphic xmlns:a="http://schemas.openxmlformats.org/drawingml/2006/main">
                  <a:graphicData uri="http://schemas.microsoft.com/office/word/2010/wordprocessingShape">
                    <wps:wsp>
                      <wps:cNvSpPr/>
                      <wps:spPr>
                        <a:xfrm>
                          <a:off x="0" y="0"/>
                          <a:ext cx="934085" cy="452120"/>
                        </a:xfrm>
                        <a:prstGeom prst="wedgeRectCallout">
                          <a:avLst>
                            <a:gd name="adj1" fmla="val 187797"/>
                            <a:gd name="adj2" fmla="val -10533"/>
                          </a:avLst>
                        </a:prstGeom>
                      </wps:spPr>
                      <wps:style>
                        <a:lnRef idx="2">
                          <a:schemeClr val="dk1"/>
                        </a:lnRef>
                        <a:fillRef idx="1">
                          <a:schemeClr val="lt1"/>
                        </a:fillRef>
                        <a:effectRef idx="0">
                          <a:schemeClr val="dk1"/>
                        </a:effectRef>
                        <a:fontRef idx="minor">
                          <a:schemeClr val="dk1"/>
                        </a:fontRef>
                      </wps:style>
                      <wps:txbx>
                        <w:txbxContent>
                          <w:p w14:paraId="4F72EDE8">
                            <w:pPr>
                              <w:spacing w:line="0" w:lineRule="atLeast"/>
                              <w:rPr>
                                <w:sz w:val="21"/>
                                <w:szCs w:val="21"/>
                              </w:rPr>
                            </w:pPr>
                            <w:r>
                              <w:rPr>
                                <w:rFonts w:hint="eastAsia"/>
                                <w:sz w:val="21"/>
                                <w:szCs w:val="21"/>
                              </w:rPr>
                              <w:t>蒸汽锅炉间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41" o:spid="_x0000_s1026" o:spt="61" type="#_x0000_t61" style="position:absolute;left:0pt;margin-left:126.8pt;margin-top:106.25pt;height:35.6pt;width:73.55pt;z-index:251662336;v-text-anchor:middle;mso-width-relative:page;mso-height-relative:page;" fillcolor="#FFFFFF [3201]" filled="t" stroked="t" coordsize="21600,21600" o:gfxdata="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J8AI/LZAAAACwEAAA8AAAAAAAAA&#10;AQAgAAAAIgAAAGRycy9kb3ducmV2LnhtbFBLAQIUABQAAAAIAIdO4kAJM6yPuwIAAG0FAAAOAAAA&#10;AAAAAAEAIAAAACgBAABkcnMvZTJvRG9jLnhtbFBLBQYAAAAABgAGAFkBAABVBgAAAAA=&#10;" adj="51364,8525">
                <v:fill on="t" focussize="0,0"/>
                <v:stroke weight="1pt" color="#000000 [3200]" miterlimit="8" joinstyle="miter"/>
                <v:imagedata o:title=""/>
                <o:lock v:ext="edit" aspectratio="f"/>
                <v:textbox>
                  <w:txbxContent>
                    <w:p w14:paraId="4F72EDE8">
                      <w:pPr>
                        <w:spacing w:line="0" w:lineRule="atLeast"/>
                        <w:rPr>
                          <w:sz w:val="21"/>
                          <w:szCs w:val="21"/>
                        </w:rPr>
                      </w:pPr>
                      <w:r>
                        <w:rPr>
                          <w:rFonts w:hint="eastAsia"/>
                          <w:sz w:val="21"/>
                          <w:szCs w:val="21"/>
                        </w:rPr>
                        <w:t>蒸汽锅炉间</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3986530</wp:posOffset>
                </wp:positionH>
                <wp:positionV relativeFrom="paragraph">
                  <wp:posOffset>1487170</wp:posOffset>
                </wp:positionV>
                <wp:extent cx="57785" cy="68580"/>
                <wp:effectExtent l="6350" t="6350" r="12065" b="20320"/>
                <wp:wrapNone/>
                <wp:docPr id="5" name="矩形 5"/>
                <wp:cNvGraphicFramePr/>
                <a:graphic xmlns:a="http://schemas.openxmlformats.org/drawingml/2006/main">
                  <a:graphicData uri="http://schemas.microsoft.com/office/word/2010/wordprocessingShape">
                    <wps:wsp>
                      <wps:cNvSpPr/>
                      <wps:spPr>
                        <a:xfrm>
                          <a:off x="6835775" y="3646805"/>
                          <a:ext cx="57785" cy="68580"/>
                        </a:xfrm>
                        <a:prstGeom prst="rect">
                          <a:avLst/>
                        </a:prstGeom>
                        <a:noFill/>
                        <a:ln w="1270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3.9pt;margin-top:117.1pt;height:5.4pt;width:4.55pt;z-index:251676672;v-text-anchor:middle;mso-width-relative:page;mso-height-relative:page;" filled="f" stroked="t" coordsize="21600,21600" o:gfxdata="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HdoULbAAAACwEAAA8AAAAAAAAAAQAgAAAAIgAAAGRy&#10;cy9kb3ducmV2LnhtbFBLAQIUABQAAAAIAIdO4kAPFAUxdAIAANQEAAAOAAAAAAAAAAEAIAAAACoB&#10;AABkcnMvZTJvRG9jLnhtbFBLBQYAAAAABgAGAFkBAAAQBgAAAAA=&#10;">
                <v:fill on="f" focussize="0,0"/>
                <v:stroke weight="1pt" color="#FFFF00 [2404]" miterlimit="8" joinstyle="miter"/>
                <v:imagedata o:title=""/>
                <o:lock v:ext="edit" aspectratio="f"/>
              </v:rect>
            </w:pict>
          </mc:Fallback>
        </mc:AlternateContent>
      </w:r>
      <w:r>
        <w:rPr>
          <w:color w:val="auto"/>
        </w:rPr>
        <w:drawing>
          <wp:anchor distT="0" distB="0" distL="114300" distR="114300" simplePos="0" relativeHeight="251665408" behindDoc="0" locked="0" layoutInCell="1" allowOverlap="1">
            <wp:simplePos x="0" y="0"/>
            <wp:positionH relativeFrom="column">
              <wp:posOffset>7090410</wp:posOffset>
            </wp:positionH>
            <wp:positionV relativeFrom="paragraph">
              <wp:posOffset>90170</wp:posOffset>
            </wp:positionV>
            <wp:extent cx="661670" cy="765175"/>
            <wp:effectExtent l="0" t="0" r="5080" b="1587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61670" cy="765175"/>
                    </a:xfrm>
                    <a:prstGeom prst="rect">
                      <a:avLst/>
                    </a:prstGeom>
                  </pic:spPr>
                </pic:pic>
              </a:graphicData>
            </a:graphic>
          </wp:anchor>
        </w:drawing>
      </w:r>
      <w:r>
        <w:rPr>
          <w:color w:val="auto"/>
        </w:rPr>
        <w:drawing>
          <wp:inline distT="0" distB="0" distL="114300" distR="114300">
            <wp:extent cx="6986270" cy="4874895"/>
            <wp:effectExtent l="0" t="0" r="5080" b="190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52"/>
                    <a:stretch>
                      <a:fillRect/>
                    </a:stretch>
                  </pic:blipFill>
                  <pic:spPr>
                    <a:xfrm>
                      <a:off x="0" y="0"/>
                      <a:ext cx="6986270" cy="4874895"/>
                    </a:xfrm>
                    <a:prstGeom prst="rect">
                      <a:avLst/>
                    </a:prstGeom>
                    <a:noFill/>
                    <a:ln>
                      <a:noFill/>
                    </a:ln>
                  </pic:spPr>
                </pic:pic>
              </a:graphicData>
            </a:graphic>
          </wp:inline>
        </w:drawing>
      </w:r>
    </w:p>
    <w:p w14:paraId="3C3A3097">
      <w:pPr>
        <w:rPr>
          <w:rFonts w:hint="eastAsia"/>
          <w:b/>
          <w:bCs/>
          <w:color w:val="auto"/>
        </w:rPr>
      </w:pPr>
      <w:r>
        <w:rPr>
          <w:rFonts w:hint="eastAsia"/>
          <w:b/>
          <w:bCs/>
          <w:color w:val="auto"/>
        </w:rPr>
        <w:br w:type="page"/>
      </w:r>
    </w:p>
    <w:p w14:paraId="03747BC6">
      <w:pPr>
        <w:keepNext w:val="0"/>
        <w:keepLines w:val="0"/>
        <w:pageBreakBefore w:val="0"/>
        <w:widowControl w:val="0"/>
        <w:kinsoku/>
        <w:wordWrap/>
        <w:overflowPunct/>
        <w:topLinePunct w:val="0"/>
        <w:autoSpaceDE/>
        <w:autoSpaceDN/>
        <w:bidi w:val="0"/>
        <w:adjustRightInd/>
        <w:snapToGrid/>
        <w:jc w:val="both"/>
        <w:textAlignment w:val="auto"/>
        <w:outlineLvl w:val="1"/>
        <w:rPr>
          <w:rFonts w:hint="default" w:eastAsia="宋体"/>
          <w:b/>
          <w:bCs/>
          <w:color w:val="auto"/>
          <w:lang w:val="en-US" w:eastAsia="zh-CN"/>
        </w:rPr>
      </w:pPr>
      <w:r>
        <w:rPr>
          <w:rFonts w:hint="eastAsia"/>
          <w:b/>
          <w:bCs/>
          <w:color w:val="auto"/>
        </w:rPr>
        <w:t>附图</w:t>
      </w:r>
      <w:r>
        <w:rPr>
          <w:rFonts w:hint="eastAsia"/>
          <w:b/>
          <w:bCs/>
          <w:color w:val="auto"/>
          <w:lang w:val="en-US" w:eastAsia="zh-CN"/>
        </w:rPr>
        <w:t>4</w:t>
      </w:r>
      <w:r>
        <w:rPr>
          <w:b/>
          <w:bCs/>
          <w:color w:val="auto"/>
        </w:rPr>
        <w:t xml:space="preserve">  </w:t>
      </w:r>
      <w:r>
        <w:rPr>
          <w:rFonts w:hint="eastAsia"/>
          <w:b/>
          <w:bCs/>
          <w:color w:val="auto"/>
          <w:lang w:val="en-US" w:eastAsia="zh-CN"/>
        </w:rPr>
        <w:t>环境保护目标图</w:t>
      </w:r>
    </w:p>
    <w:p w14:paraId="2369404C">
      <w:pPr>
        <w:jc w:val="center"/>
        <w:rPr>
          <w:rFonts w:hint="eastAsia" w:eastAsia="宋体"/>
          <w:b/>
          <w:bCs/>
          <w:color w:val="auto"/>
          <w:lang w:eastAsia="zh-CN"/>
        </w:rPr>
      </w:pPr>
      <w:r>
        <w:rPr>
          <w:color w:val="auto"/>
        </w:rPr>
        <w:drawing>
          <wp:anchor distT="0" distB="0" distL="114300" distR="114300" simplePos="0" relativeHeight="251671552" behindDoc="0" locked="0" layoutInCell="1" allowOverlap="1">
            <wp:simplePos x="0" y="0"/>
            <wp:positionH relativeFrom="column">
              <wp:posOffset>11430</wp:posOffset>
            </wp:positionH>
            <wp:positionV relativeFrom="paragraph">
              <wp:posOffset>11430</wp:posOffset>
            </wp:positionV>
            <wp:extent cx="661670" cy="765175"/>
            <wp:effectExtent l="0" t="0" r="5080" b="1587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61670" cy="765175"/>
                    </a:xfrm>
                    <a:prstGeom prst="rect">
                      <a:avLst/>
                    </a:prstGeom>
                  </pic:spPr>
                </pic:pic>
              </a:graphicData>
            </a:graphic>
          </wp:anchor>
        </w:drawing>
      </w:r>
      <w:r>
        <w:rPr>
          <w:color w:val="auto"/>
        </w:rPr>
        <mc:AlternateContent>
          <mc:Choice Requires="wps">
            <w:drawing>
              <wp:anchor distT="0" distB="0" distL="114300" distR="114300" simplePos="0" relativeHeight="251686912" behindDoc="0" locked="0" layoutInCell="1" allowOverlap="1">
                <wp:simplePos x="0" y="0"/>
                <wp:positionH relativeFrom="column">
                  <wp:posOffset>4831715</wp:posOffset>
                </wp:positionH>
                <wp:positionV relativeFrom="paragraph">
                  <wp:posOffset>1834515</wp:posOffset>
                </wp:positionV>
                <wp:extent cx="717550" cy="252730"/>
                <wp:effectExtent l="352425" t="47625" r="15875" b="23495"/>
                <wp:wrapNone/>
                <wp:docPr id="42" name="对话气泡: 矩形 41"/>
                <wp:cNvGraphicFramePr/>
                <a:graphic xmlns:a="http://schemas.openxmlformats.org/drawingml/2006/main">
                  <a:graphicData uri="http://schemas.microsoft.com/office/word/2010/wordprocessingShape">
                    <wps:wsp>
                      <wps:cNvSpPr/>
                      <wps:spPr>
                        <a:xfrm>
                          <a:off x="0" y="0"/>
                          <a:ext cx="717550" cy="252730"/>
                        </a:xfrm>
                        <a:prstGeom prst="wedgeRectCallout">
                          <a:avLst>
                            <a:gd name="adj1" fmla="val -92300"/>
                            <a:gd name="adj2" fmla="val -61809"/>
                          </a:avLst>
                        </a:prstGeom>
                      </wps:spPr>
                      <wps:style>
                        <a:lnRef idx="2">
                          <a:schemeClr val="dk1"/>
                        </a:lnRef>
                        <a:fillRef idx="1">
                          <a:schemeClr val="lt1"/>
                        </a:fillRef>
                        <a:effectRef idx="0">
                          <a:schemeClr val="dk1"/>
                        </a:effectRef>
                        <a:fontRef idx="minor">
                          <a:schemeClr val="dk1"/>
                        </a:fontRef>
                      </wps:style>
                      <wps:txbx>
                        <w:txbxContent>
                          <w:p w14:paraId="3774D942">
                            <w:pPr>
                              <w:spacing w:line="0" w:lineRule="atLeast"/>
                              <w:jc w:val="center"/>
                              <w:rPr>
                                <w:sz w:val="21"/>
                                <w:szCs w:val="21"/>
                              </w:rPr>
                            </w:pPr>
                            <w:r>
                              <w:rPr>
                                <w:rFonts w:hint="eastAsia"/>
                                <w:sz w:val="21"/>
                                <w:szCs w:val="21"/>
                              </w:rPr>
                              <w:t>蒸汽锅炉间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对话气泡: 矩形 41" o:spid="_x0000_s1026" o:spt="61" type="#_x0000_t61" style="position:absolute;left:0pt;margin-left:380.45pt;margin-top:144.45pt;height:19.9pt;width:56.5pt;z-index:251686912;v-text-anchor:middle;mso-width-relative:page;mso-height-relative:page;" fillcolor="#FFFFFF [3201]" filled="t" stroked="t" coordsize="21600,21600" o:gfxdata="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KXGf/HZAAAACwEAAA8AAAAAAAAAAQAgAAAAIgAA&#10;AGRycy9kb3ducmV2LnhtbFBLAQIUABQAAAAIAIdO4kBa50nOsgIAAF0FAAAOAAAAAAAAAAEAIAAA&#10;ACgBAABkcnMvZTJvRG9jLnhtbFBLBQYAAAAABgAGAFkBAABMBgAAAAA=&#10;" adj="-9137,-2551">
                <v:fill on="t" focussize="0,0"/>
                <v:stroke weight="1pt" color="#000000 [3200]" miterlimit="8" joinstyle="miter"/>
                <v:imagedata o:title=""/>
                <o:lock v:ext="edit" aspectratio="f"/>
                <v:textbox inset="0mm,0mm,0mm,0mm">
                  <w:txbxContent>
                    <w:p w14:paraId="3774D942">
                      <w:pPr>
                        <w:spacing w:line="0" w:lineRule="atLeast"/>
                        <w:jc w:val="center"/>
                        <w:rPr>
                          <w:sz w:val="21"/>
                          <w:szCs w:val="21"/>
                        </w:rPr>
                      </w:pPr>
                      <w:r>
                        <w:rPr>
                          <w:rFonts w:hint="eastAsia"/>
                          <w:sz w:val="21"/>
                          <w:szCs w:val="21"/>
                        </w:rPr>
                        <w:t>蒸汽锅炉间</w:t>
                      </w:r>
                    </w:p>
                  </w:txbxContent>
                </v:textbox>
              </v:shape>
            </w:pict>
          </mc:Fallback>
        </mc:AlternateContent>
      </w:r>
      <w:r>
        <w:rPr>
          <w:color w:val="auto"/>
        </w:rPr>
        <mc:AlternateContent>
          <mc:Choice Requires="wps">
            <w:drawing>
              <wp:anchor distT="0" distB="0" distL="114300" distR="114300" simplePos="0" relativeHeight="251687936" behindDoc="0" locked="0" layoutInCell="1" allowOverlap="1">
                <wp:simplePos x="0" y="0"/>
                <wp:positionH relativeFrom="column">
                  <wp:posOffset>4831080</wp:posOffset>
                </wp:positionH>
                <wp:positionV relativeFrom="paragraph">
                  <wp:posOffset>1244600</wp:posOffset>
                </wp:positionV>
                <wp:extent cx="719455" cy="254000"/>
                <wp:effectExtent l="266065" t="6350" r="24130" b="292100"/>
                <wp:wrapNone/>
                <wp:docPr id="40" name="对话气泡: 矩形 41"/>
                <wp:cNvGraphicFramePr/>
                <a:graphic xmlns:a="http://schemas.openxmlformats.org/drawingml/2006/main">
                  <a:graphicData uri="http://schemas.microsoft.com/office/word/2010/wordprocessingShape">
                    <wps:wsp>
                      <wps:cNvSpPr/>
                      <wps:spPr>
                        <a:xfrm>
                          <a:off x="0" y="0"/>
                          <a:ext cx="719455" cy="254000"/>
                        </a:xfrm>
                        <a:prstGeom prst="wedgeRectCallout">
                          <a:avLst>
                            <a:gd name="adj1" fmla="val -80803"/>
                            <a:gd name="adj2" fmla="val 149250"/>
                          </a:avLst>
                        </a:prstGeom>
                      </wps:spPr>
                      <wps:style>
                        <a:lnRef idx="2">
                          <a:schemeClr val="dk1"/>
                        </a:lnRef>
                        <a:fillRef idx="1">
                          <a:schemeClr val="lt1"/>
                        </a:fillRef>
                        <a:effectRef idx="0">
                          <a:schemeClr val="dk1"/>
                        </a:effectRef>
                        <a:fontRef idx="minor">
                          <a:schemeClr val="dk1"/>
                        </a:fontRef>
                      </wps:style>
                      <wps:txbx>
                        <w:txbxContent>
                          <w:p w14:paraId="5445BDAC">
                            <w:pPr>
                              <w:spacing w:line="0" w:lineRule="atLeast"/>
                              <w:jc w:val="center"/>
                              <w:rPr>
                                <w:sz w:val="21"/>
                                <w:szCs w:val="21"/>
                              </w:rPr>
                            </w:pPr>
                            <w:r>
                              <w:rPr>
                                <w:rFonts w:hint="eastAsia"/>
                                <w:sz w:val="21"/>
                                <w:szCs w:val="21"/>
                                <w:lang w:val="en-US" w:eastAsia="zh-CN"/>
                              </w:rPr>
                              <w:t>软水制备</w:t>
                            </w:r>
                            <w:r>
                              <w:rPr>
                                <w:rFonts w:hint="eastAsia"/>
                                <w:sz w:val="21"/>
                                <w:szCs w:val="21"/>
                              </w:rPr>
                              <w:t>间</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对话气泡: 矩形 41" o:spid="_x0000_s1026" o:spt="61" type="#_x0000_t61" style="position:absolute;left:0pt;margin-left:380.4pt;margin-top:98pt;height:20pt;width:56.65pt;z-index:251687936;v-text-anchor:middle;mso-width-relative:page;mso-height-relative:page;" fillcolor="#FFFFFF [3201]" filled="t" stroked="t" coordsize="21600,21600" o:gfxdata="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O32i41gAAAAsBAAAPAAAAAAAAAAEAIAAAACIAAABkcnMv&#10;ZG93bnJldi54bWxQSwECFAAUAAAACACHTuJArZbjrbACAABdBQAADgAAAAAAAAABACAAAAAlAQAA&#10;ZHJzL2Uyb0RvYy54bWxQSwUGAAAAAAYABgBZAQAARwYAAAAA&#10;" adj="-6653,43038">
                <v:fill on="t" focussize="0,0"/>
                <v:stroke weight="1pt" color="#000000 [3200]" miterlimit="8" joinstyle="miter"/>
                <v:imagedata o:title=""/>
                <o:lock v:ext="edit" aspectratio="f"/>
                <v:textbox inset="0mm,0mm,0mm,0mm">
                  <w:txbxContent>
                    <w:p w14:paraId="5445BDAC">
                      <w:pPr>
                        <w:spacing w:line="0" w:lineRule="atLeast"/>
                        <w:jc w:val="center"/>
                        <w:rPr>
                          <w:sz w:val="21"/>
                          <w:szCs w:val="21"/>
                        </w:rPr>
                      </w:pPr>
                      <w:r>
                        <w:rPr>
                          <w:rFonts w:hint="eastAsia"/>
                          <w:sz w:val="21"/>
                          <w:szCs w:val="21"/>
                          <w:lang w:val="en-US" w:eastAsia="zh-CN"/>
                        </w:rPr>
                        <w:t>软水制备</w:t>
                      </w:r>
                      <w:r>
                        <w:rPr>
                          <w:rFonts w:hint="eastAsia"/>
                          <w:sz w:val="21"/>
                          <w:szCs w:val="21"/>
                        </w:rPr>
                        <w:t>间</w:t>
                      </w:r>
                    </w:p>
                  </w:txbxContent>
                </v:textbox>
              </v:shape>
            </w:pict>
          </mc:Fallback>
        </mc:AlternateContent>
      </w:r>
      <w:r>
        <w:rPr>
          <w:color w:val="auto"/>
          <w:sz w:val="24"/>
        </w:rPr>
        <mc:AlternateContent>
          <mc:Choice Requires="wps">
            <w:drawing>
              <wp:anchor distT="0" distB="0" distL="114300" distR="114300" simplePos="0" relativeHeight="251685888" behindDoc="0" locked="0" layoutInCell="1" allowOverlap="1">
                <wp:simplePos x="0" y="0"/>
                <wp:positionH relativeFrom="column">
                  <wp:posOffset>1381760</wp:posOffset>
                </wp:positionH>
                <wp:positionV relativeFrom="paragraph">
                  <wp:posOffset>710565</wp:posOffset>
                </wp:positionV>
                <wp:extent cx="1275080" cy="30099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27508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8DB77">
                            <w:pPr>
                              <w:rPr>
                                <w:rFonts w:hint="default"/>
                                <w:color w:val="FFFF00"/>
                                <w:sz w:val="36"/>
                                <w:szCs w:val="36"/>
                                <w:lang w:val="en-US"/>
                              </w:rPr>
                            </w:pPr>
                            <w:r>
                              <w:rPr>
                                <w:rFonts w:hint="eastAsia" w:cs="Times New Roman"/>
                                <w:color w:val="FFFF00"/>
                                <w:sz w:val="28"/>
                                <w:szCs w:val="28"/>
                                <w:lang w:val="en-US" w:eastAsia="zh-CN"/>
                              </w:rPr>
                              <w:t>伊力概沟三队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8pt;margin-top:55.95pt;height:23.7pt;width:100.4pt;z-index:251685888;mso-width-relative:page;mso-height-relative:page;" filled="f" stroked="f" coordsize="21600,21600" o:gfxdata="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xjuoR3AAAAAsBAAAPAAAAAAAAAAEAIAAAACIAAABk&#10;cnMvZG93bnJldi54bWxQSwECFAAUAAAACACHTuJA6m5S5DsCAABoBAAADgAAAAAAAAABACAAAAAr&#10;AQAAZHJzL2Uyb0RvYy54bWxQSwUGAAAAAAYABgBZAQAA2AUAAAAA&#10;">
                <v:fill on="f" focussize="0,0"/>
                <v:stroke on="f" weight="0.5pt"/>
                <v:imagedata o:title=""/>
                <o:lock v:ext="edit" aspectratio="f"/>
                <v:textbox>
                  <w:txbxContent>
                    <w:p w14:paraId="7238DB77">
                      <w:pPr>
                        <w:rPr>
                          <w:rFonts w:hint="default"/>
                          <w:color w:val="FFFF00"/>
                          <w:sz w:val="36"/>
                          <w:szCs w:val="36"/>
                          <w:lang w:val="en-US"/>
                        </w:rPr>
                      </w:pPr>
                      <w:r>
                        <w:rPr>
                          <w:rFonts w:hint="eastAsia" w:cs="Times New Roman"/>
                          <w:color w:val="FFFF00"/>
                          <w:sz w:val="28"/>
                          <w:szCs w:val="28"/>
                          <w:lang w:val="en-US" w:eastAsia="zh-CN"/>
                        </w:rPr>
                        <w:t>伊力概沟三队</w:t>
                      </w:r>
                    </w:p>
                  </w:txbxContent>
                </v:textbox>
              </v:shape>
            </w:pict>
          </mc:Fallback>
        </mc:AlternateContent>
      </w:r>
      <w:r>
        <w:drawing>
          <wp:inline distT="0" distB="0" distL="114300" distR="114300">
            <wp:extent cx="8860790" cy="4657090"/>
            <wp:effectExtent l="0" t="0" r="16510" b="1016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53"/>
                    <a:stretch>
                      <a:fillRect/>
                    </a:stretch>
                  </pic:blipFill>
                  <pic:spPr>
                    <a:xfrm>
                      <a:off x="0" y="0"/>
                      <a:ext cx="8860790" cy="4657090"/>
                    </a:xfrm>
                    <a:prstGeom prst="rect">
                      <a:avLst/>
                    </a:prstGeom>
                    <a:noFill/>
                    <a:ln>
                      <a:noFill/>
                    </a:ln>
                  </pic:spPr>
                </pic:pic>
              </a:graphicData>
            </a:graphic>
          </wp:inline>
        </w:drawing>
      </w:r>
      <w:r>
        <w:rPr>
          <w:color w:val="auto"/>
          <w:sz w:val="24"/>
        </w:rPr>
        <mc:AlternateContent>
          <mc:Choice Requires="wps">
            <w:drawing>
              <wp:anchor distT="0" distB="0" distL="114300" distR="114300" simplePos="0" relativeHeight="251674624" behindDoc="0" locked="0" layoutInCell="1" allowOverlap="1">
                <wp:simplePos x="0" y="0"/>
                <wp:positionH relativeFrom="column">
                  <wp:posOffset>3594735</wp:posOffset>
                </wp:positionH>
                <wp:positionV relativeFrom="paragraph">
                  <wp:posOffset>3638550</wp:posOffset>
                </wp:positionV>
                <wp:extent cx="1078865" cy="30099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078865"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BC860">
                            <w:pPr>
                              <w:rPr>
                                <w:rFonts w:hint="default"/>
                                <w:color w:val="FFFF00"/>
                                <w:sz w:val="36"/>
                                <w:szCs w:val="36"/>
                                <w:lang w:val="en-US"/>
                              </w:rPr>
                            </w:pPr>
                            <w:r>
                              <w:rPr>
                                <w:rFonts w:hint="eastAsia" w:cs="Times New Roman"/>
                                <w:color w:val="FFFF00"/>
                                <w:sz w:val="28"/>
                                <w:szCs w:val="28"/>
                                <w:lang w:val="en-US" w:eastAsia="zh-CN"/>
                              </w:rPr>
                              <w:t>阿格图四队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05pt;margin-top:286.5pt;height:23.7pt;width:84.95pt;z-index:251674624;mso-width-relative:page;mso-height-relative:page;" filled="f" stroked="f" coordsize="21600,21600" o:gfxdata="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P0uqtsAAAALAQAADwAAAAAAAAABACAAAAAiAAAA&#10;ZHJzL2Rvd25yZXYueG1sUEsBAhQAFAAAAAgAh07iQBlPDhI9AgAAaAQAAA4AAAAAAAAAAQAgAAAA&#10;KgEAAGRycy9lMm9Eb2MueG1sUEsFBgAAAAAGAAYAWQEAANkFAAAAAA==&#10;">
                <v:fill on="f" focussize="0,0"/>
                <v:stroke on="f" weight="0.5pt"/>
                <v:imagedata o:title=""/>
                <o:lock v:ext="edit" aspectratio="f"/>
                <v:textbox>
                  <w:txbxContent>
                    <w:p w14:paraId="0F4BC860">
                      <w:pPr>
                        <w:rPr>
                          <w:rFonts w:hint="default"/>
                          <w:color w:val="FFFF00"/>
                          <w:sz w:val="36"/>
                          <w:szCs w:val="36"/>
                          <w:lang w:val="en-US"/>
                        </w:rPr>
                      </w:pPr>
                      <w:r>
                        <w:rPr>
                          <w:rFonts w:hint="eastAsia" w:cs="Times New Roman"/>
                          <w:color w:val="FFFF00"/>
                          <w:sz w:val="28"/>
                          <w:szCs w:val="28"/>
                          <w:lang w:val="en-US" w:eastAsia="zh-CN"/>
                        </w:rPr>
                        <w:t>阿格图四队</w:t>
                      </w:r>
                    </w:p>
                  </w:txbxContent>
                </v:textbox>
              </v:shape>
            </w:pict>
          </mc:Fallback>
        </mc:AlternateContent>
      </w:r>
      <w:r>
        <w:rPr>
          <w:color w:val="auto"/>
          <w:sz w:val="24"/>
        </w:rPr>
        <mc:AlternateContent>
          <mc:Choice Requires="wps">
            <w:drawing>
              <wp:anchor distT="0" distB="0" distL="114300" distR="114300" simplePos="0" relativeHeight="251675648" behindDoc="0" locked="0" layoutInCell="1" allowOverlap="1">
                <wp:simplePos x="0" y="0"/>
                <wp:positionH relativeFrom="column">
                  <wp:posOffset>4055745</wp:posOffset>
                </wp:positionH>
                <wp:positionV relativeFrom="paragraph">
                  <wp:posOffset>3912870</wp:posOffset>
                </wp:positionV>
                <wp:extent cx="158115" cy="158750"/>
                <wp:effectExtent l="6350" t="6350" r="6985" b="6350"/>
                <wp:wrapNone/>
                <wp:docPr id="31" name="椭圆 31"/>
                <wp:cNvGraphicFramePr/>
                <a:graphic xmlns:a="http://schemas.openxmlformats.org/drawingml/2006/main">
                  <a:graphicData uri="http://schemas.microsoft.com/office/word/2010/wordprocessingShape">
                    <wps:wsp>
                      <wps:cNvSpPr/>
                      <wps:spPr>
                        <a:xfrm>
                          <a:off x="0" y="0"/>
                          <a:ext cx="158115" cy="158750"/>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35pt;margin-top:308.1pt;height:12.5pt;width:12.45pt;z-index:251675648;v-text-anchor:middle;mso-width-relative:page;mso-height-relative:page;" fillcolor="#70AD47 [3209]" filled="t" stroked="t" coordsize="21600,21600" o:gfxdata="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Ag+jQtkAAAALAQAADwAA&#10;AAAAAAABACAAAAAiAAAAZHJzL2Rvd25yZXYueG1sUEsBAhQAFAAAAAgAh07iQN8SWRiHAgAAGgUA&#10;AA4AAAAAAAAAAQAgAAAAKAEAAGRycy9lMm9Eb2MueG1sUEsFBgAAAAAGAAYAWQEAACEGAAAAAA==&#10;">
                <v:fill on="t" focussize="0,0"/>
                <v:stroke weight="1pt" color="#2F5597 [2404]" miterlimit="8" joinstyle="miter"/>
                <v:imagedata o:title=""/>
                <o:lock v:ext="edit" aspectratio="f"/>
              </v:shape>
            </w:pict>
          </mc:Fallback>
        </mc:AlternateContent>
      </w: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6858635</wp:posOffset>
                </wp:positionH>
                <wp:positionV relativeFrom="paragraph">
                  <wp:posOffset>4304665</wp:posOffset>
                </wp:positionV>
                <wp:extent cx="214630" cy="158750"/>
                <wp:effectExtent l="6350" t="6350" r="7620" b="6350"/>
                <wp:wrapNone/>
                <wp:docPr id="26" name="矩形 26"/>
                <wp:cNvGraphicFramePr/>
                <a:graphic xmlns:a="http://schemas.openxmlformats.org/drawingml/2006/main">
                  <a:graphicData uri="http://schemas.microsoft.com/office/word/2010/wordprocessingShape">
                    <wps:wsp>
                      <wps:cNvSpPr/>
                      <wps:spPr>
                        <a:xfrm>
                          <a:off x="0" y="0"/>
                          <a:ext cx="214630" cy="158750"/>
                        </a:xfrm>
                        <a:prstGeom prst="rect">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0.05pt;margin-top:338.95pt;height:12.5pt;width:16.9pt;z-index:251670528;v-text-anchor:middle;mso-width-relative:page;mso-height-relative:page;" filled="f" stroked="t" coordsize="21600,21600" o:gfxdata="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OLbgzYAAAADQEAAA8AAAAAAAAAAQAgAAAAIgAAAGRycy9kb3ducmV2Lnht&#10;bFBLAQIUABQAAAAIAIdO4kAuiiZaawIAAMwEAAAOAAAAAAAAAAEAIAAAACcBAABkcnMvZTJvRG9j&#10;LnhtbFBLBQYAAAAABgAGAFkBAAAEBgAAAAA=&#10;">
                <v:fill on="f" focussize="0,0"/>
                <v:stroke weight="1pt" color="#00B0F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9504" behindDoc="0" locked="0" layoutInCell="1" allowOverlap="1">
                <wp:simplePos x="0" y="0"/>
                <wp:positionH relativeFrom="column">
                  <wp:posOffset>6849745</wp:posOffset>
                </wp:positionH>
                <wp:positionV relativeFrom="paragraph">
                  <wp:posOffset>3991610</wp:posOffset>
                </wp:positionV>
                <wp:extent cx="214630" cy="158750"/>
                <wp:effectExtent l="6350" t="6350" r="7620" b="6350"/>
                <wp:wrapNone/>
                <wp:docPr id="25" name="矩形 25"/>
                <wp:cNvGraphicFramePr/>
                <a:graphic xmlns:a="http://schemas.openxmlformats.org/drawingml/2006/main">
                  <a:graphicData uri="http://schemas.microsoft.com/office/word/2010/wordprocessingShape">
                    <wps:wsp>
                      <wps:cNvSpPr/>
                      <wps:spPr>
                        <a:xfrm>
                          <a:off x="0" y="0"/>
                          <a:ext cx="214630" cy="158750"/>
                        </a:xfrm>
                        <a:prstGeom prst="rect">
                          <a:avLst/>
                        </a:prstGeom>
                        <a:noFill/>
                        <a:ln>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9.35pt;margin-top:314.3pt;height:12.5pt;width:16.9pt;z-index:251669504;v-text-anchor:middle;mso-width-relative:page;mso-height-relative:page;" filled="f" stroked="t" coordsize="21600,21600" o:gfxdata="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nXlxg2wAAAA0BAAAPAAAAAAAAAAEAIAAAACIAAABkcnMvZG93bnJldi54&#10;bWxQSwECFAAUAAAACACHTuJAMltgz2kCAADMBAAADgAAAAAAAAABACAAAAAqAQAAZHJzL2Uyb0Rv&#10;Yy54bWxQSwUGAAAAAAYABgBZAQAABQYAAAAA&#10;">
                <v:fill on="f" focussize="0,0"/>
                <v:stroke weight="1pt" color="#FFC00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6847840</wp:posOffset>
                </wp:positionH>
                <wp:positionV relativeFrom="paragraph">
                  <wp:posOffset>3706495</wp:posOffset>
                </wp:positionV>
                <wp:extent cx="214630" cy="158750"/>
                <wp:effectExtent l="6350" t="6350" r="7620" b="6350"/>
                <wp:wrapNone/>
                <wp:docPr id="24" name="矩形 24"/>
                <wp:cNvGraphicFramePr/>
                <a:graphic xmlns:a="http://schemas.openxmlformats.org/drawingml/2006/main">
                  <a:graphicData uri="http://schemas.microsoft.com/office/word/2010/wordprocessingShape">
                    <wps:wsp>
                      <wps:cNvSpPr/>
                      <wps:spPr>
                        <a:xfrm>
                          <a:off x="0" y="0"/>
                          <a:ext cx="214630" cy="158750"/>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9.2pt;margin-top:291.85pt;height:12.5pt;width:16.9pt;z-index:251668480;v-text-anchor:middle;mso-width-relative:page;mso-height-relative:page;" filled="f" stroked="t" coordsize="21600,21600" o:gfxdata="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uNsjq2wAAAA0BAAAPAAAAAAAAAAEAIAAAACIAAABkcnMvZG93bnJldi54&#10;bWxQSwECFAAUAAAACACHTuJAvtqWDmkCAADMBAAADgAAAAAAAAABACAAAAAqAQAAZHJzL2Uyb0Rv&#10;Yy54bWxQSwUGAAAAAAYABgBZAQAABQYAAAAA&#10;">
                <v:fill on="f" focussize="0,0"/>
                <v:stroke weight="1pt" color="#FFFF00 [2404]" miterlimit="8" joinstyle="miter"/>
                <v:imagedata o:title=""/>
                <o:lock v:ext="edit" aspectratio="f"/>
              </v:rect>
            </w:pict>
          </mc:Fallback>
        </mc:AlternateContent>
      </w: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6842125</wp:posOffset>
                </wp:positionH>
                <wp:positionV relativeFrom="paragraph">
                  <wp:posOffset>3423920</wp:posOffset>
                </wp:positionV>
                <wp:extent cx="214630" cy="158750"/>
                <wp:effectExtent l="6350" t="6350" r="7620" b="6350"/>
                <wp:wrapNone/>
                <wp:docPr id="23" name="矩形 23"/>
                <wp:cNvGraphicFramePr/>
                <a:graphic xmlns:a="http://schemas.openxmlformats.org/drawingml/2006/main">
                  <a:graphicData uri="http://schemas.microsoft.com/office/word/2010/wordprocessingShape">
                    <wps:wsp>
                      <wps:cNvSpPr/>
                      <wps:spPr>
                        <a:xfrm>
                          <a:off x="7192010" y="5247640"/>
                          <a:ext cx="214630" cy="15875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8.75pt;margin-top:269.6pt;height:12.5pt;width:16.9pt;z-index:251667456;v-text-anchor:middle;mso-width-relative:page;mso-height-relative:page;" filled="f" stroked="t" coordsize="21600,21600" o:gfxdata="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PjR8TYAAAADQEAAA8AAAAAAAAAAQAgAAAAIgAAAGRy&#10;cy9kb3ducmV2LnhtbFBLAQIUABQAAAAIAIdO4kC2fCkkdwIAANgEAAAOAAAAAAAAAAEAIAAAACcB&#10;AABkcnMvZTJvRG9jLnhtbFBLBQYAAAAABgAGAFkBAAAQBgAAAAA=&#10;">
                <v:fill on="f" focussize="0,0"/>
                <v:stroke weight="1pt" color="#FF0000 [2404]" miterlimit="8" joinstyle="miter"/>
                <v:imagedata o:title=""/>
                <o:lock v:ext="edit" aspectratio="f"/>
              </v:rect>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6720205</wp:posOffset>
                </wp:positionH>
                <wp:positionV relativeFrom="paragraph">
                  <wp:posOffset>3053715</wp:posOffset>
                </wp:positionV>
                <wp:extent cx="2105660" cy="1506855"/>
                <wp:effectExtent l="4445" t="5080" r="23495" b="12065"/>
                <wp:wrapNone/>
                <wp:docPr id="19" name="文本框 19"/>
                <wp:cNvGraphicFramePr/>
                <a:graphic xmlns:a="http://schemas.openxmlformats.org/drawingml/2006/main">
                  <a:graphicData uri="http://schemas.microsoft.com/office/word/2010/wordprocessingShape">
                    <wps:wsp>
                      <wps:cNvSpPr txBox="1"/>
                      <wps:spPr>
                        <a:xfrm>
                          <a:off x="0" y="0"/>
                          <a:ext cx="2105660" cy="1506855"/>
                        </a:xfrm>
                        <a:prstGeom prst="rect">
                          <a:avLst/>
                        </a:prstGeom>
                        <a:solidFill>
                          <a:srgbClr val="FFFFFF"/>
                        </a:solidFill>
                        <a:ln w="6350">
                          <a:solidFill>
                            <a:prstClr val="black"/>
                          </a:solidFill>
                        </a:ln>
                      </wps:spPr>
                      <wps:txbx>
                        <w:txbxContent>
                          <w:p w14:paraId="12B73CB4">
                            <w:pPr>
                              <w:jc w:val="center"/>
                            </w:pPr>
                            <w:r>
                              <w:rPr>
                                <w:rFonts w:hint="eastAsia"/>
                              </w:rPr>
                              <w:t>图例</w:t>
                            </w:r>
                          </w:p>
                          <w:p w14:paraId="6D61B0C8">
                            <w:pPr>
                              <w:ind w:firstLine="480"/>
                              <w:jc w:val="left"/>
                            </w:pPr>
                            <w:r>
                              <w:rPr>
                                <w:rFonts w:hint="eastAsia"/>
                              </w:rPr>
                              <w:t>工业废水处理厂</w:t>
                            </w:r>
                          </w:p>
                          <w:p w14:paraId="2AB5B528">
                            <w:pPr>
                              <w:ind w:firstLine="480"/>
                              <w:jc w:val="left"/>
                              <w:rPr>
                                <w:rFonts w:hint="default" w:eastAsia="宋体"/>
                                <w:lang w:val="en-US" w:eastAsia="zh-CN"/>
                              </w:rPr>
                            </w:pPr>
                            <w:r>
                              <w:rPr>
                                <w:rFonts w:hint="eastAsia"/>
                              </w:rPr>
                              <w:t>蒸汽锅炉间</w:t>
                            </w:r>
                            <w:r>
                              <w:rPr>
                                <w:rFonts w:hint="eastAsia"/>
                                <w:lang w:eastAsia="zh-CN"/>
                              </w:rPr>
                              <w:t>、</w:t>
                            </w:r>
                            <w:r>
                              <w:rPr>
                                <w:rFonts w:hint="eastAsia"/>
                                <w:lang w:val="en-US" w:eastAsia="zh-CN"/>
                              </w:rPr>
                              <w:t>软水制备间</w:t>
                            </w:r>
                          </w:p>
                          <w:p w14:paraId="1BC13FAF">
                            <w:pPr>
                              <w:ind w:firstLine="480"/>
                              <w:jc w:val="left"/>
                              <w:rPr>
                                <w:rFonts w:hint="eastAsia"/>
                                <w:lang w:val="en-US" w:eastAsia="zh-CN"/>
                              </w:rPr>
                            </w:pPr>
                            <w:r>
                              <w:rPr>
                                <w:rFonts w:hint="eastAsia"/>
                                <w:lang w:val="en-US" w:eastAsia="zh-CN"/>
                              </w:rPr>
                              <w:t>噪声评价范围</w:t>
                            </w:r>
                          </w:p>
                          <w:p w14:paraId="67B01DD0">
                            <w:pPr>
                              <w:ind w:firstLine="480"/>
                              <w:jc w:val="left"/>
                              <w:rPr>
                                <w:rFonts w:hint="default"/>
                                <w:lang w:val="en-US" w:eastAsia="zh-CN"/>
                              </w:rPr>
                            </w:pPr>
                            <w:r>
                              <w:rPr>
                                <w:rFonts w:hint="eastAsia"/>
                                <w:lang w:val="en-US" w:eastAsia="zh-CN"/>
                              </w:rPr>
                              <w:t>大气、地下水评价范围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9.15pt;margin-top:240.45pt;height:118.65pt;width:165.8pt;z-index:251666432;mso-width-relative:page;mso-height-relative:page;" fillcolor="#FFFFFF" filled="t" stroked="t" coordsize="21600,21600" o:gfxdata="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ibTQdgA&#10;AAANAQAADwAAAAAAAAABACAAAAAiAAAAZHJzL2Rvd25yZXYueG1sUEsBAhQAFAAAAAgAh07iQHsa&#10;nsFYAgAAugQAAA4AAAAAAAAAAQAgAAAAJwEAAGRycy9lMm9Eb2MueG1sUEsFBgAAAAAGAAYAWQEA&#10;APEFAAAAAA==&#10;">
                <v:fill on="t" focussize="0,0"/>
                <v:stroke weight="0.5pt" color="#000000" joinstyle="round"/>
                <v:imagedata o:title=""/>
                <o:lock v:ext="edit" aspectratio="f"/>
                <v:textbox>
                  <w:txbxContent>
                    <w:p w14:paraId="12B73CB4">
                      <w:pPr>
                        <w:jc w:val="center"/>
                      </w:pPr>
                      <w:r>
                        <w:rPr>
                          <w:rFonts w:hint="eastAsia"/>
                        </w:rPr>
                        <w:t>图例</w:t>
                      </w:r>
                    </w:p>
                    <w:p w14:paraId="6D61B0C8">
                      <w:pPr>
                        <w:ind w:firstLine="480"/>
                        <w:jc w:val="left"/>
                      </w:pPr>
                      <w:r>
                        <w:rPr>
                          <w:rFonts w:hint="eastAsia"/>
                        </w:rPr>
                        <w:t>工业废水处理厂</w:t>
                      </w:r>
                    </w:p>
                    <w:p w14:paraId="2AB5B528">
                      <w:pPr>
                        <w:ind w:firstLine="480"/>
                        <w:jc w:val="left"/>
                        <w:rPr>
                          <w:rFonts w:hint="default" w:eastAsia="宋体"/>
                          <w:lang w:val="en-US" w:eastAsia="zh-CN"/>
                        </w:rPr>
                      </w:pPr>
                      <w:r>
                        <w:rPr>
                          <w:rFonts w:hint="eastAsia"/>
                        </w:rPr>
                        <w:t>蒸汽锅炉间</w:t>
                      </w:r>
                      <w:r>
                        <w:rPr>
                          <w:rFonts w:hint="eastAsia"/>
                          <w:lang w:eastAsia="zh-CN"/>
                        </w:rPr>
                        <w:t>、</w:t>
                      </w:r>
                      <w:r>
                        <w:rPr>
                          <w:rFonts w:hint="eastAsia"/>
                          <w:lang w:val="en-US" w:eastAsia="zh-CN"/>
                        </w:rPr>
                        <w:t>软水制备间</w:t>
                      </w:r>
                    </w:p>
                    <w:p w14:paraId="1BC13FAF">
                      <w:pPr>
                        <w:ind w:firstLine="480"/>
                        <w:jc w:val="left"/>
                        <w:rPr>
                          <w:rFonts w:hint="eastAsia"/>
                          <w:lang w:val="en-US" w:eastAsia="zh-CN"/>
                        </w:rPr>
                      </w:pPr>
                      <w:r>
                        <w:rPr>
                          <w:rFonts w:hint="eastAsia"/>
                          <w:lang w:val="en-US" w:eastAsia="zh-CN"/>
                        </w:rPr>
                        <w:t>噪声评价范围</w:t>
                      </w:r>
                    </w:p>
                    <w:p w14:paraId="67B01DD0">
                      <w:pPr>
                        <w:ind w:firstLine="480"/>
                        <w:jc w:val="left"/>
                        <w:rPr>
                          <w:rFonts w:hint="default"/>
                          <w:lang w:val="en-US" w:eastAsia="zh-CN"/>
                        </w:rPr>
                      </w:pPr>
                      <w:r>
                        <w:rPr>
                          <w:rFonts w:hint="eastAsia"/>
                          <w:lang w:val="en-US" w:eastAsia="zh-CN"/>
                        </w:rPr>
                        <w:t>大气、地下水评价范围</w:t>
                      </w:r>
                    </w:p>
                  </w:txbxContent>
                </v:textbox>
              </v:shape>
            </w:pict>
          </mc:Fallback>
        </mc:AlternateContent>
      </w:r>
      <w:r>
        <w:rPr>
          <w:color w:val="auto"/>
          <w:sz w:val="24"/>
        </w:rPr>
        <mc:AlternateContent>
          <mc:Choice Requires="wps">
            <w:drawing>
              <wp:anchor distT="0" distB="0" distL="114300" distR="114300" simplePos="0" relativeHeight="251673600" behindDoc="0" locked="0" layoutInCell="1" allowOverlap="1">
                <wp:simplePos x="0" y="0"/>
                <wp:positionH relativeFrom="column">
                  <wp:posOffset>1937385</wp:posOffset>
                </wp:positionH>
                <wp:positionV relativeFrom="paragraph">
                  <wp:posOffset>986155</wp:posOffset>
                </wp:positionV>
                <wp:extent cx="158115" cy="158750"/>
                <wp:effectExtent l="6350" t="6350" r="6985" b="6350"/>
                <wp:wrapNone/>
                <wp:docPr id="29" name="椭圆 29"/>
                <wp:cNvGraphicFramePr/>
                <a:graphic xmlns:a="http://schemas.openxmlformats.org/drawingml/2006/main">
                  <a:graphicData uri="http://schemas.microsoft.com/office/word/2010/wordprocessingShape">
                    <wps:wsp>
                      <wps:cNvSpPr/>
                      <wps:spPr>
                        <a:xfrm>
                          <a:off x="2896235" y="2437765"/>
                          <a:ext cx="158115" cy="158750"/>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2.55pt;margin-top:77.65pt;height:12.5pt;width:12.45pt;z-index:251673600;v-text-anchor:middle;mso-width-relative:page;mso-height-relative:page;" fillcolor="#70AD47 [3209]" filled="t" stroked="t" coordsize="21600,21600" o:gfxdata="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NjtCE&#10;2AAAAAsBAAAPAAAAAAAAAAEAIAAAACIAAABkcnMvZG93bnJldi54bWxQSwECFAAUAAAACACHTuJA&#10;BzPmx5MCAAAmBQAADgAAAAAAAAABACAAAAAnAQAAZHJzL2Uyb0RvYy54bWxQSwUGAAAAAAYABgBZ&#10;AQAALAYAAAAA&#10;">
                <v:fill on="t" focussize="0,0"/>
                <v:stroke weight="1pt" color="#2F5597 [2404]" miterlimit="8" joinstyle="miter"/>
                <v:imagedata o:title=""/>
                <o:lock v:ext="edit" aspectratio="f"/>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5715</wp:posOffset>
                </wp:positionH>
                <wp:positionV relativeFrom="paragraph">
                  <wp:posOffset>10795</wp:posOffset>
                </wp:positionV>
                <wp:extent cx="4836160" cy="4039870"/>
                <wp:effectExtent l="2540" t="6985" r="19050" b="10795"/>
                <wp:wrapNone/>
                <wp:docPr id="35" name="任意多边形 35"/>
                <wp:cNvGraphicFramePr/>
                <a:graphic xmlns:a="http://schemas.openxmlformats.org/drawingml/2006/main">
                  <a:graphicData uri="http://schemas.microsoft.com/office/word/2010/wordprocessingShape">
                    <wps:wsp>
                      <wps:cNvSpPr/>
                      <wps:spPr>
                        <a:xfrm>
                          <a:off x="920115" y="1449705"/>
                          <a:ext cx="4836160" cy="4039870"/>
                        </a:xfrm>
                        <a:custGeom>
                          <a:avLst/>
                          <a:gdLst>
                            <a:gd name="connisteX0" fmla="*/ 0 w 4836160"/>
                            <a:gd name="connsiteY0" fmla="*/ 3996055 h 4039870"/>
                            <a:gd name="connisteX1" fmla="*/ 177800 w 4836160"/>
                            <a:gd name="connsiteY1" fmla="*/ 4039870 h 4039870"/>
                            <a:gd name="connisteX2" fmla="*/ 441960 w 4836160"/>
                            <a:gd name="connsiteY2" fmla="*/ 3961130 h 4039870"/>
                            <a:gd name="connisteX3" fmla="*/ 692785 w 4836160"/>
                            <a:gd name="connsiteY3" fmla="*/ 3827780 h 4039870"/>
                            <a:gd name="connisteX4" fmla="*/ 809625 w 4836160"/>
                            <a:gd name="connsiteY4" fmla="*/ 3697605 h 4039870"/>
                            <a:gd name="connisteX5" fmla="*/ 870585 w 4836160"/>
                            <a:gd name="connsiteY5" fmla="*/ 3338195 h 4039870"/>
                            <a:gd name="connisteX6" fmla="*/ 948055 w 4836160"/>
                            <a:gd name="connsiteY6" fmla="*/ 3087370 h 4039870"/>
                            <a:gd name="connisteX7" fmla="*/ 1147445 w 4836160"/>
                            <a:gd name="connsiteY7" fmla="*/ 3039745 h 4039870"/>
                            <a:gd name="connisteX8" fmla="*/ 1428750 w 4836160"/>
                            <a:gd name="connsiteY8" fmla="*/ 2952750 h 4039870"/>
                            <a:gd name="connisteX9" fmla="*/ 1645285 w 4836160"/>
                            <a:gd name="connsiteY9" fmla="*/ 2827655 h 4039870"/>
                            <a:gd name="connisteX10" fmla="*/ 1783715 w 4836160"/>
                            <a:gd name="connsiteY10" fmla="*/ 2706370 h 4039870"/>
                            <a:gd name="connisteX11" fmla="*/ 1749425 w 4836160"/>
                            <a:gd name="connsiteY11" fmla="*/ 2563495 h 4039870"/>
                            <a:gd name="connisteX12" fmla="*/ 1883410 w 4836160"/>
                            <a:gd name="connsiteY12" fmla="*/ 2393950 h 4039870"/>
                            <a:gd name="connisteX13" fmla="*/ 2299335 w 4836160"/>
                            <a:gd name="connsiteY13" fmla="*/ 2108200 h 4039870"/>
                            <a:gd name="connisteX14" fmla="*/ 2476500 w 4836160"/>
                            <a:gd name="connsiteY14" fmla="*/ 1909445 h 4039870"/>
                            <a:gd name="connisteX15" fmla="*/ 2580640 w 4836160"/>
                            <a:gd name="connsiteY15" fmla="*/ 1727200 h 4039870"/>
                            <a:gd name="connisteX16" fmla="*/ 2662555 w 4836160"/>
                            <a:gd name="connsiteY16" fmla="*/ 1697355 h 4039870"/>
                            <a:gd name="connisteX17" fmla="*/ 2740660 w 4836160"/>
                            <a:gd name="connsiteY17" fmla="*/ 1774825 h 4039870"/>
                            <a:gd name="connisteX18" fmla="*/ 2797175 w 4836160"/>
                            <a:gd name="connsiteY18" fmla="*/ 1784350 h 4039870"/>
                            <a:gd name="connisteX19" fmla="*/ 2883535 w 4836160"/>
                            <a:gd name="connsiteY19" fmla="*/ 1701800 h 4039870"/>
                            <a:gd name="connisteX20" fmla="*/ 3013710 w 4836160"/>
                            <a:gd name="connsiteY20" fmla="*/ 1536700 h 4039870"/>
                            <a:gd name="connisteX21" fmla="*/ 3108960 w 4836160"/>
                            <a:gd name="connsiteY21" fmla="*/ 1459230 h 4039870"/>
                            <a:gd name="connisteX22" fmla="*/ 3221355 w 4836160"/>
                            <a:gd name="connsiteY22" fmla="*/ 1498600 h 4039870"/>
                            <a:gd name="connisteX23" fmla="*/ 3286125 w 4836160"/>
                            <a:gd name="connsiteY23" fmla="*/ 1503045 h 4039870"/>
                            <a:gd name="connisteX24" fmla="*/ 3420745 w 4836160"/>
                            <a:gd name="connsiteY24" fmla="*/ 1455420 h 4039870"/>
                            <a:gd name="connisteX25" fmla="*/ 3593465 w 4836160"/>
                            <a:gd name="connsiteY25" fmla="*/ 1337945 h 4039870"/>
                            <a:gd name="connisteX26" fmla="*/ 3676015 w 4836160"/>
                            <a:gd name="connsiteY26" fmla="*/ 1290320 h 4039870"/>
                            <a:gd name="connisteX27" fmla="*/ 3680460 w 4836160"/>
                            <a:gd name="connsiteY27" fmla="*/ 1217295 h 4039870"/>
                            <a:gd name="connisteX28" fmla="*/ 3714750 w 4836160"/>
                            <a:gd name="connsiteY28" fmla="*/ 1177925 h 4039870"/>
                            <a:gd name="connisteX29" fmla="*/ 3792855 w 4836160"/>
                            <a:gd name="connsiteY29" fmla="*/ 1212850 h 4039870"/>
                            <a:gd name="connisteX30" fmla="*/ 3909695 w 4836160"/>
                            <a:gd name="connsiteY30" fmla="*/ 1229995 h 4039870"/>
                            <a:gd name="connisteX31" fmla="*/ 3914140 w 4836160"/>
                            <a:gd name="connsiteY31" fmla="*/ 1155700 h 4039870"/>
                            <a:gd name="connisteX32" fmla="*/ 3978910 w 4836160"/>
                            <a:gd name="connsiteY32" fmla="*/ 1017905 h 4039870"/>
                            <a:gd name="connisteX33" fmla="*/ 4121785 w 4836160"/>
                            <a:gd name="connsiteY33" fmla="*/ 784225 h 4039870"/>
                            <a:gd name="connisteX34" fmla="*/ 4286250 w 4836160"/>
                            <a:gd name="connsiteY34" fmla="*/ 593725 h 4039870"/>
                            <a:gd name="connisteX35" fmla="*/ 4511675 w 4836160"/>
                            <a:gd name="connsiteY35" fmla="*/ 320675 h 4039870"/>
                            <a:gd name="connisteX36" fmla="*/ 4836160 w 4836160"/>
                            <a:gd name="connsiteY36" fmla="*/ 0 h 403987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Lst>
                          <a:rect l="l" t="t" r="r" b="b"/>
                          <a:pathLst>
                            <a:path w="4836160" h="4039870">
                              <a:moveTo>
                                <a:pt x="0" y="3996055"/>
                              </a:moveTo>
                              <a:lnTo>
                                <a:pt x="177800" y="4039870"/>
                              </a:lnTo>
                              <a:lnTo>
                                <a:pt x="441960" y="3961130"/>
                              </a:lnTo>
                              <a:lnTo>
                                <a:pt x="692785" y="3827780"/>
                              </a:lnTo>
                              <a:lnTo>
                                <a:pt x="809625" y="3697605"/>
                              </a:lnTo>
                              <a:lnTo>
                                <a:pt x="870585" y="3338195"/>
                              </a:lnTo>
                              <a:lnTo>
                                <a:pt x="948055" y="3087370"/>
                              </a:lnTo>
                              <a:lnTo>
                                <a:pt x="1147445" y="3039745"/>
                              </a:lnTo>
                              <a:lnTo>
                                <a:pt x="1428750" y="2952750"/>
                              </a:lnTo>
                              <a:lnTo>
                                <a:pt x="1645285" y="2827655"/>
                              </a:lnTo>
                              <a:lnTo>
                                <a:pt x="1783715" y="2706370"/>
                              </a:lnTo>
                              <a:lnTo>
                                <a:pt x="1749425" y="2563495"/>
                              </a:lnTo>
                              <a:lnTo>
                                <a:pt x="1883410" y="2393950"/>
                              </a:lnTo>
                              <a:lnTo>
                                <a:pt x="2299335" y="2108200"/>
                              </a:lnTo>
                              <a:lnTo>
                                <a:pt x="2476500" y="1909445"/>
                              </a:lnTo>
                              <a:lnTo>
                                <a:pt x="2580640" y="1727200"/>
                              </a:lnTo>
                              <a:lnTo>
                                <a:pt x="2662555" y="1697355"/>
                              </a:lnTo>
                              <a:lnTo>
                                <a:pt x="2740660" y="1774825"/>
                              </a:lnTo>
                              <a:lnTo>
                                <a:pt x="2797175" y="1784350"/>
                              </a:lnTo>
                              <a:lnTo>
                                <a:pt x="2883535" y="1701800"/>
                              </a:lnTo>
                              <a:lnTo>
                                <a:pt x="3013710" y="1536700"/>
                              </a:lnTo>
                              <a:lnTo>
                                <a:pt x="3108960" y="1459230"/>
                              </a:lnTo>
                              <a:lnTo>
                                <a:pt x="3221355" y="1498600"/>
                              </a:lnTo>
                              <a:lnTo>
                                <a:pt x="3286125" y="1503045"/>
                              </a:lnTo>
                              <a:lnTo>
                                <a:pt x="3420745" y="1455420"/>
                              </a:lnTo>
                              <a:lnTo>
                                <a:pt x="3593465" y="1337945"/>
                              </a:lnTo>
                              <a:lnTo>
                                <a:pt x="3676015" y="1290320"/>
                              </a:lnTo>
                              <a:lnTo>
                                <a:pt x="3680460" y="1217295"/>
                              </a:lnTo>
                              <a:lnTo>
                                <a:pt x="3714750" y="1177925"/>
                              </a:lnTo>
                              <a:lnTo>
                                <a:pt x="3792855" y="1212850"/>
                              </a:lnTo>
                              <a:lnTo>
                                <a:pt x="3909695" y="1229995"/>
                              </a:lnTo>
                              <a:lnTo>
                                <a:pt x="3914140" y="1155700"/>
                              </a:lnTo>
                              <a:lnTo>
                                <a:pt x="3978910" y="1017905"/>
                              </a:lnTo>
                              <a:lnTo>
                                <a:pt x="4121785" y="784225"/>
                              </a:lnTo>
                              <a:lnTo>
                                <a:pt x="4286250" y="593725"/>
                              </a:lnTo>
                              <a:lnTo>
                                <a:pt x="4511675" y="320675"/>
                              </a:lnTo>
                              <a:lnTo>
                                <a:pt x="4836160" y="0"/>
                              </a:lnTo>
                            </a:path>
                          </a:pathLst>
                        </a:custGeom>
                        <a:noFill/>
                        <a:ln w="19050">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0.45pt;margin-top:0.85pt;height:318.1pt;width:380.8pt;z-index:251683840;mso-width-relative:page;mso-height-relative:page;" filled="f" stroked="t" coordsize="4836160,4039870" o:gfxdata="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" path="m0,3996055l177800,4039870,441960,3961130,692785,3827780,809625,3697605,870585,3338195,948055,3087370,1147445,3039745,1428750,2952750,1645285,2827655,1783715,2706370,1749425,2563495,1883410,2393950,2299335,2108200,2476500,1909445,2580640,1727200,2662555,1697355,2740660,1774825,2797175,1784350,2883535,1701800,3013710,1536700,3108960,1459230,3221355,1498600,3286125,1503045,3420745,1455420,3593465,1337945,3676015,1290320,3680460,1217295,3714750,1177925,3792855,1212850,3909695,1229995,3914140,1155700,3978910,1017905,4121785,784225,4286250,593725,4511675,320675,4836160,0e">
                <v:path o:connectlocs="0,3996055;177800,4039870;441960,3961130;692785,3827780;809625,3697605;870585,3338195;948055,3087370;1147445,3039745;1428750,2952750;1645285,2827655;1783715,2706370;1749425,2563495;1883410,2393950;2299335,2108200;2476500,1909445;2580640,1727200;2662555,1697355;2740660,1774825;2797175,1784350;2883535,1701800;3013710,1536700;3108960,1459230;3221355,1498600;3286125,1503045;3420745,1455420;3593465,1337945;3676015,1290320;3680460,1217295;3714750,1177925;3792855,1212850;3909695,1229995;3914140,1155700;3978910,1017905;4121785,784225;4286250,593725;4511675,320675;4836160,0" o:connectangles="0,0,0,0,0,0,0,0,0,0,0,0,0,0,0,0,0,0,0,0,0,0,0,0,0,0,0,0,0,0,0,0,0,0,0,0,0"/>
                <v:fill on="f" focussize="0,0"/>
                <v:stroke weight="1.5pt" color="#70AD47 [3209]" miterlimit="8" joinstyle="miter"/>
                <v:imagedata o:title=""/>
                <o:lock v:ext="edit" aspectratio="f"/>
              </v:shape>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3415665</wp:posOffset>
                </wp:positionH>
                <wp:positionV relativeFrom="paragraph">
                  <wp:posOffset>689610</wp:posOffset>
                </wp:positionV>
                <wp:extent cx="2171700" cy="2149475"/>
                <wp:effectExtent l="5080" t="4445" r="13970" b="17780"/>
                <wp:wrapNone/>
                <wp:docPr id="32" name="矩形 32"/>
                <wp:cNvGraphicFramePr/>
                <a:graphic xmlns:a="http://schemas.openxmlformats.org/drawingml/2006/main">
                  <a:graphicData uri="http://schemas.microsoft.com/office/word/2010/wordprocessingShape">
                    <wps:wsp>
                      <wps:cNvSpPr/>
                      <wps:spPr>
                        <a:xfrm>
                          <a:off x="0" y="0"/>
                          <a:ext cx="2171700" cy="2149475"/>
                        </a:xfrm>
                        <a:prstGeom prst="rect">
                          <a:avLst/>
                        </a:prstGeom>
                        <a:noFill/>
                        <a:ln w="9525">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8.95pt;margin-top:54.3pt;height:169.25pt;width:171pt;z-index:251682816;v-text-anchor:middle;mso-width-relative:page;mso-height-relative:page;" filled="f" stroked="t" coordsize="21600,21600" o:gfxdata="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FKQZvZAAAACwEAAA8AAAAAAAAAAQAgAAAAIgAAAGRycy9kb3ducmV2&#10;LnhtbFBLAQIUABQAAAAIAIdO4kAuIS0vbQIAAM0EAAAOAAAAAAAAAAEAIAAAACgBAABkcnMvZTJv&#10;RG9jLnhtbFBLBQYAAAAABgAGAFkBAAAHBgAAAAA=&#10;">
                <v:fill on="f" focussize="0,0"/>
                <v:stroke color="#00B0F0 [2404]" miterlimit="8" joinstyle="miter"/>
                <v:imagedata o:title=""/>
                <o:lock v:ext="edit" aspectratio="f"/>
              </v:rect>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4355465</wp:posOffset>
                </wp:positionH>
                <wp:positionV relativeFrom="paragraph">
                  <wp:posOffset>1626235</wp:posOffset>
                </wp:positionV>
                <wp:extent cx="331470" cy="282575"/>
                <wp:effectExtent l="4445" t="4445" r="6985" b="17780"/>
                <wp:wrapNone/>
                <wp:docPr id="22" name="矩形 22"/>
                <wp:cNvGraphicFramePr/>
                <a:graphic xmlns:a="http://schemas.openxmlformats.org/drawingml/2006/main">
                  <a:graphicData uri="http://schemas.microsoft.com/office/word/2010/wordprocessingShape">
                    <wps:wsp>
                      <wps:cNvSpPr/>
                      <wps:spPr>
                        <a:xfrm>
                          <a:off x="4779645" y="2954655"/>
                          <a:ext cx="331470" cy="282575"/>
                        </a:xfrm>
                        <a:prstGeom prst="rect">
                          <a:avLst/>
                        </a:prstGeom>
                        <a:noFill/>
                        <a:ln w="9525">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2.95pt;margin-top:128.05pt;height:22.25pt;width:26.1pt;z-index:251681792;v-text-anchor:middle;mso-width-relative:page;mso-height-relative:page;" filled="f" stroked="t" coordsize="21600,21600" o:gfxdata="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2iIsfZAAAACwEAAA8AAAAAAAAAAQAgAAAAIgAA&#10;AGRycy9kb3ducmV2LnhtbFBLAQIUABQAAAAIAIdO4kC7ayEZeQIAANcEAAAOAAAAAAAAAAEAIAAA&#10;ACgBAABkcnMvZTJvRG9jLnhtbFBLBQYAAAAABgAGAFkBAAATBgAAAAA=&#10;">
                <v:fill on="f" focussize="0,0"/>
                <v:stroke color="#FFC000 [2404]" miterlimit="8" joinstyle="miter"/>
                <v:imagedata o:title=""/>
                <o:lock v:ext="edit" aspectratio="f"/>
              </v:rect>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4535805</wp:posOffset>
                </wp:positionH>
                <wp:positionV relativeFrom="paragraph">
                  <wp:posOffset>1744345</wp:posOffset>
                </wp:positionV>
                <wp:extent cx="39370" cy="43180"/>
                <wp:effectExtent l="4445" t="4445" r="13335" b="9525"/>
                <wp:wrapNone/>
                <wp:docPr id="20" name="矩形 20"/>
                <wp:cNvGraphicFramePr/>
                <a:graphic xmlns:a="http://schemas.openxmlformats.org/drawingml/2006/main">
                  <a:graphicData uri="http://schemas.microsoft.com/office/word/2010/wordprocessingShape">
                    <wps:wsp>
                      <wps:cNvSpPr/>
                      <wps:spPr>
                        <a:xfrm>
                          <a:off x="0" y="0"/>
                          <a:ext cx="39370" cy="43180"/>
                        </a:xfrm>
                        <a:prstGeom prst="rect">
                          <a:avLst/>
                        </a:prstGeom>
                        <a:noFill/>
                        <a:ln w="9525">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7.15pt;margin-top:137.35pt;height:3.4pt;width:3.1pt;z-index:251680768;v-text-anchor:middle;mso-width-relative:page;mso-height-relative:page;" filled="f" stroked="t" coordsize="21600,21600" o:gfxdata="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fngGu2QAAAAsBAAAPAAAAAAAAAAEAIAAAACIAAABkcnMvZG93bnJldi54bWxQ&#10;SwECFAAUAAAACACHTuJAGzbja2gCAADJBAAADgAAAAAAAAABACAAAAAoAQAAZHJzL2Uyb0RvYy54&#10;bWxQSwUGAAAAAAYABgBZAQAAAgYAAAAA&#10;">
                <v:fill on="f" focussize="0,0"/>
                <v:stroke color="#FFFF00 [2404]" miterlimit="8" joinstyle="miter"/>
                <v:imagedata o:title=""/>
                <o:lock v:ext="edit" aspectratio="f"/>
              </v:rect>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4467225</wp:posOffset>
                </wp:positionH>
                <wp:positionV relativeFrom="paragraph">
                  <wp:posOffset>1744345</wp:posOffset>
                </wp:positionV>
                <wp:extent cx="46990" cy="50165"/>
                <wp:effectExtent l="5080" t="4445" r="5080" b="21590"/>
                <wp:wrapNone/>
                <wp:docPr id="18" name="矩形 18"/>
                <wp:cNvGraphicFramePr/>
                <a:graphic xmlns:a="http://schemas.openxmlformats.org/drawingml/2006/main">
                  <a:graphicData uri="http://schemas.microsoft.com/office/word/2010/wordprocessingShape">
                    <wps:wsp>
                      <wps:cNvSpPr/>
                      <wps:spPr>
                        <a:xfrm>
                          <a:off x="5385435" y="3183255"/>
                          <a:ext cx="46990" cy="50165"/>
                        </a:xfrm>
                        <a:prstGeom prst="rect">
                          <a:avLst/>
                        </a:prstGeom>
                        <a:noFill/>
                        <a:ln w="9525">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1.75pt;margin-top:137.35pt;height:3.95pt;width:3.7pt;z-index:251679744;v-text-anchor:middle;mso-width-relative:page;mso-height-relative:page;" filled="f" stroked="t" coordsize="21600,21600" o:gfxdata="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&#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16UzO2QAAAAsBAAAPAAAAAAAAAAEAIAAAACIAAABk&#10;cnMvZG93bnJldi54bWxQSwECFAAUAAAACACHTuJA4wjR4HcCAADVBAAADgAAAAAAAAABACAAAAAo&#10;AQAAZHJzL2Uyb0RvYy54bWxQSwUGAAAAAAYABgBZAQAAEQYAAAAA&#10;">
                <v:fill on="f" focussize="0,0"/>
                <v:stroke color="#FFFF00 [2404]" miterlimit="8" joinstyle="miter"/>
                <v:imagedata o:title=""/>
                <o:lock v:ext="edit" aspectratio="f"/>
              </v:rect>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4032250</wp:posOffset>
                </wp:positionH>
                <wp:positionV relativeFrom="paragraph">
                  <wp:posOffset>1197610</wp:posOffset>
                </wp:positionV>
                <wp:extent cx="742950" cy="2205990"/>
                <wp:effectExtent l="6350" t="6350" r="12700" b="16510"/>
                <wp:wrapNone/>
                <wp:docPr id="15" name="任意多边形 15"/>
                <wp:cNvGraphicFramePr/>
                <a:graphic xmlns:a="http://schemas.openxmlformats.org/drawingml/2006/main">
                  <a:graphicData uri="http://schemas.microsoft.com/office/word/2010/wordprocessingShape">
                    <wps:wsp>
                      <wps:cNvSpPr/>
                      <wps:spPr>
                        <a:xfrm>
                          <a:off x="4962525" y="2639060"/>
                          <a:ext cx="742950" cy="2205990"/>
                        </a:xfrm>
                        <a:custGeom>
                          <a:avLst/>
                          <a:gdLst>
                            <a:gd name="connsiteX0" fmla="*/ 69 w 1170"/>
                            <a:gd name="connsiteY0" fmla="*/ 3342 h 3474"/>
                            <a:gd name="connsiteX1" fmla="*/ 408 w 1170"/>
                            <a:gd name="connsiteY1" fmla="*/ 3474 h 3474"/>
                            <a:gd name="connsiteX2" fmla="*/ 1170 w 1170"/>
                            <a:gd name="connsiteY2" fmla="*/ 3471 h 3474"/>
                            <a:gd name="connsiteX3" fmla="*/ 1131 w 1170"/>
                            <a:gd name="connsiteY3" fmla="*/ 498 h 3474"/>
                            <a:gd name="connsiteX4" fmla="*/ 120 w 1170"/>
                            <a:gd name="connsiteY4" fmla="*/ 507 h 3474"/>
                            <a:gd name="connsiteX5" fmla="*/ 114 w 1170"/>
                            <a:gd name="connsiteY5" fmla="*/ 231 h 3474"/>
                            <a:gd name="connsiteX6" fmla="*/ 219 w 1170"/>
                            <a:gd name="connsiteY6" fmla="*/ 168 h 3474"/>
                            <a:gd name="connsiteX7" fmla="*/ 315 w 1170"/>
                            <a:gd name="connsiteY7" fmla="*/ 108 h 3474"/>
                            <a:gd name="connsiteX8" fmla="*/ 447 w 1170"/>
                            <a:gd name="connsiteY8" fmla="*/ 69 h 3474"/>
                            <a:gd name="connsiteX9" fmla="*/ 858 w 1170"/>
                            <a:gd name="connsiteY9" fmla="*/ 60 h 3474"/>
                            <a:gd name="connsiteX10" fmla="*/ 1100 w 1170"/>
                            <a:gd name="connsiteY10" fmla="*/ 154 h 3474"/>
                            <a:gd name="connsiteX11" fmla="*/ 1109 w 1170"/>
                            <a:gd name="connsiteY11" fmla="*/ 68 h 3474"/>
                            <a:gd name="connsiteX12" fmla="*/ 1023 w 1170"/>
                            <a:gd name="connsiteY12" fmla="*/ 0 h 3474"/>
                            <a:gd name="connsiteX13" fmla="*/ 81 w 1170"/>
                            <a:gd name="connsiteY13" fmla="*/ 30 h 3474"/>
                            <a:gd name="connsiteX14" fmla="*/ 0 w 1170"/>
                            <a:gd name="connsiteY14" fmla="*/ 96 h 3474"/>
                            <a:gd name="connsiteX15" fmla="*/ 69 w 1170"/>
                            <a:gd name="connsiteY15" fmla="*/ 3342 h 34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170" h="3474">
                              <a:moveTo>
                                <a:pt x="69" y="3342"/>
                              </a:moveTo>
                              <a:lnTo>
                                <a:pt x="408" y="3474"/>
                              </a:lnTo>
                              <a:lnTo>
                                <a:pt x="1170" y="3471"/>
                              </a:lnTo>
                              <a:lnTo>
                                <a:pt x="1131" y="498"/>
                              </a:lnTo>
                              <a:lnTo>
                                <a:pt x="120" y="507"/>
                              </a:lnTo>
                              <a:lnTo>
                                <a:pt x="114" y="231"/>
                              </a:lnTo>
                              <a:lnTo>
                                <a:pt x="219" y="168"/>
                              </a:lnTo>
                              <a:lnTo>
                                <a:pt x="315" y="108"/>
                              </a:lnTo>
                              <a:lnTo>
                                <a:pt x="447" y="69"/>
                              </a:lnTo>
                              <a:lnTo>
                                <a:pt x="858" y="60"/>
                              </a:lnTo>
                              <a:lnTo>
                                <a:pt x="1100" y="154"/>
                              </a:lnTo>
                              <a:lnTo>
                                <a:pt x="1109" y="68"/>
                              </a:lnTo>
                              <a:lnTo>
                                <a:pt x="1023" y="0"/>
                              </a:lnTo>
                              <a:lnTo>
                                <a:pt x="81" y="30"/>
                              </a:lnTo>
                              <a:lnTo>
                                <a:pt x="0" y="96"/>
                              </a:lnTo>
                              <a:lnTo>
                                <a:pt x="69" y="3342"/>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F4222CA">
                            <w:pPr>
                              <w:jc w:val="center"/>
                            </w:pPr>
                          </w:p>
                        </w:txbxContent>
                      </wps:txbx>
                      <wps:bodyPr/>
                    </wps:wsp>
                  </a:graphicData>
                </a:graphic>
              </wp:anchor>
            </w:drawing>
          </mc:Choice>
          <mc:Fallback>
            <w:pict>
              <v:shape id="_x0000_s1026" o:spid="_x0000_s1026" o:spt="100" style="position:absolute;left:0pt;margin-left:317.5pt;margin-top:94.3pt;height:173.7pt;width:58.5pt;z-index:251678720;mso-width-relative:page;mso-height-relative:page;" filled="f" stroked="t" coordsize="1170,3474" o:gfxdata="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" path="m69,3342l408,3474,1170,3471,1131,498,120,507,114,231,219,168,315,108,447,69,858,60,1100,154,1109,68,1023,0,81,30,0,96,69,3342xe">
                <v:path textboxrect="0,0,1170,3474" o:connectlocs="43815,2122170;259080,2205990;742950,2204085;718185,316230;76200,321945;72390,146685;139065,106680;200025,68580;283845,43815;544830,38100;698500,97790;704215,43180;649605,0;51435,19050;0,60960;43815,2122170" o:connectangles="0,0,0,0,0,0,0,0,0,0,0,0,0,0,0,0"/>
                <v:fill on="f" focussize="0,0"/>
                <v:stroke weight="1pt" color="#FF0000 [2404]" miterlimit="8" joinstyle="miter"/>
                <v:imagedata o:title=""/>
                <o:lock v:ext="edit" aspectratio="f"/>
                <v:textbox>
                  <w:txbxContent>
                    <w:p w14:paraId="3F4222CA">
                      <w:pPr>
                        <w:jc w:val="center"/>
                      </w:pPr>
                    </w:p>
                  </w:txbxContent>
                </v:textbox>
              </v:shape>
            </w:pict>
          </mc:Fallback>
        </mc:AlternateContent>
      </w:r>
      <w:r>
        <w:rPr>
          <w:color w:val="auto"/>
          <w:sz w:val="24"/>
        </w:rPr>
        <mc:AlternateContent>
          <mc:Choice Requires="wps">
            <w:drawing>
              <wp:anchor distT="0" distB="0" distL="114300" distR="114300" simplePos="0" relativeHeight="251672576" behindDoc="0" locked="0" layoutInCell="1" allowOverlap="1">
                <wp:simplePos x="0" y="0"/>
                <wp:positionH relativeFrom="column">
                  <wp:posOffset>1459230</wp:posOffset>
                </wp:positionH>
                <wp:positionV relativeFrom="paragraph">
                  <wp:posOffset>1934845</wp:posOffset>
                </wp:positionV>
                <wp:extent cx="999490" cy="300990"/>
                <wp:effectExtent l="0" t="0" r="0" b="0"/>
                <wp:wrapNone/>
                <wp:docPr id="28" name="文本框 28"/>
                <wp:cNvGraphicFramePr/>
                <a:graphic xmlns:a="http://schemas.openxmlformats.org/drawingml/2006/main">
                  <a:graphicData uri="http://schemas.microsoft.com/office/word/2010/wordprocessingShape">
                    <wps:wsp>
                      <wps:cNvSpPr txBox="1"/>
                      <wps:spPr>
                        <a:xfrm rot="19440000">
                          <a:off x="2959735" y="3096260"/>
                          <a:ext cx="99949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0EEC6">
                            <w:pPr>
                              <w:rPr>
                                <w:color w:val="FFFF00"/>
                                <w:sz w:val="36"/>
                                <w:szCs w:val="36"/>
                              </w:rPr>
                            </w:pPr>
                            <w:r>
                              <w:rPr>
                                <w:rFonts w:hint="eastAsia" w:cs="Times New Roman"/>
                                <w:color w:val="FFFF00"/>
                                <w:sz w:val="28"/>
                                <w:szCs w:val="28"/>
                                <w:lang w:val="en-US" w:eastAsia="zh-CN"/>
                              </w:rPr>
                              <w:t>伊力概河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9pt;margin-top:152.35pt;height:23.7pt;width:78.7pt;rotation:-2359296f;z-index:251672576;mso-width-relative:page;mso-height-relative:page;" filled="f" stroked="f" coordsize="21600,21600" o:gfxdata="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UJ3HA2QAAAAsBAAAPAAAA&#10;AAAAAAEAIAAAACIAAABkcnMvZG93bnJldi54bWxQSwECFAAUAAAACACHTuJAslFzSE0CAACCBAAA&#10;DgAAAAAAAAABACAAAAAoAQAAZHJzL2Uyb0RvYy54bWxQSwUGAAAAAAYABgBZAQAA5wUAAAAA&#10;">
                <v:fill on="f" focussize="0,0"/>
                <v:stroke on="f" weight="0.5pt"/>
                <v:imagedata o:title=""/>
                <o:lock v:ext="edit" aspectratio="f"/>
                <v:textbox>
                  <w:txbxContent>
                    <w:p w14:paraId="1900EEC6">
                      <w:pPr>
                        <w:rPr>
                          <w:color w:val="FFFF00"/>
                          <w:sz w:val="36"/>
                          <w:szCs w:val="36"/>
                        </w:rPr>
                      </w:pPr>
                      <w:r>
                        <w:rPr>
                          <w:rFonts w:hint="eastAsia" w:cs="Times New Roman"/>
                          <w:color w:val="FFFF00"/>
                          <w:sz w:val="28"/>
                          <w:szCs w:val="28"/>
                          <w:lang w:val="en-US" w:eastAsia="zh-CN"/>
                        </w:rPr>
                        <w:t>伊力概河</w:t>
                      </w:r>
                    </w:p>
                  </w:txbxContent>
                </v:textbox>
              </v:shape>
            </w:pict>
          </mc:Fallback>
        </mc:AlternateContent>
      </w:r>
    </w:p>
    <w:sectPr>
      <w:pgSz w:w="16838" w:h="11906" w:orient="landscape"/>
      <w:pgMar w:top="1800" w:right="1440" w:bottom="1800" w:left="1440" w:header="851" w:footer="851"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2F7D42-1018-4DB2-B988-B1D7C7BAD2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2977043-DC4D-4CDB-B592-CA2066233381}"/>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BE638FD7-133D-49A0-85AB-0B2B054D99D2}"/>
  </w:font>
  <w:font w:name="仿宋_GB2312">
    <w:altName w:val="仿宋"/>
    <w:panose1 w:val="00000000000000000000"/>
    <w:charset w:val="86"/>
    <w:family w:val="modern"/>
    <w:pitch w:val="default"/>
    <w:sig w:usb0="00000000" w:usb1="00000000" w:usb2="00000000" w:usb3="00000000" w:csb0="00040000" w:csb1="00000000"/>
    <w:embedRegular r:id="rId4" w:fontKey="{78E80108-D3B7-4136-9E93-DDBC7E2FB745}"/>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5" w:fontKey="{B8BC4A31-720E-444D-AAFC-A9342B1B19CC}"/>
  </w:font>
  <w:font w:name="楷体_GB2312">
    <w:altName w:val="楷体"/>
    <w:panose1 w:val="00000000000000000000"/>
    <w:charset w:val="86"/>
    <w:family w:val="modern"/>
    <w:pitch w:val="default"/>
    <w:sig w:usb0="00000000" w:usb1="00000000" w:usb2="00000000" w:usb3="00000000" w:csb0="00040000" w:csb1="00000000"/>
    <w:embedRegular r:id="rId6" w:fontKey="{F1D89802-9FBA-4C0E-99E3-1E163AE5A3E7}"/>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E1DDDE79-1F52-4CB4-966E-7D52C0C0CC36}"/>
  </w:font>
  <w:font w:name="Wingdings 2">
    <w:panose1 w:val="05020102010507070707"/>
    <w:charset w:val="02"/>
    <w:family w:val="roman"/>
    <w:pitch w:val="default"/>
    <w:sig w:usb0="00000000" w:usb1="00000000" w:usb2="00000000" w:usb3="00000000" w:csb0="80000000" w:csb1="00000000"/>
    <w:embedRegular r:id="rId8" w:fontKey="{D9C174BC-129C-4641-B515-EE441B99D318}"/>
  </w:font>
  <w:font w:name="新宋体">
    <w:panose1 w:val="02010609030101010101"/>
    <w:charset w:val="86"/>
    <w:family w:val="modern"/>
    <w:pitch w:val="default"/>
    <w:sig w:usb0="00000203" w:usb1="288F0000" w:usb2="00000006" w:usb3="00000000" w:csb0="00040001" w:csb1="00000000"/>
    <w:embedRegular r:id="rId9" w:fontKey="{3991EB53-B0C8-480C-AFC5-3D6D8F8CB10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0E351">
    <w:pPr>
      <w:pStyle w:val="1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BD9E2">
    <w:pPr>
      <w:pStyle w:val="12"/>
      <w:framePr w:wrap="around" w:vAnchor="text" w:hAnchor="margin" w:xAlign="center" w:y="1"/>
      <w:rPr>
        <w:rStyle w:val="21"/>
      </w:rPr>
    </w:pPr>
    <w:r>
      <w:fldChar w:fldCharType="begin"/>
    </w:r>
    <w:r>
      <w:rPr>
        <w:rStyle w:val="21"/>
      </w:rPr>
      <w:instrText xml:space="preserve">PAGE  </w:instrText>
    </w:r>
    <w:r>
      <w:fldChar w:fldCharType="end"/>
    </w:r>
  </w:p>
  <w:p w14:paraId="182D2099">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B37F">
    <w:pPr>
      <w:pStyle w:val="12"/>
      <w:jc w:val="center"/>
    </w:pPr>
    <w:r>
      <w:fldChar w:fldCharType="begin"/>
    </w:r>
    <w:r>
      <w:instrText xml:space="preserve">PAGE   \* MERGEFORMAT</w:instrText>
    </w:r>
    <w:r>
      <w:fldChar w:fldCharType="separate"/>
    </w:r>
    <w:r>
      <w:rPr>
        <w:lang w:val="zh-CN"/>
      </w:rPr>
      <w:t>20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B3D7">
    <w:pPr>
      <w:pStyle w:val="12"/>
      <w:jc w:val="center"/>
    </w:pPr>
    <w:r>
      <w:fldChar w:fldCharType="begin"/>
    </w:r>
    <w:r>
      <w:instrText xml:space="preserve">PAGE   \* MERGEFORMAT</w:instrText>
    </w:r>
    <w:r>
      <w:fldChar w:fldCharType="separate"/>
    </w:r>
    <w:r>
      <w:rPr>
        <w:lang w:val="zh-CN"/>
      </w:rPr>
      <w:t>35</w:t>
    </w:r>
    <w:r>
      <w:fldChar w:fldCharType="end"/>
    </w:r>
  </w:p>
  <w:p w14:paraId="413AFD9C">
    <w:pPr>
      <w:pStyle w:val="12"/>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9C823">
    <w:pPr>
      <w:pStyle w:val="12"/>
      <w:ind w:right="360"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CB1D1">
    <w:pPr>
      <w:pStyle w:val="12"/>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66B8F">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2AFB">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7CD8A"/>
    <w:multiLevelType w:val="singleLevel"/>
    <w:tmpl w:val="9C87CD8A"/>
    <w:lvl w:ilvl="0" w:tentative="0">
      <w:start w:val="2"/>
      <w:numFmt w:val="decimal"/>
      <w:suff w:val="nothing"/>
      <w:lvlText w:val="%1）"/>
      <w:lvlJc w:val="left"/>
    </w:lvl>
  </w:abstractNum>
  <w:abstractNum w:abstractNumId="1">
    <w:nsid w:val="A9F1B462"/>
    <w:multiLevelType w:val="singleLevel"/>
    <w:tmpl w:val="A9F1B462"/>
    <w:lvl w:ilvl="0" w:tentative="0">
      <w:start w:val="2"/>
      <w:numFmt w:val="decimal"/>
      <w:suff w:val="nothing"/>
      <w:lvlText w:val="%1）"/>
      <w:lvlJc w:val="left"/>
    </w:lvl>
  </w:abstractNum>
  <w:abstractNum w:abstractNumId="2">
    <w:nsid w:val="B2467859"/>
    <w:multiLevelType w:val="singleLevel"/>
    <w:tmpl w:val="B2467859"/>
    <w:lvl w:ilvl="0" w:tentative="0">
      <w:start w:val="5"/>
      <w:numFmt w:val="decimal"/>
      <w:lvlText w:val="%1."/>
      <w:lvlJc w:val="left"/>
      <w:pPr>
        <w:tabs>
          <w:tab w:val="left" w:pos="312"/>
        </w:tabs>
      </w:pPr>
    </w:lvl>
  </w:abstractNum>
  <w:abstractNum w:abstractNumId="3">
    <w:nsid w:val="B250AF1A"/>
    <w:multiLevelType w:val="singleLevel"/>
    <w:tmpl w:val="B250AF1A"/>
    <w:lvl w:ilvl="0" w:tentative="0">
      <w:start w:val="3"/>
      <w:numFmt w:val="decimal"/>
      <w:suff w:val="nothing"/>
      <w:lvlText w:val="（%1）"/>
      <w:lvlJc w:val="left"/>
    </w:lvl>
  </w:abstractNum>
  <w:abstractNum w:abstractNumId="4">
    <w:nsid w:val="B80773F9"/>
    <w:multiLevelType w:val="singleLevel"/>
    <w:tmpl w:val="B80773F9"/>
    <w:lvl w:ilvl="0" w:tentative="0">
      <w:start w:val="2"/>
      <w:numFmt w:val="decimal"/>
      <w:suff w:val="nothing"/>
      <w:lvlText w:val="%1）"/>
      <w:lvlJc w:val="left"/>
    </w:lvl>
  </w:abstractNum>
  <w:abstractNum w:abstractNumId="5">
    <w:nsid w:val="D01F45AC"/>
    <w:multiLevelType w:val="singleLevel"/>
    <w:tmpl w:val="D01F45AC"/>
    <w:lvl w:ilvl="0" w:tentative="0">
      <w:start w:val="1"/>
      <w:numFmt w:val="chineseCounting"/>
      <w:suff w:val="nothing"/>
      <w:lvlText w:val="%1、"/>
      <w:lvlJc w:val="left"/>
      <w:rPr>
        <w:rFonts w:hint="eastAsia"/>
      </w:rPr>
    </w:lvl>
  </w:abstractNum>
  <w:abstractNum w:abstractNumId="6">
    <w:nsid w:val="EAAC3152"/>
    <w:multiLevelType w:val="singleLevel"/>
    <w:tmpl w:val="EAAC3152"/>
    <w:lvl w:ilvl="0" w:tentative="0">
      <w:start w:val="8"/>
      <w:numFmt w:val="decimal"/>
      <w:lvlText w:val="%1."/>
      <w:lvlJc w:val="left"/>
      <w:pPr>
        <w:tabs>
          <w:tab w:val="left" w:pos="312"/>
        </w:tabs>
      </w:pPr>
    </w:lvl>
  </w:abstractNum>
  <w:abstractNum w:abstractNumId="7">
    <w:nsid w:val="EEBAE5D3"/>
    <w:multiLevelType w:val="singleLevel"/>
    <w:tmpl w:val="EEBAE5D3"/>
    <w:lvl w:ilvl="0" w:tentative="0">
      <w:start w:val="1"/>
      <w:numFmt w:val="bullet"/>
      <w:lvlText w:val=""/>
      <w:lvlJc w:val="left"/>
      <w:pPr>
        <w:ind w:left="420" w:hanging="420"/>
      </w:pPr>
      <w:rPr>
        <w:rFonts w:hint="default" w:ascii="Wingdings" w:hAnsi="Wingdings"/>
      </w:rPr>
    </w:lvl>
  </w:abstractNum>
  <w:abstractNum w:abstractNumId="8">
    <w:nsid w:val="18548BC1"/>
    <w:multiLevelType w:val="singleLevel"/>
    <w:tmpl w:val="18548BC1"/>
    <w:lvl w:ilvl="0" w:tentative="0">
      <w:start w:val="1"/>
      <w:numFmt w:val="bullet"/>
      <w:lvlText w:val=""/>
      <w:lvlJc w:val="left"/>
      <w:pPr>
        <w:ind w:left="420" w:hanging="420"/>
      </w:pPr>
      <w:rPr>
        <w:rFonts w:hint="default" w:ascii="Wingdings" w:hAnsi="Wingdings"/>
      </w:rPr>
    </w:lvl>
  </w:abstractNum>
  <w:abstractNum w:abstractNumId="9">
    <w:nsid w:val="259F4186"/>
    <w:multiLevelType w:val="singleLevel"/>
    <w:tmpl w:val="259F4186"/>
    <w:lvl w:ilvl="0" w:tentative="0">
      <w:start w:val="1"/>
      <w:numFmt w:val="decimal"/>
      <w:suff w:val="nothing"/>
      <w:lvlText w:val="（%1）"/>
      <w:lvlJc w:val="left"/>
    </w:lvl>
  </w:abstractNum>
  <w:abstractNum w:abstractNumId="10">
    <w:nsid w:val="273EF6FF"/>
    <w:multiLevelType w:val="singleLevel"/>
    <w:tmpl w:val="273EF6FF"/>
    <w:lvl w:ilvl="0" w:tentative="0">
      <w:start w:val="2"/>
      <w:numFmt w:val="decimal"/>
      <w:suff w:val="nothing"/>
      <w:lvlText w:val="%1）"/>
      <w:lvlJc w:val="left"/>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4"/>
  </w:num>
  <w:num w:numId="8">
    <w:abstractNumId w:val="2"/>
  </w:num>
  <w:num w:numId="9">
    <w:abstractNumId w:val="9"/>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2MTc1MDA0NTU2ZjNhNzNmYzBiOWM5Y2E5N2M2ZmUifQ=="/>
  </w:docVars>
  <w:rsids>
    <w:rsidRoot w:val="00172A27"/>
    <w:rsid w:val="00000734"/>
    <w:rsid w:val="00001AC4"/>
    <w:rsid w:val="00002941"/>
    <w:rsid w:val="00002B2E"/>
    <w:rsid w:val="00002BF3"/>
    <w:rsid w:val="000060B3"/>
    <w:rsid w:val="0000638D"/>
    <w:rsid w:val="000067DE"/>
    <w:rsid w:val="0000761C"/>
    <w:rsid w:val="00007C98"/>
    <w:rsid w:val="0001114B"/>
    <w:rsid w:val="000111BC"/>
    <w:rsid w:val="0001298D"/>
    <w:rsid w:val="00014AFA"/>
    <w:rsid w:val="00016EE4"/>
    <w:rsid w:val="00024E27"/>
    <w:rsid w:val="00024F24"/>
    <w:rsid w:val="000258F1"/>
    <w:rsid w:val="00026578"/>
    <w:rsid w:val="00030410"/>
    <w:rsid w:val="00030B12"/>
    <w:rsid w:val="000324B4"/>
    <w:rsid w:val="000335AE"/>
    <w:rsid w:val="00035C01"/>
    <w:rsid w:val="000364AF"/>
    <w:rsid w:val="00037D19"/>
    <w:rsid w:val="00037E3C"/>
    <w:rsid w:val="00040434"/>
    <w:rsid w:val="000410D4"/>
    <w:rsid w:val="0004364B"/>
    <w:rsid w:val="0004384A"/>
    <w:rsid w:val="00044B7F"/>
    <w:rsid w:val="000451E1"/>
    <w:rsid w:val="000452FC"/>
    <w:rsid w:val="00046A69"/>
    <w:rsid w:val="00050A42"/>
    <w:rsid w:val="0005199E"/>
    <w:rsid w:val="00051F46"/>
    <w:rsid w:val="00052208"/>
    <w:rsid w:val="000524A7"/>
    <w:rsid w:val="000552AA"/>
    <w:rsid w:val="00055D86"/>
    <w:rsid w:val="000572C9"/>
    <w:rsid w:val="00057C8F"/>
    <w:rsid w:val="0006040A"/>
    <w:rsid w:val="00061B1F"/>
    <w:rsid w:val="00062AF0"/>
    <w:rsid w:val="00064085"/>
    <w:rsid w:val="000652D2"/>
    <w:rsid w:val="00065D29"/>
    <w:rsid w:val="000733C4"/>
    <w:rsid w:val="000743ED"/>
    <w:rsid w:val="00074783"/>
    <w:rsid w:val="0008070B"/>
    <w:rsid w:val="000810AC"/>
    <w:rsid w:val="0008123B"/>
    <w:rsid w:val="00081A02"/>
    <w:rsid w:val="00082231"/>
    <w:rsid w:val="0008343C"/>
    <w:rsid w:val="00083A38"/>
    <w:rsid w:val="0008590B"/>
    <w:rsid w:val="00085D7A"/>
    <w:rsid w:val="000905A7"/>
    <w:rsid w:val="000913B7"/>
    <w:rsid w:val="00092D38"/>
    <w:rsid w:val="0009315E"/>
    <w:rsid w:val="0009377B"/>
    <w:rsid w:val="00093E9F"/>
    <w:rsid w:val="000953D8"/>
    <w:rsid w:val="00096405"/>
    <w:rsid w:val="00097BDB"/>
    <w:rsid w:val="000A0CF8"/>
    <w:rsid w:val="000A20C9"/>
    <w:rsid w:val="000A3651"/>
    <w:rsid w:val="000A52E7"/>
    <w:rsid w:val="000A73C7"/>
    <w:rsid w:val="000B058F"/>
    <w:rsid w:val="000B35FF"/>
    <w:rsid w:val="000B3763"/>
    <w:rsid w:val="000B3CBB"/>
    <w:rsid w:val="000B4467"/>
    <w:rsid w:val="000B47D3"/>
    <w:rsid w:val="000B4DB9"/>
    <w:rsid w:val="000B5348"/>
    <w:rsid w:val="000B6CCF"/>
    <w:rsid w:val="000B71AD"/>
    <w:rsid w:val="000B723D"/>
    <w:rsid w:val="000B7E5A"/>
    <w:rsid w:val="000C026F"/>
    <w:rsid w:val="000C075A"/>
    <w:rsid w:val="000C09AC"/>
    <w:rsid w:val="000C3034"/>
    <w:rsid w:val="000C6072"/>
    <w:rsid w:val="000C6930"/>
    <w:rsid w:val="000C7034"/>
    <w:rsid w:val="000C767F"/>
    <w:rsid w:val="000D0659"/>
    <w:rsid w:val="000D09AD"/>
    <w:rsid w:val="000D15CA"/>
    <w:rsid w:val="000D2105"/>
    <w:rsid w:val="000D598F"/>
    <w:rsid w:val="000D5A44"/>
    <w:rsid w:val="000D6318"/>
    <w:rsid w:val="000D6398"/>
    <w:rsid w:val="000D7A7C"/>
    <w:rsid w:val="000E07D9"/>
    <w:rsid w:val="000E191D"/>
    <w:rsid w:val="000E3ED2"/>
    <w:rsid w:val="000E50EC"/>
    <w:rsid w:val="000E5ADE"/>
    <w:rsid w:val="000F2F61"/>
    <w:rsid w:val="000F35DA"/>
    <w:rsid w:val="000F3713"/>
    <w:rsid w:val="000F5716"/>
    <w:rsid w:val="000F68BC"/>
    <w:rsid w:val="000F75E3"/>
    <w:rsid w:val="00101B77"/>
    <w:rsid w:val="00101E1F"/>
    <w:rsid w:val="00103773"/>
    <w:rsid w:val="001061AC"/>
    <w:rsid w:val="0010773D"/>
    <w:rsid w:val="00107DC9"/>
    <w:rsid w:val="00110250"/>
    <w:rsid w:val="00112FDC"/>
    <w:rsid w:val="00114198"/>
    <w:rsid w:val="0011781D"/>
    <w:rsid w:val="00117ED4"/>
    <w:rsid w:val="00120EC7"/>
    <w:rsid w:val="00121599"/>
    <w:rsid w:val="001217F3"/>
    <w:rsid w:val="00123BBE"/>
    <w:rsid w:val="00126F0E"/>
    <w:rsid w:val="001303CD"/>
    <w:rsid w:val="00131F42"/>
    <w:rsid w:val="001357F1"/>
    <w:rsid w:val="00137F06"/>
    <w:rsid w:val="001409EC"/>
    <w:rsid w:val="00140FA8"/>
    <w:rsid w:val="00142FEB"/>
    <w:rsid w:val="00143A2D"/>
    <w:rsid w:val="00144300"/>
    <w:rsid w:val="001448FF"/>
    <w:rsid w:val="00145A41"/>
    <w:rsid w:val="0014603B"/>
    <w:rsid w:val="0015158A"/>
    <w:rsid w:val="00151675"/>
    <w:rsid w:val="00153386"/>
    <w:rsid w:val="00155322"/>
    <w:rsid w:val="00155374"/>
    <w:rsid w:val="001558C7"/>
    <w:rsid w:val="001568E3"/>
    <w:rsid w:val="00157435"/>
    <w:rsid w:val="0016065A"/>
    <w:rsid w:val="001624B5"/>
    <w:rsid w:val="00163B63"/>
    <w:rsid w:val="0016423E"/>
    <w:rsid w:val="0016476F"/>
    <w:rsid w:val="0017267C"/>
    <w:rsid w:val="00172ACD"/>
    <w:rsid w:val="0017504D"/>
    <w:rsid w:val="00175E23"/>
    <w:rsid w:val="0017671A"/>
    <w:rsid w:val="00177422"/>
    <w:rsid w:val="0018049D"/>
    <w:rsid w:val="0018178A"/>
    <w:rsid w:val="00182B03"/>
    <w:rsid w:val="00182F11"/>
    <w:rsid w:val="0018448C"/>
    <w:rsid w:val="00184590"/>
    <w:rsid w:val="00184DA7"/>
    <w:rsid w:val="001870D1"/>
    <w:rsid w:val="0018781E"/>
    <w:rsid w:val="0019262D"/>
    <w:rsid w:val="00193C14"/>
    <w:rsid w:val="00196969"/>
    <w:rsid w:val="00196F0A"/>
    <w:rsid w:val="001A1469"/>
    <w:rsid w:val="001A1B35"/>
    <w:rsid w:val="001A357E"/>
    <w:rsid w:val="001A48A2"/>
    <w:rsid w:val="001A5F74"/>
    <w:rsid w:val="001A6F61"/>
    <w:rsid w:val="001B22FE"/>
    <w:rsid w:val="001B2ED3"/>
    <w:rsid w:val="001B35F2"/>
    <w:rsid w:val="001B5BAB"/>
    <w:rsid w:val="001B72B8"/>
    <w:rsid w:val="001B781A"/>
    <w:rsid w:val="001C439D"/>
    <w:rsid w:val="001C616D"/>
    <w:rsid w:val="001C65E4"/>
    <w:rsid w:val="001C69B3"/>
    <w:rsid w:val="001C6EB8"/>
    <w:rsid w:val="001C7A01"/>
    <w:rsid w:val="001D4A62"/>
    <w:rsid w:val="001D4F2C"/>
    <w:rsid w:val="001D5595"/>
    <w:rsid w:val="001D570E"/>
    <w:rsid w:val="001D64EA"/>
    <w:rsid w:val="001D703D"/>
    <w:rsid w:val="001D710A"/>
    <w:rsid w:val="001D7874"/>
    <w:rsid w:val="001D7F22"/>
    <w:rsid w:val="001E0E8C"/>
    <w:rsid w:val="001E18EA"/>
    <w:rsid w:val="001E2D5B"/>
    <w:rsid w:val="001E31D6"/>
    <w:rsid w:val="001E4B36"/>
    <w:rsid w:val="001E7AC7"/>
    <w:rsid w:val="001E7F62"/>
    <w:rsid w:val="001F00D9"/>
    <w:rsid w:val="001F0F17"/>
    <w:rsid w:val="001F183A"/>
    <w:rsid w:val="001F23C4"/>
    <w:rsid w:val="001F3347"/>
    <w:rsid w:val="001F69E4"/>
    <w:rsid w:val="001F7FBA"/>
    <w:rsid w:val="00202A00"/>
    <w:rsid w:val="00202DD4"/>
    <w:rsid w:val="0020457F"/>
    <w:rsid w:val="00204A8F"/>
    <w:rsid w:val="00207664"/>
    <w:rsid w:val="002119DB"/>
    <w:rsid w:val="002125B4"/>
    <w:rsid w:val="00212F13"/>
    <w:rsid w:val="00214101"/>
    <w:rsid w:val="002155B8"/>
    <w:rsid w:val="00215C3E"/>
    <w:rsid w:val="00215F5B"/>
    <w:rsid w:val="002167BB"/>
    <w:rsid w:val="00217035"/>
    <w:rsid w:val="00221AEE"/>
    <w:rsid w:val="00224839"/>
    <w:rsid w:val="002249B2"/>
    <w:rsid w:val="00224E52"/>
    <w:rsid w:val="00226574"/>
    <w:rsid w:val="00226E97"/>
    <w:rsid w:val="002278EC"/>
    <w:rsid w:val="00227F1E"/>
    <w:rsid w:val="0023280E"/>
    <w:rsid w:val="00233F77"/>
    <w:rsid w:val="00234325"/>
    <w:rsid w:val="00234B74"/>
    <w:rsid w:val="00235835"/>
    <w:rsid w:val="00237367"/>
    <w:rsid w:val="002377D1"/>
    <w:rsid w:val="00243FBC"/>
    <w:rsid w:val="00247DE9"/>
    <w:rsid w:val="002506BC"/>
    <w:rsid w:val="00250FC5"/>
    <w:rsid w:val="002518DE"/>
    <w:rsid w:val="00251CF0"/>
    <w:rsid w:val="00253FC5"/>
    <w:rsid w:val="00254345"/>
    <w:rsid w:val="00264557"/>
    <w:rsid w:val="00272E99"/>
    <w:rsid w:val="002736CA"/>
    <w:rsid w:val="00273A29"/>
    <w:rsid w:val="00274D28"/>
    <w:rsid w:val="00276022"/>
    <w:rsid w:val="00277ABE"/>
    <w:rsid w:val="002805AB"/>
    <w:rsid w:val="002806A7"/>
    <w:rsid w:val="00281895"/>
    <w:rsid w:val="00282CD0"/>
    <w:rsid w:val="0028312F"/>
    <w:rsid w:val="00284204"/>
    <w:rsid w:val="002845EB"/>
    <w:rsid w:val="00284AF6"/>
    <w:rsid w:val="002867CE"/>
    <w:rsid w:val="00286DA3"/>
    <w:rsid w:val="00287EA5"/>
    <w:rsid w:val="00291773"/>
    <w:rsid w:val="002929FF"/>
    <w:rsid w:val="00293EB0"/>
    <w:rsid w:val="00294AE4"/>
    <w:rsid w:val="00295FDD"/>
    <w:rsid w:val="00296A6C"/>
    <w:rsid w:val="002975B8"/>
    <w:rsid w:val="002A168C"/>
    <w:rsid w:val="002A3DC7"/>
    <w:rsid w:val="002A540E"/>
    <w:rsid w:val="002A551E"/>
    <w:rsid w:val="002A7651"/>
    <w:rsid w:val="002B0495"/>
    <w:rsid w:val="002B0AC8"/>
    <w:rsid w:val="002B1BA0"/>
    <w:rsid w:val="002B1E2C"/>
    <w:rsid w:val="002B3EB4"/>
    <w:rsid w:val="002B46BF"/>
    <w:rsid w:val="002B49E2"/>
    <w:rsid w:val="002B56C2"/>
    <w:rsid w:val="002B7B00"/>
    <w:rsid w:val="002B7C44"/>
    <w:rsid w:val="002C0AB7"/>
    <w:rsid w:val="002C0BF6"/>
    <w:rsid w:val="002C1236"/>
    <w:rsid w:val="002C2B17"/>
    <w:rsid w:val="002C3103"/>
    <w:rsid w:val="002C547C"/>
    <w:rsid w:val="002C5B0C"/>
    <w:rsid w:val="002C5B48"/>
    <w:rsid w:val="002C7AC1"/>
    <w:rsid w:val="002D2E81"/>
    <w:rsid w:val="002D3DD0"/>
    <w:rsid w:val="002D4341"/>
    <w:rsid w:val="002D6542"/>
    <w:rsid w:val="002E1F3A"/>
    <w:rsid w:val="002E298A"/>
    <w:rsid w:val="002E340F"/>
    <w:rsid w:val="002E6584"/>
    <w:rsid w:val="002E7D84"/>
    <w:rsid w:val="002F017F"/>
    <w:rsid w:val="002F0639"/>
    <w:rsid w:val="002F1B7A"/>
    <w:rsid w:val="002F1D30"/>
    <w:rsid w:val="002F4E28"/>
    <w:rsid w:val="002F5A75"/>
    <w:rsid w:val="002F6844"/>
    <w:rsid w:val="002F7CCF"/>
    <w:rsid w:val="0030148A"/>
    <w:rsid w:val="00301978"/>
    <w:rsid w:val="0030332C"/>
    <w:rsid w:val="003042A9"/>
    <w:rsid w:val="003051C2"/>
    <w:rsid w:val="003053B2"/>
    <w:rsid w:val="00306A1B"/>
    <w:rsid w:val="00306CE0"/>
    <w:rsid w:val="003104FE"/>
    <w:rsid w:val="003112A7"/>
    <w:rsid w:val="00312296"/>
    <w:rsid w:val="00313F40"/>
    <w:rsid w:val="00314F0E"/>
    <w:rsid w:val="00320C7B"/>
    <w:rsid w:val="00320D7D"/>
    <w:rsid w:val="003215C9"/>
    <w:rsid w:val="00321B6B"/>
    <w:rsid w:val="00321D8E"/>
    <w:rsid w:val="00322307"/>
    <w:rsid w:val="00322A39"/>
    <w:rsid w:val="00322AD1"/>
    <w:rsid w:val="003245AB"/>
    <w:rsid w:val="0032463D"/>
    <w:rsid w:val="00324655"/>
    <w:rsid w:val="00324F4C"/>
    <w:rsid w:val="00325928"/>
    <w:rsid w:val="00326003"/>
    <w:rsid w:val="00326EA5"/>
    <w:rsid w:val="00332863"/>
    <w:rsid w:val="00334C2F"/>
    <w:rsid w:val="0033684D"/>
    <w:rsid w:val="00337B42"/>
    <w:rsid w:val="00341B42"/>
    <w:rsid w:val="0034348F"/>
    <w:rsid w:val="00344C4C"/>
    <w:rsid w:val="0035227A"/>
    <w:rsid w:val="00353A41"/>
    <w:rsid w:val="00356653"/>
    <w:rsid w:val="0035743F"/>
    <w:rsid w:val="00357BE2"/>
    <w:rsid w:val="00357E18"/>
    <w:rsid w:val="00360448"/>
    <w:rsid w:val="00360DAC"/>
    <w:rsid w:val="0036170C"/>
    <w:rsid w:val="003626E8"/>
    <w:rsid w:val="00362F55"/>
    <w:rsid w:val="00363FA6"/>
    <w:rsid w:val="00365AD9"/>
    <w:rsid w:val="00366E0F"/>
    <w:rsid w:val="00367C86"/>
    <w:rsid w:val="0037216E"/>
    <w:rsid w:val="003721A0"/>
    <w:rsid w:val="003739CD"/>
    <w:rsid w:val="003747E1"/>
    <w:rsid w:val="00375127"/>
    <w:rsid w:val="003756D1"/>
    <w:rsid w:val="00376284"/>
    <w:rsid w:val="00376F3B"/>
    <w:rsid w:val="0037720D"/>
    <w:rsid w:val="003773E6"/>
    <w:rsid w:val="00377791"/>
    <w:rsid w:val="00380ED3"/>
    <w:rsid w:val="00381A72"/>
    <w:rsid w:val="00384676"/>
    <w:rsid w:val="003847CF"/>
    <w:rsid w:val="0038556B"/>
    <w:rsid w:val="00385894"/>
    <w:rsid w:val="00385966"/>
    <w:rsid w:val="003869BD"/>
    <w:rsid w:val="00390816"/>
    <w:rsid w:val="00390857"/>
    <w:rsid w:val="00390B46"/>
    <w:rsid w:val="00393BE2"/>
    <w:rsid w:val="00394C5B"/>
    <w:rsid w:val="00395123"/>
    <w:rsid w:val="00396CB3"/>
    <w:rsid w:val="003A0541"/>
    <w:rsid w:val="003A2862"/>
    <w:rsid w:val="003A4385"/>
    <w:rsid w:val="003A4BF3"/>
    <w:rsid w:val="003A4C04"/>
    <w:rsid w:val="003A50BE"/>
    <w:rsid w:val="003A5704"/>
    <w:rsid w:val="003A78E6"/>
    <w:rsid w:val="003B0326"/>
    <w:rsid w:val="003B2752"/>
    <w:rsid w:val="003B2935"/>
    <w:rsid w:val="003B420D"/>
    <w:rsid w:val="003B4901"/>
    <w:rsid w:val="003B5E1C"/>
    <w:rsid w:val="003B6945"/>
    <w:rsid w:val="003B7AAA"/>
    <w:rsid w:val="003C25F4"/>
    <w:rsid w:val="003C2F36"/>
    <w:rsid w:val="003C336C"/>
    <w:rsid w:val="003C3893"/>
    <w:rsid w:val="003C58F0"/>
    <w:rsid w:val="003C6C16"/>
    <w:rsid w:val="003D0599"/>
    <w:rsid w:val="003D4846"/>
    <w:rsid w:val="003D6C23"/>
    <w:rsid w:val="003D703D"/>
    <w:rsid w:val="003D794D"/>
    <w:rsid w:val="003E0EB2"/>
    <w:rsid w:val="003E1772"/>
    <w:rsid w:val="003E2CBA"/>
    <w:rsid w:val="003E3058"/>
    <w:rsid w:val="003E33CF"/>
    <w:rsid w:val="003E3702"/>
    <w:rsid w:val="003E3A49"/>
    <w:rsid w:val="003E7102"/>
    <w:rsid w:val="003E76A9"/>
    <w:rsid w:val="003F0809"/>
    <w:rsid w:val="003F0C79"/>
    <w:rsid w:val="003F2194"/>
    <w:rsid w:val="003F242D"/>
    <w:rsid w:val="003F3431"/>
    <w:rsid w:val="003F3A00"/>
    <w:rsid w:val="003F48D5"/>
    <w:rsid w:val="003F4C1D"/>
    <w:rsid w:val="003F6A8C"/>
    <w:rsid w:val="003F6E63"/>
    <w:rsid w:val="003F703B"/>
    <w:rsid w:val="003F755C"/>
    <w:rsid w:val="00400D18"/>
    <w:rsid w:val="0040191F"/>
    <w:rsid w:val="00402F04"/>
    <w:rsid w:val="00405E39"/>
    <w:rsid w:val="004066A8"/>
    <w:rsid w:val="0040695A"/>
    <w:rsid w:val="00406F01"/>
    <w:rsid w:val="00407C27"/>
    <w:rsid w:val="00410F44"/>
    <w:rsid w:val="00411198"/>
    <w:rsid w:val="00411B32"/>
    <w:rsid w:val="00412DEE"/>
    <w:rsid w:val="00414958"/>
    <w:rsid w:val="00416D50"/>
    <w:rsid w:val="00416FD5"/>
    <w:rsid w:val="004175B9"/>
    <w:rsid w:val="00417772"/>
    <w:rsid w:val="00417D49"/>
    <w:rsid w:val="00420179"/>
    <w:rsid w:val="00420E6A"/>
    <w:rsid w:val="004219B7"/>
    <w:rsid w:val="00421EB9"/>
    <w:rsid w:val="00425A9E"/>
    <w:rsid w:val="00425C95"/>
    <w:rsid w:val="00426D6B"/>
    <w:rsid w:val="00427D01"/>
    <w:rsid w:val="00431E6C"/>
    <w:rsid w:val="00433CE7"/>
    <w:rsid w:val="00443334"/>
    <w:rsid w:val="00445C9D"/>
    <w:rsid w:val="00445F1F"/>
    <w:rsid w:val="00447844"/>
    <w:rsid w:val="00450A8F"/>
    <w:rsid w:val="00451868"/>
    <w:rsid w:val="00452738"/>
    <w:rsid w:val="004527A0"/>
    <w:rsid w:val="004557D2"/>
    <w:rsid w:val="00456091"/>
    <w:rsid w:val="00456248"/>
    <w:rsid w:val="004565DF"/>
    <w:rsid w:val="00456E45"/>
    <w:rsid w:val="00460B45"/>
    <w:rsid w:val="00463B22"/>
    <w:rsid w:val="00464A8A"/>
    <w:rsid w:val="00464CE5"/>
    <w:rsid w:val="004661FF"/>
    <w:rsid w:val="00466321"/>
    <w:rsid w:val="00471952"/>
    <w:rsid w:val="00473EC1"/>
    <w:rsid w:val="004767ED"/>
    <w:rsid w:val="004777D7"/>
    <w:rsid w:val="00483C99"/>
    <w:rsid w:val="00484B9B"/>
    <w:rsid w:val="0048525F"/>
    <w:rsid w:val="004855F6"/>
    <w:rsid w:val="00485A77"/>
    <w:rsid w:val="0048661E"/>
    <w:rsid w:val="00486C3E"/>
    <w:rsid w:val="0048755A"/>
    <w:rsid w:val="00487FDB"/>
    <w:rsid w:val="00491809"/>
    <w:rsid w:val="004918EB"/>
    <w:rsid w:val="00492A95"/>
    <w:rsid w:val="00493516"/>
    <w:rsid w:val="00493F34"/>
    <w:rsid w:val="00494670"/>
    <w:rsid w:val="0049672A"/>
    <w:rsid w:val="00496A57"/>
    <w:rsid w:val="004976E5"/>
    <w:rsid w:val="004A1D39"/>
    <w:rsid w:val="004A228E"/>
    <w:rsid w:val="004A232F"/>
    <w:rsid w:val="004A3823"/>
    <w:rsid w:val="004A3A84"/>
    <w:rsid w:val="004A3A98"/>
    <w:rsid w:val="004B162D"/>
    <w:rsid w:val="004B3583"/>
    <w:rsid w:val="004B36F6"/>
    <w:rsid w:val="004B38EC"/>
    <w:rsid w:val="004B4DC0"/>
    <w:rsid w:val="004B73AE"/>
    <w:rsid w:val="004B7F00"/>
    <w:rsid w:val="004C07FA"/>
    <w:rsid w:val="004C1504"/>
    <w:rsid w:val="004C1948"/>
    <w:rsid w:val="004C4AF6"/>
    <w:rsid w:val="004C52AB"/>
    <w:rsid w:val="004C6FB2"/>
    <w:rsid w:val="004C7FA1"/>
    <w:rsid w:val="004D18FB"/>
    <w:rsid w:val="004D3019"/>
    <w:rsid w:val="004D568D"/>
    <w:rsid w:val="004D5DC7"/>
    <w:rsid w:val="004D677A"/>
    <w:rsid w:val="004E30AF"/>
    <w:rsid w:val="004E54CB"/>
    <w:rsid w:val="004E6737"/>
    <w:rsid w:val="004E6946"/>
    <w:rsid w:val="004E752A"/>
    <w:rsid w:val="004F05E9"/>
    <w:rsid w:val="004F1AD8"/>
    <w:rsid w:val="004F1DDF"/>
    <w:rsid w:val="004F304D"/>
    <w:rsid w:val="004F30DE"/>
    <w:rsid w:val="004F4D60"/>
    <w:rsid w:val="004F664E"/>
    <w:rsid w:val="004F67D8"/>
    <w:rsid w:val="00500DDB"/>
    <w:rsid w:val="005025F5"/>
    <w:rsid w:val="00502C36"/>
    <w:rsid w:val="005039CB"/>
    <w:rsid w:val="00503A75"/>
    <w:rsid w:val="005040E3"/>
    <w:rsid w:val="00504B2D"/>
    <w:rsid w:val="00505078"/>
    <w:rsid w:val="0050558F"/>
    <w:rsid w:val="00506286"/>
    <w:rsid w:val="0050633C"/>
    <w:rsid w:val="00510813"/>
    <w:rsid w:val="00511461"/>
    <w:rsid w:val="00511990"/>
    <w:rsid w:val="00511B5C"/>
    <w:rsid w:val="00511DE0"/>
    <w:rsid w:val="00512630"/>
    <w:rsid w:val="0051401D"/>
    <w:rsid w:val="00514870"/>
    <w:rsid w:val="0051491D"/>
    <w:rsid w:val="00514B9B"/>
    <w:rsid w:val="005155A2"/>
    <w:rsid w:val="00515729"/>
    <w:rsid w:val="00517F02"/>
    <w:rsid w:val="005208DA"/>
    <w:rsid w:val="005219B1"/>
    <w:rsid w:val="005227AB"/>
    <w:rsid w:val="00524303"/>
    <w:rsid w:val="0052480A"/>
    <w:rsid w:val="0052546C"/>
    <w:rsid w:val="005258A2"/>
    <w:rsid w:val="00532844"/>
    <w:rsid w:val="00534D66"/>
    <w:rsid w:val="00536487"/>
    <w:rsid w:val="00536629"/>
    <w:rsid w:val="00536941"/>
    <w:rsid w:val="005401AE"/>
    <w:rsid w:val="00541C77"/>
    <w:rsid w:val="00541EC0"/>
    <w:rsid w:val="00542E07"/>
    <w:rsid w:val="00544FF4"/>
    <w:rsid w:val="00545424"/>
    <w:rsid w:val="00547585"/>
    <w:rsid w:val="00547C62"/>
    <w:rsid w:val="005507EE"/>
    <w:rsid w:val="0055094E"/>
    <w:rsid w:val="00551601"/>
    <w:rsid w:val="00552795"/>
    <w:rsid w:val="00553A10"/>
    <w:rsid w:val="005544D2"/>
    <w:rsid w:val="00554A7B"/>
    <w:rsid w:val="0055572C"/>
    <w:rsid w:val="00555BCA"/>
    <w:rsid w:val="0055602B"/>
    <w:rsid w:val="005605E9"/>
    <w:rsid w:val="0056106A"/>
    <w:rsid w:val="0056565A"/>
    <w:rsid w:val="00567B17"/>
    <w:rsid w:val="00567B46"/>
    <w:rsid w:val="0057047B"/>
    <w:rsid w:val="00570987"/>
    <w:rsid w:val="005720AE"/>
    <w:rsid w:val="00573179"/>
    <w:rsid w:val="00574F11"/>
    <w:rsid w:val="00575BD8"/>
    <w:rsid w:val="00577DBF"/>
    <w:rsid w:val="005803A2"/>
    <w:rsid w:val="005803D0"/>
    <w:rsid w:val="00581A85"/>
    <w:rsid w:val="00581AFD"/>
    <w:rsid w:val="0058294D"/>
    <w:rsid w:val="00584797"/>
    <w:rsid w:val="005862EA"/>
    <w:rsid w:val="0058659A"/>
    <w:rsid w:val="005874BD"/>
    <w:rsid w:val="00590310"/>
    <w:rsid w:val="0059261A"/>
    <w:rsid w:val="00592638"/>
    <w:rsid w:val="00593DD2"/>
    <w:rsid w:val="00593E0D"/>
    <w:rsid w:val="005949EF"/>
    <w:rsid w:val="00594D77"/>
    <w:rsid w:val="005969E4"/>
    <w:rsid w:val="005970E3"/>
    <w:rsid w:val="005A02D7"/>
    <w:rsid w:val="005A06B7"/>
    <w:rsid w:val="005A0773"/>
    <w:rsid w:val="005A1759"/>
    <w:rsid w:val="005A20CF"/>
    <w:rsid w:val="005A5861"/>
    <w:rsid w:val="005A68A7"/>
    <w:rsid w:val="005B3B66"/>
    <w:rsid w:val="005B7479"/>
    <w:rsid w:val="005B784E"/>
    <w:rsid w:val="005B78F4"/>
    <w:rsid w:val="005C22B8"/>
    <w:rsid w:val="005C3889"/>
    <w:rsid w:val="005C5E5D"/>
    <w:rsid w:val="005C6F00"/>
    <w:rsid w:val="005D00B9"/>
    <w:rsid w:val="005D21CD"/>
    <w:rsid w:val="005D32DE"/>
    <w:rsid w:val="005D36AB"/>
    <w:rsid w:val="005E1EF6"/>
    <w:rsid w:val="005E6F65"/>
    <w:rsid w:val="005F0F89"/>
    <w:rsid w:val="005F273C"/>
    <w:rsid w:val="005F37FB"/>
    <w:rsid w:val="005F425A"/>
    <w:rsid w:val="005F5989"/>
    <w:rsid w:val="0060400C"/>
    <w:rsid w:val="006043CE"/>
    <w:rsid w:val="0060454A"/>
    <w:rsid w:val="00605909"/>
    <w:rsid w:val="00605BAA"/>
    <w:rsid w:val="00610C31"/>
    <w:rsid w:val="00610D1C"/>
    <w:rsid w:val="0061620C"/>
    <w:rsid w:val="00617CBA"/>
    <w:rsid w:val="00617CC3"/>
    <w:rsid w:val="00620D21"/>
    <w:rsid w:val="00620D7A"/>
    <w:rsid w:val="006220BD"/>
    <w:rsid w:val="00624544"/>
    <w:rsid w:val="00627D73"/>
    <w:rsid w:val="00631237"/>
    <w:rsid w:val="006313FF"/>
    <w:rsid w:val="00631F76"/>
    <w:rsid w:val="00632898"/>
    <w:rsid w:val="00633840"/>
    <w:rsid w:val="006377A6"/>
    <w:rsid w:val="00637A3D"/>
    <w:rsid w:val="00637BD6"/>
    <w:rsid w:val="00640B02"/>
    <w:rsid w:val="006411EF"/>
    <w:rsid w:val="006479C0"/>
    <w:rsid w:val="00647B27"/>
    <w:rsid w:val="0065010E"/>
    <w:rsid w:val="00651521"/>
    <w:rsid w:val="00652409"/>
    <w:rsid w:val="00652F33"/>
    <w:rsid w:val="0065647D"/>
    <w:rsid w:val="0065710E"/>
    <w:rsid w:val="00657782"/>
    <w:rsid w:val="00661A7B"/>
    <w:rsid w:val="00661B09"/>
    <w:rsid w:val="00661C73"/>
    <w:rsid w:val="00663953"/>
    <w:rsid w:val="00670B52"/>
    <w:rsid w:val="00671B73"/>
    <w:rsid w:val="00671D08"/>
    <w:rsid w:val="006728B0"/>
    <w:rsid w:val="00672C1B"/>
    <w:rsid w:val="006748B8"/>
    <w:rsid w:val="0067553E"/>
    <w:rsid w:val="00675CB2"/>
    <w:rsid w:val="00675FE3"/>
    <w:rsid w:val="006775C3"/>
    <w:rsid w:val="00680C43"/>
    <w:rsid w:val="00683262"/>
    <w:rsid w:val="00683799"/>
    <w:rsid w:val="00685604"/>
    <w:rsid w:val="006926FF"/>
    <w:rsid w:val="0069290A"/>
    <w:rsid w:val="0069348D"/>
    <w:rsid w:val="006938C9"/>
    <w:rsid w:val="00694833"/>
    <w:rsid w:val="00695904"/>
    <w:rsid w:val="00696040"/>
    <w:rsid w:val="00696CB1"/>
    <w:rsid w:val="0069775A"/>
    <w:rsid w:val="00697813"/>
    <w:rsid w:val="006A2A68"/>
    <w:rsid w:val="006A399C"/>
    <w:rsid w:val="006A3EE8"/>
    <w:rsid w:val="006A72BF"/>
    <w:rsid w:val="006A72E3"/>
    <w:rsid w:val="006B03F2"/>
    <w:rsid w:val="006B19C0"/>
    <w:rsid w:val="006B3481"/>
    <w:rsid w:val="006B37DC"/>
    <w:rsid w:val="006B3F0E"/>
    <w:rsid w:val="006B4F68"/>
    <w:rsid w:val="006B7D53"/>
    <w:rsid w:val="006B7FAB"/>
    <w:rsid w:val="006C0592"/>
    <w:rsid w:val="006C272E"/>
    <w:rsid w:val="006C33C9"/>
    <w:rsid w:val="006C38B7"/>
    <w:rsid w:val="006C5479"/>
    <w:rsid w:val="006C5F95"/>
    <w:rsid w:val="006C63E8"/>
    <w:rsid w:val="006C7FFE"/>
    <w:rsid w:val="006D13B5"/>
    <w:rsid w:val="006D1944"/>
    <w:rsid w:val="006D4617"/>
    <w:rsid w:val="006D52D3"/>
    <w:rsid w:val="006D6E78"/>
    <w:rsid w:val="006E12FF"/>
    <w:rsid w:val="006E35B7"/>
    <w:rsid w:val="006E4982"/>
    <w:rsid w:val="006E505A"/>
    <w:rsid w:val="006E5A0A"/>
    <w:rsid w:val="006E607E"/>
    <w:rsid w:val="006E787F"/>
    <w:rsid w:val="006F3EE0"/>
    <w:rsid w:val="006F4AE3"/>
    <w:rsid w:val="006F52F4"/>
    <w:rsid w:val="006F7594"/>
    <w:rsid w:val="006F7D7E"/>
    <w:rsid w:val="00700092"/>
    <w:rsid w:val="007017E3"/>
    <w:rsid w:val="00706646"/>
    <w:rsid w:val="007066CC"/>
    <w:rsid w:val="00706C5D"/>
    <w:rsid w:val="00707703"/>
    <w:rsid w:val="00711918"/>
    <w:rsid w:val="007139D3"/>
    <w:rsid w:val="00716DFB"/>
    <w:rsid w:val="00717E6C"/>
    <w:rsid w:val="00720E39"/>
    <w:rsid w:val="00723BBE"/>
    <w:rsid w:val="00727240"/>
    <w:rsid w:val="0073171D"/>
    <w:rsid w:val="00732922"/>
    <w:rsid w:val="00732A43"/>
    <w:rsid w:val="00734B4C"/>
    <w:rsid w:val="007354A6"/>
    <w:rsid w:val="007415CE"/>
    <w:rsid w:val="00741A7C"/>
    <w:rsid w:val="00743AC7"/>
    <w:rsid w:val="00743FEC"/>
    <w:rsid w:val="00744653"/>
    <w:rsid w:val="0075162E"/>
    <w:rsid w:val="007533E5"/>
    <w:rsid w:val="0075377E"/>
    <w:rsid w:val="00754034"/>
    <w:rsid w:val="00754CE6"/>
    <w:rsid w:val="00755A60"/>
    <w:rsid w:val="00756556"/>
    <w:rsid w:val="00760969"/>
    <w:rsid w:val="007618C4"/>
    <w:rsid w:val="00762D6E"/>
    <w:rsid w:val="007630F4"/>
    <w:rsid w:val="007632FF"/>
    <w:rsid w:val="007641C7"/>
    <w:rsid w:val="00766180"/>
    <w:rsid w:val="007676C2"/>
    <w:rsid w:val="00767980"/>
    <w:rsid w:val="0077058F"/>
    <w:rsid w:val="00770B19"/>
    <w:rsid w:val="00771915"/>
    <w:rsid w:val="0077463F"/>
    <w:rsid w:val="00775087"/>
    <w:rsid w:val="007763C6"/>
    <w:rsid w:val="00776996"/>
    <w:rsid w:val="00777CFD"/>
    <w:rsid w:val="007802AC"/>
    <w:rsid w:val="00783139"/>
    <w:rsid w:val="007836EA"/>
    <w:rsid w:val="00784303"/>
    <w:rsid w:val="00784CDA"/>
    <w:rsid w:val="007906C4"/>
    <w:rsid w:val="0079293A"/>
    <w:rsid w:val="0079308E"/>
    <w:rsid w:val="0079346C"/>
    <w:rsid w:val="007940EA"/>
    <w:rsid w:val="007967E8"/>
    <w:rsid w:val="00796918"/>
    <w:rsid w:val="0079790F"/>
    <w:rsid w:val="007A14C0"/>
    <w:rsid w:val="007A2170"/>
    <w:rsid w:val="007A22BF"/>
    <w:rsid w:val="007A26EF"/>
    <w:rsid w:val="007A3323"/>
    <w:rsid w:val="007A33AA"/>
    <w:rsid w:val="007A3888"/>
    <w:rsid w:val="007A3FA1"/>
    <w:rsid w:val="007A4002"/>
    <w:rsid w:val="007A6B64"/>
    <w:rsid w:val="007A6BA9"/>
    <w:rsid w:val="007A701E"/>
    <w:rsid w:val="007B14D5"/>
    <w:rsid w:val="007B1DEC"/>
    <w:rsid w:val="007B23AE"/>
    <w:rsid w:val="007B497D"/>
    <w:rsid w:val="007B4AEF"/>
    <w:rsid w:val="007B72B8"/>
    <w:rsid w:val="007B7A58"/>
    <w:rsid w:val="007C04E0"/>
    <w:rsid w:val="007C2063"/>
    <w:rsid w:val="007C21B5"/>
    <w:rsid w:val="007C3DA4"/>
    <w:rsid w:val="007C42ED"/>
    <w:rsid w:val="007C5794"/>
    <w:rsid w:val="007C7E52"/>
    <w:rsid w:val="007D025E"/>
    <w:rsid w:val="007D3B07"/>
    <w:rsid w:val="007D415E"/>
    <w:rsid w:val="007D46B8"/>
    <w:rsid w:val="007D5409"/>
    <w:rsid w:val="007D6E6E"/>
    <w:rsid w:val="007D7C8A"/>
    <w:rsid w:val="007D7F8F"/>
    <w:rsid w:val="007E14D6"/>
    <w:rsid w:val="007E1562"/>
    <w:rsid w:val="007E2D68"/>
    <w:rsid w:val="007E379A"/>
    <w:rsid w:val="007E44B2"/>
    <w:rsid w:val="007E4BD2"/>
    <w:rsid w:val="007E52A9"/>
    <w:rsid w:val="007F6938"/>
    <w:rsid w:val="007F6ABB"/>
    <w:rsid w:val="007F7792"/>
    <w:rsid w:val="00800C9A"/>
    <w:rsid w:val="0080133D"/>
    <w:rsid w:val="00801393"/>
    <w:rsid w:val="008017E0"/>
    <w:rsid w:val="00802F88"/>
    <w:rsid w:val="00805C02"/>
    <w:rsid w:val="00807AB6"/>
    <w:rsid w:val="008111AC"/>
    <w:rsid w:val="008123DA"/>
    <w:rsid w:val="008128D9"/>
    <w:rsid w:val="0081293E"/>
    <w:rsid w:val="00812AFF"/>
    <w:rsid w:val="00812FDE"/>
    <w:rsid w:val="00815465"/>
    <w:rsid w:val="00817E9A"/>
    <w:rsid w:val="00820479"/>
    <w:rsid w:val="00821116"/>
    <w:rsid w:val="00822A07"/>
    <w:rsid w:val="00826042"/>
    <w:rsid w:val="00826D3A"/>
    <w:rsid w:val="0082796F"/>
    <w:rsid w:val="008306BD"/>
    <w:rsid w:val="00830B84"/>
    <w:rsid w:val="00831A80"/>
    <w:rsid w:val="00831AEC"/>
    <w:rsid w:val="00831B73"/>
    <w:rsid w:val="00831E17"/>
    <w:rsid w:val="00833743"/>
    <w:rsid w:val="0083374D"/>
    <w:rsid w:val="008340A4"/>
    <w:rsid w:val="00840A9F"/>
    <w:rsid w:val="00840D84"/>
    <w:rsid w:val="00841F27"/>
    <w:rsid w:val="0084394D"/>
    <w:rsid w:val="00843F83"/>
    <w:rsid w:val="00844868"/>
    <w:rsid w:val="008457AD"/>
    <w:rsid w:val="00846367"/>
    <w:rsid w:val="008471A6"/>
    <w:rsid w:val="008473F3"/>
    <w:rsid w:val="0085055C"/>
    <w:rsid w:val="00850E5C"/>
    <w:rsid w:val="00852DF5"/>
    <w:rsid w:val="00854E86"/>
    <w:rsid w:val="0085598B"/>
    <w:rsid w:val="008573C5"/>
    <w:rsid w:val="008600B8"/>
    <w:rsid w:val="00860983"/>
    <w:rsid w:val="00863901"/>
    <w:rsid w:val="00864338"/>
    <w:rsid w:val="00865DF4"/>
    <w:rsid w:val="00870265"/>
    <w:rsid w:val="008703C6"/>
    <w:rsid w:val="0087135F"/>
    <w:rsid w:val="00871783"/>
    <w:rsid w:val="008725A2"/>
    <w:rsid w:val="00872D94"/>
    <w:rsid w:val="00877834"/>
    <w:rsid w:val="00880364"/>
    <w:rsid w:val="00880ABD"/>
    <w:rsid w:val="00880D0E"/>
    <w:rsid w:val="00882576"/>
    <w:rsid w:val="00883460"/>
    <w:rsid w:val="00887A5B"/>
    <w:rsid w:val="00891592"/>
    <w:rsid w:val="00891871"/>
    <w:rsid w:val="00891E9E"/>
    <w:rsid w:val="00892070"/>
    <w:rsid w:val="008A2214"/>
    <w:rsid w:val="008A299C"/>
    <w:rsid w:val="008A2F68"/>
    <w:rsid w:val="008A318A"/>
    <w:rsid w:val="008A52A2"/>
    <w:rsid w:val="008A71AE"/>
    <w:rsid w:val="008A7432"/>
    <w:rsid w:val="008B002E"/>
    <w:rsid w:val="008B0B11"/>
    <w:rsid w:val="008B3A3B"/>
    <w:rsid w:val="008B3E83"/>
    <w:rsid w:val="008B3E9D"/>
    <w:rsid w:val="008B4DCC"/>
    <w:rsid w:val="008B4FA6"/>
    <w:rsid w:val="008B5282"/>
    <w:rsid w:val="008B6050"/>
    <w:rsid w:val="008B6BBC"/>
    <w:rsid w:val="008B7C17"/>
    <w:rsid w:val="008C189E"/>
    <w:rsid w:val="008C1EEB"/>
    <w:rsid w:val="008C22A7"/>
    <w:rsid w:val="008C2D01"/>
    <w:rsid w:val="008C38C1"/>
    <w:rsid w:val="008C40E6"/>
    <w:rsid w:val="008C5EE9"/>
    <w:rsid w:val="008C65DB"/>
    <w:rsid w:val="008D0D4E"/>
    <w:rsid w:val="008D0F7A"/>
    <w:rsid w:val="008D15A7"/>
    <w:rsid w:val="008D2204"/>
    <w:rsid w:val="008D3DC9"/>
    <w:rsid w:val="008D68E4"/>
    <w:rsid w:val="008E014E"/>
    <w:rsid w:val="008E0506"/>
    <w:rsid w:val="008E0CFF"/>
    <w:rsid w:val="008E0D70"/>
    <w:rsid w:val="008E5D6B"/>
    <w:rsid w:val="008E72E6"/>
    <w:rsid w:val="008E76F0"/>
    <w:rsid w:val="008F143C"/>
    <w:rsid w:val="008F15FE"/>
    <w:rsid w:val="008F2D29"/>
    <w:rsid w:val="008F2E9F"/>
    <w:rsid w:val="008F5187"/>
    <w:rsid w:val="008F5C07"/>
    <w:rsid w:val="008F60D8"/>
    <w:rsid w:val="008F6147"/>
    <w:rsid w:val="008F686F"/>
    <w:rsid w:val="008F704E"/>
    <w:rsid w:val="008F779A"/>
    <w:rsid w:val="00900710"/>
    <w:rsid w:val="00900AA8"/>
    <w:rsid w:val="00901887"/>
    <w:rsid w:val="009018AD"/>
    <w:rsid w:val="00902727"/>
    <w:rsid w:val="0090312B"/>
    <w:rsid w:val="009033FB"/>
    <w:rsid w:val="00906A9B"/>
    <w:rsid w:val="0090763C"/>
    <w:rsid w:val="009102AC"/>
    <w:rsid w:val="00910F33"/>
    <w:rsid w:val="0091180C"/>
    <w:rsid w:val="00911C89"/>
    <w:rsid w:val="0091391E"/>
    <w:rsid w:val="00914EF1"/>
    <w:rsid w:val="009161C9"/>
    <w:rsid w:val="00917107"/>
    <w:rsid w:val="0091736D"/>
    <w:rsid w:val="0091773D"/>
    <w:rsid w:val="00920948"/>
    <w:rsid w:val="00921EA2"/>
    <w:rsid w:val="00924F5E"/>
    <w:rsid w:val="009254FB"/>
    <w:rsid w:val="0093037A"/>
    <w:rsid w:val="009305CC"/>
    <w:rsid w:val="00930843"/>
    <w:rsid w:val="00931428"/>
    <w:rsid w:val="00932A7D"/>
    <w:rsid w:val="00932A8E"/>
    <w:rsid w:val="0093356C"/>
    <w:rsid w:val="00936697"/>
    <w:rsid w:val="00936B14"/>
    <w:rsid w:val="00937289"/>
    <w:rsid w:val="00937949"/>
    <w:rsid w:val="00937E5F"/>
    <w:rsid w:val="00940DA7"/>
    <w:rsid w:val="0094154D"/>
    <w:rsid w:val="009417E5"/>
    <w:rsid w:val="00941DEC"/>
    <w:rsid w:val="00942C5C"/>
    <w:rsid w:val="00942F16"/>
    <w:rsid w:val="0094495E"/>
    <w:rsid w:val="00944AFB"/>
    <w:rsid w:val="00944BF2"/>
    <w:rsid w:val="00944F1A"/>
    <w:rsid w:val="00947820"/>
    <w:rsid w:val="0095155F"/>
    <w:rsid w:val="00954429"/>
    <w:rsid w:val="00955D76"/>
    <w:rsid w:val="009563CE"/>
    <w:rsid w:val="0096257B"/>
    <w:rsid w:val="00962D45"/>
    <w:rsid w:val="00963FCE"/>
    <w:rsid w:val="00964DF4"/>
    <w:rsid w:val="00965EF5"/>
    <w:rsid w:val="0097031E"/>
    <w:rsid w:val="009708D7"/>
    <w:rsid w:val="009728A5"/>
    <w:rsid w:val="00972DB5"/>
    <w:rsid w:val="0097435A"/>
    <w:rsid w:val="00975158"/>
    <w:rsid w:val="00976328"/>
    <w:rsid w:val="0097680D"/>
    <w:rsid w:val="00977848"/>
    <w:rsid w:val="00982438"/>
    <w:rsid w:val="00982AC3"/>
    <w:rsid w:val="00983F17"/>
    <w:rsid w:val="0098404C"/>
    <w:rsid w:val="00985283"/>
    <w:rsid w:val="009864C7"/>
    <w:rsid w:val="00990DF9"/>
    <w:rsid w:val="009913DB"/>
    <w:rsid w:val="009921C3"/>
    <w:rsid w:val="00992A63"/>
    <w:rsid w:val="00993CE7"/>
    <w:rsid w:val="00995159"/>
    <w:rsid w:val="00995992"/>
    <w:rsid w:val="00995C95"/>
    <w:rsid w:val="00996881"/>
    <w:rsid w:val="00997189"/>
    <w:rsid w:val="00997B8E"/>
    <w:rsid w:val="009A03E5"/>
    <w:rsid w:val="009A0F3B"/>
    <w:rsid w:val="009A1BB4"/>
    <w:rsid w:val="009A2628"/>
    <w:rsid w:val="009A26EF"/>
    <w:rsid w:val="009A3200"/>
    <w:rsid w:val="009A3E48"/>
    <w:rsid w:val="009A773E"/>
    <w:rsid w:val="009A7B44"/>
    <w:rsid w:val="009B015F"/>
    <w:rsid w:val="009B0897"/>
    <w:rsid w:val="009B1805"/>
    <w:rsid w:val="009B294D"/>
    <w:rsid w:val="009B4FA3"/>
    <w:rsid w:val="009B6D87"/>
    <w:rsid w:val="009B7BD9"/>
    <w:rsid w:val="009C0149"/>
    <w:rsid w:val="009C1B2B"/>
    <w:rsid w:val="009C2EE5"/>
    <w:rsid w:val="009C4732"/>
    <w:rsid w:val="009C57D7"/>
    <w:rsid w:val="009C67A0"/>
    <w:rsid w:val="009C7DD5"/>
    <w:rsid w:val="009D03B0"/>
    <w:rsid w:val="009D390D"/>
    <w:rsid w:val="009D5D71"/>
    <w:rsid w:val="009D772F"/>
    <w:rsid w:val="009D7C4F"/>
    <w:rsid w:val="009E0F97"/>
    <w:rsid w:val="009E227D"/>
    <w:rsid w:val="009E3E88"/>
    <w:rsid w:val="009E5019"/>
    <w:rsid w:val="009E6994"/>
    <w:rsid w:val="009E74AC"/>
    <w:rsid w:val="009E7D76"/>
    <w:rsid w:val="009F17CF"/>
    <w:rsid w:val="009F2E91"/>
    <w:rsid w:val="009F381B"/>
    <w:rsid w:val="009F51F1"/>
    <w:rsid w:val="009F5602"/>
    <w:rsid w:val="009F5947"/>
    <w:rsid w:val="009F5B0D"/>
    <w:rsid w:val="009F6879"/>
    <w:rsid w:val="009F6CD9"/>
    <w:rsid w:val="009F7DBE"/>
    <w:rsid w:val="00A01FA4"/>
    <w:rsid w:val="00A03382"/>
    <w:rsid w:val="00A03A9B"/>
    <w:rsid w:val="00A0429F"/>
    <w:rsid w:val="00A04B07"/>
    <w:rsid w:val="00A04F1B"/>
    <w:rsid w:val="00A0501B"/>
    <w:rsid w:val="00A056BF"/>
    <w:rsid w:val="00A0599D"/>
    <w:rsid w:val="00A06085"/>
    <w:rsid w:val="00A060FF"/>
    <w:rsid w:val="00A102C8"/>
    <w:rsid w:val="00A104E6"/>
    <w:rsid w:val="00A10F4D"/>
    <w:rsid w:val="00A114DB"/>
    <w:rsid w:val="00A11B1F"/>
    <w:rsid w:val="00A128F6"/>
    <w:rsid w:val="00A13DD5"/>
    <w:rsid w:val="00A14947"/>
    <w:rsid w:val="00A16089"/>
    <w:rsid w:val="00A17446"/>
    <w:rsid w:val="00A17465"/>
    <w:rsid w:val="00A23A12"/>
    <w:rsid w:val="00A24198"/>
    <w:rsid w:val="00A24A7E"/>
    <w:rsid w:val="00A25806"/>
    <w:rsid w:val="00A322E7"/>
    <w:rsid w:val="00A32A83"/>
    <w:rsid w:val="00A368DB"/>
    <w:rsid w:val="00A40929"/>
    <w:rsid w:val="00A40F58"/>
    <w:rsid w:val="00A41115"/>
    <w:rsid w:val="00A42129"/>
    <w:rsid w:val="00A423AA"/>
    <w:rsid w:val="00A43AE1"/>
    <w:rsid w:val="00A45435"/>
    <w:rsid w:val="00A47AEF"/>
    <w:rsid w:val="00A5176E"/>
    <w:rsid w:val="00A52511"/>
    <w:rsid w:val="00A53EC6"/>
    <w:rsid w:val="00A54711"/>
    <w:rsid w:val="00A55C0F"/>
    <w:rsid w:val="00A55CE1"/>
    <w:rsid w:val="00A57D68"/>
    <w:rsid w:val="00A617C4"/>
    <w:rsid w:val="00A61DED"/>
    <w:rsid w:val="00A64A76"/>
    <w:rsid w:val="00A64F91"/>
    <w:rsid w:val="00A663F6"/>
    <w:rsid w:val="00A67556"/>
    <w:rsid w:val="00A72159"/>
    <w:rsid w:val="00A74D1F"/>
    <w:rsid w:val="00A7529F"/>
    <w:rsid w:val="00A75F7D"/>
    <w:rsid w:val="00A773B7"/>
    <w:rsid w:val="00A7755D"/>
    <w:rsid w:val="00A80314"/>
    <w:rsid w:val="00A815A8"/>
    <w:rsid w:val="00A82043"/>
    <w:rsid w:val="00A84BE9"/>
    <w:rsid w:val="00A863BF"/>
    <w:rsid w:val="00A8713F"/>
    <w:rsid w:val="00A8797B"/>
    <w:rsid w:val="00A87E32"/>
    <w:rsid w:val="00A90BA1"/>
    <w:rsid w:val="00A928F8"/>
    <w:rsid w:val="00A9441D"/>
    <w:rsid w:val="00A94746"/>
    <w:rsid w:val="00A949EF"/>
    <w:rsid w:val="00A94BE1"/>
    <w:rsid w:val="00A94EA7"/>
    <w:rsid w:val="00A9564A"/>
    <w:rsid w:val="00A96B10"/>
    <w:rsid w:val="00A97A9A"/>
    <w:rsid w:val="00AA0671"/>
    <w:rsid w:val="00AA2531"/>
    <w:rsid w:val="00AA2620"/>
    <w:rsid w:val="00AA2BE5"/>
    <w:rsid w:val="00AA3614"/>
    <w:rsid w:val="00AA41D2"/>
    <w:rsid w:val="00AA4D15"/>
    <w:rsid w:val="00AA77F4"/>
    <w:rsid w:val="00AA7F4B"/>
    <w:rsid w:val="00AB1E09"/>
    <w:rsid w:val="00AB5330"/>
    <w:rsid w:val="00AB5A09"/>
    <w:rsid w:val="00AB6235"/>
    <w:rsid w:val="00AB6648"/>
    <w:rsid w:val="00AB7747"/>
    <w:rsid w:val="00AB7D01"/>
    <w:rsid w:val="00AC03F8"/>
    <w:rsid w:val="00AC08B4"/>
    <w:rsid w:val="00AC14CE"/>
    <w:rsid w:val="00AC18B9"/>
    <w:rsid w:val="00AC1E8A"/>
    <w:rsid w:val="00AC2A56"/>
    <w:rsid w:val="00AC3C40"/>
    <w:rsid w:val="00AC607A"/>
    <w:rsid w:val="00AC6CE9"/>
    <w:rsid w:val="00AD055E"/>
    <w:rsid w:val="00AD0C83"/>
    <w:rsid w:val="00AD133B"/>
    <w:rsid w:val="00AD13F2"/>
    <w:rsid w:val="00AD183A"/>
    <w:rsid w:val="00AD1D9F"/>
    <w:rsid w:val="00AD47A7"/>
    <w:rsid w:val="00AD4AFC"/>
    <w:rsid w:val="00AD74CC"/>
    <w:rsid w:val="00AE3233"/>
    <w:rsid w:val="00AE389D"/>
    <w:rsid w:val="00AE3A28"/>
    <w:rsid w:val="00AE6F3C"/>
    <w:rsid w:val="00AE7843"/>
    <w:rsid w:val="00AF0CBF"/>
    <w:rsid w:val="00AF13A1"/>
    <w:rsid w:val="00AF257F"/>
    <w:rsid w:val="00AF3122"/>
    <w:rsid w:val="00AF33CF"/>
    <w:rsid w:val="00AF4408"/>
    <w:rsid w:val="00AF4808"/>
    <w:rsid w:val="00AF4D50"/>
    <w:rsid w:val="00AF6179"/>
    <w:rsid w:val="00AF6244"/>
    <w:rsid w:val="00AF64F6"/>
    <w:rsid w:val="00B02CB8"/>
    <w:rsid w:val="00B037A1"/>
    <w:rsid w:val="00B04733"/>
    <w:rsid w:val="00B04E19"/>
    <w:rsid w:val="00B05605"/>
    <w:rsid w:val="00B060FA"/>
    <w:rsid w:val="00B07D21"/>
    <w:rsid w:val="00B11E7A"/>
    <w:rsid w:val="00B1295A"/>
    <w:rsid w:val="00B13233"/>
    <w:rsid w:val="00B14CC0"/>
    <w:rsid w:val="00B1579E"/>
    <w:rsid w:val="00B16D36"/>
    <w:rsid w:val="00B20462"/>
    <w:rsid w:val="00B20A45"/>
    <w:rsid w:val="00B220F6"/>
    <w:rsid w:val="00B22C5C"/>
    <w:rsid w:val="00B23A06"/>
    <w:rsid w:val="00B24F30"/>
    <w:rsid w:val="00B277AE"/>
    <w:rsid w:val="00B27BFB"/>
    <w:rsid w:val="00B31ABF"/>
    <w:rsid w:val="00B33977"/>
    <w:rsid w:val="00B33BE3"/>
    <w:rsid w:val="00B34523"/>
    <w:rsid w:val="00B3590A"/>
    <w:rsid w:val="00B35CF1"/>
    <w:rsid w:val="00B35FAD"/>
    <w:rsid w:val="00B36859"/>
    <w:rsid w:val="00B40749"/>
    <w:rsid w:val="00B410EC"/>
    <w:rsid w:val="00B428F5"/>
    <w:rsid w:val="00B442F0"/>
    <w:rsid w:val="00B4583A"/>
    <w:rsid w:val="00B4674B"/>
    <w:rsid w:val="00B50954"/>
    <w:rsid w:val="00B5108F"/>
    <w:rsid w:val="00B5127F"/>
    <w:rsid w:val="00B52225"/>
    <w:rsid w:val="00B52C0A"/>
    <w:rsid w:val="00B5351C"/>
    <w:rsid w:val="00B53B5D"/>
    <w:rsid w:val="00B5449E"/>
    <w:rsid w:val="00B54FD0"/>
    <w:rsid w:val="00B5636C"/>
    <w:rsid w:val="00B6055E"/>
    <w:rsid w:val="00B6189E"/>
    <w:rsid w:val="00B629F5"/>
    <w:rsid w:val="00B6317D"/>
    <w:rsid w:val="00B64F67"/>
    <w:rsid w:val="00B6696F"/>
    <w:rsid w:val="00B7132E"/>
    <w:rsid w:val="00B77155"/>
    <w:rsid w:val="00B7723F"/>
    <w:rsid w:val="00B80487"/>
    <w:rsid w:val="00B80534"/>
    <w:rsid w:val="00B83330"/>
    <w:rsid w:val="00B8433C"/>
    <w:rsid w:val="00B87491"/>
    <w:rsid w:val="00B91FE0"/>
    <w:rsid w:val="00B925BA"/>
    <w:rsid w:val="00B97EA2"/>
    <w:rsid w:val="00BA10D7"/>
    <w:rsid w:val="00BA1CD6"/>
    <w:rsid w:val="00BA2697"/>
    <w:rsid w:val="00BA29E9"/>
    <w:rsid w:val="00BA3961"/>
    <w:rsid w:val="00BA4FEC"/>
    <w:rsid w:val="00BA6ACD"/>
    <w:rsid w:val="00BA7142"/>
    <w:rsid w:val="00BA7336"/>
    <w:rsid w:val="00BA7951"/>
    <w:rsid w:val="00BB08A5"/>
    <w:rsid w:val="00BB16A2"/>
    <w:rsid w:val="00BB237C"/>
    <w:rsid w:val="00BB41A3"/>
    <w:rsid w:val="00BB570C"/>
    <w:rsid w:val="00BC1DBA"/>
    <w:rsid w:val="00BC32DC"/>
    <w:rsid w:val="00BC35B6"/>
    <w:rsid w:val="00BC37C1"/>
    <w:rsid w:val="00BD1B51"/>
    <w:rsid w:val="00BD3AE9"/>
    <w:rsid w:val="00BD3E63"/>
    <w:rsid w:val="00BD4596"/>
    <w:rsid w:val="00BD4F84"/>
    <w:rsid w:val="00BE1405"/>
    <w:rsid w:val="00BE1995"/>
    <w:rsid w:val="00BE1BDF"/>
    <w:rsid w:val="00BE2B8A"/>
    <w:rsid w:val="00BE312D"/>
    <w:rsid w:val="00BE381A"/>
    <w:rsid w:val="00BE39B9"/>
    <w:rsid w:val="00BE4112"/>
    <w:rsid w:val="00BE5DF6"/>
    <w:rsid w:val="00BF1C20"/>
    <w:rsid w:val="00BF1DDF"/>
    <w:rsid w:val="00BF3357"/>
    <w:rsid w:val="00BF54BD"/>
    <w:rsid w:val="00C02DA7"/>
    <w:rsid w:val="00C0312C"/>
    <w:rsid w:val="00C06BE2"/>
    <w:rsid w:val="00C06C83"/>
    <w:rsid w:val="00C101BD"/>
    <w:rsid w:val="00C10578"/>
    <w:rsid w:val="00C10B66"/>
    <w:rsid w:val="00C124EC"/>
    <w:rsid w:val="00C126D3"/>
    <w:rsid w:val="00C13021"/>
    <w:rsid w:val="00C135BC"/>
    <w:rsid w:val="00C15826"/>
    <w:rsid w:val="00C15C95"/>
    <w:rsid w:val="00C15F4C"/>
    <w:rsid w:val="00C16297"/>
    <w:rsid w:val="00C174DF"/>
    <w:rsid w:val="00C2199A"/>
    <w:rsid w:val="00C21D95"/>
    <w:rsid w:val="00C23FC1"/>
    <w:rsid w:val="00C246F8"/>
    <w:rsid w:val="00C2596A"/>
    <w:rsid w:val="00C25DD8"/>
    <w:rsid w:val="00C27537"/>
    <w:rsid w:val="00C306EA"/>
    <w:rsid w:val="00C328FE"/>
    <w:rsid w:val="00C3292E"/>
    <w:rsid w:val="00C33507"/>
    <w:rsid w:val="00C34334"/>
    <w:rsid w:val="00C3484A"/>
    <w:rsid w:val="00C34D0E"/>
    <w:rsid w:val="00C36343"/>
    <w:rsid w:val="00C37A63"/>
    <w:rsid w:val="00C41FDB"/>
    <w:rsid w:val="00C42486"/>
    <w:rsid w:val="00C43B0E"/>
    <w:rsid w:val="00C4409D"/>
    <w:rsid w:val="00C44134"/>
    <w:rsid w:val="00C44E72"/>
    <w:rsid w:val="00C45A06"/>
    <w:rsid w:val="00C478E2"/>
    <w:rsid w:val="00C47E5B"/>
    <w:rsid w:val="00C54932"/>
    <w:rsid w:val="00C55A55"/>
    <w:rsid w:val="00C60B2A"/>
    <w:rsid w:val="00C61E4B"/>
    <w:rsid w:val="00C61F91"/>
    <w:rsid w:val="00C64BFF"/>
    <w:rsid w:val="00C6577B"/>
    <w:rsid w:val="00C704E9"/>
    <w:rsid w:val="00C710B9"/>
    <w:rsid w:val="00C72710"/>
    <w:rsid w:val="00C734A4"/>
    <w:rsid w:val="00C739E7"/>
    <w:rsid w:val="00C74250"/>
    <w:rsid w:val="00C74A46"/>
    <w:rsid w:val="00C755CA"/>
    <w:rsid w:val="00C7586E"/>
    <w:rsid w:val="00C75EE7"/>
    <w:rsid w:val="00C76258"/>
    <w:rsid w:val="00C763C9"/>
    <w:rsid w:val="00C7678E"/>
    <w:rsid w:val="00C7754A"/>
    <w:rsid w:val="00C77BE2"/>
    <w:rsid w:val="00C80057"/>
    <w:rsid w:val="00C82232"/>
    <w:rsid w:val="00C82913"/>
    <w:rsid w:val="00C84659"/>
    <w:rsid w:val="00C84C32"/>
    <w:rsid w:val="00C84F8E"/>
    <w:rsid w:val="00C85A46"/>
    <w:rsid w:val="00C869D5"/>
    <w:rsid w:val="00C86F56"/>
    <w:rsid w:val="00C87659"/>
    <w:rsid w:val="00C92C04"/>
    <w:rsid w:val="00C942ED"/>
    <w:rsid w:val="00C95FC3"/>
    <w:rsid w:val="00C972B1"/>
    <w:rsid w:val="00C97E7A"/>
    <w:rsid w:val="00CA0D1C"/>
    <w:rsid w:val="00CA2CCE"/>
    <w:rsid w:val="00CA2D93"/>
    <w:rsid w:val="00CA43FD"/>
    <w:rsid w:val="00CA4AFA"/>
    <w:rsid w:val="00CA4AFC"/>
    <w:rsid w:val="00CA53C7"/>
    <w:rsid w:val="00CA59CA"/>
    <w:rsid w:val="00CA7EF8"/>
    <w:rsid w:val="00CB2F0D"/>
    <w:rsid w:val="00CB53E9"/>
    <w:rsid w:val="00CB5706"/>
    <w:rsid w:val="00CB6876"/>
    <w:rsid w:val="00CC489B"/>
    <w:rsid w:val="00CC550F"/>
    <w:rsid w:val="00CC781D"/>
    <w:rsid w:val="00CD0703"/>
    <w:rsid w:val="00CD167B"/>
    <w:rsid w:val="00CD1997"/>
    <w:rsid w:val="00CD2BCD"/>
    <w:rsid w:val="00CD3A4C"/>
    <w:rsid w:val="00CD5FFD"/>
    <w:rsid w:val="00CD7386"/>
    <w:rsid w:val="00CE0E24"/>
    <w:rsid w:val="00CE10E9"/>
    <w:rsid w:val="00CE1ADB"/>
    <w:rsid w:val="00CE2910"/>
    <w:rsid w:val="00CE357A"/>
    <w:rsid w:val="00CE476B"/>
    <w:rsid w:val="00CE5393"/>
    <w:rsid w:val="00CE70DD"/>
    <w:rsid w:val="00CE7C97"/>
    <w:rsid w:val="00CF0FB3"/>
    <w:rsid w:val="00CF12B7"/>
    <w:rsid w:val="00CF3405"/>
    <w:rsid w:val="00CF36BE"/>
    <w:rsid w:val="00CF40B7"/>
    <w:rsid w:val="00CF59B3"/>
    <w:rsid w:val="00CF6000"/>
    <w:rsid w:val="00CF684B"/>
    <w:rsid w:val="00CF6D3B"/>
    <w:rsid w:val="00CF6D9D"/>
    <w:rsid w:val="00CF6F1E"/>
    <w:rsid w:val="00CF7285"/>
    <w:rsid w:val="00D000EF"/>
    <w:rsid w:val="00D003F3"/>
    <w:rsid w:val="00D00E91"/>
    <w:rsid w:val="00D0364F"/>
    <w:rsid w:val="00D05E54"/>
    <w:rsid w:val="00D06047"/>
    <w:rsid w:val="00D06834"/>
    <w:rsid w:val="00D06B02"/>
    <w:rsid w:val="00D120A3"/>
    <w:rsid w:val="00D120C7"/>
    <w:rsid w:val="00D124D5"/>
    <w:rsid w:val="00D14919"/>
    <w:rsid w:val="00D20C77"/>
    <w:rsid w:val="00D21E3A"/>
    <w:rsid w:val="00D22C08"/>
    <w:rsid w:val="00D2463C"/>
    <w:rsid w:val="00D27383"/>
    <w:rsid w:val="00D27947"/>
    <w:rsid w:val="00D27CA4"/>
    <w:rsid w:val="00D308ED"/>
    <w:rsid w:val="00D30CBB"/>
    <w:rsid w:val="00D31835"/>
    <w:rsid w:val="00D32142"/>
    <w:rsid w:val="00D330BE"/>
    <w:rsid w:val="00D345E8"/>
    <w:rsid w:val="00D34D3F"/>
    <w:rsid w:val="00D34EAE"/>
    <w:rsid w:val="00D35082"/>
    <w:rsid w:val="00D351CB"/>
    <w:rsid w:val="00D354F3"/>
    <w:rsid w:val="00D35550"/>
    <w:rsid w:val="00D36D86"/>
    <w:rsid w:val="00D36DF7"/>
    <w:rsid w:val="00D36E93"/>
    <w:rsid w:val="00D407CF"/>
    <w:rsid w:val="00D40AFB"/>
    <w:rsid w:val="00D40BC2"/>
    <w:rsid w:val="00D40F4F"/>
    <w:rsid w:val="00D41C92"/>
    <w:rsid w:val="00D42127"/>
    <w:rsid w:val="00D428AA"/>
    <w:rsid w:val="00D43943"/>
    <w:rsid w:val="00D46086"/>
    <w:rsid w:val="00D464F0"/>
    <w:rsid w:val="00D47495"/>
    <w:rsid w:val="00D47F32"/>
    <w:rsid w:val="00D50A34"/>
    <w:rsid w:val="00D526EF"/>
    <w:rsid w:val="00D53736"/>
    <w:rsid w:val="00D537E5"/>
    <w:rsid w:val="00D53EFA"/>
    <w:rsid w:val="00D5451B"/>
    <w:rsid w:val="00D54C7C"/>
    <w:rsid w:val="00D575E4"/>
    <w:rsid w:val="00D60678"/>
    <w:rsid w:val="00D62026"/>
    <w:rsid w:val="00D62E22"/>
    <w:rsid w:val="00D64448"/>
    <w:rsid w:val="00D6472E"/>
    <w:rsid w:val="00D66844"/>
    <w:rsid w:val="00D6698A"/>
    <w:rsid w:val="00D670E0"/>
    <w:rsid w:val="00D67189"/>
    <w:rsid w:val="00D70AEB"/>
    <w:rsid w:val="00D70B3B"/>
    <w:rsid w:val="00D73822"/>
    <w:rsid w:val="00D765FD"/>
    <w:rsid w:val="00D770E2"/>
    <w:rsid w:val="00D77CC9"/>
    <w:rsid w:val="00D80FD6"/>
    <w:rsid w:val="00D860AD"/>
    <w:rsid w:val="00D86905"/>
    <w:rsid w:val="00D87BFB"/>
    <w:rsid w:val="00D907E4"/>
    <w:rsid w:val="00D949C1"/>
    <w:rsid w:val="00D94A7C"/>
    <w:rsid w:val="00D95896"/>
    <w:rsid w:val="00D960F8"/>
    <w:rsid w:val="00D96F54"/>
    <w:rsid w:val="00DA1000"/>
    <w:rsid w:val="00DA6797"/>
    <w:rsid w:val="00DB15B3"/>
    <w:rsid w:val="00DB1FAD"/>
    <w:rsid w:val="00DB2983"/>
    <w:rsid w:val="00DB72B6"/>
    <w:rsid w:val="00DC0F2B"/>
    <w:rsid w:val="00DC1257"/>
    <w:rsid w:val="00DC2074"/>
    <w:rsid w:val="00DC3DC0"/>
    <w:rsid w:val="00DC55C9"/>
    <w:rsid w:val="00DC5609"/>
    <w:rsid w:val="00DC568F"/>
    <w:rsid w:val="00DC59CF"/>
    <w:rsid w:val="00DC5AD6"/>
    <w:rsid w:val="00DC5B2B"/>
    <w:rsid w:val="00DD046B"/>
    <w:rsid w:val="00DD24A3"/>
    <w:rsid w:val="00DD318D"/>
    <w:rsid w:val="00DD4972"/>
    <w:rsid w:val="00DD5BE3"/>
    <w:rsid w:val="00DD6330"/>
    <w:rsid w:val="00DD6D78"/>
    <w:rsid w:val="00DD7DD9"/>
    <w:rsid w:val="00DE0842"/>
    <w:rsid w:val="00DE33B8"/>
    <w:rsid w:val="00DE4666"/>
    <w:rsid w:val="00DE6A7B"/>
    <w:rsid w:val="00DF00F3"/>
    <w:rsid w:val="00DF063F"/>
    <w:rsid w:val="00DF10F3"/>
    <w:rsid w:val="00DF2E12"/>
    <w:rsid w:val="00DF4E75"/>
    <w:rsid w:val="00DF514A"/>
    <w:rsid w:val="00DF6690"/>
    <w:rsid w:val="00DF6804"/>
    <w:rsid w:val="00E0358D"/>
    <w:rsid w:val="00E04323"/>
    <w:rsid w:val="00E043FB"/>
    <w:rsid w:val="00E064A6"/>
    <w:rsid w:val="00E070A2"/>
    <w:rsid w:val="00E07297"/>
    <w:rsid w:val="00E14890"/>
    <w:rsid w:val="00E20991"/>
    <w:rsid w:val="00E213E7"/>
    <w:rsid w:val="00E2160C"/>
    <w:rsid w:val="00E2167F"/>
    <w:rsid w:val="00E232C7"/>
    <w:rsid w:val="00E23EE0"/>
    <w:rsid w:val="00E23FDC"/>
    <w:rsid w:val="00E242B7"/>
    <w:rsid w:val="00E245B7"/>
    <w:rsid w:val="00E24B99"/>
    <w:rsid w:val="00E25DB5"/>
    <w:rsid w:val="00E2656A"/>
    <w:rsid w:val="00E33084"/>
    <w:rsid w:val="00E3356B"/>
    <w:rsid w:val="00E358B9"/>
    <w:rsid w:val="00E368DE"/>
    <w:rsid w:val="00E3690E"/>
    <w:rsid w:val="00E3720B"/>
    <w:rsid w:val="00E412D0"/>
    <w:rsid w:val="00E421F9"/>
    <w:rsid w:val="00E4406C"/>
    <w:rsid w:val="00E444CD"/>
    <w:rsid w:val="00E45302"/>
    <w:rsid w:val="00E453B3"/>
    <w:rsid w:val="00E4731C"/>
    <w:rsid w:val="00E5260B"/>
    <w:rsid w:val="00E5348E"/>
    <w:rsid w:val="00E56322"/>
    <w:rsid w:val="00E60982"/>
    <w:rsid w:val="00E62AB7"/>
    <w:rsid w:val="00E62C62"/>
    <w:rsid w:val="00E62EBF"/>
    <w:rsid w:val="00E647E4"/>
    <w:rsid w:val="00E64E5D"/>
    <w:rsid w:val="00E654C1"/>
    <w:rsid w:val="00E65D97"/>
    <w:rsid w:val="00E70120"/>
    <w:rsid w:val="00E72635"/>
    <w:rsid w:val="00E72A5A"/>
    <w:rsid w:val="00E73354"/>
    <w:rsid w:val="00E75BE0"/>
    <w:rsid w:val="00E7726A"/>
    <w:rsid w:val="00E775B1"/>
    <w:rsid w:val="00E8314F"/>
    <w:rsid w:val="00E838DC"/>
    <w:rsid w:val="00E843BD"/>
    <w:rsid w:val="00E84824"/>
    <w:rsid w:val="00E85306"/>
    <w:rsid w:val="00E8672F"/>
    <w:rsid w:val="00E87AC2"/>
    <w:rsid w:val="00E9242D"/>
    <w:rsid w:val="00E933A9"/>
    <w:rsid w:val="00E94DD3"/>
    <w:rsid w:val="00E95D50"/>
    <w:rsid w:val="00EA20E5"/>
    <w:rsid w:val="00EA2E19"/>
    <w:rsid w:val="00EA4ACE"/>
    <w:rsid w:val="00EA5263"/>
    <w:rsid w:val="00EA5971"/>
    <w:rsid w:val="00EB17F7"/>
    <w:rsid w:val="00EB191F"/>
    <w:rsid w:val="00EB3CD9"/>
    <w:rsid w:val="00EB453D"/>
    <w:rsid w:val="00EB5255"/>
    <w:rsid w:val="00EB577F"/>
    <w:rsid w:val="00EB59EA"/>
    <w:rsid w:val="00EB5A28"/>
    <w:rsid w:val="00EB5C47"/>
    <w:rsid w:val="00EC0C8C"/>
    <w:rsid w:val="00EC1D2B"/>
    <w:rsid w:val="00EC5CBD"/>
    <w:rsid w:val="00EC615F"/>
    <w:rsid w:val="00ED052D"/>
    <w:rsid w:val="00ED0639"/>
    <w:rsid w:val="00ED0728"/>
    <w:rsid w:val="00ED0B8B"/>
    <w:rsid w:val="00ED1AF4"/>
    <w:rsid w:val="00ED2333"/>
    <w:rsid w:val="00ED2CDD"/>
    <w:rsid w:val="00ED48BC"/>
    <w:rsid w:val="00ED7895"/>
    <w:rsid w:val="00EE0E50"/>
    <w:rsid w:val="00EE1605"/>
    <w:rsid w:val="00EF17C7"/>
    <w:rsid w:val="00EF2CBA"/>
    <w:rsid w:val="00EF3069"/>
    <w:rsid w:val="00EF443D"/>
    <w:rsid w:val="00EF4755"/>
    <w:rsid w:val="00EF7135"/>
    <w:rsid w:val="00F004F3"/>
    <w:rsid w:val="00F027DB"/>
    <w:rsid w:val="00F0290C"/>
    <w:rsid w:val="00F02B85"/>
    <w:rsid w:val="00F04304"/>
    <w:rsid w:val="00F04FFE"/>
    <w:rsid w:val="00F054F3"/>
    <w:rsid w:val="00F05C9F"/>
    <w:rsid w:val="00F07974"/>
    <w:rsid w:val="00F10FE2"/>
    <w:rsid w:val="00F123B9"/>
    <w:rsid w:val="00F14175"/>
    <w:rsid w:val="00F14A7A"/>
    <w:rsid w:val="00F14F21"/>
    <w:rsid w:val="00F16C36"/>
    <w:rsid w:val="00F171D5"/>
    <w:rsid w:val="00F17CCC"/>
    <w:rsid w:val="00F17FE1"/>
    <w:rsid w:val="00F22801"/>
    <w:rsid w:val="00F22985"/>
    <w:rsid w:val="00F22B07"/>
    <w:rsid w:val="00F23918"/>
    <w:rsid w:val="00F25255"/>
    <w:rsid w:val="00F252C8"/>
    <w:rsid w:val="00F273F5"/>
    <w:rsid w:val="00F31312"/>
    <w:rsid w:val="00F32ECB"/>
    <w:rsid w:val="00F3383E"/>
    <w:rsid w:val="00F35ED3"/>
    <w:rsid w:val="00F36D71"/>
    <w:rsid w:val="00F37E4D"/>
    <w:rsid w:val="00F42DE1"/>
    <w:rsid w:val="00F4493E"/>
    <w:rsid w:val="00F455F8"/>
    <w:rsid w:val="00F465A7"/>
    <w:rsid w:val="00F50B7C"/>
    <w:rsid w:val="00F5178D"/>
    <w:rsid w:val="00F51A82"/>
    <w:rsid w:val="00F51E49"/>
    <w:rsid w:val="00F53C96"/>
    <w:rsid w:val="00F543EB"/>
    <w:rsid w:val="00F550E6"/>
    <w:rsid w:val="00F5520C"/>
    <w:rsid w:val="00F674BA"/>
    <w:rsid w:val="00F71788"/>
    <w:rsid w:val="00F738B9"/>
    <w:rsid w:val="00F74345"/>
    <w:rsid w:val="00F75418"/>
    <w:rsid w:val="00F75680"/>
    <w:rsid w:val="00F75A76"/>
    <w:rsid w:val="00F75C00"/>
    <w:rsid w:val="00F80A0A"/>
    <w:rsid w:val="00F812E8"/>
    <w:rsid w:val="00F8266F"/>
    <w:rsid w:val="00F82B19"/>
    <w:rsid w:val="00F82CC0"/>
    <w:rsid w:val="00F84FD1"/>
    <w:rsid w:val="00F8503E"/>
    <w:rsid w:val="00F9212D"/>
    <w:rsid w:val="00F92733"/>
    <w:rsid w:val="00F965DA"/>
    <w:rsid w:val="00F973D0"/>
    <w:rsid w:val="00FA0775"/>
    <w:rsid w:val="00FA232C"/>
    <w:rsid w:val="00FA37B0"/>
    <w:rsid w:val="00FA406A"/>
    <w:rsid w:val="00FA7441"/>
    <w:rsid w:val="00FB0464"/>
    <w:rsid w:val="00FB2A89"/>
    <w:rsid w:val="00FB344C"/>
    <w:rsid w:val="00FB503A"/>
    <w:rsid w:val="00FB516C"/>
    <w:rsid w:val="00FB5760"/>
    <w:rsid w:val="00FC0DC2"/>
    <w:rsid w:val="00FC1C11"/>
    <w:rsid w:val="00FC4A2F"/>
    <w:rsid w:val="00FC5666"/>
    <w:rsid w:val="00FC60B4"/>
    <w:rsid w:val="00FC70CD"/>
    <w:rsid w:val="00FD0236"/>
    <w:rsid w:val="00FD050B"/>
    <w:rsid w:val="00FD05E7"/>
    <w:rsid w:val="00FD0E13"/>
    <w:rsid w:val="00FD11EF"/>
    <w:rsid w:val="00FD13E2"/>
    <w:rsid w:val="00FD18F4"/>
    <w:rsid w:val="00FD239E"/>
    <w:rsid w:val="00FD2E10"/>
    <w:rsid w:val="00FD313D"/>
    <w:rsid w:val="00FD319F"/>
    <w:rsid w:val="00FD3947"/>
    <w:rsid w:val="00FD54DB"/>
    <w:rsid w:val="00FD619F"/>
    <w:rsid w:val="00FE084F"/>
    <w:rsid w:val="00FE28FC"/>
    <w:rsid w:val="00FE343C"/>
    <w:rsid w:val="00FE36FD"/>
    <w:rsid w:val="00FE4D16"/>
    <w:rsid w:val="00FE631D"/>
    <w:rsid w:val="00FE6C00"/>
    <w:rsid w:val="00FF2D91"/>
    <w:rsid w:val="00FF3010"/>
    <w:rsid w:val="00FF3E1D"/>
    <w:rsid w:val="00FF5171"/>
    <w:rsid w:val="00FF6F3E"/>
    <w:rsid w:val="01290F7E"/>
    <w:rsid w:val="015D1E09"/>
    <w:rsid w:val="02697903"/>
    <w:rsid w:val="02F274DE"/>
    <w:rsid w:val="02F96569"/>
    <w:rsid w:val="031F0A9D"/>
    <w:rsid w:val="03917B3F"/>
    <w:rsid w:val="03EA7B21"/>
    <w:rsid w:val="04561A95"/>
    <w:rsid w:val="04A06B59"/>
    <w:rsid w:val="05C31168"/>
    <w:rsid w:val="05F83EAE"/>
    <w:rsid w:val="05FC7CFD"/>
    <w:rsid w:val="063E7D85"/>
    <w:rsid w:val="066F5090"/>
    <w:rsid w:val="07283A2A"/>
    <w:rsid w:val="07283BFB"/>
    <w:rsid w:val="07293586"/>
    <w:rsid w:val="07295285"/>
    <w:rsid w:val="07636392"/>
    <w:rsid w:val="07770C56"/>
    <w:rsid w:val="078678A3"/>
    <w:rsid w:val="085B7796"/>
    <w:rsid w:val="092217DD"/>
    <w:rsid w:val="093A7294"/>
    <w:rsid w:val="0A263993"/>
    <w:rsid w:val="0A2D3AC2"/>
    <w:rsid w:val="0AA755DF"/>
    <w:rsid w:val="0B120D44"/>
    <w:rsid w:val="0BD27BF6"/>
    <w:rsid w:val="0C2F0B8D"/>
    <w:rsid w:val="0C3B3C7D"/>
    <w:rsid w:val="0C937D2A"/>
    <w:rsid w:val="0CAB2EAE"/>
    <w:rsid w:val="0D0921DB"/>
    <w:rsid w:val="0D621C7D"/>
    <w:rsid w:val="0D946D08"/>
    <w:rsid w:val="0D975F63"/>
    <w:rsid w:val="0E73034D"/>
    <w:rsid w:val="0F13775A"/>
    <w:rsid w:val="0F5F45FE"/>
    <w:rsid w:val="0F9A112B"/>
    <w:rsid w:val="106D2F64"/>
    <w:rsid w:val="1072336D"/>
    <w:rsid w:val="10B63710"/>
    <w:rsid w:val="10F10820"/>
    <w:rsid w:val="111C2F7A"/>
    <w:rsid w:val="11665CA1"/>
    <w:rsid w:val="11DE7950"/>
    <w:rsid w:val="125B6606"/>
    <w:rsid w:val="12A32BA4"/>
    <w:rsid w:val="130A1EBD"/>
    <w:rsid w:val="13951726"/>
    <w:rsid w:val="14396509"/>
    <w:rsid w:val="14DD2C3C"/>
    <w:rsid w:val="15661A99"/>
    <w:rsid w:val="159A4206"/>
    <w:rsid w:val="15F1161D"/>
    <w:rsid w:val="16087E1D"/>
    <w:rsid w:val="16F6618F"/>
    <w:rsid w:val="17701D14"/>
    <w:rsid w:val="17735226"/>
    <w:rsid w:val="183D0B4A"/>
    <w:rsid w:val="189C7F66"/>
    <w:rsid w:val="189F624C"/>
    <w:rsid w:val="191108A3"/>
    <w:rsid w:val="198F2ED2"/>
    <w:rsid w:val="1A1C66C0"/>
    <w:rsid w:val="1A42393B"/>
    <w:rsid w:val="1AAD45DE"/>
    <w:rsid w:val="1B046F80"/>
    <w:rsid w:val="1B135977"/>
    <w:rsid w:val="1B3267B5"/>
    <w:rsid w:val="1B40161D"/>
    <w:rsid w:val="1B441859"/>
    <w:rsid w:val="1B495A57"/>
    <w:rsid w:val="1B6606B1"/>
    <w:rsid w:val="1C1C1A5B"/>
    <w:rsid w:val="1C4854DA"/>
    <w:rsid w:val="1C5E7925"/>
    <w:rsid w:val="1CFD070F"/>
    <w:rsid w:val="1D291E03"/>
    <w:rsid w:val="1D580266"/>
    <w:rsid w:val="1D5F6196"/>
    <w:rsid w:val="1D6132A5"/>
    <w:rsid w:val="1D8E56D5"/>
    <w:rsid w:val="1DF60118"/>
    <w:rsid w:val="1E1A420E"/>
    <w:rsid w:val="1E7A43DA"/>
    <w:rsid w:val="1F3F3065"/>
    <w:rsid w:val="1FE7539E"/>
    <w:rsid w:val="20671BE0"/>
    <w:rsid w:val="20963CB8"/>
    <w:rsid w:val="20A81A1B"/>
    <w:rsid w:val="20B07FB6"/>
    <w:rsid w:val="20B646FB"/>
    <w:rsid w:val="20E45238"/>
    <w:rsid w:val="211D3C0E"/>
    <w:rsid w:val="213B74B1"/>
    <w:rsid w:val="215A2310"/>
    <w:rsid w:val="21871088"/>
    <w:rsid w:val="21DE318A"/>
    <w:rsid w:val="21EF5B80"/>
    <w:rsid w:val="22196184"/>
    <w:rsid w:val="22576990"/>
    <w:rsid w:val="22F47480"/>
    <w:rsid w:val="239006C7"/>
    <w:rsid w:val="23DE1C48"/>
    <w:rsid w:val="240210CD"/>
    <w:rsid w:val="24BF09F7"/>
    <w:rsid w:val="252D53FE"/>
    <w:rsid w:val="25EC2D81"/>
    <w:rsid w:val="277057A2"/>
    <w:rsid w:val="28EB2B7A"/>
    <w:rsid w:val="29206EB8"/>
    <w:rsid w:val="29595666"/>
    <w:rsid w:val="29874881"/>
    <w:rsid w:val="29883BEF"/>
    <w:rsid w:val="298E397A"/>
    <w:rsid w:val="29E325E0"/>
    <w:rsid w:val="2A1069B7"/>
    <w:rsid w:val="2A1A05BA"/>
    <w:rsid w:val="2A452503"/>
    <w:rsid w:val="2B1C3EC9"/>
    <w:rsid w:val="2BA936A8"/>
    <w:rsid w:val="2BBF4023"/>
    <w:rsid w:val="2C315A5A"/>
    <w:rsid w:val="2C4B1C25"/>
    <w:rsid w:val="2CA60F5C"/>
    <w:rsid w:val="2CDE06F5"/>
    <w:rsid w:val="2D9E56F5"/>
    <w:rsid w:val="2E667F96"/>
    <w:rsid w:val="2E8226AB"/>
    <w:rsid w:val="2F3F31AC"/>
    <w:rsid w:val="2FD065E6"/>
    <w:rsid w:val="2FD96870"/>
    <w:rsid w:val="2FFD56CC"/>
    <w:rsid w:val="301E22D2"/>
    <w:rsid w:val="30580BC9"/>
    <w:rsid w:val="30993FC2"/>
    <w:rsid w:val="311E2ED7"/>
    <w:rsid w:val="315619EE"/>
    <w:rsid w:val="315C449C"/>
    <w:rsid w:val="31B82709"/>
    <w:rsid w:val="31D05482"/>
    <w:rsid w:val="32400B34"/>
    <w:rsid w:val="3264344B"/>
    <w:rsid w:val="329E6876"/>
    <w:rsid w:val="333015F2"/>
    <w:rsid w:val="334B6320"/>
    <w:rsid w:val="33D934D4"/>
    <w:rsid w:val="33FE2F6A"/>
    <w:rsid w:val="340E07E5"/>
    <w:rsid w:val="34235BF7"/>
    <w:rsid w:val="3507608E"/>
    <w:rsid w:val="358C5FA8"/>
    <w:rsid w:val="35C15DF1"/>
    <w:rsid w:val="36074A7F"/>
    <w:rsid w:val="360B1E2F"/>
    <w:rsid w:val="36923549"/>
    <w:rsid w:val="36B75FBF"/>
    <w:rsid w:val="36BD0C45"/>
    <w:rsid w:val="37265173"/>
    <w:rsid w:val="37E00298"/>
    <w:rsid w:val="38683569"/>
    <w:rsid w:val="38915256"/>
    <w:rsid w:val="38B302F9"/>
    <w:rsid w:val="38F12CD3"/>
    <w:rsid w:val="38F94775"/>
    <w:rsid w:val="392971ED"/>
    <w:rsid w:val="39325651"/>
    <w:rsid w:val="3A8521B0"/>
    <w:rsid w:val="3A872856"/>
    <w:rsid w:val="3B3763D1"/>
    <w:rsid w:val="3C2F6E1E"/>
    <w:rsid w:val="3C4F64BA"/>
    <w:rsid w:val="3CDA245A"/>
    <w:rsid w:val="3D1E06B7"/>
    <w:rsid w:val="3D6C1197"/>
    <w:rsid w:val="3E467501"/>
    <w:rsid w:val="3EDA0523"/>
    <w:rsid w:val="3EF91D38"/>
    <w:rsid w:val="3F057D64"/>
    <w:rsid w:val="3F38559E"/>
    <w:rsid w:val="3F686F0B"/>
    <w:rsid w:val="3FEC04EC"/>
    <w:rsid w:val="407A6407"/>
    <w:rsid w:val="415E5617"/>
    <w:rsid w:val="4200449D"/>
    <w:rsid w:val="423A3BCC"/>
    <w:rsid w:val="424E57D2"/>
    <w:rsid w:val="42B26C49"/>
    <w:rsid w:val="433A6FE6"/>
    <w:rsid w:val="43430E5B"/>
    <w:rsid w:val="43480868"/>
    <w:rsid w:val="4350713C"/>
    <w:rsid w:val="436653E0"/>
    <w:rsid w:val="43B835F7"/>
    <w:rsid w:val="43C4431A"/>
    <w:rsid w:val="443E7A04"/>
    <w:rsid w:val="44B951CC"/>
    <w:rsid w:val="44CD14E0"/>
    <w:rsid w:val="44F20B0B"/>
    <w:rsid w:val="452E5F4C"/>
    <w:rsid w:val="45612018"/>
    <w:rsid w:val="458946E9"/>
    <w:rsid w:val="45A47C0E"/>
    <w:rsid w:val="46577FD6"/>
    <w:rsid w:val="466912FC"/>
    <w:rsid w:val="46D955A7"/>
    <w:rsid w:val="47133957"/>
    <w:rsid w:val="47A07E0C"/>
    <w:rsid w:val="47D91D8D"/>
    <w:rsid w:val="4870272E"/>
    <w:rsid w:val="49082AD6"/>
    <w:rsid w:val="49492F43"/>
    <w:rsid w:val="49DC7715"/>
    <w:rsid w:val="4A023139"/>
    <w:rsid w:val="4A7B576F"/>
    <w:rsid w:val="4AF561A9"/>
    <w:rsid w:val="4BF700B0"/>
    <w:rsid w:val="4C4A0649"/>
    <w:rsid w:val="4C7E5ECA"/>
    <w:rsid w:val="4C876AA5"/>
    <w:rsid w:val="4D077EEE"/>
    <w:rsid w:val="4D0E00FB"/>
    <w:rsid w:val="4D176606"/>
    <w:rsid w:val="4DEC4FB0"/>
    <w:rsid w:val="4E075D8A"/>
    <w:rsid w:val="4E5709ED"/>
    <w:rsid w:val="4EA319C8"/>
    <w:rsid w:val="4EAD7AD0"/>
    <w:rsid w:val="4EB47618"/>
    <w:rsid w:val="4EC00FAD"/>
    <w:rsid w:val="4F080938"/>
    <w:rsid w:val="4F251D5C"/>
    <w:rsid w:val="4F9843DC"/>
    <w:rsid w:val="4FC62A8C"/>
    <w:rsid w:val="4FC7696F"/>
    <w:rsid w:val="4FE20F0D"/>
    <w:rsid w:val="4FE51552"/>
    <w:rsid w:val="50357D7D"/>
    <w:rsid w:val="50504C4B"/>
    <w:rsid w:val="509C6E7C"/>
    <w:rsid w:val="50EF617E"/>
    <w:rsid w:val="5162104E"/>
    <w:rsid w:val="52102850"/>
    <w:rsid w:val="526E599E"/>
    <w:rsid w:val="53202304"/>
    <w:rsid w:val="53A039CC"/>
    <w:rsid w:val="53A1505A"/>
    <w:rsid w:val="53F26D02"/>
    <w:rsid w:val="54063E08"/>
    <w:rsid w:val="543437E8"/>
    <w:rsid w:val="54F73313"/>
    <w:rsid w:val="54F80955"/>
    <w:rsid w:val="555170A7"/>
    <w:rsid w:val="557B38DA"/>
    <w:rsid w:val="5587536D"/>
    <w:rsid w:val="559B174B"/>
    <w:rsid w:val="55CE0CF4"/>
    <w:rsid w:val="55E41551"/>
    <w:rsid w:val="56B22A9C"/>
    <w:rsid w:val="57430FD1"/>
    <w:rsid w:val="5776454D"/>
    <w:rsid w:val="57B72A76"/>
    <w:rsid w:val="57C3426C"/>
    <w:rsid w:val="57CE1F93"/>
    <w:rsid w:val="588743D1"/>
    <w:rsid w:val="5887701A"/>
    <w:rsid w:val="596446ED"/>
    <w:rsid w:val="59C0439F"/>
    <w:rsid w:val="5ABE2233"/>
    <w:rsid w:val="5BDF5D95"/>
    <w:rsid w:val="5BFE7528"/>
    <w:rsid w:val="5C0351D3"/>
    <w:rsid w:val="5CA2057C"/>
    <w:rsid w:val="5E2467F1"/>
    <w:rsid w:val="5EEB38EF"/>
    <w:rsid w:val="5F1A2B43"/>
    <w:rsid w:val="5FB837BB"/>
    <w:rsid w:val="60CC405A"/>
    <w:rsid w:val="61E215D8"/>
    <w:rsid w:val="621B3775"/>
    <w:rsid w:val="62244B51"/>
    <w:rsid w:val="62364782"/>
    <w:rsid w:val="6394356A"/>
    <w:rsid w:val="63C61B2C"/>
    <w:rsid w:val="63D40BE9"/>
    <w:rsid w:val="64102431"/>
    <w:rsid w:val="64236413"/>
    <w:rsid w:val="64A5243A"/>
    <w:rsid w:val="64F531DE"/>
    <w:rsid w:val="65373578"/>
    <w:rsid w:val="65ED6DD7"/>
    <w:rsid w:val="671F124A"/>
    <w:rsid w:val="67736E22"/>
    <w:rsid w:val="677A33C6"/>
    <w:rsid w:val="678C2521"/>
    <w:rsid w:val="681F6961"/>
    <w:rsid w:val="68610A2F"/>
    <w:rsid w:val="68805514"/>
    <w:rsid w:val="68C63810"/>
    <w:rsid w:val="691B3F15"/>
    <w:rsid w:val="69316E2F"/>
    <w:rsid w:val="694E2071"/>
    <w:rsid w:val="69766163"/>
    <w:rsid w:val="697A3B33"/>
    <w:rsid w:val="69C93746"/>
    <w:rsid w:val="69D44760"/>
    <w:rsid w:val="69F14E21"/>
    <w:rsid w:val="6A251C4B"/>
    <w:rsid w:val="6A515C7D"/>
    <w:rsid w:val="6A520EC7"/>
    <w:rsid w:val="6AF87E20"/>
    <w:rsid w:val="6B322639"/>
    <w:rsid w:val="6B5C045C"/>
    <w:rsid w:val="6C636C38"/>
    <w:rsid w:val="6C8A3EDA"/>
    <w:rsid w:val="6DB34098"/>
    <w:rsid w:val="6DB545B6"/>
    <w:rsid w:val="6DE02FB4"/>
    <w:rsid w:val="6E514CED"/>
    <w:rsid w:val="6EB563D5"/>
    <w:rsid w:val="6ED92677"/>
    <w:rsid w:val="6F225983"/>
    <w:rsid w:val="6F5340E0"/>
    <w:rsid w:val="6FD3103C"/>
    <w:rsid w:val="6FFC5590"/>
    <w:rsid w:val="706204A7"/>
    <w:rsid w:val="706D1DD0"/>
    <w:rsid w:val="70856B87"/>
    <w:rsid w:val="709777E1"/>
    <w:rsid w:val="70A26911"/>
    <w:rsid w:val="70D527EE"/>
    <w:rsid w:val="715B5300"/>
    <w:rsid w:val="71D27F8A"/>
    <w:rsid w:val="721B7864"/>
    <w:rsid w:val="72553024"/>
    <w:rsid w:val="73122968"/>
    <w:rsid w:val="731F5D5E"/>
    <w:rsid w:val="73C51AD5"/>
    <w:rsid w:val="741E793C"/>
    <w:rsid w:val="745E3944"/>
    <w:rsid w:val="74F53C58"/>
    <w:rsid w:val="75610D40"/>
    <w:rsid w:val="75E96D02"/>
    <w:rsid w:val="76174341"/>
    <w:rsid w:val="7635099D"/>
    <w:rsid w:val="77762421"/>
    <w:rsid w:val="77B56B1F"/>
    <w:rsid w:val="77BC6CC1"/>
    <w:rsid w:val="780F09F4"/>
    <w:rsid w:val="78A90480"/>
    <w:rsid w:val="78DE5D12"/>
    <w:rsid w:val="79340B06"/>
    <w:rsid w:val="7A364017"/>
    <w:rsid w:val="7A8265E1"/>
    <w:rsid w:val="7AFE15D9"/>
    <w:rsid w:val="7B686D42"/>
    <w:rsid w:val="7B841746"/>
    <w:rsid w:val="7C6C5AC7"/>
    <w:rsid w:val="7CC6544B"/>
    <w:rsid w:val="7D0239FF"/>
    <w:rsid w:val="7D5E40CD"/>
    <w:rsid w:val="7DCD56F2"/>
    <w:rsid w:val="7ED822C4"/>
    <w:rsid w:val="7F001CE7"/>
    <w:rsid w:val="7FE47E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qFormat="1" w:unhideWhenUsed="0" w:uiPriority="0" w:semiHidden="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63"/>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51"/>
    <w:semiHidden/>
    <w:unhideWhenUsed/>
    <w:qFormat/>
    <w:locked/>
    <w:uiPriority w:val="0"/>
    <w:pPr>
      <w:keepNext/>
      <w:keepLines/>
      <w:spacing w:before="280" w:after="290" w:line="376" w:lineRule="auto"/>
      <w:outlineLvl w:val="4"/>
    </w:pPr>
    <w:rPr>
      <w:b/>
      <w:bCs/>
      <w:sz w:val="28"/>
      <w:szCs w:val="28"/>
    </w:rPr>
  </w:style>
  <w:style w:type="character" w:default="1" w:styleId="20">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44"/>
    <w:qFormat/>
    <w:locked/>
    <w:uiPriority w:val="99"/>
    <w:pPr>
      <w:spacing w:after="120" w:line="400" w:lineRule="exact"/>
      <w:ind w:firstLine="480" w:firstLineChars="200"/>
    </w:pPr>
    <w:rPr>
      <w:szCs w:val="20"/>
    </w:rPr>
  </w:style>
  <w:style w:type="paragraph" w:styleId="6">
    <w:name w:val="Body Text First Indent 2"/>
    <w:basedOn w:val="7"/>
    <w:next w:val="1"/>
    <w:link w:val="50"/>
    <w:qFormat/>
    <w:locked/>
    <w:uiPriority w:val="0"/>
    <w:pPr>
      <w:ind w:firstLine="420" w:firstLineChars="200"/>
    </w:pPr>
    <w:rPr>
      <w:kern w:val="2"/>
      <w:szCs w:val="24"/>
    </w:rPr>
  </w:style>
  <w:style w:type="paragraph" w:styleId="7">
    <w:name w:val="Body Text Indent"/>
    <w:basedOn w:val="1"/>
    <w:next w:val="1"/>
    <w:link w:val="40"/>
    <w:qFormat/>
    <w:uiPriority w:val="0"/>
    <w:pPr>
      <w:spacing w:after="120"/>
      <w:ind w:left="420" w:leftChars="200"/>
    </w:pPr>
    <w:rPr>
      <w:kern w:val="0"/>
      <w:szCs w:val="20"/>
    </w:rPr>
  </w:style>
  <w:style w:type="paragraph" w:styleId="8">
    <w:name w:val="annotation text"/>
    <w:basedOn w:val="1"/>
    <w:link w:val="32"/>
    <w:qFormat/>
    <w:uiPriority w:val="0"/>
    <w:pPr>
      <w:jc w:val="left"/>
    </w:pPr>
    <w:rPr>
      <w:kern w:val="0"/>
      <w:szCs w:val="20"/>
    </w:rPr>
  </w:style>
  <w:style w:type="paragraph" w:styleId="9">
    <w:name w:val="Body Text"/>
    <w:basedOn w:val="1"/>
    <w:link w:val="31"/>
    <w:qFormat/>
    <w:uiPriority w:val="0"/>
    <w:pPr>
      <w:widowControl/>
      <w:snapToGrid w:val="0"/>
      <w:spacing w:before="60" w:after="160" w:line="259" w:lineRule="auto"/>
      <w:ind w:right="113"/>
    </w:pPr>
    <w:rPr>
      <w:kern w:val="0"/>
      <w:sz w:val="18"/>
      <w:szCs w:val="20"/>
    </w:rPr>
  </w:style>
  <w:style w:type="paragraph" w:styleId="10">
    <w:name w:val="Date"/>
    <w:basedOn w:val="1"/>
    <w:next w:val="1"/>
    <w:link w:val="27"/>
    <w:qFormat/>
    <w:uiPriority w:val="0"/>
    <w:pPr>
      <w:ind w:left="100" w:leftChars="2500"/>
    </w:pPr>
    <w:rPr>
      <w:kern w:val="0"/>
      <w:szCs w:val="20"/>
    </w:rPr>
  </w:style>
  <w:style w:type="paragraph" w:styleId="11">
    <w:name w:val="Balloon Text"/>
    <w:basedOn w:val="1"/>
    <w:link w:val="36"/>
    <w:semiHidden/>
    <w:qFormat/>
    <w:uiPriority w:val="0"/>
    <w:rPr>
      <w:kern w:val="0"/>
      <w:sz w:val="18"/>
      <w:szCs w:val="20"/>
    </w:rPr>
  </w:style>
  <w:style w:type="paragraph" w:styleId="12">
    <w:name w:val="footer"/>
    <w:basedOn w:val="1"/>
    <w:link w:val="26"/>
    <w:qFormat/>
    <w:uiPriority w:val="99"/>
    <w:pPr>
      <w:tabs>
        <w:tab w:val="center" w:pos="4153"/>
        <w:tab w:val="right" w:pos="8306"/>
      </w:tabs>
      <w:snapToGrid w:val="0"/>
      <w:jc w:val="left"/>
    </w:pPr>
    <w:rPr>
      <w:kern w:val="0"/>
      <w:sz w:val="18"/>
      <w:szCs w:val="20"/>
    </w:rPr>
  </w:style>
  <w:style w:type="paragraph" w:styleId="13">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4">
    <w:name w:val="List"/>
    <w:basedOn w:val="1"/>
    <w:qFormat/>
    <w:locked/>
    <w:uiPriority w:val="0"/>
    <w:pPr>
      <w:ind w:left="200" w:hanging="200" w:hangingChars="200"/>
      <w:contextualSpacing/>
    </w:pPr>
  </w:style>
  <w:style w:type="paragraph" w:styleId="15">
    <w:name w:val="Normal (Web)"/>
    <w:basedOn w:val="1"/>
    <w:link w:val="29"/>
    <w:qFormat/>
    <w:uiPriority w:val="0"/>
    <w:pPr>
      <w:widowControl/>
      <w:spacing w:before="100" w:beforeAutospacing="1" w:after="100" w:afterAutospacing="1"/>
      <w:jc w:val="left"/>
    </w:pPr>
    <w:rPr>
      <w:rFonts w:ascii="宋体" w:hAnsi="宋体"/>
      <w:kern w:val="0"/>
      <w:szCs w:val="20"/>
    </w:rPr>
  </w:style>
  <w:style w:type="paragraph" w:styleId="16">
    <w:name w:val="annotation subject"/>
    <w:basedOn w:val="8"/>
    <w:next w:val="8"/>
    <w:link w:val="37"/>
    <w:semiHidden/>
    <w:qFormat/>
    <w:uiPriority w:val="0"/>
    <w:rPr>
      <w:b/>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Theme"/>
    <w:basedOn w:val="17"/>
    <w:qFormat/>
    <w:locked/>
    <w:uiPriority w:val="0"/>
    <w:pPr>
      <w:widowControl w:val="0"/>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character" w:styleId="21">
    <w:name w:val="page number"/>
    <w:basedOn w:val="20"/>
    <w:qFormat/>
    <w:locked/>
    <w:uiPriority w:val="0"/>
  </w:style>
  <w:style w:type="character" w:styleId="22">
    <w:name w:val="annotation reference"/>
    <w:semiHidden/>
    <w:qFormat/>
    <w:uiPriority w:val="0"/>
    <w:rPr>
      <w:sz w:val="21"/>
    </w:rPr>
  </w:style>
  <w:style w:type="paragraph" w:customStyle="1" w:styleId="23">
    <w:name w:val="样式 正文缩进正文缩进2正文缩进 Char Char正文缩进 Char Char Char Char正文缩进 Char ..."/>
    <w:basedOn w:val="5"/>
    <w:qFormat/>
    <w:uiPriority w:val="0"/>
    <w:pPr>
      <w:spacing w:line="240" w:lineRule="auto"/>
      <w:ind w:firstLine="0" w:firstLineChars="0"/>
    </w:pPr>
    <w:rPr>
      <w:w w:val="80"/>
      <w:sz w:val="18"/>
      <w:szCs w:val="15"/>
    </w:rPr>
  </w:style>
  <w:style w:type="paragraph" w:customStyle="1" w:styleId="24">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5">
    <w:name w:val="表格内容"/>
    <w:basedOn w:val="1"/>
    <w:qFormat/>
    <w:uiPriority w:val="0"/>
    <w:pPr>
      <w:spacing w:line="240" w:lineRule="auto"/>
    </w:pPr>
    <w:rPr>
      <w:sz w:val="21"/>
      <w:szCs w:val="21"/>
    </w:rPr>
  </w:style>
  <w:style w:type="character" w:customStyle="1" w:styleId="26">
    <w:name w:val="页脚 字符1"/>
    <w:link w:val="12"/>
    <w:qFormat/>
    <w:locked/>
    <w:uiPriority w:val="99"/>
    <w:rPr>
      <w:sz w:val="18"/>
    </w:rPr>
  </w:style>
  <w:style w:type="character" w:customStyle="1" w:styleId="27">
    <w:name w:val="日期 字符1"/>
    <w:link w:val="10"/>
    <w:qFormat/>
    <w:locked/>
    <w:uiPriority w:val="0"/>
    <w:rPr>
      <w:rFonts w:ascii="Times New Roman" w:hAnsi="Times New Roman" w:eastAsia="宋体"/>
      <w:sz w:val="24"/>
    </w:rPr>
  </w:style>
  <w:style w:type="character" w:customStyle="1" w:styleId="28">
    <w:name w:val="页脚 字符"/>
    <w:basedOn w:val="20"/>
    <w:qFormat/>
    <w:uiPriority w:val="99"/>
  </w:style>
  <w:style w:type="character" w:customStyle="1" w:styleId="29">
    <w:name w:val="普通(网站) 字符"/>
    <w:link w:val="15"/>
    <w:qFormat/>
    <w:locked/>
    <w:uiPriority w:val="0"/>
    <w:rPr>
      <w:rFonts w:ascii="宋体" w:hAnsi="宋体" w:eastAsia="宋体"/>
      <w:sz w:val="24"/>
    </w:rPr>
  </w:style>
  <w:style w:type="character" w:customStyle="1" w:styleId="30">
    <w:name w:val="正文文本 字符1"/>
    <w:semiHidden/>
    <w:qFormat/>
    <w:uiPriority w:val="0"/>
    <w:rPr>
      <w:rFonts w:ascii="Times New Roman" w:hAnsi="Times New Roman" w:eastAsia="宋体"/>
      <w:sz w:val="24"/>
    </w:rPr>
  </w:style>
  <w:style w:type="character" w:customStyle="1" w:styleId="31">
    <w:name w:val="正文文本 字符"/>
    <w:link w:val="9"/>
    <w:qFormat/>
    <w:locked/>
    <w:uiPriority w:val="0"/>
    <w:rPr>
      <w:sz w:val="18"/>
    </w:rPr>
  </w:style>
  <w:style w:type="character" w:customStyle="1" w:styleId="32">
    <w:name w:val="批注文字 字符"/>
    <w:link w:val="8"/>
    <w:qFormat/>
    <w:locked/>
    <w:uiPriority w:val="0"/>
    <w:rPr>
      <w:rFonts w:ascii="Times New Roman" w:hAnsi="Times New Roman" w:eastAsia="宋体"/>
      <w:sz w:val="24"/>
    </w:rPr>
  </w:style>
  <w:style w:type="character" w:customStyle="1" w:styleId="33">
    <w:name w:val="表格 Char"/>
    <w:link w:val="34"/>
    <w:qFormat/>
    <w:locked/>
    <w:uiPriority w:val="0"/>
    <w:rPr>
      <w:rFonts w:ascii="宋体"/>
      <w:sz w:val="21"/>
    </w:rPr>
  </w:style>
  <w:style w:type="paragraph" w:customStyle="1" w:styleId="34">
    <w:name w:val="表格"/>
    <w:basedOn w:val="1"/>
    <w:next w:val="1"/>
    <w:link w:val="33"/>
    <w:qFormat/>
    <w:uiPriority w:val="0"/>
    <w:pPr>
      <w:adjustRightInd w:val="0"/>
      <w:snapToGrid w:val="0"/>
      <w:spacing w:beforeLines="10" w:afterLines="10" w:line="259" w:lineRule="auto"/>
      <w:jc w:val="center"/>
    </w:pPr>
    <w:rPr>
      <w:rFonts w:ascii="宋体"/>
      <w:kern w:val="0"/>
      <w:szCs w:val="20"/>
    </w:rPr>
  </w:style>
  <w:style w:type="character" w:customStyle="1" w:styleId="35">
    <w:name w:val="日期 字符"/>
    <w:semiHidden/>
    <w:qFormat/>
    <w:uiPriority w:val="0"/>
    <w:rPr>
      <w:rFonts w:ascii="Times New Roman" w:hAnsi="Times New Roman" w:eastAsia="宋体"/>
      <w:sz w:val="24"/>
    </w:rPr>
  </w:style>
  <w:style w:type="character" w:customStyle="1" w:styleId="36">
    <w:name w:val="批注框文本 字符"/>
    <w:link w:val="11"/>
    <w:semiHidden/>
    <w:qFormat/>
    <w:locked/>
    <w:uiPriority w:val="0"/>
    <w:rPr>
      <w:rFonts w:ascii="Times New Roman" w:hAnsi="Times New Roman" w:eastAsia="宋体"/>
      <w:sz w:val="18"/>
    </w:rPr>
  </w:style>
  <w:style w:type="character" w:customStyle="1" w:styleId="37">
    <w:name w:val="批注主题 字符"/>
    <w:link w:val="16"/>
    <w:semiHidden/>
    <w:qFormat/>
    <w:locked/>
    <w:uiPriority w:val="0"/>
    <w:rPr>
      <w:rFonts w:ascii="Times New Roman" w:hAnsi="Times New Roman" w:eastAsia="宋体"/>
      <w:b/>
      <w:kern w:val="2"/>
      <w:sz w:val="24"/>
    </w:rPr>
  </w:style>
  <w:style w:type="character" w:customStyle="1" w:styleId="38">
    <w:name w:val="页眉 字符"/>
    <w:link w:val="13"/>
    <w:qFormat/>
    <w:locked/>
    <w:uiPriority w:val="0"/>
    <w:rPr>
      <w:sz w:val="18"/>
    </w:rPr>
  </w:style>
  <w:style w:type="character" w:customStyle="1" w:styleId="39">
    <w:name w:val="批注文字 字符1"/>
    <w:semiHidden/>
    <w:qFormat/>
    <w:uiPriority w:val="0"/>
    <w:rPr>
      <w:rFonts w:ascii="Times New Roman" w:hAnsi="Times New Roman" w:eastAsia="宋体"/>
      <w:sz w:val="24"/>
    </w:rPr>
  </w:style>
  <w:style w:type="character" w:customStyle="1" w:styleId="40">
    <w:name w:val="正文文本缩进 字符"/>
    <w:link w:val="7"/>
    <w:semiHidden/>
    <w:qFormat/>
    <w:locked/>
    <w:uiPriority w:val="0"/>
    <w:rPr>
      <w:rFonts w:ascii="Times New Roman" w:hAnsi="Times New Roman" w:eastAsia="宋体"/>
      <w:sz w:val="24"/>
    </w:rPr>
  </w:style>
  <w:style w:type="paragraph" w:customStyle="1" w:styleId="4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普通(网站)2"/>
    <w:basedOn w:val="1"/>
    <w:qFormat/>
    <w:uiPriority w:val="0"/>
    <w:pPr>
      <w:widowControl/>
      <w:spacing w:before="100" w:beforeAutospacing="1" w:after="100" w:afterAutospacing="1"/>
      <w:jc w:val="left"/>
    </w:pPr>
    <w:rPr>
      <w:rFonts w:ascii="宋体" w:hAnsi="宋体"/>
      <w:szCs w:val="20"/>
    </w:rPr>
  </w:style>
  <w:style w:type="table" w:customStyle="1" w:styleId="43">
    <w:name w:val="HP表格样式1"/>
    <w:basedOn w:val="17"/>
    <w:qFormat/>
    <w:uiPriority w:val="99"/>
    <w:pPr>
      <w:jc w:val="center"/>
    </w:pPr>
    <w:rPr>
      <w:kern w:val="2"/>
      <w:sz w:val="21"/>
      <w:szCs w:val="24"/>
    </w:rPr>
    <w:tblPr>
      <w:tblBorders>
        <w:top w:val="single" w:color="auto" w:sz="12" w:space="0"/>
        <w:bottom w:val="single" w:color="auto" w:sz="12" w:space="0"/>
        <w:insideH w:val="dashed" w:color="BFBFBF" w:sz="4" w:space="0"/>
        <w:insideV w:val="dashed" w:color="BFBFBF" w:sz="4" w:space="0"/>
      </w:tblBorders>
    </w:tblPr>
    <w:tcPr>
      <w:vAlign w:val="center"/>
    </w:tcPr>
    <w:tblStylePr w:type="firstRow">
      <w:rPr>
        <w:rFonts w:eastAsia="宋体"/>
        <w:b/>
        <w:sz w:val="21"/>
      </w:rPr>
      <w:tcPr>
        <w:tcBorders>
          <w:top w:val="single" w:color="auto" w:sz="12" w:space="0"/>
          <w:bottom w:val="single" w:color="auto" w:sz="12" w:space="0"/>
        </w:tcBorders>
      </w:tcPr>
    </w:tblStylePr>
    <w:tblStylePr w:type="lastRow">
      <w:rPr>
        <w:rFonts w:eastAsia="宋体"/>
        <w:sz w:val="21"/>
      </w:rPr>
      <w:tcPr>
        <w:tcBorders>
          <w:bottom w:val="single" w:color="auto" w:sz="12" w:space="0"/>
        </w:tcBorders>
      </w:tcPr>
    </w:tblStylePr>
  </w:style>
  <w:style w:type="character" w:customStyle="1" w:styleId="44">
    <w:name w:val="正文缩进 字符"/>
    <w:link w:val="5"/>
    <w:qFormat/>
    <w:uiPriority w:val="0"/>
    <w:rPr>
      <w:kern w:val="2"/>
      <w:sz w:val="24"/>
    </w:rPr>
  </w:style>
  <w:style w:type="character" w:customStyle="1" w:styleId="45">
    <w:name w:val="正文样式1 Char"/>
    <w:link w:val="46"/>
    <w:qFormat/>
    <w:uiPriority w:val="0"/>
    <w:rPr>
      <w:kern w:val="2"/>
      <w:sz w:val="24"/>
      <w:szCs w:val="24"/>
      <w:lang w:val="zh-CN"/>
    </w:rPr>
  </w:style>
  <w:style w:type="paragraph" w:customStyle="1" w:styleId="46">
    <w:name w:val="正文样式1"/>
    <w:basedOn w:val="1"/>
    <w:link w:val="45"/>
    <w:qFormat/>
    <w:uiPriority w:val="0"/>
    <w:pPr>
      <w:topLinePunct/>
      <w:spacing w:line="240" w:lineRule="auto"/>
    </w:pPr>
    <w:rPr>
      <w:lang w:val="zh-CN"/>
    </w:rPr>
  </w:style>
  <w:style w:type="character" w:customStyle="1" w:styleId="47">
    <w:name w:val="样式5 Char2"/>
    <w:link w:val="48"/>
    <w:qFormat/>
    <w:uiPriority w:val="0"/>
    <w:rPr>
      <w:sz w:val="24"/>
      <w:szCs w:val="24"/>
    </w:rPr>
  </w:style>
  <w:style w:type="paragraph" w:customStyle="1" w:styleId="48">
    <w:name w:val="样式5"/>
    <w:basedOn w:val="1"/>
    <w:link w:val="47"/>
    <w:qFormat/>
    <w:uiPriority w:val="0"/>
    <w:pPr>
      <w:snapToGrid w:val="0"/>
      <w:ind w:firstLine="510"/>
    </w:pPr>
    <w:rPr>
      <w:kern w:val="0"/>
    </w:rPr>
  </w:style>
  <w:style w:type="paragraph" w:customStyle="1" w:styleId="49">
    <w:name w:val="HP表格"/>
    <w:basedOn w:val="14"/>
    <w:qFormat/>
    <w:uiPriority w:val="0"/>
    <w:pPr>
      <w:spacing w:line="240" w:lineRule="auto"/>
      <w:ind w:left="0" w:firstLine="0" w:firstLineChars="0"/>
      <w:jc w:val="center"/>
    </w:pPr>
    <w:rPr>
      <w:color w:val="000000"/>
      <w:sz w:val="21"/>
      <w:szCs w:val="21"/>
    </w:rPr>
  </w:style>
  <w:style w:type="character" w:customStyle="1" w:styleId="50">
    <w:name w:val="正文文本首行缩进 2 字符"/>
    <w:link w:val="6"/>
    <w:qFormat/>
    <w:uiPriority w:val="0"/>
    <w:rPr>
      <w:rFonts w:ascii="Times New Roman" w:hAnsi="Times New Roman" w:eastAsia="宋体"/>
      <w:kern w:val="2"/>
      <w:sz w:val="24"/>
      <w:szCs w:val="24"/>
    </w:rPr>
  </w:style>
  <w:style w:type="character" w:customStyle="1" w:styleId="51">
    <w:name w:val="标题 5 字符"/>
    <w:link w:val="4"/>
    <w:semiHidden/>
    <w:qFormat/>
    <w:uiPriority w:val="0"/>
    <w:rPr>
      <w:b/>
      <w:bCs/>
      <w:kern w:val="2"/>
      <w:sz w:val="28"/>
      <w:szCs w:val="28"/>
    </w:rPr>
  </w:style>
  <w:style w:type="paragraph" w:customStyle="1" w:styleId="52">
    <w:name w:val="表格标题"/>
    <w:basedOn w:val="1"/>
    <w:qFormat/>
    <w:uiPriority w:val="0"/>
    <w:pPr>
      <w:jc w:val="center"/>
    </w:pPr>
    <w:rPr>
      <w:rFonts w:eastAsia="黑体"/>
      <w:bCs/>
      <w:szCs w:val="21"/>
    </w:rPr>
  </w:style>
  <w:style w:type="character" w:styleId="53">
    <w:name w:val="Placeholder Text"/>
    <w:basedOn w:val="20"/>
    <w:semiHidden/>
    <w:qFormat/>
    <w:uiPriority w:val="99"/>
    <w:rPr>
      <w:color w:val="808080"/>
    </w:rPr>
  </w:style>
  <w:style w:type="paragraph" w:styleId="54">
    <w:name w:val="List Paragraph"/>
    <w:basedOn w:val="1"/>
    <w:qFormat/>
    <w:uiPriority w:val="34"/>
    <w:pPr>
      <w:ind w:firstLine="420" w:firstLineChars="200"/>
    </w:pPr>
  </w:style>
  <w:style w:type="paragraph" w:customStyle="1" w:styleId="55">
    <w:name w:val="图标题"/>
    <w:basedOn w:val="1"/>
    <w:link w:val="69"/>
    <w:qFormat/>
    <w:uiPriority w:val="99"/>
    <w:pPr>
      <w:jc w:val="center"/>
    </w:pPr>
    <w:rPr>
      <w:rFonts w:eastAsia="黑体" w:cstheme="minorBidi"/>
      <w:color w:val="000000"/>
      <w:szCs w:val="21"/>
      <w:u w:val="single"/>
    </w:rPr>
  </w:style>
  <w:style w:type="paragraph" w:customStyle="1" w:styleId="56">
    <w:name w:val="正文新 Char"/>
    <w:basedOn w:val="1"/>
    <w:qFormat/>
    <w:uiPriority w:val="0"/>
    <w:pPr>
      <w:ind w:firstLine="480" w:firstLineChars="200"/>
    </w:pPr>
    <w:rPr>
      <w:rFonts w:cs="宋体"/>
    </w:rPr>
  </w:style>
  <w:style w:type="table" w:customStyle="1" w:styleId="57">
    <w:name w:val="样式1"/>
    <w:basedOn w:val="17"/>
    <w:qFormat/>
    <w:uiPriority w:val="99"/>
    <w:pPr>
      <w:jc w:val="center"/>
    </w:pPr>
    <w:rPr>
      <w:sz w:val="21"/>
    </w:rPr>
    <w:tblPr>
      <w:jc w:val="center"/>
      <w:tblBorders>
        <w:top w:val="thinThickSmallGap" w:color="auto" w:sz="12" w:space="0"/>
        <w:bottom w:val="thickThinSmallGap" w:color="auto" w:sz="12" w:space="0"/>
        <w:insideH w:val="single" w:color="auto" w:sz="4" w:space="0"/>
        <w:insideV w:val="single" w:color="auto" w:sz="4" w:space="0"/>
      </w:tblBorders>
    </w:tblPr>
    <w:trPr>
      <w:jc w:val="center"/>
    </w:trPr>
    <w:tcPr>
      <w:vAlign w:val="center"/>
    </w:tcPr>
    <w:tblStylePr w:type="firstRow">
      <w:rPr>
        <w:b/>
      </w:rPr>
    </w:tblStylePr>
  </w:style>
  <w:style w:type="paragraph" w:customStyle="1" w:styleId="58">
    <w:name w:val="修订1"/>
    <w:hidden/>
    <w:semiHidden/>
    <w:qFormat/>
    <w:uiPriority w:val="99"/>
    <w:rPr>
      <w:rFonts w:ascii="Times New Roman" w:hAnsi="Times New Roman" w:eastAsia="宋体" w:cs="Times New Roman"/>
      <w:kern w:val="2"/>
      <w:sz w:val="24"/>
      <w:szCs w:val="24"/>
      <w:lang w:val="en-US" w:eastAsia="zh-CN" w:bidi="ar-SA"/>
    </w:rPr>
  </w:style>
  <w:style w:type="paragraph" w:customStyle="1" w:styleId="59">
    <w:name w:val="表内容"/>
    <w:basedOn w:val="1"/>
    <w:qFormat/>
    <w:uiPriority w:val="0"/>
    <w:pPr>
      <w:spacing w:line="0" w:lineRule="atLeast"/>
      <w:jc w:val="center"/>
    </w:pPr>
    <w:rPr>
      <w:rFonts w:cstheme="minorBidi"/>
      <w:sz w:val="21"/>
      <w:szCs w:val="22"/>
    </w:rPr>
  </w:style>
  <w:style w:type="paragraph" w:customStyle="1" w:styleId="60">
    <w:name w:val="表头"/>
    <w:basedOn w:val="1"/>
    <w:next w:val="1"/>
    <w:link w:val="61"/>
    <w:qFormat/>
    <w:uiPriority w:val="0"/>
    <w:pPr>
      <w:jc w:val="center"/>
    </w:pPr>
    <w:rPr>
      <w:rFonts w:eastAsia="黑体" w:cstheme="minorBidi"/>
      <w:szCs w:val="22"/>
    </w:rPr>
  </w:style>
  <w:style w:type="character" w:customStyle="1" w:styleId="61">
    <w:name w:val="表头 Char Char"/>
    <w:link w:val="60"/>
    <w:qFormat/>
    <w:uiPriority w:val="0"/>
    <w:rPr>
      <w:rFonts w:eastAsia="黑体" w:cstheme="minorBidi"/>
      <w:kern w:val="2"/>
      <w:sz w:val="24"/>
      <w:szCs w:val="22"/>
    </w:rPr>
  </w:style>
  <w:style w:type="table" w:customStyle="1" w:styleId="62">
    <w:name w:val="网格型1"/>
    <w:basedOn w:val="17"/>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
    <w:name w:val="标题 2 字符"/>
    <w:basedOn w:val="20"/>
    <w:link w:val="3"/>
    <w:semiHidden/>
    <w:qFormat/>
    <w:uiPriority w:val="0"/>
    <w:rPr>
      <w:rFonts w:asciiTheme="majorHAnsi" w:hAnsiTheme="majorHAnsi" w:eastAsiaTheme="majorEastAsia" w:cstheme="majorBidi"/>
      <w:b/>
      <w:bCs/>
      <w:kern w:val="2"/>
      <w:sz w:val="32"/>
      <w:szCs w:val="32"/>
    </w:rPr>
  </w:style>
  <w:style w:type="paragraph" w:customStyle="1" w:styleId="64">
    <w:name w:val="表头-格式"/>
    <w:basedOn w:val="1"/>
    <w:qFormat/>
    <w:uiPriority w:val="0"/>
    <w:pPr>
      <w:widowControl/>
      <w:adjustRightInd w:val="0"/>
      <w:snapToGrid w:val="0"/>
      <w:ind w:firstLine="960" w:firstLineChars="200"/>
      <w:jc w:val="center"/>
    </w:pPr>
    <w:rPr>
      <w:rFonts w:eastAsia="黑体"/>
      <w:kern w:val="0"/>
      <w:szCs w:val="21"/>
      <w:lang w:bidi="en-US"/>
    </w:rPr>
  </w:style>
  <w:style w:type="character" w:customStyle="1" w:styleId="65">
    <w:name w:val="未处理的提及2"/>
    <w:qFormat/>
    <w:uiPriority w:val="0"/>
    <w:rPr>
      <w:color w:val="605E5C"/>
      <w:shd w:val="clear" w:color="auto" w:fill="E1DFDD"/>
    </w:rPr>
  </w:style>
  <w:style w:type="character" w:customStyle="1" w:styleId="66">
    <w:name w:val="fontstyle01"/>
    <w:basedOn w:val="20"/>
    <w:qFormat/>
    <w:uiPriority w:val="0"/>
    <w:rPr>
      <w:rFonts w:hint="eastAsia" w:ascii="宋体" w:hAnsi="宋体" w:eastAsia="宋体"/>
      <w:color w:val="000000"/>
      <w:sz w:val="24"/>
      <w:szCs w:val="24"/>
    </w:rPr>
  </w:style>
  <w:style w:type="paragraph" w:customStyle="1" w:styleId="67">
    <w:name w:val="Table Paragraph"/>
    <w:basedOn w:val="1"/>
    <w:qFormat/>
    <w:uiPriority w:val="1"/>
    <w:rPr>
      <w:rFonts w:ascii="宋体" w:hAnsi="宋体" w:cs="宋体"/>
      <w:lang w:val="zh-CN" w:bidi="zh-CN"/>
    </w:rPr>
  </w:style>
  <w:style w:type="table" w:customStyle="1" w:styleId="68">
    <w:name w:val="报告书表格"/>
    <w:basedOn w:val="17"/>
    <w:qFormat/>
    <w:uiPriority w:val="0"/>
    <w:pPr>
      <w:jc w:val="center"/>
    </w:pPr>
    <w:rPr>
      <w:rFonts w:cs="Calibri"/>
    </w:rPr>
    <w:tblPr>
      <w:tblBorders>
        <w:top w:val="single" w:color="auto" w:sz="12" w:space="0"/>
        <w:bottom w:val="single" w:color="auto" w:sz="12" w:space="0"/>
        <w:insideH w:val="single" w:color="auto" w:sz="4" w:space="0"/>
        <w:insideV w:val="single" w:color="auto" w:sz="4" w:space="0"/>
      </w:tblBorders>
    </w:tblPr>
    <w:tcPr>
      <w:vAlign w:val="center"/>
    </w:tcPr>
  </w:style>
  <w:style w:type="character" w:customStyle="1" w:styleId="69">
    <w:name w:val="图标题 Char"/>
    <w:link w:val="55"/>
    <w:qFormat/>
    <w:uiPriority w:val="99"/>
    <w:rPr>
      <w:rFonts w:eastAsia="黑体" w:cstheme="minorBidi"/>
      <w:color w:val="000000"/>
      <w:szCs w:val="21"/>
      <w:u w:val="single"/>
    </w:rPr>
  </w:style>
  <w:style w:type="paragraph" w:customStyle="1" w:styleId="70">
    <w:name w:val="纯文本1"/>
    <w:basedOn w:val="1"/>
    <w:qFormat/>
    <w:uiPriority w:val="0"/>
    <w:rPr>
      <w:rFonts w:ascii="宋体" w:hAnsi="Courier New" w:eastAsia="等线"/>
      <w:szCs w:val="21"/>
    </w:rPr>
  </w:style>
  <w:style w:type="paragraph" w:customStyle="1" w:styleId="71">
    <w:name w:val="[1]正文"/>
    <w:basedOn w:val="1"/>
    <w:qFormat/>
    <w:uiPriority w:val="0"/>
    <w:pPr>
      <w:widowControl/>
      <w:snapToGrid w:val="0"/>
      <w:ind w:firstLine="200" w:firstLineChars="200"/>
      <w:jc w:val="left"/>
    </w:pPr>
    <w:rPr>
      <w:rFonts w:ascii="Calibri" w:hAnsi="Calibri"/>
      <w:kern w:val="0"/>
      <w:szCs w:val="28"/>
    </w:rPr>
  </w:style>
  <w:style w:type="paragraph" w:customStyle="1" w:styleId="72">
    <w:name w:val="p0"/>
    <w:basedOn w:val="1"/>
    <w:unhideWhenUsed/>
    <w:qFormat/>
    <w:uiPriority w:val="0"/>
    <w:pPr>
      <w:widowControl/>
      <w:spacing w:line="240" w:lineRule="auto"/>
    </w:pPr>
    <w:rPr>
      <w:rFonts w:ascii="Calibri" w:hAnsi="Calibri"/>
      <w:kern w:val="0"/>
      <w:sz w:val="21"/>
      <w:szCs w:val="21"/>
    </w:rPr>
  </w:style>
  <w:style w:type="paragraph" w:customStyle="1" w:styleId="73">
    <w:name w:val="Default"/>
    <w:basedOn w:val="74"/>
    <w:next w:val="75"/>
    <w:qFormat/>
    <w:uiPriority w:val="0"/>
    <w:pPr>
      <w:autoSpaceDE w:val="0"/>
      <w:autoSpaceDN w:val="0"/>
    </w:pPr>
    <w:rPr>
      <w:rFonts w:ascii="黑体" w:cs="黑体"/>
      <w:color w:val="000000"/>
      <w:sz w:val="24"/>
      <w:szCs w:val="24"/>
    </w:rPr>
  </w:style>
  <w:style w:type="paragraph" w:customStyle="1" w:styleId="74">
    <w:name w:val="表格17"/>
    <w:qFormat/>
    <w:uiPriority w:val="0"/>
    <w:pPr>
      <w:widowControl w:val="0"/>
      <w:adjustRightInd w:val="0"/>
      <w:jc w:val="center"/>
    </w:pPr>
    <w:rPr>
      <w:rFonts w:ascii="Times New Roman" w:hAnsi="Times New Roman" w:eastAsia="宋体" w:cs="Times New Roman"/>
      <w:kern w:val="28"/>
      <w:sz w:val="28"/>
      <w:lang w:val="en-US" w:eastAsia="zh-CN" w:bidi="ar-SA"/>
    </w:rPr>
  </w:style>
  <w:style w:type="paragraph" w:customStyle="1" w:styleId="75">
    <w:name w:val="c正文"/>
    <w:qFormat/>
    <w:uiPriority w:val="0"/>
    <w:pPr>
      <w:adjustRightInd w:val="0"/>
      <w:snapToGrid w:val="0"/>
      <w:spacing w:line="500" w:lineRule="exact"/>
      <w:ind w:firstLine="200" w:firstLineChars="200"/>
    </w:pPr>
    <w:rPr>
      <w:rFonts w:ascii="Times New Roman" w:hAnsi="Times New Roman" w:eastAsia="宋体" w:cs="Times New Roman"/>
      <w:color w:val="000000"/>
      <w:kern w:val="44"/>
      <w:sz w:val="24"/>
      <w:szCs w:val="24"/>
      <w:lang w:val="en-US" w:eastAsia="zh-CN" w:bidi="ar-SA"/>
    </w:rPr>
  </w:style>
  <w:style w:type="paragraph" w:customStyle="1" w:styleId="76">
    <w:name w:val="表格文字"/>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7.png"/><Relationship Id="rId52" Type="http://schemas.openxmlformats.org/officeDocument/2006/relationships/image" Target="media/image36.png"/><Relationship Id="rId51" Type="http://schemas.openxmlformats.org/officeDocument/2006/relationships/image" Target="media/image35.jpeg"/><Relationship Id="rId50" Type="http://schemas.openxmlformats.org/officeDocument/2006/relationships/image" Target="media/image34.png"/><Relationship Id="rId5" Type="http://schemas.openxmlformats.org/officeDocument/2006/relationships/header" Target="header1.xml"/><Relationship Id="rId49" Type="http://schemas.openxmlformats.org/officeDocument/2006/relationships/image" Target="media/image33.png"/><Relationship Id="rId48" Type="http://schemas.openxmlformats.org/officeDocument/2006/relationships/image" Target="media/image32.png"/><Relationship Id="rId47" Type="http://schemas.openxmlformats.org/officeDocument/2006/relationships/image" Target="media/image31.pn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png"/><Relationship Id="rId43" Type="http://schemas.openxmlformats.org/officeDocument/2006/relationships/image" Target="media/image27.png"/><Relationship Id="rId42" Type="http://schemas.openxmlformats.org/officeDocument/2006/relationships/image" Target="media/image26.jpeg"/><Relationship Id="rId41" Type="http://schemas.openxmlformats.org/officeDocument/2006/relationships/image" Target="media/image25.jpeg"/><Relationship Id="rId40" Type="http://schemas.openxmlformats.org/officeDocument/2006/relationships/image" Target="media/image24.jpeg"/><Relationship Id="rId4" Type="http://schemas.openxmlformats.org/officeDocument/2006/relationships/endnotes" Target="endnotes.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emf"/><Relationship Id="rId21" Type="http://schemas.openxmlformats.org/officeDocument/2006/relationships/oleObject" Target="embeddings/oleObject3.bin"/><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e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87</Pages>
  <Words>146</Words>
  <Characters>149</Characters>
  <Lines>277</Lines>
  <Paragraphs>78</Paragraphs>
  <TotalTime>1124</TotalTime>
  <ScaleCrop>false</ScaleCrop>
  <LinksUpToDate>false</LinksUpToDate>
  <CharactersWithSpaces>172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2022-04-24T11:47:00Z</dcterms:created>
  <dc:creator>Yn</dc:creator>
  <cp:lastModifiedBy>初心す</cp:lastModifiedBy>
  <cp:lastPrinted>2022-06-10T09:31:00Z</cp:lastPrinted>
  <dcterms:modified xsi:type="dcterms:W3CDTF">2025-06-24T06:46:56Z</dcterms:modified>
  <dc:title>附件2</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272C9D9F5DCBF4A9B00955687AEEFDC5</vt:lpwstr>
  </property>
  <property fmtid="{D5CDD505-2E9C-101B-9397-08002B2CF9AE}" pid="4" name="KSOTemplateDocerSaveRecord">
    <vt:lpwstr>eyJoZGlkIjoiM2EyOWVkMDQ1ZDJiMmU2YTY0Y2RjZjk2MTY4MmNjZTAiLCJ1c2VySWQiOiIzMTQyNjY5OTIifQ==</vt:lpwstr>
  </property>
</Properties>
</file>