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1D936">
      <w:pPr>
        <w:adjustRightInd w:val="0"/>
        <w:snapToGrid w:val="0"/>
        <w:jc w:val="center"/>
        <w:outlineLvl w:val="0"/>
        <w:rPr>
          <w:rFonts w:ascii="方正小标宋_GBK" w:eastAsia="方正小标宋_GBK"/>
          <w:bCs/>
          <w:color w:val="auto"/>
          <w:sz w:val="72"/>
          <w:szCs w:val="72"/>
          <w:highlight w:val="none"/>
        </w:rPr>
      </w:pPr>
      <w:r>
        <w:rPr>
          <w:rFonts w:hint="eastAsia" w:ascii="方正小标宋_GBK" w:eastAsia="方正小标宋_GBK"/>
          <w:bCs/>
          <w:sz w:val="72"/>
          <w:szCs w:val="72"/>
        </w:rPr>
        <w:t>建设项</w:t>
      </w:r>
      <w:r>
        <w:rPr>
          <w:rFonts w:hint="eastAsia" w:ascii="方正小标宋_GBK" w:eastAsia="方正小标宋_GBK"/>
          <w:bCs/>
          <w:color w:val="auto"/>
          <w:sz w:val="72"/>
          <w:szCs w:val="72"/>
          <w:highlight w:val="none"/>
        </w:rPr>
        <w:t>目环境影响报告表</w:t>
      </w:r>
    </w:p>
    <w:p w14:paraId="4B9F1BAD">
      <w:pPr>
        <w:adjustRightInd w:val="0"/>
        <w:snapToGrid w:val="0"/>
        <w:spacing w:before="192" w:beforeLines="80"/>
        <w:jc w:val="center"/>
        <w:rPr>
          <w:rFonts w:ascii="楷体_GB2312" w:eastAsia="楷体_GB2312"/>
          <w:bCs/>
          <w:color w:val="auto"/>
          <w:sz w:val="48"/>
          <w:szCs w:val="48"/>
          <w:highlight w:val="none"/>
        </w:rPr>
      </w:pPr>
      <w:r>
        <w:rPr>
          <w:rFonts w:hint="eastAsia" w:ascii="楷体_GB2312" w:eastAsia="楷体_GB2312"/>
          <w:bCs/>
          <w:color w:val="auto"/>
          <w:sz w:val="48"/>
          <w:szCs w:val="48"/>
          <w:highlight w:val="none"/>
        </w:rPr>
        <w:t>（污染影响类）</w:t>
      </w:r>
    </w:p>
    <w:p w14:paraId="67EBF9FD">
      <w:pPr>
        <w:adjustRightInd w:val="0"/>
        <w:snapToGrid w:val="0"/>
        <w:spacing w:line="288" w:lineRule="auto"/>
        <w:jc w:val="center"/>
        <w:outlineLvl w:val="0"/>
        <w:rPr>
          <w:rFonts w:ascii="华文仿宋" w:hAnsi="华文仿宋" w:eastAsia="华文仿宋" w:cs="华文仿宋"/>
          <w:color w:val="auto"/>
          <w:kern w:val="44"/>
          <w:sz w:val="44"/>
          <w:szCs w:val="44"/>
          <w:highlight w:val="none"/>
        </w:rPr>
      </w:pPr>
    </w:p>
    <w:p w14:paraId="66323B2F">
      <w:pPr>
        <w:jc w:val="center"/>
        <w:rPr>
          <w:rFonts w:eastAsia="仿宋"/>
          <w:color w:val="auto"/>
          <w:sz w:val="52"/>
          <w:szCs w:val="52"/>
          <w:highlight w:val="none"/>
        </w:rPr>
      </w:pPr>
    </w:p>
    <w:p w14:paraId="30866D5A">
      <w:pPr>
        <w:ind w:firstLine="1040"/>
        <w:rPr>
          <w:rFonts w:eastAsia="仿宋"/>
          <w:color w:val="auto"/>
          <w:sz w:val="44"/>
          <w:szCs w:val="44"/>
          <w:highlight w:val="none"/>
        </w:rPr>
      </w:pPr>
    </w:p>
    <w:p w14:paraId="66F67DAE">
      <w:pPr>
        <w:ind w:firstLine="1040"/>
        <w:rPr>
          <w:rFonts w:eastAsia="仿宋"/>
          <w:color w:val="auto"/>
          <w:sz w:val="44"/>
          <w:szCs w:val="44"/>
          <w:highlight w:val="none"/>
        </w:rPr>
      </w:pPr>
    </w:p>
    <w:p w14:paraId="6F848DD2">
      <w:pPr>
        <w:ind w:firstLine="1040"/>
        <w:rPr>
          <w:rFonts w:eastAsia="仿宋"/>
          <w:color w:val="auto"/>
          <w:sz w:val="44"/>
          <w:szCs w:val="44"/>
          <w:highlight w:val="none"/>
        </w:rPr>
      </w:pPr>
    </w:p>
    <w:p w14:paraId="456A3E96">
      <w:pPr>
        <w:adjustRightInd w:val="0"/>
        <w:snapToGrid w:val="0"/>
        <w:spacing w:line="360" w:lineRule="auto"/>
        <w:rPr>
          <w:rFonts w:ascii="仿宋_GB2312" w:eastAsia="仿宋_GB2312"/>
          <w:color w:val="auto"/>
          <w:sz w:val="36"/>
          <w:szCs w:val="36"/>
          <w:highlight w:val="none"/>
        </w:rPr>
      </w:pPr>
    </w:p>
    <w:p w14:paraId="03082E74">
      <w:pPr>
        <w:adjustRightInd w:val="0"/>
        <w:snapToGrid w:val="0"/>
        <w:spacing w:line="360" w:lineRule="auto"/>
        <w:ind w:firstLine="360" w:firstLineChars="100"/>
        <w:rPr>
          <w:rFonts w:ascii="仿宋_GB2312" w:eastAsia="仿宋_GB2312"/>
          <w:color w:val="auto"/>
          <w:sz w:val="36"/>
          <w:szCs w:val="36"/>
          <w:highlight w:val="none"/>
          <w:u w:val="single"/>
        </w:rPr>
      </w:pPr>
      <w:r>
        <w:rPr>
          <w:rFonts w:hint="eastAsia" w:ascii="仿宋_GB2312" w:eastAsia="仿宋_GB2312"/>
          <w:color w:val="auto"/>
          <w:sz w:val="36"/>
          <w:szCs w:val="36"/>
          <w:highlight w:val="none"/>
        </w:rPr>
        <w:t>项目名称：</w:t>
      </w:r>
      <w:r>
        <w:rPr>
          <w:rFonts w:hint="eastAsia" w:ascii="仿宋_GB2312" w:eastAsia="仿宋_GB2312"/>
          <w:color w:val="auto"/>
          <w:sz w:val="36"/>
          <w:szCs w:val="36"/>
          <w:highlight w:val="none"/>
          <w:u w:val="single"/>
        </w:rPr>
        <w:t>中国神华煤制油化工有限公司鄂尔多斯</w:t>
      </w:r>
    </w:p>
    <w:p w14:paraId="5DCDD393">
      <w:pPr>
        <w:adjustRightInd w:val="0"/>
        <w:snapToGrid w:val="0"/>
        <w:spacing w:line="360" w:lineRule="auto"/>
        <w:ind w:left="2155" w:leftChars="1026" w:firstLine="0" w:firstLineChars="0"/>
        <w:rPr>
          <w:rFonts w:hint="eastAsia" w:ascii="仿宋_GB2312" w:eastAsia="仿宋_GB2312"/>
          <w:color w:val="auto"/>
          <w:sz w:val="36"/>
          <w:szCs w:val="36"/>
          <w:highlight w:val="none"/>
          <w:u w:val="single"/>
        </w:rPr>
      </w:pPr>
      <w:r>
        <w:rPr>
          <w:rFonts w:hint="eastAsia" w:ascii="仿宋_GB2312" w:eastAsia="仿宋_GB2312"/>
          <w:color w:val="auto"/>
          <w:sz w:val="36"/>
          <w:szCs w:val="36"/>
          <w:highlight w:val="none"/>
          <w:u w:val="single"/>
        </w:rPr>
        <w:t>煤制油分公司</w:t>
      </w:r>
      <w:r>
        <w:rPr>
          <w:rFonts w:hint="eastAsia" w:ascii="仿宋_GB2312" w:eastAsia="仿宋_GB2312"/>
          <w:color w:val="auto"/>
          <w:sz w:val="36"/>
          <w:szCs w:val="36"/>
          <w:highlight w:val="none"/>
          <w:u w:val="single"/>
          <w:lang w:val="en-US" w:eastAsia="zh-CN"/>
        </w:rPr>
        <w:t>道路沥青改性剂开发研究与应用</w:t>
      </w:r>
      <w:r>
        <w:rPr>
          <w:rFonts w:hint="eastAsia" w:ascii="仿宋_GB2312" w:eastAsia="仿宋_GB2312"/>
          <w:color w:val="auto"/>
          <w:sz w:val="36"/>
          <w:szCs w:val="36"/>
          <w:highlight w:val="none"/>
          <w:u w:val="single"/>
        </w:rPr>
        <w:t>项目</w:t>
      </w:r>
    </w:p>
    <w:p w14:paraId="5BAACF4C">
      <w:pPr>
        <w:adjustRightInd w:val="0"/>
        <w:snapToGrid w:val="0"/>
        <w:spacing w:line="360" w:lineRule="auto"/>
        <w:ind w:firstLine="360" w:firstLineChars="100"/>
        <w:rPr>
          <w:rFonts w:ascii="仿宋_GB2312" w:eastAsia="仿宋_GB2312"/>
          <w:color w:val="auto"/>
          <w:sz w:val="36"/>
          <w:szCs w:val="36"/>
          <w:highlight w:val="none"/>
          <w:u w:val="single"/>
        </w:rPr>
      </w:pPr>
      <w:r>
        <w:rPr>
          <w:rFonts w:hint="eastAsia" w:ascii="仿宋_GB2312" w:eastAsia="仿宋_GB2312"/>
          <w:color w:val="auto"/>
          <w:sz w:val="36"/>
          <w:szCs w:val="36"/>
          <w:highlight w:val="none"/>
        </w:rPr>
        <w:t>建设单位：</w:t>
      </w:r>
      <w:r>
        <w:rPr>
          <w:rFonts w:hint="eastAsia" w:ascii="仿宋_GB2312" w:eastAsia="仿宋_GB2312"/>
          <w:color w:val="auto"/>
          <w:sz w:val="36"/>
          <w:szCs w:val="36"/>
          <w:highlight w:val="none"/>
          <w:u w:val="single"/>
        </w:rPr>
        <w:t>中国神华煤制油化工有限公司</w:t>
      </w:r>
    </w:p>
    <w:p w14:paraId="716048DA">
      <w:pPr>
        <w:adjustRightInd w:val="0"/>
        <w:snapToGrid w:val="0"/>
        <w:spacing w:line="360" w:lineRule="auto"/>
        <w:ind w:firstLine="2160" w:firstLineChars="600"/>
        <w:rPr>
          <w:rFonts w:ascii="仿宋_GB2312" w:eastAsia="仿宋_GB2312"/>
          <w:color w:val="auto"/>
          <w:sz w:val="36"/>
          <w:szCs w:val="36"/>
          <w:highlight w:val="none"/>
          <w:u w:val="single"/>
        </w:rPr>
      </w:pPr>
      <w:r>
        <w:rPr>
          <w:rFonts w:hint="eastAsia" w:ascii="仿宋_GB2312" w:eastAsia="仿宋_GB2312"/>
          <w:color w:val="auto"/>
          <w:sz w:val="36"/>
          <w:szCs w:val="36"/>
          <w:highlight w:val="none"/>
          <w:u w:val="single"/>
        </w:rPr>
        <w:t>鄂尔多斯煤制油分公司</w:t>
      </w:r>
    </w:p>
    <w:p w14:paraId="21852373">
      <w:pPr>
        <w:pStyle w:val="16"/>
        <w:ind w:firstLine="560"/>
        <w:rPr>
          <w:color w:val="auto"/>
          <w:highlight w:val="none"/>
        </w:rPr>
      </w:pPr>
    </w:p>
    <w:p w14:paraId="682D9019">
      <w:pPr>
        <w:adjustRightInd w:val="0"/>
        <w:snapToGrid w:val="0"/>
        <w:spacing w:line="360" w:lineRule="auto"/>
        <w:jc w:val="center"/>
        <w:rPr>
          <w:rFonts w:hint="eastAsia" w:ascii="仿宋_GB2312" w:eastAsia="仿宋_GB2312"/>
          <w:color w:val="auto"/>
          <w:sz w:val="36"/>
          <w:szCs w:val="36"/>
          <w:highlight w:val="none"/>
        </w:rPr>
      </w:pPr>
    </w:p>
    <w:p w14:paraId="73BCD88B">
      <w:pPr>
        <w:adjustRightInd w:val="0"/>
        <w:snapToGrid w:val="0"/>
        <w:spacing w:line="360" w:lineRule="auto"/>
        <w:jc w:val="center"/>
        <w:rPr>
          <w:rFonts w:hint="eastAsia" w:ascii="仿宋_GB2312" w:eastAsia="仿宋_GB2312"/>
          <w:color w:val="auto"/>
          <w:sz w:val="36"/>
          <w:szCs w:val="36"/>
          <w:highlight w:val="none"/>
        </w:rPr>
      </w:pPr>
    </w:p>
    <w:p w14:paraId="126FCF6C">
      <w:pPr>
        <w:adjustRightInd w:val="0"/>
        <w:snapToGrid w:val="0"/>
        <w:spacing w:line="360" w:lineRule="auto"/>
        <w:jc w:val="center"/>
        <w:rPr>
          <w:rFonts w:ascii="仿宋_GB2312" w:eastAsia="仿宋_GB2312"/>
          <w:color w:val="auto"/>
          <w:sz w:val="36"/>
          <w:szCs w:val="36"/>
          <w:highlight w:val="none"/>
        </w:rPr>
      </w:pPr>
      <w:r>
        <w:rPr>
          <w:rFonts w:hint="eastAsia" w:ascii="仿宋_GB2312" w:eastAsia="仿宋_GB2312"/>
          <w:color w:val="auto"/>
          <w:sz w:val="36"/>
          <w:szCs w:val="36"/>
          <w:highlight w:val="none"/>
        </w:rPr>
        <w:t>编制日期：202</w:t>
      </w:r>
      <w:r>
        <w:rPr>
          <w:rFonts w:hint="eastAsia" w:ascii="仿宋_GB2312" w:eastAsia="仿宋_GB2312"/>
          <w:color w:val="auto"/>
          <w:sz w:val="36"/>
          <w:szCs w:val="36"/>
          <w:highlight w:val="none"/>
          <w:lang w:val="en-US" w:eastAsia="zh-CN"/>
        </w:rPr>
        <w:t>5</w:t>
      </w:r>
      <w:r>
        <w:rPr>
          <w:rFonts w:hint="eastAsia" w:ascii="仿宋_GB2312" w:eastAsia="仿宋_GB2312"/>
          <w:color w:val="auto"/>
          <w:sz w:val="36"/>
          <w:szCs w:val="36"/>
          <w:highlight w:val="none"/>
        </w:rPr>
        <w:t>年</w:t>
      </w:r>
      <w:r>
        <w:rPr>
          <w:rFonts w:hint="eastAsia" w:ascii="仿宋_GB2312" w:eastAsia="仿宋_GB2312"/>
          <w:color w:val="auto"/>
          <w:sz w:val="36"/>
          <w:szCs w:val="36"/>
          <w:highlight w:val="none"/>
          <w:lang w:val="en-US" w:eastAsia="zh-CN"/>
        </w:rPr>
        <w:t>2</w:t>
      </w:r>
      <w:r>
        <w:rPr>
          <w:rFonts w:hint="eastAsia" w:ascii="仿宋_GB2312" w:eastAsia="仿宋_GB2312"/>
          <w:color w:val="auto"/>
          <w:sz w:val="36"/>
          <w:szCs w:val="36"/>
          <w:highlight w:val="none"/>
        </w:rPr>
        <w:t>月</w:t>
      </w:r>
      <w:bookmarkStart w:id="0" w:name="_Hlk57884087"/>
    </w:p>
    <w:bookmarkEnd w:id="0"/>
    <w:p w14:paraId="0446261F">
      <w:pPr>
        <w:pStyle w:val="23"/>
        <w:jc w:val="center"/>
        <w:outlineLvl w:val="0"/>
        <w:rPr>
          <w:rFonts w:hint="eastAsia" w:ascii="楷体_GB2312" w:eastAsia="楷体_GB2312"/>
          <w:color w:val="auto"/>
          <w:sz w:val="36"/>
          <w:szCs w:val="36"/>
          <w:highlight w:val="none"/>
        </w:rPr>
      </w:pPr>
      <w:r>
        <w:rPr>
          <w:rFonts w:hint="eastAsia" w:ascii="楷体_GB2312" w:eastAsia="楷体_GB2312"/>
          <w:color w:val="auto"/>
          <w:sz w:val="36"/>
          <w:szCs w:val="36"/>
          <w:highlight w:val="none"/>
        </w:rPr>
        <w:t>中华人民共和国生态环境部制</w:t>
      </w:r>
    </w:p>
    <w:p w14:paraId="01F008B0">
      <w:pPr>
        <w:pStyle w:val="23"/>
        <w:jc w:val="center"/>
        <w:outlineLvl w:val="0"/>
        <w:rPr>
          <w:rFonts w:hint="eastAsia" w:ascii="楷体_GB2312" w:eastAsia="楷体_GB2312"/>
          <w:color w:val="auto"/>
          <w:sz w:val="36"/>
          <w:szCs w:val="36"/>
          <w:highlight w:val="none"/>
        </w:rPr>
      </w:pPr>
    </w:p>
    <w:p w14:paraId="71ABA78B">
      <w:pPr>
        <w:pStyle w:val="23"/>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一、建设项目基本情况</w:t>
      </w:r>
    </w:p>
    <w:tbl>
      <w:tblPr>
        <w:tblStyle w:val="26"/>
        <w:tblW w:w="94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27"/>
        <w:gridCol w:w="955"/>
        <w:gridCol w:w="1637"/>
        <w:gridCol w:w="2212"/>
        <w:gridCol w:w="3226"/>
      </w:tblGrid>
      <w:tr w14:paraId="2359A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2382" w:type="dxa"/>
            <w:gridSpan w:val="2"/>
            <w:tcMar>
              <w:top w:w="16" w:type="dxa"/>
              <w:left w:w="16" w:type="dxa"/>
              <w:bottom w:w="0" w:type="dxa"/>
              <w:right w:w="16" w:type="dxa"/>
            </w:tcMar>
            <w:vAlign w:val="center"/>
          </w:tcPr>
          <w:p w14:paraId="36A380CC">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建设项目名称</w:t>
            </w:r>
          </w:p>
        </w:tc>
        <w:tc>
          <w:tcPr>
            <w:tcW w:w="7075" w:type="dxa"/>
            <w:gridSpan w:val="3"/>
            <w:vAlign w:val="center"/>
          </w:tcPr>
          <w:p w14:paraId="1F65B12E">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中国神华煤制油化工有限公司鄂尔多斯煤制油分公司</w:t>
            </w:r>
            <w:r>
              <w:rPr>
                <w:rFonts w:hint="eastAsia" w:ascii="宋体" w:hAnsi="宋体" w:cs="宋体"/>
                <w:color w:val="auto"/>
                <w:sz w:val="24"/>
                <w:szCs w:val="24"/>
                <w:highlight w:val="none"/>
                <w:u w:val="none"/>
                <w:lang w:val="en-US" w:eastAsia="zh-CN"/>
              </w:rPr>
              <w:t>道路</w:t>
            </w:r>
            <w:r>
              <w:rPr>
                <w:rFonts w:hint="eastAsia" w:ascii="宋体" w:hAnsi="宋体" w:cs="宋体"/>
                <w:color w:val="auto"/>
                <w:sz w:val="24"/>
                <w:szCs w:val="24"/>
                <w:highlight w:val="none"/>
                <w:u w:val="none"/>
                <w:lang w:eastAsia="zh-CN"/>
              </w:rPr>
              <w:t>沥青</w:t>
            </w:r>
            <w:r>
              <w:rPr>
                <w:rFonts w:hint="eastAsia" w:ascii="宋体" w:hAnsi="宋体" w:cs="宋体"/>
                <w:color w:val="auto"/>
                <w:sz w:val="24"/>
                <w:szCs w:val="24"/>
                <w:highlight w:val="none"/>
                <w:u w:val="none"/>
                <w:lang w:val="en-US" w:eastAsia="zh-CN"/>
              </w:rPr>
              <w:t>改性剂开发研究与应用</w:t>
            </w:r>
            <w:r>
              <w:rPr>
                <w:rFonts w:hint="eastAsia" w:ascii="宋体" w:hAnsi="宋体" w:eastAsia="宋体" w:cs="宋体"/>
                <w:color w:val="auto"/>
                <w:sz w:val="24"/>
                <w:szCs w:val="24"/>
                <w:highlight w:val="none"/>
                <w:u w:val="none"/>
              </w:rPr>
              <w:t>项目</w:t>
            </w:r>
          </w:p>
        </w:tc>
      </w:tr>
      <w:tr w14:paraId="66CE66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tcMar>
              <w:top w:w="16" w:type="dxa"/>
              <w:left w:w="16" w:type="dxa"/>
              <w:bottom w:w="0" w:type="dxa"/>
              <w:right w:w="16" w:type="dxa"/>
            </w:tcMar>
            <w:vAlign w:val="center"/>
          </w:tcPr>
          <w:p w14:paraId="6D3B0A2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项目代码</w:t>
            </w:r>
          </w:p>
        </w:tc>
        <w:tc>
          <w:tcPr>
            <w:tcW w:w="7075" w:type="dxa"/>
            <w:gridSpan w:val="3"/>
            <w:vAlign w:val="center"/>
          </w:tcPr>
          <w:p w14:paraId="4A554BD1">
            <w:pPr>
              <w:adjustRightInd w:val="0"/>
              <w:snapToGrid w:val="0"/>
              <w:jc w:val="center"/>
              <w:rPr>
                <w:rFonts w:hint="default" w:ascii="宋体" w:hAnsi="宋体" w:eastAsia="宋体" w:cs="宋体"/>
                <w:color w:val="auto"/>
                <w:sz w:val="24"/>
                <w:szCs w:val="24"/>
                <w:highlight w:val="none"/>
                <w:lang w:val="en-US" w:eastAsia="zh-CN"/>
              </w:rPr>
            </w:pPr>
          </w:p>
        </w:tc>
      </w:tr>
      <w:tr w14:paraId="63F003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382" w:type="dxa"/>
            <w:gridSpan w:val="2"/>
            <w:tcMar>
              <w:top w:w="16" w:type="dxa"/>
              <w:left w:w="16" w:type="dxa"/>
              <w:bottom w:w="0" w:type="dxa"/>
              <w:right w:w="16" w:type="dxa"/>
            </w:tcMar>
            <w:vAlign w:val="center"/>
          </w:tcPr>
          <w:p w14:paraId="6915393C">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建设单位联系人</w:t>
            </w:r>
          </w:p>
        </w:tc>
        <w:tc>
          <w:tcPr>
            <w:tcW w:w="1637" w:type="dxa"/>
            <w:vAlign w:val="center"/>
          </w:tcPr>
          <w:p w14:paraId="6AD9EC8E">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马聪</w:t>
            </w:r>
          </w:p>
        </w:tc>
        <w:tc>
          <w:tcPr>
            <w:tcW w:w="2212" w:type="dxa"/>
            <w:vAlign w:val="center"/>
          </w:tcPr>
          <w:p w14:paraId="4F3C6278">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联系方式</w:t>
            </w:r>
          </w:p>
        </w:tc>
        <w:tc>
          <w:tcPr>
            <w:tcW w:w="3226" w:type="dxa"/>
            <w:vAlign w:val="center"/>
          </w:tcPr>
          <w:p w14:paraId="15620A38">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r>
              <w:rPr>
                <w:rFonts w:hint="eastAsia" w:ascii="宋体" w:hAnsi="宋体" w:cs="宋体"/>
                <w:color w:val="auto"/>
                <w:sz w:val="24"/>
                <w:szCs w:val="24"/>
                <w:highlight w:val="none"/>
                <w:lang w:val="en-US" w:eastAsia="zh-CN"/>
              </w:rPr>
              <w:t>147704839</w:t>
            </w:r>
          </w:p>
        </w:tc>
      </w:tr>
      <w:tr w14:paraId="1D6D64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38" w:hRule="atLeast"/>
          <w:jc w:val="center"/>
        </w:trPr>
        <w:tc>
          <w:tcPr>
            <w:tcW w:w="2382" w:type="dxa"/>
            <w:gridSpan w:val="2"/>
            <w:tcMar>
              <w:top w:w="16" w:type="dxa"/>
              <w:left w:w="16" w:type="dxa"/>
              <w:bottom w:w="0" w:type="dxa"/>
              <w:right w:w="16" w:type="dxa"/>
            </w:tcMar>
            <w:vAlign w:val="center"/>
          </w:tcPr>
          <w:p w14:paraId="7CF9D9F6">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建设地点</w:t>
            </w:r>
          </w:p>
        </w:tc>
        <w:tc>
          <w:tcPr>
            <w:tcW w:w="7075" w:type="dxa"/>
            <w:gridSpan w:val="3"/>
            <w:vAlign w:val="center"/>
          </w:tcPr>
          <w:p w14:paraId="0B919E71">
            <w:pPr>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内蒙古自治区鄂尔多斯市伊金霍洛旗乌兰木伦镇</w:t>
            </w:r>
            <w:r>
              <w:rPr>
                <w:rFonts w:hint="eastAsia" w:ascii="宋体" w:hAnsi="宋体" w:eastAsia="宋体" w:cs="宋体"/>
                <w:color w:val="auto"/>
                <w:sz w:val="24"/>
                <w:szCs w:val="24"/>
                <w:highlight w:val="none"/>
                <w:u w:val="none"/>
              </w:rPr>
              <w:t>中国神华煤制油化工有限公司鄂尔多斯煤制油分公司</w:t>
            </w:r>
            <w:r>
              <w:rPr>
                <w:rFonts w:hint="eastAsia" w:ascii="宋体" w:hAnsi="宋体" w:cs="宋体"/>
                <w:color w:val="auto"/>
                <w:sz w:val="24"/>
                <w:szCs w:val="24"/>
                <w:highlight w:val="none"/>
                <w:u w:val="none"/>
                <w:lang w:val="en-US" w:eastAsia="zh-CN"/>
              </w:rPr>
              <w:t>厂区内</w:t>
            </w:r>
          </w:p>
        </w:tc>
      </w:tr>
      <w:tr w14:paraId="310B2C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4" w:hRule="atLeast"/>
          <w:jc w:val="center"/>
        </w:trPr>
        <w:tc>
          <w:tcPr>
            <w:tcW w:w="2382" w:type="dxa"/>
            <w:gridSpan w:val="2"/>
            <w:tcMar>
              <w:top w:w="16" w:type="dxa"/>
              <w:left w:w="16" w:type="dxa"/>
              <w:bottom w:w="0" w:type="dxa"/>
              <w:right w:w="16" w:type="dxa"/>
            </w:tcMar>
            <w:vAlign w:val="center"/>
          </w:tcPr>
          <w:p w14:paraId="51F6DAAB">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地理坐标</w:t>
            </w:r>
          </w:p>
        </w:tc>
        <w:tc>
          <w:tcPr>
            <w:tcW w:w="7075" w:type="dxa"/>
            <w:gridSpan w:val="3"/>
            <w:vAlign w:val="center"/>
          </w:tcPr>
          <w:p w14:paraId="5E27B0AC">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110°9′</w:t>
            </w:r>
            <w:r>
              <w:rPr>
                <w:rFonts w:hint="eastAsia" w:ascii="宋体" w:hAnsi="宋体" w:cs="宋体"/>
                <w:color w:val="auto"/>
                <w:sz w:val="24"/>
                <w:szCs w:val="24"/>
                <w:highlight w:val="none"/>
                <w:lang w:val="en-US" w:eastAsia="zh-CN"/>
              </w:rPr>
              <w:t>05.</w:t>
            </w:r>
            <w:r>
              <w:rPr>
                <w:rFonts w:hint="eastAsia" w:ascii="宋体" w:hAnsi="宋体" w:eastAsia="宋体" w:cs="宋体"/>
                <w:color w:val="auto"/>
                <w:sz w:val="24"/>
                <w:szCs w:val="24"/>
                <w:highlight w:val="none"/>
              </w:rPr>
              <w:t>748″,39°</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7.451″</w:t>
            </w:r>
          </w:p>
        </w:tc>
      </w:tr>
      <w:tr w14:paraId="22AC46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382" w:type="dxa"/>
            <w:gridSpan w:val="2"/>
            <w:tcMar>
              <w:top w:w="16" w:type="dxa"/>
              <w:left w:w="16" w:type="dxa"/>
              <w:bottom w:w="0" w:type="dxa"/>
              <w:right w:w="16" w:type="dxa"/>
            </w:tcMar>
            <w:vAlign w:val="center"/>
          </w:tcPr>
          <w:p w14:paraId="2936C7F3">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国民经济</w:t>
            </w:r>
          </w:p>
          <w:p w14:paraId="7EB7AFC4">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行业类别</w:t>
            </w:r>
          </w:p>
        </w:tc>
        <w:tc>
          <w:tcPr>
            <w:tcW w:w="1637" w:type="dxa"/>
            <w:vAlign w:val="center"/>
          </w:tcPr>
          <w:p w14:paraId="603B8906">
            <w:pPr>
              <w:jc w:val="center"/>
              <w:rPr>
                <w:rFonts w:hint="default" w:ascii="宋体" w:hAnsi="宋体" w:eastAsia="宋体" w:cs="宋体"/>
                <w:sz w:val="24"/>
                <w:szCs w:val="24"/>
                <w:lang w:val="en-US" w:eastAsia="zh-CN"/>
              </w:rPr>
            </w:pPr>
            <w:r>
              <w:rPr>
                <w:rFonts w:hint="eastAsia" w:ascii="宋体" w:hAnsi="宋体" w:eastAsia="宋体" w:cs="宋体"/>
                <w:sz w:val="24"/>
                <w:szCs w:val="24"/>
              </w:rPr>
              <w:t xml:space="preserve"> </w:t>
            </w:r>
            <w:r>
              <w:rPr>
                <w:rFonts w:hint="eastAsia" w:ascii="宋体" w:hAnsi="宋体" w:cs="宋体"/>
                <w:sz w:val="24"/>
                <w:szCs w:val="24"/>
                <w:lang w:val="en-US" w:eastAsia="zh-CN"/>
              </w:rPr>
              <w:t>C3099其他非金属矿物制造品制造</w:t>
            </w:r>
          </w:p>
          <w:p w14:paraId="088F53EC">
            <w:pPr>
              <w:adjustRightInd w:val="0"/>
              <w:snapToGrid w:val="0"/>
              <w:jc w:val="center"/>
              <w:rPr>
                <w:rFonts w:hint="eastAsia" w:ascii="宋体" w:hAnsi="宋体" w:eastAsia="宋体" w:cs="宋体"/>
                <w:color w:val="auto"/>
                <w:sz w:val="24"/>
                <w:szCs w:val="24"/>
                <w:highlight w:val="none"/>
              </w:rPr>
            </w:pPr>
          </w:p>
        </w:tc>
        <w:tc>
          <w:tcPr>
            <w:tcW w:w="2212" w:type="dxa"/>
            <w:vAlign w:val="center"/>
          </w:tcPr>
          <w:p w14:paraId="728B24C4">
            <w:pPr>
              <w:adjustRightInd w:val="0"/>
              <w:snapToGrid w:val="0"/>
              <w:jc w:val="center"/>
              <w:rPr>
                <w:rFonts w:hint="eastAsia" w:ascii="宋体" w:hAnsi="宋体" w:eastAsia="宋体" w:cs="宋体"/>
                <w:color w:val="auto"/>
                <w:sz w:val="24"/>
                <w:szCs w:val="24"/>
                <w:highlight w:val="none"/>
              </w:rPr>
            </w:pPr>
            <w:bookmarkStart w:id="1" w:name="_Hlk49843745"/>
            <w:r>
              <w:rPr>
                <w:rFonts w:hint="eastAsia" w:ascii="宋体" w:hAnsi="宋体" w:eastAsia="宋体" w:cs="宋体"/>
                <w:color w:val="auto"/>
                <w:sz w:val="24"/>
                <w:szCs w:val="24"/>
                <w:highlight w:val="none"/>
              </w:rPr>
              <w:t>建设项目</w:t>
            </w:r>
          </w:p>
          <w:p w14:paraId="0FEC62A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行业类别</w:t>
            </w:r>
            <w:bookmarkEnd w:id="1"/>
          </w:p>
        </w:tc>
        <w:tc>
          <w:tcPr>
            <w:tcW w:w="3226" w:type="dxa"/>
            <w:vAlign w:val="center"/>
          </w:tcPr>
          <w:p w14:paraId="038EE0E0">
            <w:pPr>
              <w:keepNext w:val="0"/>
              <w:keepLines w:val="0"/>
              <w:widowControl/>
              <w:suppressLineNumbers w:val="0"/>
              <w:jc w:val="left"/>
              <w:rPr>
                <w:rFonts w:hint="eastAsia" w:ascii="宋体" w:hAnsi="宋体" w:cs="宋体"/>
                <w:sz w:val="24"/>
                <w:szCs w:val="24"/>
                <w:lang w:val="en-US" w:eastAsia="zh-CN"/>
              </w:rPr>
            </w:pPr>
            <w:r>
              <w:rPr>
                <w:rFonts w:hint="eastAsia" w:ascii="宋体" w:hAnsi="宋体" w:cs="宋体"/>
                <w:sz w:val="24"/>
                <w:szCs w:val="24"/>
                <w:lang w:val="en-US" w:eastAsia="zh-CN"/>
              </w:rPr>
              <w:t>二</w:t>
            </w:r>
            <w:r>
              <w:rPr>
                <w:rFonts w:hint="eastAsia" w:ascii="宋体" w:hAnsi="宋体" w:eastAsia="宋体" w:cs="宋体"/>
                <w:sz w:val="24"/>
                <w:szCs w:val="24"/>
                <w:lang w:eastAsia="zh-CN"/>
              </w:rPr>
              <w:t>十</w:t>
            </w:r>
            <w:r>
              <w:rPr>
                <w:rFonts w:hint="eastAsia" w:ascii="宋体" w:hAnsi="宋体" w:cs="宋体"/>
                <w:sz w:val="24"/>
                <w:szCs w:val="24"/>
                <w:lang w:val="en-US" w:eastAsia="zh-CN"/>
              </w:rPr>
              <w:t>七</w:t>
            </w:r>
            <w:r>
              <w:rPr>
                <w:rFonts w:hint="eastAsia" w:ascii="宋体" w:hAnsi="宋体" w:eastAsia="宋体" w:cs="宋体"/>
                <w:sz w:val="24"/>
                <w:szCs w:val="24"/>
              </w:rPr>
              <w:t>、</w:t>
            </w:r>
            <w:r>
              <w:rPr>
                <w:rFonts w:hint="eastAsia" w:ascii="宋体" w:hAnsi="宋体" w:cs="宋体"/>
                <w:sz w:val="24"/>
                <w:szCs w:val="24"/>
                <w:lang w:val="en-US" w:eastAsia="zh-CN"/>
              </w:rPr>
              <w:t>非金属矿物制品业</w:t>
            </w:r>
            <w:r>
              <w:rPr>
                <w:rFonts w:hint="eastAsia" w:ascii="宋体" w:hAnsi="宋体" w:eastAsia="宋体" w:cs="宋体"/>
                <w:sz w:val="24"/>
                <w:szCs w:val="24"/>
                <w:lang w:eastAsia="zh-CN"/>
              </w:rPr>
              <w:t>；</w:t>
            </w:r>
            <w:r>
              <w:rPr>
                <w:rFonts w:hint="eastAsia" w:ascii="宋体" w:hAnsi="宋体" w:cs="宋体"/>
                <w:sz w:val="24"/>
                <w:szCs w:val="24"/>
                <w:lang w:val="en-US" w:eastAsia="zh-CN"/>
              </w:rPr>
              <w:t>60.耐火材料制品制造308；石墨及其他非金属矿物制品制造309</w:t>
            </w:r>
          </w:p>
          <w:p w14:paraId="5406BD96">
            <w:pPr>
              <w:adjustRightInd w:val="0"/>
              <w:snapToGrid w:val="0"/>
              <w:jc w:val="center"/>
              <w:rPr>
                <w:rFonts w:hint="default" w:ascii="宋体" w:hAnsi="宋体" w:eastAsia="宋体" w:cs="宋体"/>
                <w:kern w:val="2"/>
                <w:sz w:val="24"/>
                <w:szCs w:val="24"/>
                <w:lang w:val="en-US" w:eastAsia="zh-CN" w:bidi="ar-SA"/>
              </w:rPr>
            </w:pPr>
          </w:p>
        </w:tc>
      </w:tr>
      <w:tr w14:paraId="463A98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382" w:type="dxa"/>
            <w:gridSpan w:val="2"/>
            <w:tcMar>
              <w:top w:w="16" w:type="dxa"/>
              <w:left w:w="16" w:type="dxa"/>
              <w:bottom w:w="0" w:type="dxa"/>
              <w:right w:w="16" w:type="dxa"/>
            </w:tcMar>
            <w:vAlign w:val="center"/>
          </w:tcPr>
          <w:p w14:paraId="58F21352">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建设性质</w:t>
            </w:r>
          </w:p>
        </w:tc>
        <w:tc>
          <w:tcPr>
            <w:tcW w:w="1637" w:type="dxa"/>
            <w:vAlign w:val="center"/>
          </w:tcPr>
          <w:p w14:paraId="4C83A34C">
            <w:pPr>
              <w:jc w:val="left"/>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52"/>
            </w:r>
            <w:r>
              <w:rPr>
                <w:rFonts w:hint="eastAsia" w:ascii="宋体" w:hAnsi="宋体" w:eastAsia="宋体" w:cs="宋体"/>
                <w:color w:val="auto"/>
                <w:sz w:val="24"/>
                <w:szCs w:val="24"/>
                <w:highlight w:val="none"/>
              </w:rPr>
              <w:t>新建（迁建）</w:t>
            </w:r>
          </w:p>
          <w:p w14:paraId="02D20209">
            <w:pPr>
              <w:jc w:val="left"/>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A3"/>
            </w:r>
            <w:r>
              <w:rPr>
                <w:rFonts w:hint="eastAsia" w:ascii="宋体" w:hAnsi="宋体" w:eastAsia="宋体" w:cs="宋体"/>
                <w:color w:val="auto"/>
                <w:sz w:val="24"/>
                <w:szCs w:val="24"/>
                <w:highlight w:val="none"/>
              </w:rPr>
              <w:t>改建</w:t>
            </w:r>
          </w:p>
          <w:p w14:paraId="209AFFE9">
            <w:pPr>
              <w:jc w:val="left"/>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A3"/>
            </w:r>
            <w:r>
              <w:rPr>
                <w:rFonts w:hint="eastAsia" w:ascii="宋体" w:hAnsi="宋体" w:eastAsia="宋体" w:cs="宋体"/>
                <w:color w:val="auto"/>
                <w:sz w:val="24"/>
                <w:szCs w:val="24"/>
                <w:highlight w:val="none"/>
              </w:rPr>
              <w:t>扩建</w:t>
            </w:r>
          </w:p>
          <w:p w14:paraId="6EFDA801">
            <w:pPr>
              <w:jc w:val="left"/>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A3"/>
            </w:r>
            <w:r>
              <w:rPr>
                <w:rFonts w:hint="eastAsia" w:ascii="宋体" w:hAnsi="宋体" w:eastAsia="宋体" w:cs="宋体"/>
                <w:color w:val="auto"/>
                <w:sz w:val="24"/>
                <w:szCs w:val="24"/>
                <w:highlight w:val="none"/>
              </w:rPr>
              <w:t>技术改造</w:t>
            </w:r>
          </w:p>
        </w:tc>
        <w:tc>
          <w:tcPr>
            <w:tcW w:w="2212" w:type="dxa"/>
            <w:vAlign w:val="center"/>
          </w:tcPr>
          <w:p w14:paraId="67D1A3BA">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建设项目</w:t>
            </w:r>
          </w:p>
          <w:p w14:paraId="10FE56F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申报情形</w:t>
            </w:r>
          </w:p>
        </w:tc>
        <w:tc>
          <w:tcPr>
            <w:tcW w:w="3226" w:type="dxa"/>
            <w:vAlign w:val="center"/>
          </w:tcPr>
          <w:p w14:paraId="79B580A2">
            <w:pPr>
              <w:jc w:val="left"/>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52"/>
            </w:r>
            <w:r>
              <w:rPr>
                <w:rFonts w:hint="eastAsia" w:ascii="宋体" w:hAnsi="宋体" w:eastAsia="宋体" w:cs="宋体"/>
                <w:color w:val="auto"/>
                <w:sz w:val="24"/>
                <w:szCs w:val="24"/>
                <w:highlight w:val="none"/>
              </w:rPr>
              <w:t xml:space="preserve">首次申报项目             </w:t>
            </w:r>
          </w:p>
          <w:p w14:paraId="73C4AC12">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□不予批准后再次申报项目</w:t>
            </w:r>
          </w:p>
          <w:p w14:paraId="7B5C53F8">
            <w:pPr>
              <w:jc w:val="left"/>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A3"/>
            </w:r>
            <w:r>
              <w:rPr>
                <w:rFonts w:hint="eastAsia" w:ascii="宋体" w:hAnsi="宋体" w:eastAsia="宋体" w:cs="宋体"/>
                <w:color w:val="auto"/>
                <w:sz w:val="24"/>
                <w:szCs w:val="24"/>
                <w:highlight w:val="none"/>
              </w:rPr>
              <w:t xml:space="preserve">超五年重新审核项目     </w:t>
            </w:r>
          </w:p>
          <w:p w14:paraId="1707D787">
            <w:pP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□重大变动重新报批项目</w:t>
            </w:r>
          </w:p>
        </w:tc>
      </w:tr>
      <w:tr w14:paraId="4C57B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2382" w:type="dxa"/>
            <w:gridSpan w:val="2"/>
            <w:tcMar>
              <w:top w:w="16" w:type="dxa"/>
              <w:left w:w="16" w:type="dxa"/>
              <w:bottom w:w="0" w:type="dxa"/>
              <w:right w:w="16" w:type="dxa"/>
            </w:tcMar>
            <w:vAlign w:val="center"/>
          </w:tcPr>
          <w:p w14:paraId="29300817">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项目审批（核准/</w:t>
            </w:r>
          </w:p>
          <w:p w14:paraId="46023009">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备案）部门（选填）</w:t>
            </w:r>
          </w:p>
        </w:tc>
        <w:tc>
          <w:tcPr>
            <w:tcW w:w="1637" w:type="dxa"/>
            <w:vAlign w:val="center"/>
          </w:tcPr>
          <w:p w14:paraId="0BDE6061">
            <w:pPr>
              <w:adjustRightInd w:val="0"/>
              <w:snapToGrid w:val="0"/>
              <w:jc w:val="center"/>
              <w:rPr>
                <w:rFonts w:hint="default" w:ascii="宋体" w:hAnsi="宋体" w:eastAsia="宋体" w:cs="宋体"/>
                <w:color w:val="auto"/>
                <w:sz w:val="24"/>
                <w:szCs w:val="24"/>
                <w:highlight w:val="none"/>
                <w:lang w:val="en-US" w:eastAsia="zh-CN"/>
              </w:rPr>
            </w:pPr>
          </w:p>
        </w:tc>
        <w:tc>
          <w:tcPr>
            <w:tcW w:w="2212" w:type="dxa"/>
            <w:vAlign w:val="center"/>
          </w:tcPr>
          <w:p w14:paraId="14C020B6">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项目审批（核准/</w:t>
            </w:r>
          </w:p>
          <w:p w14:paraId="750E44C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备案）文号（选填）</w:t>
            </w:r>
          </w:p>
        </w:tc>
        <w:tc>
          <w:tcPr>
            <w:tcW w:w="3226" w:type="dxa"/>
            <w:vAlign w:val="center"/>
          </w:tcPr>
          <w:p w14:paraId="3409BA79">
            <w:pPr>
              <w:adjustRightInd w:val="0"/>
              <w:snapToGrid w:val="0"/>
              <w:jc w:val="center"/>
              <w:rPr>
                <w:rFonts w:hint="default" w:ascii="宋体" w:hAnsi="宋体" w:eastAsia="宋体" w:cs="宋体"/>
                <w:color w:val="auto"/>
                <w:sz w:val="24"/>
                <w:szCs w:val="24"/>
                <w:highlight w:val="none"/>
                <w:lang w:val="en-US" w:eastAsia="zh-CN"/>
              </w:rPr>
            </w:pPr>
          </w:p>
        </w:tc>
      </w:tr>
      <w:tr w14:paraId="3E64B0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2382" w:type="dxa"/>
            <w:gridSpan w:val="2"/>
            <w:tcMar>
              <w:top w:w="16" w:type="dxa"/>
              <w:left w:w="16" w:type="dxa"/>
              <w:bottom w:w="0" w:type="dxa"/>
              <w:right w:w="16" w:type="dxa"/>
            </w:tcMar>
            <w:vAlign w:val="center"/>
          </w:tcPr>
          <w:p w14:paraId="0AD0BA3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总投资（万元）</w:t>
            </w:r>
          </w:p>
        </w:tc>
        <w:tc>
          <w:tcPr>
            <w:tcW w:w="1637" w:type="dxa"/>
            <w:vAlign w:val="center"/>
          </w:tcPr>
          <w:p w14:paraId="10AA3779">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kern w:val="2"/>
                <w:sz w:val="24"/>
                <w:szCs w:val="24"/>
                <w:highlight w:val="none"/>
                <w:u w:val="none"/>
                <w:lang w:val="en-US" w:eastAsia="zh-CN" w:bidi="ar-SA"/>
              </w:rPr>
              <w:t>386.1</w:t>
            </w:r>
          </w:p>
        </w:tc>
        <w:tc>
          <w:tcPr>
            <w:tcW w:w="2212" w:type="dxa"/>
            <w:tcMar>
              <w:top w:w="16" w:type="dxa"/>
              <w:left w:w="16" w:type="dxa"/>
              <w:bottom w:w="0" w:type="dxa"/>
              <w:right w:w="16" w:type="dxa"/>
            </w:tcMar>
            <w:vAlign w:val="center"/>
          </w:tcPr>
          <w:p w14:paraId="3D834F27">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环保投资（万元）</w:t>
            </w:r>
          </w:p>
        </w:tc>
        <w:tc>
          <w:tcPr>
            <w:tcW w:w="3226" w:type="dxa"/>
            <w:vAlign w:val="center"/>
          </w:tcPr>
          <w:p w14:paraId="238FCA80">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r>
      <w:tr w14:paraId="02D05E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6" w:hRule="atLeast"/>
          <w:jc w:val="center"/>
        </w:trPr>
        <w:tc>
          <w:tcPr>
            <w:tcW w:w="2382" w:type="dxa"/>
            <w:gridSpan w:val="2"/>
            <w:tcMar>
              <w:top w:w="16" w:type="dxa"/>
              <w:left w:w="16" w:type="dxa"/>
              <w:bottom w:w="0" w:type="dxa"/>
              <w:right w:w="16" w:type="dxa"/>
            </w:tcMar>
            <w:vAlign w:val="center"/>
          </w:tcPr>
          <w:p w14:paraId="5EBB97B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环保投资占比（%）</w:t>
            </w:r>
          </w:p>
        </w:tc>
        <w:tc>
          <w:tcPr>
            <w:tcW w:w="1637" w:type="dxa"/>
            <w:vAlign w:val="center"/>
          </w:tcPr>
          <w:p w14:paraId="6037641A">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w:t>
            </w:r>
          </w:p>
        </w:tc>
        <w:tc>
          <w:tcPr>
            <w:tcW w:w="2212" w:type="dxa"/>
            <w:tcMar>
              <w:top w:w="16" w:type="dxa"/>
              <w:left w:w="16" w:type="dxa"/>
              <w:bottom w:w="0" w:type="dxa"/>
              <w:right w:w="16" w:type="dxa"/>
            </w:tcMar>
            <w:vAlign w:val="center"/>
          </w:tcPr>
          <w:p w14:paraId="258F886D">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施工工期</w:t>
            </w:r>
          </w:p>
        </w:tc>
        <w:tc>
          <w:tcPr>
            <w:tcW w:w="3226" w:type="dxa"/>
            <w:vAlign w:val="center"/>
          </w:tcPr>
          <w:p w14:paraId="5BDEC5E3">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3个月</w:t>
            </w:r>
          </w:p>
        </w:tc>
      </w:tr>
      <w:tr w14:paraId="638D3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3" w:hRule="atLeast"/>
          <w:jc w:val="center"/>
        </w:trPr>
        <w:tc>
          <w:tcPr>
            <w:tcW w:w="2382" w:type="dxa"/>
            <w:gridSpan w:val="2"/>
            <w:tcMar>
              <w:top w:w="16" w:type="dxa"/>
              <w:left w:w="16" w:type="dxa"/>
              <w:bottom w:w="0" w:type="dxa"/>
              <w:right w:w="16" w:type="dxa"/>
            </w:tcMar>
            <w:vAlign w:val="center"/>
          </w:tcPr>
          <w:p w14:paraId="59DB39FF">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是否开工建设</w:t>
            </w:r>
          </w:p>
        </w:tc>
        <w:tc>
          <w:tcPr>
            <w:tcW w:w="1637" w:type="dxa"/>
            <w:vAlign w:val="center"/>
          </w:tcPr>
          <w:p w14:paraId="7E0B98C1">
            <w:pPr>
              <w:adjustRightInd w:val="0"/>
              <w:snapToGrid w:val="0"/>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52"/>
            </w:r>
            <w:r>
              <w:rPr>
                <w:rFonts w:hint="eastAsia" w:ascii="宋体" w:hAnsi="宋体" w:eastAsia="宋体" w:cs="宋体"/>
                <w:color w:val="auto"/>
                <w:sz w:val="24"/>
                <w:szCs w:val="24"/>
                <w:highlight w:val="none"/>
              </w:rPr>
              <w:t>否</w:t>
            </w:r>
          </w:p>
          <w:p w14:paraId="3B0B5815">
            <w:pPr>
              <w:adjustRightInd w:val="0"/>
              <w:snapToGrid w:val="0"/>
              <w:rPr>
                <w:rFonts w:hint="eastAsia" w:ascii="宋体" w:hAnsi="宋体" w:eastAsia="宋体" w:cs="宋体"/>
                <w:color w:val="auto"/>
                <w:sz w:val="24"/>
                <w:szCs w:val="24"/>
                <w:highlight w:val="none"/>
              </w:rPr>
            </w:pPr>
            <w:r>
              <w:rPr>
                <w:rFonts w:hint="eastAsia" w:ascii="Wingdings 2" w:hAnsi="Wingdings 2" w:eastAsia="Wingdings 2" w:cs="Wingdings 2"/>
                <w:color w:val="auto"/>
                <w:sz w:val="24"/>
                <w:szCs w:val="24"/>
                <w:highlight w:val="none"/>
              </w:rPr>
              <w:sym w:font="Wingdings 2" w:char="00A3"/>
            </w:r>
            <w:r>
              <w:rPr>
                <w:rFonts w:hint="eastAsia" w:ascii="宋体" w:hAnsi="宋体" w:eastAsia="宋体" w:cs="宋体"/>
                <w:color w:val="auto"/>
                <w:sz w:val="24"/>
                <w:szCs w:val="24"/>
                <w:highlight w:val="none"/>
              </w:rPr>
              <w:t>是：</w:t>
            </w:r>
            <w:r>
              <w:rPr>
                <w:rFonts w:hint="eastAsia" w:ascii="宋体" w:hAnsi="宋体" w:eastAsia="宋体" w:cs="宋体"/>
                <w:color w:val="auto"/>
                <w:sz w:val="24"/>
                <w:szCs w:val="24"/>
                <w:highlight w:val="none"/>
                <w:u w:val="single"/>
              </w:rPr>
              <w:t xml:space="preserve">             </w:t>
            </w:r>
          </w:p>
        </w:tc>
        <w:tc>
          <w:tcPr>
            <w:tcW w:w="2212" w:type="dxa"/>
            <w:tcMar>
              <w:top w:w="16" w:type="dxa"/>
              <w:left w:w="16" w:type="dxa"/>
              <w:bottom w:w="0" w:type="dxa"/>
              <w:right w:w="16" w:type="dxa"/>
            </w:tcMar>
            <w:vAlign w:val="center"/>
          </w:tcPr>
          <w:p w14:paraId="61456FB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用地面积（m</w:t>
            </w:r>
            <w:r>
              <w:rPr>
                <w:rFonts w:hint="eastAsia" w:ascii="宋体" w:hAnsi="宋体" w:eastAsia="宋体" w:cs="宋体"/>
                <w:color w:val="auto"/>
                <w:spacing w:val="-6"/>
                <w:sz w:val="24"/>
                <w:szCs w:val="24"/>
                <w:highlight w:val="none"/>
                <w:vertAlign w:val="superscript"/>
              </w:rPr>
              <w:t>2</w:t>
            </w:r>
            <w:r>
              <w:rPr>
                <w:rFonts w:hint="eastAsia" w:ascii="宋体" w:hAnsi="宋体" w:eastAsia="宋体" w:cs="宋体"/>
                <w:color w:val="auto"/>
                <w:spacing w:val="-6"/>
                <w:sz w:val="24"/>
                <w:szCs w:val="24"/>
                <w:highlight w:val="none"/>
              </w:rPr>
              <w:t>）</w:t>
            </w:r>
          </w:p>
        </w:tc>
        <w:tc>
          <w:tcPr>
            <w:tcW w:w="3226" w:type="dxa"/>
            <w:vAlign w:val="center"/>
          </w:tcPr>
          <w:p w14:paraId="6B0BF2E9">
            <w:pPr>
              <w:adjustRightInd w:val="0"/>
              <w:snapToGrid w:val="0"/>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100</w:t>
            </w:r>
          </w:p>
        </w:tc>
      </w:tr>
      <w:tr w14:paraId="37E6D0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382" w:type="dxa"/>
            <w:gridSpan w:val="2"/>
            <w:vAlign w:val="center"/>
          </w:tcPr>
          <w:p w14:paraId="57651DEE">
            <w:pPr>
              <w:autoSpaceDE w:val="0"/>
              <w:autoSpaceDN w:val="0"/>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专项评价设置情况</w:t>
            </w:r>
          </w:p>
        </w:tc>
        <w:tc>
          <w:tcPr>
            <w:tcW w:w="7075" w:type="dxa"/>
            <w:gridSpan w:val="3"/>
            <w:vAlign w:val="center"/>
          </w:tcPr>
          <w:p w14:paraId="44C1F638">
            <w:pPr>
              <w:autoSpaceDE w:val="0"/>
              <w:autoSpaceDN w:val="0"/>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1A3929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1" w:hRule="atLeast"/>
          <w:jc w:val="center"/>
        </w:trPr>
        <w:tc>
          <w:tcPr>
            <w:tcW w:w="2382" w:type="dxa"/>
            <w:gridSpan w:val="2"/>
            <w:vAlign w:val="center"/>
          </w:tcPr>
          <w:p w14:paraId="363F40CE">
            <w:pPr>
              <w:autoSpaceDE w:val="0"/>
              <w:autoSpaceDN w:val="0"/>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规划情况</w:t>
            </w:r>
          </w:p>
        </w:tc>
        <w:tc>
          <w:tcPr>
            <w:tcW w:w="7075" w:type="dxa"/>
            <w:gridSpan w:val="3"/>
            <w:vAlign w:val="center"/>
          </w:tcPr>
          <w:p w14:paraId="2EF364BC">
            <w:pPr>
              <w:autoSpaceDE w:val="0"/>
              <w:autoSpaceDN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735EA0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382" w:type="dxa"/>
            <w:gridSpan w:val="2"/>
            <w:vAlign w:val="center"/>
          </w:tcPr>
          <w:p w14:paraId="7CB055D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规划环境影响</w:t>
            </w:r>
          </w:p>
          <w:p w14:paraId="3BB0E4B4">
            <w:pPr>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评价情况</w:t>
            </w:r>
          </w:p>
        </w:tc>
        <w:tc>
          <w:tcPr>
            <w:tcW w:w="7075" w:type="dxa"/>
            <w:gridSpan w:val="3"/>
            <w:vAlign w:val="center"/>
          </w:tcPr>
          <w:p w14:paraId="467DB50C">
            <w:pPr>
              <w:autoSpaceDE w:val="0"/>
              <w:autoSpaceDN w:val="0"/>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54DC9D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382" w:type="dxa"/>
            <w:gridSpan w:val="2"/>
            <w:vAlign w:val="center"/>
          </w:tcPr>
          <w:p w14:paraId="26D606C4">
            <w:pPr>
              <w:autoSpaceDE w:val="0"/>
              <w:autoSpaceDN w:val="0"/>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规划及规划环境</w:t>
            </w:r>
          </w:p>
          <w:p w14:paraId="69C72C54">
            <w:pPr>
              <w:autoSpaceDE w:val="0"/>
              <w:autoSpaceDN w:val="0"/>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影响评价符合性分析</w:t>
            </w:r>
          </w:p>
        </w:tc>
        <w:tc>
          <w:tcPr>
            <w:tcW w:w="7075" w:type="dxa"/>
            <w:gridSpan w:val="3"/>
            <w:vAlign w:val="center"/>
          </w:tcPr>
          <w:p w14:paraId="11DF2751">
            <w:pPr>
              <w:autoSpaceDE w:val="0"/>
              <w:autoSpaceDN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无</w:t>
            </w:r>
          </w:p>
        </w:tc>
      </w:tr>
      <w:tr w14:paraId="3DBB2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048" w:hRule="atLeast"/>
          <w:jc w:val="center"/>
        </w:trPr>
        <w:tc>
          <w:tcPr>
            <w:tcW w:w="1427" w:type="dxa"/>
            <w:vAlign w:val="center"/>
          </w:tcPr>
          <w:p w14:paraId="6AD4075A">
            <w:pPr>
              <w:autoSpaceDE w:val="0"/>
              <w:autoSpaceDN w:val="0"/>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其他符合性分析</w:t>
            </w:r>
          </w:p>
        </w:tc>
        <w:tc>
          <w:tcPr>
            <w:tcW w:w="8030" w:type="dxa"/>
            <w:gridSpan w:val="4"/>
            <w:vAlign w:val="center"/>
          </w:tcPr>
          <w:p w14:paraId="369D9EEB">
            <w:pPr>
              <w:tabs>
                <w:tab w:val="left" w:pos="2730"/>
              </w:tabs>
              <w:adjustRightInd w:val="0"/>
              <w:snapToGrid w:val="0"/>
              <w:spacing w:before="120"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1．产业政策符合性分析</w:t>
            </w:r>
          </w:p>
          <w:p w14:paraId="25CE6CC1">
            <w:pPr>
              <w:pStyle w:val="72"/>
              <w:spacing w:line="360" w:lineRule="auto"/>
              <w:ind w:firstLine="420"/>
              <w:rPr>
                <w:rFonts w:hint="eastAsia" w:ascii="宋体" w:hAnsi="宋体" w:eastAsia="宋体" w:cs="宋体"/>
                <w:sz w:val="24"/>
                <w:szCs w:val="24"/>
                <w:lang w:eastAsia="zh-CN"/>
              </w:rPr>
            </w:pPr>
            <w:r>
              <w:rPr>
                <w:rFonts w:hint="eastAsia" w:ascii="宋体" w:hAnsi="宋体" w:eastAsia="宋体" w:cs="宋体"/>
                <w:color w:val="auto"/>
                <w:sz w:val="24"/>
                <w:szCs w:val="24"/>
                <w:highlight w:val="none"/>
              </w:rPr>
              <w:t>项目对照</w:t>
            </w:r>
            <w:r>
              <w:rPr>
                <w:rFonts w:hint="eastAsia" w:ascii="宋体" w:hAnsi="宋体" w:eastAsia="宋体" w:cs="宋体"/>
                <w:sz w:val="24"/>
                <w:szCs w:val="24"/>
              </w:rPr>
              <w:t>《产业结构调整指导目录（2</w:t>
            </w:r>
            <w:r>
              <w:rPr>
                <w:rFonts w:hint="eastAsia" w:ascii="宋体" w:hAnsi="宋体" w:eastAsia="宋体" w:cs="宋体"/>
                <w:sz w:val="24"/>
                <w:szCs w:val="24"/>
                <w:lang w:eastAsia="zh-CN"/>
              </w:rPr>
              <w:t>0</w:t>
            </w:r>
            <w:r>
              <w:rPr>
                <w:rFonts w:hint="eastAsia" w:ascii="宋体" w:hAnsi="宋体" w:cs="宋体"/>
                <w:sz w:val="24"/>
                <w:szCs w:val="24"/>
                <w:lang w:val="en-US" w:eastAsia="zh-CN"/>
              </w:rPr>
              <w:t>24</w:t>
            </w:r>
            <w:r>
              <w:rPr>
                <w:rFonts w:hint="eastAsia" w:ascii="宋体" w:hAnsi="宋体" w:eastAsia="宋体" w:cs="宋体"/>
                <w:sz w:val="24"/>
                <w:szCs w:val="24"/>
              </w:rPr>
              <w:t>年本）》，本项目不属于鼓励、限制、淘汰类产业项目，为允许类</w:t>
            </w:r>
            <w:r>
              <w:rPr>
                <w:rFonts w:hint="eastAsia" w:ascii="宋体" w:hAnsi="宋体" w:eastAsia="宋体" w:cs="宋体"/>
                <w:sz w:val="24"/>
                <w:szCs w:val="24"/>
                <w:lang w:eastAsia="zh-CN"/>
              </w:rPr>
              <w:t>，</w:t>
            </w:r>
            <w:r>
              <w:rPr>
                <w:rFonts w:hint="eastAsia" w:ascii="宋体" w:hAnsi="宋体" w:eastAsia="宋体" w:cs="宋体"/>
                <w:sz w:val="24"/>
                <w:szCs w:val="24"/>
              </w:rPr>
              <w:t>符合</w:t>
            </w:r>
            <w:r>
              <w:rPr>
                <w:rFonts w:hint="eastAsia" w:ascii="宋体" w:hAnsi="宋体" w:eastAsia="宋体" w:cs="宋体"/>
                <w:color w:val="auto"/>
                <w:sz w:val="24"/>
                <w:szCs w:val="24"/>
                <w:highlight w:val="none"/>
              </w:rPr>
              <w:t>国家</w:t>
            </w:r>
            <w:r>
              <w:rPr>
                <w:rFonts w:hint="eastAsia" w:ascii="宋体" w:hAnsi="宋体" w:eastAsia="宋体" w:cs="宋体"/>
                <w:sz w:val="24"/>
                <w:szCs w:val="24"/>
              </w:rPr>
              <w:t>产业政策。</w:t>
            </w:r>
          </w:p>
          <w:p w14:paraId="7D06AA16">
            <w:pPr>
              <w:tabs>
                <w:tab w:val="left" w:pos="2730"/>
              </w:tabs>
              <w:adjustRightInd w:val="0"/>
              <w:snapToGrid w:val="0"/>
              <w:spacing w:before="120"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2．选址合理性分析</w:t>
            </w:r>
          </w:p>
          <w:p w14:paraId="65D14CAD">
            <w:pPr>
              <w:tabs>
                <w:tab w:val="left" w:pos="2730"/>
              </w:tabs>
              <w:adjustRightInd w:val="0"/>
              <w:snapToGrid w:val="0"/>
              <w:spacing w:before="120"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项目位于内蒙古自治区鄂尔多斯市伊金霍洛旗乌兰木伦镇</w:t>
            </w:r>
            <w:r>
              <w:rPr>
                <w:rFonts w:hint="eastAsia" w:ascii="宋体" w:hAnsi="宋体" w:eastAsia="宋体" w:cs="宋体"/>
                <w:color w:val="auto"/>
                <w:sz w:val="24"/>
                <w:szCs w:val="24"/>
                <w:highlight w:val="none"/>
                <w:u w:val="none"/>
              </w:rPr>
              <w:t>中国神华煤制油化工有限公司鄂尔多斯煤制油分公司</w:t>
            </w:r>
            <w:r>
              <w:rPr>
                <w:rFonts w:hint="eastAsia" w:ascii="宋体" w:hAnsi="宋体" w:cs="宋体"/>
                <w:color w:val="auto"/>
                <w:sz w:val="24"/>
                <w:szCs w:val="24"/>
                <w:highlight w:val="none"/>
                <w:u w:val="none"/>
                <w:lang w:val="en-US" w:eastAsia="zh-CN"/>
              </w:rPr>
              <w:t>厂区内</w:t>
            </w:r>
            <w:r>
              <w:rPr>
                <w:rFonts w:hint="eastAsia" w:ascii="宋体" w:hAnsi="宋体" w:eastAsia="宋体" w:cs="宋体"/>
                <w:color w:val="auto"/>
                <w:sz w:val="24"/>
                <w:szCs w:val="24"/>
                <w:highlight w:val="none"/>
              </w:rPr>
              <w:t>，项目不在饮用水源、风景名胜、自然保护区等生态保护范围内。</w:t>
            </w:r>
          </w:p>
          <w:p w14:paraId="0B0975C0">
            <w:pPr>
              <w:tabs>
                <w:tab w:val="left" w:pos="2730"/>
              </w:tabs>
              <w:adjustRightInd w:val="0"/>
              <w:snapToGrid w:val="0"/>
              <w:spacing w:before="120" w:beforeLines="50"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3．三线一单符合性分析</w:t>
            </w:r>
          </w:p>
          <w:p w14:paraId="1EC89ED5">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（1）生态保护红线</w:t>
            </w:r>
          </w:p>
          <w:p w14:paraId="7917F815">
            <w:pPr>
              <w:spacing w:line="360" w:lineRule="auto"/>
              <w:ind w:firstLine="48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2024年8月6日《鄂尔多斯市生态环境分区管控动态更新成果(2023年版)》，全市共划定环境管控单元171个，包括优先保护单元、重点管控单元、一般管控单元三类，实施分类管控。其中优先保护单元共76个，面积占比为64.35%，主要包括鄂尔多斯市生态保护红线、自然保护地、集中式饮用水水源保护区等生态功能重要区和生态环境敏感区，该区域以生态环境保护优先为原则，依法禁止或限制大规模、高强度的工业开发和城镇建设，确保生态环境功能不降低；重点管控单元共86个，面积占比为28.10%，主要包括工业园区、城市、矿区等开发强度高、污染排放量大、环境问题相对集中的区域，以及生态需水补给区等，该区域应不断提升资源利用效率，有针对性地加强污染物排放控制和环境风险防控，解决生态环境质量不达标、生态环境风险高等问题；一般管控单元共9个，面积占比为7.56%，优先保护单元、重点管控单元之外为一般管控单元，该区域主要落实生态环境保护基本要求。</w:t>
            </w:r>
          </w:p>
          <w:p w14:paraId="56E6F2E1">
            <w:pPr>
              <w:pStyle w:val="16"/>
              <w:spacing w:line="360" w:lineRule="auto"/>
              <w:ind w:firstLine="480"/>
              <w:rPr>
                <w:rFonts w:hint="default" w:eastAsia="宋体"/>
                <w:sz w:val="24"/>
                <w:szCs w:val="24"/>
                <w:lang w:val="en-US" w:eastAsia="zh-CN"/>
              </w:rPr>
            </w:pPr>
            <w:r>
              <w:rPr>
                <w:rFonts w:hint="eastAsia"/>
                <w:sz w:val="24"/>
                <w:szCs w:val="24"/>
                <w:lang w:val="en-US" w:eastAsia="zh-CN"/>
              </w:rPr>
              <w:t>本项目位于伊金霍洛旗乌兰木伦镇，不会突破当地生态保护红线面积，符合生态保护红线要求。</w:t>
            </w:r>
          </w:p>
          <w:p w14:paraId="22B0EDCF">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（2）资源利用上线</w:t>
            </w:r>
          </w:p>
          <w:p w14:paraId="6AFDFA3C">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本项目运营过程中有一定电力资源的消耗，消耗资源相对于区域资源利用总量较少，符合资源利用上线要求。</w:t>
            </w:r>
          </w:p>
          <w:p w14:paraId="08E12A77">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（3）环境质量底线</w:t>
            </w:r>
          </w:p>
          <w:p w14:paraId="2F2794F1">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区域环境空气属于《环境空气质量标准》（GB3095-2012）中二类功能区，根据自治区发布的环境质量公报结果，评价区域空气质量为达标区；区域声环境属于《声环境质量标准》（GB3096-2008）中3类功能区，区域生态环境质量较好。</w:t>
            </w:r>
          </w:p>
          <w:p w14:paraId="27F2DE90">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w:t>
            </w:r>
            <w:r>
              <w:rPr>
                <w:rFonts w:hint="eastAsia" w:ascii="宋体" w:hAnsi="宋体" w:eastAsia="宋体" w:cs="宋体"/>
                <w:color w:val="auto"/>
                <w:sz w:val="24"/>
                <w:szCs w:val="24"/>
                <w:highlight w:val="none"/>
                <w:lang w:val="en-US" w:eastAsia="zh-CN"/>
              </w:rPr>
              <w:t>建成后，</w:t>
            </w:r>
            <w:r>
              <w:rPr>
                <w:rFonts w:hint="eastAsia" w:cs="宋体"/>
                <w:color w:val="auto"/>
                <w:sz w:val="24"/>
                <w:szCs w:val="24"/>
                <w:highlight w:val="none"/>
                <w:lang w:val="en-US" w:eastAsia="zh-CN"/>
              </w:rPr>
              <w:t>污染物</w:t>
            </w:r>
            <w:r>
              <w:rPr>
                <w:rFonts w:hint="eastAsia" w:ascii="宋体" w:hAnsi="宋体" w:eastAsia="宋体" w:cs="宋体"/>
                <w:color w:val="auto"/>
                <w:sz w:val="24"/>
                <w:szCs w:val="24"/>
                <w:highlight w:val="none"/>
                <w:lang w:val="en-US" w:eastAsia="zh-CN"/>
              </w:rPr>
              <w:t xml:space="preserve">排放浓度满足 </w:t>
            </w:r>
            <w:r>
              <w:rPr>
                <w:rFonts w:hint="default" w:ascii="宋体" w:hAnsi="宋体" w:eastAsia="宋体" w:cs="宋体"/>
                <w:color w:val="auto"/>
                <w:sz w:val="24"/>
                <w:szCs w:val="24"/>
                <w:highlight w:val="none"/>
                <w:lang w:val="en-US" w:eastAsia="zh-CN"/>
              </w:rPr>
              <w:t>GB 16297-1996</w:t>
            </w:r>
            <w:r>
              <w:rPr>
                <w:rFonts w:hint="eastAsia" w:ascii="宋体" w:hAnsi="宋体" w:eastAsia="宋体" w:cs="宋体"/>
                <w:color w:val="auto"/>
                <w:sz w:val="24"/>
                <w:szCs w:val="24"/>
                <w:highlight w:val="none"/>
                <w:lang w:val="en-US" w:eastAsia="zh-CN"/>
              </w:rPr>
              <w:t>《大气污染物综合排放标准》中对污染物排放限值的标准要求，且满足环保要求。项目不新增劳动定员，无生活废水产生；</w:t>
            </w:r>
            <w:r>
              <w:rPr>
                <w:rFonts w:hint="eastAsia" w:cs="宋体"/>
                <w:color w:val="auto"/>
                <w:sz w:val="24"/>
                <w:szCs w:val="24"/>
                <w:highlight w:val="none"/>
                <w:lang w:val="en-US" w:eastAsia="zh-CN"/>
              </w:rPr>
              <w:t>生产废水为水环切造粒产生的废水</w:t>
            </w:r>
            <w:r>
              <w:rPr>
                <w:rFonts w:hint="eastAsia" w:ascii="宋体" w:hAnsi="宋体" w:eastAsia="宋体" w:cs="宋体"/>
                <w:color w:val="auto"/>
                <w:sz w:val="24"/>
                <w:szCs w:val="24"/>
                <w:highlight w:val="none"/>
                <w:lang w:val="en-US" w:eastAsia="zh-CN"/>
              </w:rPr>
              <w:t>，</w:t>
            </w:r>
            <w:r>
              <w:rPr>
                <w:rFonts w:hint="eastAsia" w:cs="宋体"/>
                <w:color w:val="auto"/>
                <w:sz w:val="24"/>
                <w:szCs w:val="24"/>
                <w:highlight w:val="none"/>
                <w:lang w:val="en-US" w:eastAsia="zh-CN"/>
              </w:rPr>
              <w:t>经厂区污水处理站处理后</w:t>
            </w:r>
            <w:r>
              <w:rPr>
                <w:rFonts w:hint="eastAsia" w:ascii="宋体" w:hAnsi="宋体" w:cs="宋体"/>
                <w:color w:val="auto"/>
                <w:sz w:val="24"/>
                <w:szCs w:val="24"/>
                <w:lang w:val="en-US" w:eastAsia="zh-CN"/>
              </w:rPr>
              <w:t>回用至全厂循环水系统</w:t>
            </w:r>
            <w:r>
              <w:rPr>
                <w:rFonts w:hint="eastAsia" w:cs="宋体"/>
                <w:color w:val="auto"/>
                <w:sz w:val="24"/>
                <w:szCs w:val="24"/>
                <w:lang w:val="en-US" w:eastAsia="zh-CN"/>
              </w:rPr>
              <w:t>，</w:t>
            </w:r>
            <w:r>
              <w:rPr>
                <w:rFonts w:hint="eastAsia" w:ascii="宋体" w:hAnsi="宋体" w:eastAsia="宋体" w:cs="宋体"/>
                <w:color w:val="auto"/>
                <w:sz w:val="24"/>
                <w:szCs w:val="24"/>
                <w:highlight w:val="none"/>
                <w:lang w:val="en-US" w:eastAsia="zh-CN"/>
              </w:rPr>
              <w:t>无废水外排。</w:t>
            </w:r>
            <w:r>
              <w:rPr>
                <w:rFonts w:hint="eastAsia" w:ascii="宋体" w:hAnsi="宋体" w:eastAsia="宋体" w:cs="宋体"/>
                <w:color w:val="auto"/>
                <w:sz w:val="24"/>
                <w:szCs w:val="24"/>
                <w:highlight w:val="none"/>
              </w:rPr>
              <w:t>因此本项目建设不会对当地环境质量底线造成冲击。</w:t>
            </w:r>
          </w:p>
          <w:p w14:paraId="613427D9">
            <w:pPr>
              <w:pStyle w:val="1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（4）生态环境准入清单</w:t>
            </w:r>
          </w:p>
          <w:p w14:paraId="300B7C34">
            <w:pPr>
              <w:pStyle w:val="16"/>
              <w:spacing w:line="360" w:lineRule="auto"/>
              <w:ind w:firstLine="480"/>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结合《鄂尔多斯市生态环境分区管控动态更新成果(2023年版)</w:t>
            </w:r>
            <w:bookmarkStart w:id="2" w:name="OLE_LINK4"/>
            <w:r>
              <w:rPr>
                <w:rFonts w:hint="eastAsia" w:cs="宋体"/>
                <w:color w:val="auto"/>
                <w:sz w:val="24"/>
                <w:szCs w:val="24"/>
                <w:highlight w:val="none"/>
                <w:lang w:val="en-US" w:eastAsia="zh-CN"/>
              </w:rPr>
              <w:t>》</w:t>
            </w:r>
            <w:bookmarkEnd w:id="2"/>
            <w:r>
              <w:rPr>
                <w:rFonts w:hint="eastAsia" w:cs="宋体"/>
                <w:color w:val="auto"/>
                <w:sz w:val="24"/>
                <w:szCs w:val="24"/>
                <w:highlight w:val="none"/>
                <w:lang w:val="en-US" w:eastAsia="zh-CN"/>
              </w:rPr>
              <w:t>，</w:t>
            </w:r>
            <w:r>
              <w:rPr>
                <w:rFonts w:hint="eastAsia" w:ascii="宋体" w:hAnsi="宋体" w:eastAsia="宋体" w:cs="宋体"/>
                <w:color w:val="auto"/>
                <w:sz w:val="24"/>
                <w:szCs w:val="24"/>
                <w:highlight w:val="none"/>
              </w:rPr>
              <w:t>项目所在区域位于重点管控单元范围内，本项目符合生态环境准入清单各项要求。项目所在单元管控编码为ZH15062720005，单元管控名称为神东矿区及周边煤矿区，本项目与生态环境准入清单符合性分析见表1-1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在鄂尔多斯市管控单元图中位置见图1-1</w:t>
            </w:r>
            <w:r>
              <w:rPr>
                <w:rFonts w:hint="eastAsia" w:ascii="宋体" w:hAnsi="宋体" w:eastAsia="宋体" w:cs="宋体"/>
                <w:color w:val="auto"/>
                <w:sz w:val="24"/>
                <w:szCs w:val="24"/>
                <w:highlight w:val="none"/>
              </w:rPr>
              <w:t>。</w:t>
            </w:r>
          </w:p>
          <w:p w14:paraId="4B287266">
            <w:pPr>
              <w:pStyle w:val="24"/>
              <w:snapToGrid w:val="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表1-1 环境准入清单符合性分析表</w:t>
            </w:r>
          </w:p>
          <w:tbl>
            <w:tblPr>
              <w:tblStyle w:val="27"/>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456"/>
              <w:gridCol w:w="1380"/>
              <w:gridCol w:w="1118"/>
            </w:tblGrid>
            <w:tr w14:paraId="7542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pct"/>
                  <w:shd w:val="clear" w:color="auto" w:fill="D7D7D7"/>
                  <w:vAlign w:val="center"/>
                </w:tcPr>
                <w:p w14:paraId="51F16C05">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管控类别</w:t>
                  </w:r>
                </w:p>
              </w:tc>
              <w:tc>
                <w:tcPr>
                  <w:tcW w:w="2857" w:type="pct"/>
                  <w:shd w:val="clear" w:color="auto" w:fill="D7D7D7"/>
                  <w:vAlign w:val="center"/>
                </w:tcPr>
                <w:p w14:paraId="08F24D35">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具体管控要求</w:t>
                  </w:r>
                </w:p>
              </w:tc>
              <w:tc>
                <w:tcPr>
                  <w:tcW w:w="884" w:type="pct"/>
                  <w:shd w:val="clear" w:color="auto" w:fill="D7D7D7"/>
                  <w:vAlign w:val="center"/>
                </w:tcPr>
                <w:p w14:paraId="1E21263F">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本项目实际情况</w:t>
                  </w:r>
                </w:p>
              </w:tc>
              <w:tc>
                <w:tcPr>
                  <w:tcW w:w="716" w:type="pct"/>
                  <w:shd w:val="clear" w:color="auto" w:fill="D7D7D7"/>
                  <w:vAlign w:val="center"/>
                </w:tcPr>
                <w:p w14:paraId="16E10D05">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符合性分析</w:t>
                  </w:r>
                </w:p>
              </w:tc>
            </w:tr>
            <w:tr w14:paraId="00A1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pct"/>
                  <w:vMerge w:val="restart"/>
                  <w:shd w:val="clear" w:color="auto" w:fill="D7D7D7"/>
                  <w:vAlign w:val="center"/>
                </w:tcPr>
                <w:p w14:paraId="0BA973BF">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空间布局约束</w:t>
                  </w:r>
                </w:p>
              </w:tc>
              <w:tc>
                <w:tcPr>
                  <w:tcW w:w="2857" w:type="pct"/>
                  <w:vAlign w:val="center"/>
                </w:tcPr>
                <w:p w14:paraId="413C3E88">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1.非经国务院授权的有关主管部门同意，不得在《中华人民共和国矿产资源法（修正）》中所列的6种地区开采矿产资源。</w:t>
                  </w:r>
                </w:p>
              </w:tc>
              <w:tc>
                <w:tcPr>
                  <w:tcW w:w="884" w:type="pct"/>
                  <w:vAlign w:val="center"/>
                </w:tcPr>
                <w:p w14:paraId="1E12061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本项目不涉及</w:t>
                  </w:r>
                </w:p>
              </w:tc>
              <w:tc>
                <w:tcPr>
                  <w:tcW w:w="716" w:type="pct"/>
                  <w:vAlign w:val="center"/>
                </w:tcPr>
                <w:p w14:paraId="53A2EF18">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p>
              </w:tc>
            </w:tr>
            <w:tr w14:paraId="784B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pct"/>
                  <w:vMerge w:val="continue"/>
                  <w:shd w:val="clear" w:color="auto" w:fill="D7D7D7"/>
                  <w:vAlign w:val="center"/>
                </w:tcPr>
                <w:p w14:paraId="48E56306">
                  <w:pPr>
                    <w:jc w:val="center"/>
                    <w:rPr>
                      <w:rFonts w:hint="eastAsia" w:ascii="宋体" w:hAnsi="宋体" w:eastAsia="宋体" w:cs="宋体"/>
                      <w:b/>
                      <w:bCs/>
                      <w:color w:val="auto"/>
                      <w:sz w:val="21"/>
                      <w:szCs w:val="21"/>
                      <w:highlight w:val="none"/>
                    </w:rPr>
                  </w:pPr>
                </w:p>
              </w:tc>
              <w:tc>
                <w:tcPr>
                  <w:tcW w:w="2857" w:type="pct"/>
                  <w:vAlign w:val="center"/>
                </w:tcPr>
                <w:p w14:paraId="57164DEA">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2.禁止新建、扩建《产业结构调整指导目录（20</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年本）》明确的淘汰类项目；严格执行《自治区国家重点生态功能区产业准入负面清单（试行）》（内政发〔2018〕11 号）中采矿业管控要求。</w:t>
                  </w:r>
                </w:p>
              </w:tc>
              <w:tc>
                <w:tcPr>
                  <w:tcW w:w="884" w:type="pct"/>
                  <w:vAlign w:val="center"/>
                </w:tcPr>
                <w:p w14:paraId="0851162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本项目不涉及</w:t>
                  </w:r>
                </w:p>
              </w:tc>
              <w:tc>
                <w:tcPr>
                  <w:tcW w:w="716" w:type="pct"/>
                  <w:vAlign w:val="center"/>
                </w:tcPr>
                <w:p w14:paraId="36AEC5E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p>
              </w:tc>
            </w:tr>
            <w:tr w14:paraId="21DCB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pct"/>
                  <w:vMerge w:val="restart"/>
                  <w:shd w:val="clear" w:color="auto" w:fill="D7D7D7"/>
                  <w:vAlign w:val="center"/>
                </w:tcPr>
                <w:p w14:paraId="55FA8EA6">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环境</w:t>
                  </w:r>
                </w:p>
                <w:p w14:paraId="772EFA0B">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风险</w:t>
                  </w:r>
                </w:p>
                <w:p w14:paraId="3806801D">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防控</w:t>
                  </w:r>
                </w:p>
              </w:tc>
              <w:tc>
                <w:tcPr>
                  <w:tcW w:w="2857" w:type="pct"/>
                  <w:vAlign w:val="center"/>
                </w:tcPr>
                <w:p w14:paraId="19E1C022">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制定环境风险应急预案，成立应急组织机构，配备必要的应急设施和应急物资，定期开展环境风险应急演练。</w:t>
                  </w:r>
                </w:p>
              </w:tc>
              <w:tc>
                <w:tcPr>
                  <w:tcW w:w="884" w:type="pct"/>
                  <w:vAlign w:val="center"/>
                </w:tcPr>
                <w:p w14:paraId="2A47348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本项目已纳入中国神华煤制油化工有限公司鄂尔多斯煤制油分公司环境应急预案体系</w:t>
                  </w:r>
                </w:p>
              </w:tc>
              <w:tc>
                <w:tcPr>
                  <w:tcW w:w="716" w:type="pct"/>
                  <w:vAlign w:val="center"/>
                </w:tcPr>
                <w:p w14:paraId="35F429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p>
              </w:tc>
            </w:tr>
            <w:tr w14:paraId="2660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pct"/>
                  <w:vMerge w:val="continue"/>
                  <w:shd w:val="clear" w:color="auto" w:fill="D7D7D7"/>
                  <w:vAlign w:val="center"/>
                </w:tcPr>
                <w:p w14:paraId="3F15EE06">
                  <w:pPr>
                    <w:jc w:val="center"/>
                    <w:rPr>
                      <w:rFonts w:hint="eastAsia" w:ascii="宋体" w:hAnsi="宋体" w:eastAsia="宋体" w:cs="宋体"/>
                      <w:color w:val="auto"/>
                      <w:sz w:val="21"/>
                      <w:szCs w:val="21"/>
                      <w:highlight w:val="none"/>
                    </w:rPr>
                  </w:pPr>
                </w:p>
              </w:tc>
              <w:tc>
                <w:tcPr>
                  <w:tcW w:w="2857" w:type="pct"/>
                  <w:vAlign w:val="center"/>
                </w:tcPr>
                <w:p w14:paraId="63953E7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2.加强采矿引起的滑坡、塌陷等次生地质灾害的防范和治理，及时回填废弃巷道和采空区，要充分利用采矿疏干排出的地下水，最大限度的维持矿区生态平衡。</w:t>
                  </w:r>
                </w:p>
              </w:tc>
              <w:tc>
                <w:tcPr>
                  <w:tcW w:w="884" w:type="pct"/>
                  <w:vAlign w:val="center"/>
                </w:tcPr>
                <w:p w14:paraId="5B28643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本项目已纳入中国神华煤制油化工有限公司鄂尔多斯煤制油分公司环境应急预案体系</w:t>
                  </w:r>
                </w:p>
              </w:tc>
              <w:tc>
                <w:tcPr>
                  <w:tcW w:w="716" w:type="pct"/>
                  <w:vAlign w:val="center"/>
                </w:tcPr>
                <w:p w14:paraId="166CF13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w:t>
                  </w:r>
                </w:p>
              </w:tc>
            </w:tr>
          </w:tbl>
          <w:p w14:paraId="17A86D4F">
            <w:pPr>
              <w:spacing w:line="360" w:lineRule="auto"/>
              <w:ind w:firstLine="480" w:firstLineChars="200"/>
              <w:rPr>
                <w:rFonts w:hint="eastAsia" w:ascii="宋体" w:hAnsi="宋体" w:eastAsia="宋体" w:cs="宋体"/>
                <w:color w:val="auto"/>
                <w:sz w:val="24"/>
                <w:szCs w:val="24"/>
                <w:highlight w:val="none"/>
              </w:rPr>
            </w:pPr>
          </w:p>
          <w:p w14:paraId="30D274D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3608705</wp:posOffset>
                      </wp:positionH>
                      <wp:positionV relativeFrom="paragraph">
                        <wp:posOffset>1893570</wp:posOffset>
                      </wp:positionV>
                      <wp:extent cx="487045" cy="222250"/>
                      <wp:effectExtent l="86360" t="188595" r="20955" b="15875"/>
                      <wp:wrapNone/>
                      <wp:docPr id="108" name="_x0000_s1165"/>
                      <wp:cNvGraphicFramePr/>
                      <a:graphic xmlns:a="http://schemas.openxmlformats.org/drawingml/2006/main">
                        <a:graphicData uri="http://schemas.microsoft.com/office/word/2010/wordprocessingShape">
                          <wps:wsp>
                            <wps:cNvSpPr/>
                            <wps:spPr>
                              <a:xfrm>
                                <a:off x="0" y="0"/>
                                <a:ext cx="487045" cy="222250"/>
                              </a:xfrm>
                              <a:prstGeom prst="wedgeRectCallout">
                                <a:avLst>
                                  <a:gd name="adj1" fmla="val -65123"/>
                                  <a:gd name="adj2" fmla="val -129233"/>
                                </a:avLst>
                              </a:pr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ACF795">
                                  <w:pPr>
                                    <w:jc w:val="center"/>
                                    <w:rPr>
                                      <w:rFonts w:hint="default" w:eastAsia="宋体"/>
                                      <w:sz w:val="8"/>
                                      <w:szCs w:val="11"/>
                                      <w:lang w:val="en-US" w:eastAsia="zh-CN"/>
                                    </w:rPr>
                                  </w:pPr>
                                  <w:r>
                                    <w:rPr>
                                      <w:rFonts w:hint="eastAsia"/>
                                      <w:sz w:val="8"/>
                                      <w:szCs w:val="11"/>
                                      <w:lang w:val="en-US" w:eastAsia="zh-CN"/>
                                    </w:rPr>
                                    <w:t>本项目位置</w:t>
                                  </w:r>
                                </w:p>
                              </w:txbxContent>
                            </wps:txbx>
                            <wps:bodyPr rot="0" spcFirstLastPara="0" vertOverflow="overflow" horzOverflow="overflow" vert="horz" wrap="square" lIns="91440" tIns="45720" rIns="91440" bIns="45720" numCol="1" rtlCol="0" anchor="ctr" upright="1">
                              <a:noAutofit/>
                            </wps:bodyPr>
                          </wps:wsp>
                        </a:graphicData>
                      </a:graphic>
                    </wp:anchor>
                  </w:drawing>
                </mc:Choice>
                <mc:Fallback>
                  <w:pict>
                    <v:shape id="_x0000_s1165" o:spid="_x0000_s1026" o:spt="61" type="#_x0000_t61" style="position:absolute;left:0pt;margin-left:284.15pt;margin-top:149.1pt;height:17.5pt;width:38.35pt;z-index:251660288;v-text-anchor:middle;mso-width-relative:page;mso-height-relative:page;" fillcolor="#4F81BD [3204]" filled="t" stroked="t" coordsize="21600,21600" o:gfxdata="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COE+d2QAAAAsBAAAPAAAA&#10;AAAAAAEAIAAAACIAAABkcnMvZG93bnJldi54bWxQSwECFAAUAAAACACHTuJAQ4K5CIYCAAA1BQAA&#10;DgAAAAAAAAABACAAAAAoAQAAZHJzL2Uyb0RvYy54bWxQSwUGAAAAAAYABgBZAQAAIAYAAAAA&#10;" adj="-3267,-17114">
                      <v:fill on="t" focussize="0,0"/>
                      <v:stroke weight="2pt" color="#385D8A [3204]" joinstyle="round"/>
                      <v:imagedata o:title=""/>
                      <o:lock v:ext="edit" aspectratio="f"/>
                      <v:textbox>
                        <w:txbxContent>
                          <w:p w14:paraId="78ACF795">
                            <w:pPr>
                              <w:jc w:val="center"/>
                              <w:rPr>
                                <w:rFonts w:hint="default" w:eastAsia="宋体"/>
                                <w:sz w:val="8"/>
                                <w:szCs w:val="11"/>
                                <w:lang w:val="en-US" w:eastAsia="zh-CN"/>
                              </w:rPr>
                            </w:pPr>
                            <w:r>
                              <w:rPr>
                                <w:rFonts w:hint="eastAsia"/>
                                <w:sz w:val="8"/>
                                <w:szCs w:val="11"/>
                                <w:lang w:val="en-US" w:eastAsia="zh-CN"/>
                              </w:rPr>
                              <w:t>本项目位置</w:t>
                            </w:r>
                          </w:p>
                        </w:txbxContent>
                      </v:textbox>
                    </v:shape>
                  </w:pict>
                </mc:Fallback>
              </mc:AlternateContent>
            </w:r>
            <w:r>
              <w:rPr>
                <w:rFonts w:hint="eastAsia" w:ascii="宋体" w:hAnsi="宋体" w:eastAsia="宋体" w:cs="宋体"/>
                <w:color w:val="auto"/>
                <w:sz w:val="24"/>
                <w:szCs w:val="24"/>
                <w:highlight w:val="none"/>
              </w:rPr>
              <mc:AlternateContent>
                <mc:Choice Requires="wps">
                  <w:drawing>
                    <wp:anchor distT="0" distB="0" distL="114300" distR="114300" simplePos="0" relativeHeight="251661312" behindDoc="0" locked="0" layoutInCell="1" allowOverlap="1">
                      <wp:simplePos x="0" y="0"/>
                      <wp:positionH relativeFrom="column">
                        <wp:posOffset>3443605</wp:posOffset>
                      </wp:positionH>
                      <wp:positionV relativeFrom="paragraph">
                        <wp:posOffset>1656715</wp:posOffset>
                      </wp:positionV>
                      <wp:extent cx="76200" cy="76200"/>
                      <wp:effectExtent l="12700" t="12700" r="17780" b="17780"/>
                      <wp:wrapNone/>
                      <wp:docPr id="109" name="_x0000_s1166"/>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bg1"/>
                              </a:solidFill>
                              <a:ln w="25400">
                                <a:solidFill>
                                  <a:srgbClr val="FF0000"/>
                                </a:solidFill>
                                <a:round/>
                              </a:ln>
                            </wps:spPr>
                            <wps:style>
                              <a:lnRef idx="2">
                                <a:srgbClr val="FF0000"/>
                              </a:lnRef>
                              <a:fillRef idx="1">
                                <a:schemeClr val="bg1"/>
                              </a:fillRef>
                              <a:effectRef idx="0">
                                <a:schemeClr val="accent1"/>
                              </a:effectRef>
                              <a:fontRef idx="minor">
                                <a:schemeClr val="lt1"/>
                              </a:fontRef>
                            </wps:style>
                            <wps:bodyPr rot="0" spcFirstLastPara="0" vertOverflow="overflow" horzOverflow="overflow" vert="horz" wrap="square" lIns="91440" tIns="45720" rIns="91440" bIns="45720" numCol="1" rtlCol="0" anchor="ctr" upright="1">
                              <a:noAutofit/>
                            </wps:bodyPr>
                          </wps:wsp>
                        </a:graphicData>
                      </a:graphic>
                    </wp:anchor>
                  </w:drawing>
                </mc:Choice>
                <mc:Fallback>
                  <w:pict>
                    <v:shape id="_x0000_s1166" o:spid="_x0000_s1026" o:spt="3" type="#_x0000_t3" style="position:absolute;left:0pt;margin-left:271.15pt;margin-top:130.45pt;height:6pt;width:6pt;z-index:251661312;v-text-anchor:middle;mso-width-relative:page;mso-height-relative:page;" fillcolor="#FFFFFF [3212]" filled="t" stroked="t" coordsize="21600,21600" o:gfxdata="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X1cdnaAAAACwEAAA8AAAAAAAAAAQAgAAAA&#10;IgAAAGRycy9kb3ducmV2LnhtbFBLAQIUABQAAAAIAIdO4kBZeJd5QgIAALQEAAAOAAAAAAAAAAEA&#10;IAAAACkBAABkcnMvZTJvRG9jLnhtbFBLBQYAAAAABgAGAFkBAADdBQAAAAA=&#10;">
                      <v:fill on="t" focussize="0,0"/>
                      <v:stroke weight="2pt" color="#FF0000" joinstyle="round"/>
                      <v:imagedata o:title=""/>
                      <o:lock v:ext="edit" aspectratio="f"/>
                    </v:shape>
                  </w:pict>
                </mc:Fallback>
              </mc:AlternateContent>
            </w:r>
            <w:r>
              <w:rPr>
                <w:rFonts w:hint="eastAsia" w:ascii="宋体" w:hAnsi="宋体" w:eastAsia="宋体" w:cs="宋体"/>
                <w:color w:val="auto"/>
                <w:sz w:val="24"/>
                <w:szCs w:val="24"/>
                <w:highlight w:val="none"/>
              </w:rPr>
              <w:drawing>
                <wp:inline distT="0" distB="0" distL="114300" distR="114300">
                  <wp:extent cx="5015230" cy="3542030"/>
                  <wp:effectExtent l="0" t="0" r="13970" b="8890"/>
                  <wp:docPr id="110" name="_x0000_i11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_x0000_i1167" descr="IMG_256"/>
                          <pic:cNvPicPr>
                            <a:picLocks noChangeAspect="1"/>
                          </pic:cNvPicPr>
                        </pic:nvPicPr>
                        <pic:blipFill>
                          <a:blip r:embed="rId7"/>
                          <a:stretch>
                            <a:fillRect/>
                          </a:stretch>
                        </pic:blipFill>
                        <pic:spPr>
                          <a:xfrm>
                            <a:off x="0" y="0"/>
                            <a:ext cx="5015230" cy="3542030"/>
                          </a:xfrm>
                          <a:prstGeom prst="rect">
                            <a:avLst/>
                          </a:prstGeom>
                          <a:noFill/>
                          <a:ln>
                            <a:noFill/>
                          </a:ln>
                        </pic:spPr>
                      </pic:pic>
                    </a:graphicData>
                  </a:graphic>
                </wp:inline>
              </w:drawing>
            </w:r>
            <w:r>
              <w:rPr>
                <w:rFonts w:hint="eastAsia" w:ascii="宋体" w:hAnsi="宋体" w:eastAsia="宋体" w:cs="宋体"/>
                <w:b/>
                <w:bCs/>
                <w:color w:val="auto"/>
                <w:sz w:val="24"/>
                <w:szCs w:val="24"/>
                <w:highlight w:val="none"/>
                <w:lang w:val="en-US" w:eastAsia="zh-CN"/>
              </w:rPr>
              <w:t>图  1-1 项目在鄂尔多斯市环境管控单元中的位置</w:t>
            </w:r>
          </w:p>
          <w:p w14:paraId="008CF64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综上分析，项目的建设符合国家及地方产业政策、相关环保政策要求，符合“三线一单”要求。</w:t>
            </w:r>
          </w:p>
        </w:tc>
      </w:tr>
    </w:tbl>
    <w:p w14:paraId="72008AFA">
      <w:pPr>
        <w:spacing w:line="360" w:lineRule="auto"/>
        <w:outlineLvl w:val="0"/>
        <w:rPr>
          <w:rFonts w:eastAsia="黑体"/>
          <w:color w:val="auto"/>
          <w:sz w:val="30"/>
          <w:highlight w:val="none"/>
        </w:rPr>
        <w:sectPr>
          <w:footerReference r:id="rId3" w:type="default"/>
          <w:pgSz w:w="11906" w:h="16838"/>
          <w:pgMar w:top="1701" w:right="1531" w:bottom="1701" w:left="1531" w:header="851" w:footer="1077" w:gutter="0"/>
          <w:pgNumType w:start="1"/>
          <w:cols w:space="720" w:num="1"/>
          <w:docGrid w:linePitch="312" w:charSpace="0"/>
        </w:sectPr>
      </w:pPr>
    </w:p>
    <w:p w14:paraId="52FC51DE">
      <w:pPr>
        <w:pStyle w:val="23"/>
        <w:jc w:val="center"/>
        <w:outlineLvl w:val="0"/>
        <w:rPr>
          <w:rFonts w:hint="eastAsia" w:ascii="宋体" w:hAnsi="宋体" w:eastAsia="宋体" w:cs="宋体"/>
          <w:b/>
          <w:bCs/>
          <w:snapToGrid w:val="0"/>
          <w:color w:val="auto"/>
          <w:sz w:val="24"/>
          <w:szCs w:val="24"/>
          <w:highlight w:val="none"/>
        </w:rPr>
      </w:pPr>
      <w:r>
        <w:rPr>
          <w:rFonts w:hint="eastAsia" w:ascii="宋体" w:hAnsi="宋体" w:eastAsia="宋体" w:cs="宋体"/>
          <w:b/>
          <w:bCs/>
          <w:snapToGrid w:val="0"/>
          <w:color w:val="auto"/>
          <w:sz w:val="24"/>
          <w:szCs w:val="24"/>
          <w:highlight w:val="none"/>
        </w:rPr>
        <w:t>二、建设项目工程分析</w:t>
      </w:r>
    </w:p>
    <w:tbl>
      <w:tblPr>
        <w:tblStyle w:val="26"/>
        <w:tblW w:w="906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04"/>
      </w:tblGrid>
      <w:tr w14:paraId="2A7889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vAlign w:val="center"/>
          </w:tcPr>
          <w:p w14:paraId="6D6015DF">
            <w:pPr>
              <w:pStyle w:val="23"/>
              <w:adjustRightInd w:val="0"/>
              <w:snapToGrid w:val="0"/>
              <w:spacing w:before="0" w:beforeAutospacing="0" w:after="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建设内容</w:t>
            </w:r>
          </w:p>
        </w:tc>
        <w:tc>
          <w:tcPr>
            <w:tcW w:w="8604" w:type="dxa"/>
          </w:tcPr>
          <w:p w14:paraId="1D94380E">
            <w:pPr>
              <w:keepNext w:val="0"/>
              <w:keepLines w:val="0"/>
              <w:widowControl/>
              <w:numPr>
                <w:ilvl w:val="0"/>
                <w:numId w:val="1"/>
              </w:numPr>
              <w:suppressLineNumbers w:val="0"/>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项目建设的必要性</w:t>
            </w:r>
          </w:p>
          <w:p w14:paraId="117334E0">
            <w:pPr>
              <w:spacing w:line="520" w:lineRule="exact"/>
              <w:ind w:firstLine="480" w:firstLineChars="20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煤液化沥青是煤直接液化工艺过程产生的重质产物，主要成分为沥青类物质、重质液化油、未转化煤、矿物质以及催化剂等。与石油基沥青相比较，煤液化具有高沥青质含量、高热值、高软化点、高灰分、高粘附性的显著特点。</w:t>
            </w:r>
          </w:p>
          <w:p w14:paraId="0A77A1E4">
            <w:pPr>
              <w:spacing w:line="520" w:lineRule="exact"/>
              <w:ind w:firstLine="480" w:firstLineChars="20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随着首套百万吨级煤直接液化示范工程建成投产，煤液化沥青（70万吨/年）的资源化利用成为提升煤制油项目效益的重要因素，众多内外部研究单位开展了大量探索研究。目前沥青市场整体处于供不应求状态，受上游原料供应不足和下游沥青深加工市场需求旺盛影响，煤沥青和石油沥青价格持续走高。2020年10月煤液化沥青产品标准发布，2021年沥青产品实现营业收入9亿元，煤液化沥青及其脱灰产品成为重要的经济增长点。</w:t>
            </w:r>
          </w:p>
          <w:p w14:paraId="268A0B99">
            <w:pPr>
              <w:spacing w:line="520" w:lineRule="exact"/>
              <w:ind w:firstLine="480" w:firstLineChars="200"/>
              <w:jc w:val="left"/>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随着煤液化沥青在不同地区、不同等级路面的陆续试用，其长期路用性能得到了进一步的验证，相关的技术及标准体系也日趋成熟和完善。为“加快研发煤基碳材料”的化工产业《行动计划》工作部署，加大煤液化沥青在道路领域的推广和应用，培育相关的市场认可度和销售渠道，开发更多的客户和应用场景，通过煤液化沥青（合格品）制备超硬质沥青/道路沥青改性剂，可进一步延伸煤直接液化产业链，丰富产品结构，增强企业盈利能力和抗风险能力，实现化工公司“一体两翼”差异化发展新蓝图。</w:t>
            </w:r>
          </w:p>
          <w:p w14:paraId="11FBA3AD">
            <w:pPr>
              <w:pStyle w:val="72"/>
              <w:spacing w:line="360" w:lineRule="auto"/>
              <w:ind w:left="0" w:leftChars="0" w:firstLine="480" w:firstLineChars="200"/>
              <w:rPr>
                <w:rFonts w:hint="default"/>
                <w:lang w:val="en-US" w:eastAsia="zh-CN"/>
              </w:rPr>
            </w:pPr>
          </w:p>
          <w:p w14:paraId="194E345E">
            <w:pPr>
              <w:keepNext w:val="0"/>
              <w:keepLines w:val="0"/>
              <w:pageBreakBefore w:val="0"/>
              <w:widowControl/>
              <w:suppressLineNumbers w:val="0"/>
              <w:kinsoku/>
              <w:wordWrap/>
              <w:overflowPunct/>
              <w:topLinePunct w:val="0"/>
              <w:autoSpaceDE/>
              <w:autoSpaceDN/>
              <w:bidi w:val="0"/>
              <w:adjustRightInd/>
              <w:snapToGrid/>
              <w:spacing w:line="520" w:lineRule="exact"/>
              <w:jc w:val="left"/>
              <w:textAlignment w:val="auto"/>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2、</w:t>
            </w:r>
            <w:r>
              <w:rPr>
                <w:rFonts w:hint="eastAsia" w:ascii="宋体" w:hAnsi="宋体" w:eastAsia="宋体" w:cs="宋体"/>
                <w:b/>
                <w:bCs/>
                <w:color w:val="auto"/>
                <w:kern w:val="2"/>
                <w:sz w:val="24"/>
                <w:szCs w:val="24"/>
                <w:lang w:val="en-US" w:eastAsia="zh-CN" w:bidi="ar-SA"/>
              </w:rPr>
              <w:t>项目基本情况</w:t>
            </w:r>
          </w:p>
          <w:p w14:paraId="2DC31F19">
            <w:pPr>
              <w:pStyle w:val="72"/>
              <w:keepNext w:val="0"/>
              <w:keepLines w:val="0"/>
              <w:pageBreakBefore w:val="0"/>
              <w:kinsoku/>
              <w:wordWrap/>
              <w:overflowPunct/>
              <w:topLinePunct w:val="0"/>
              <w:autoSpaceDE/>
              <w:autoSpaceDN/>
              <w:bidi w:val="0"/>
              <w:adjustRightInd/>
              <w:snapToGrid/>
              <w:spacing w:line="520" w:lineRule="exact"/>
              <w:ind w:firstLine="42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项目名称：中国神华煤制油化工有限公司鄂尔多斯煤制油分公司道路沥青改性剂开发研究与应用项目</w:t>
            </w:r>
          </w:p>
          <w:p w14:paraId="1C490CA5">
            <w:pPr>
              <w:pStyle w:val="72"/>
              <w:keepNext w:val="0"/>
              <w:keepLines w:val="0"/>
              <w:pageBreakBefore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建设性质：新建</w:t>
            </w:r>
          </w:p>
          <w:p w14:paraId="22A9AEB5">
            <w:pPr>
              <w:keepNext w:val="0"/>
              <w:keepLines w:val="0"/>
              <w:pageBreakBefore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建设规模：年产1.84万吨/年超硬质沥青以及0.16万吨/年沥青改性剂。超硬质沥青产品符合《超硬质沥青》（Q/DQMZY0009-2017）标准。</w:t>
            </w:r>
          </w:p>
          <w:p w14:paraId="02C32BE8">
            <w:pPr>
              <w:keepNext w:val="0"/>
              <w:keepLines w:val="0"/>
              <w:pageBreakBefore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投资总额：项目总投资为386.1万元，环保投资为5万元。</w:t>
            </w:r>
          </w:p>
          <w:p w14:paraId="3E9CCEF1">
            <w:pPr>
              <w:keepNext w:val="0"/>
              <w:keepLines w:val="0"/>
              <w:pageBreakBefore w:val="0"/>
              <w:kinsoku/>
              <w:wordWrap/>
              <w:overflowPunct/>
              <w:topLinePunct w:val="0"/>
              <w:autoSpaceDE/>
              <w:autoSpaceDN/>
              <w:bidi w:val="0"/>
              <w:adjustRightInd/>
              <w:snapToGrid/>
              <w:spacing w:line="520" w:lineRule="exact"/>
              <w:ind w:firstLine="48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项目占地：占地面积为100平方米。</w:t>
            </w:r>
          </w:p>
          <w:p w14:paraId="57FEC40D">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color w:val="auto"/>
                <w:kern w:val="2"/>
                <w:sz w:val="24"/>
                <w:szCs w:val="24"/>
                <w:highlight w:val="none"/>
                <w:u w:val="none"/>
                <w:lang w:val="en-US" w:eastAsia="zh-CN" w:bidi="ar-SA"/>
              </w:rPr>
            </w:pPr>
            <w:r>
              <w:rPr>
                <w:rFonts w:hint="eastAsia" w:ascii="宋体" w:hAnsi="宋体" w:eastAsia="宋体" w:cs="宋体"/>
                <w:color w:val="auto"/>
                <w:kern w:val="2"/>
                <w:sz w:val="24"/>
                <w:szCs w:val="24"/>
                <w:highlight w:val="none"/>
                <w:u w:val="none"/>
                <w:lang w:val="en-US" w:eastAsia="zh-CN" w:bidi="ar-SA"/>
              </w:rPr>
              <w:t>劳动定员与工作时间：工作人员从煤制油分公司内部调剂解决，不新增定员，全年工作时间为8000小时。</w:t>
            </w:r>
          </w:p>
          <w:p w14:paraId="6B579D4B">
            <w:pPr>
              <w:pStyle w:val="72"/>
              <w:spacing w:line="360" w:lineRule="auto"/>
              <w:ind w:left="0" w:leftChars="0" w:firstLine="0" w:firstLineChars="0"/>
              <w:rPr>
                <w:rFonts w:hint="eastAsia" w:ascii="宋体" w:hAnsi="宋体" w:eastAsia="宋体" w:cs="宋体"/>
                <w:b/>
                <w:bCs/>
                <w:color w:val="auto"/>
                <w:sz w:val="24"/>
                <w:szCs w:val="24"/>
              </w:rPr>
            </w:pPr>
            <w:r>
              <w:rPr>
                <w:rFonts w:hint="eastAsia" w:ascii="宋体" w:hAnsi="宋体" w:cs="宋体"/>
                <w:b/>
                <w:bCs/>
                <w:color w:val="auto"/>
                <w:sz w:val="24"/>
                <w:szCs w:val="24"/>
                <w:lang w:val="en-US" w:eastAsia="zh-CN"/>
              </w:rPr>
              <w:t>3</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建设内容</w:t>
            </w:r>
          </w:p>
          <w:p w14:paraId="7A2BF0DB">
            <w:pPr>
              <w:pStyle w:val="72"/>
              <w:spacing w:line="360" w:lineRule="auto"/>
              <w:ind w:left="0" w:leftChars="0" w:firstLine="480" w:firstLineChars="200"/>
              <w:rPr>
                <w:rFonts w:hint="eastAsia" w:cs="Times New Roman"/>
                <w:snapToGrid/>
                <w:sz w:val="24"/>
              </w:rPr>
            </w:pPr>
            <w:r>
              <w:rPr>
                <w:rFonts w:hint="eastAsia" w:cs="Times New Roman"/>
                <w:snapToGrid/>
                <w:color w:val="auto"/>
                <w:sz w:val="24"/>
                <w:lang w:val="en-US" w:eastAsia="zh-CN"/>
              </w:rPr>
              <w:t>本项目为中试项目，</w:t>
            </w:r>
            <w:r>
              <w:rPr>
                <w:rFonts w:hint="eastAsia" w:ascii="Times New Roman" w:hAnsi="Times New Roman" w:cs="Times New Roman"/>
                <w:snapToGrid/>
                <w:color w:val="auto"/>
                <w:sz w:val="24"/>
                <w:lang w:val="en-US" w:eastAsia="zh-CN"/>
              </w:rPr>
              <w:t>根据《鄂尔多斯市化工中试基地和中试项目管理办法（试行）》要求，原则上单个中试项目建成投入运行周期不超过3年，特殊情况下延续时间不得超过一年。</w:t>
            </w:r>
            <w:r>
              <w:rPr>
                <w:rFonts w:hint="eastAsia" w:cs="Times New Roman"/>
                <w:snapToGrid/>
                <w:sz w:val="24"/>
              </w:rPr>
              <w:t>本项目新建原料处理能力为2万吨/年的超硬质沥青/道路沥青改性剂试验装置。</w:t>
            </w:r>
            <w:r>
              <w:rPr>
                <w:rFonts w:hint="eastAsia" w:ascii="宋体" w:hAnsi="宋体" w:cs="Times New Roman"/>
                <w:snapToGrid/>
                <w:sz w:val="24"/>
              </w:rPr>
              <w:t>煤液化沥青（合格品，粒径40～50mm，片状）通过铲车储存于新增料仓内，经过料仓出料口及皮带输送机将煤液化沥青（合格品）送至新增破碎机，沥青产品通过破碎机破碎至3mm以下通过三通卸料器将破碎后的沥青分成两部分，一部分通过皮带输送机、斗式提升机送至新增双螺杆混料机组，经过混合、加热、挤出、造粒、冷却等过程产出200kg/h的沥青改性剂，再通过沥青改性剂包装机包装成袋后运走；另一部分直接通过皮带输送机、斗式提升机送至超硬质沥青包装机后包装成袋并运走，超硬质沥青产能2300kg/h。</w:t>
            </w:r>
          </w:p>
          <w:p w14:paraId="142342A8">
            <w:pPr>
              <w:pStyle w:val="72"/>
              <w:spacing w:line="360" w:lineRule="auto"/>
              <w:ind w:left="0" w:leftChars="0" w:firstLine="480" w:firstLineChars="200"/>
              <w:rPr>
                <w:rFonts w:hint="eastAsia" w:ascii="宋体" w:hAnsi="宋体" w:eastAsia="宋体" w:cs="宋体"/>
                <w:color w:val="auto"/>
                <w:kern w:val="2"/>
                <w:sz w:val="24"/>
                <w:szCs w:val="24"/>
                <w:lang w:val="en-US" w:eastAsia="zh-CN" w:bidi="ar-SA"/>
              </w:rPr>
            </w:pPr>
            <w:r>
              <w:rPr>
                <w:rFonts w:hint="eastAsia" w:ascii="宋体" w:hAnsi="宋体" w:cs="宋体"/>
                <w:color w:val="000000"/>
                <w:kern w:val="2"/>
                <w:sz w:val="24"/>
                <w:szCs w:val="24"/>
                <w:lang w:val="en-US" w:eastAsia="zh-CN" w:bidi="ar-SA"/>
              </w:rPr>
              <w:t>本项目由</w:t>
            </w:r>
            <w:r>
              <w:rPr>
                <w:rFonts w:hint="eastAsia" w:ascii="宋体" w:hAnsi="宋体" w:eastAsia="宋体" w:cs="宋体"/>
                <w:color w:val="000000"/>
                <w:kern w:val="2"/>
                <w:sz w:val="24"/>
                <w:szCs w:val="24"/>
                <w:lang w:val="en-US" w:eastAsia="zh-CN" w:bidi="ar-SA"/>
              </w:rPr>
              <w:t>主体工程、公辅工程和环保工程组成，主要建设内容见表2-1。</w:t>
            </w:r>
          </w:p>
          <w:p w14:paraId="4DA49784">
            <w:pPr>
              <w:pStyle w:val="72"/>
              <w:spacing w:line="360" w:lineRule="auto"/>
              <w:jc w:val="center"/>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表2-1主要建设内容</w:t>
            </w:r>
          </w:p>
          <w:tbl>
            <w:tblPr>
              <w:tblStyle w:val="26"/>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9"/>
              <w:gridCol w:w="761"/>
              <w:gridCol w:w="6419"/>
              <w:gridCol w:w="597"/>
            </w:tblGrid>
            <w:tr w14:paraId="7AEA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2" w:hRule="atLeast"/>
              </w:trPr>
              <w:tc>
                <w:tcPr>
                  <w:tcW w:w="358" w:type="pct"/>
                  <w:shd w:val="clear" w:color="auto" w:fill="FEFEFE"/>
                  <w:noWrap w:val="0"/>
                  <w:vAlign w:val="center"/>
                </w:tcPr>
                <w:p w14:paraId="45893116">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工程名称</w:t>
                  </w:r>
                </w:p>
              </w:tc>
              <w:tc>
                <w:tcPr>
                  <w:tcW w:w="454" w:type="pct"/>
                  <w:shd w:val="clear" w:color="auto" w:fill="FEFEFE"/>
                  <w:noWrap w:val="0"/>
                  <w:vAlign w:val="center"/>
                </w:tcPr>
                <w:p w14:paraId="61D85425">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建设</w:t>
                  </w:r>
                </w:p>
                <w:p w14:paraId="4CB1EEE6">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名称</w:t>
                  </w:r>
                </w:p>
              </w:tc>
              <w:tc>
                <w:tcPr>
                  <w:tcW w:w="3831" w:type="pct"/>
                  <w:shd w:val="clear" w:color="auto" w:fill="FEFEFE"/>
                  <w:noWrap w:val="0"/>
                  <w:vAlign w:val="center"/>
                </w:tcPr>
                <w:p w14:paraId="35A18A17">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建设内容</w:t>
                  </w:r>
                </w:p>
              </w:tc>
              <w:tc>
                <w:tcPr>
                  <w:tcW w:w="356" w:type="pct"/>
                  <w:shd w:val="clear" w:color="auto" w:fill="FEFEFE"/>
                  <w:noWrap w:val="0"/>
                  <w:vAlign w:val="center"/>
                </w:tcPr>
                <w:p w14:paraId="4215C8C9">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备注</w:t>
                  </w:r>
                </w:p>
              </w:tc>
            </w:tr>
            <w:tr w14:paraId="462AC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47" w:hRule="atLeast"/>
              </w:trPr>
              <w:tc>
                <w:tcPr>
                  <w:tcW w:w="358" w:type="pct"/>
                  <w:shd w:val="clear" w:color="auto" w:fill="FEFEFE"/>
                  <w:noWrap w:val="0"/>
                  <w:vAlign w:val="center"/>
                </w:tcPr>
                <w:p w14:paraId="26F4E6FD">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主体工程</w:t>
                  </w:r>
                </w:p>
              </w:tc>
              <w:tc>
                <w:tcPr>
                  <w:tcW w:w="454" w:type="pct"/>
                  <w:shd w:val="clear" w:color="auto" w:fill="FEFEFE"/>
                  <w:noWrap w:val="0"/>
                  <w:vAlign w:val="center"/>
                </w:tcPr>
                <w:p w14:paraId="286DE923">
                  <w:pPr>
                    <w:pStyle w:val="74"/>
                    <w:spacing w:line="240" w:lineRule="auto"/>
                    <w:jc w:val="center"/>
                    <w:rPr>
                      <w:rStyle w:val="83"/>
                      <w:rFonts w:hint="eastAsia" w:ascii="宋体" w:hAnsi="宋体" w:eastAsia="宋体" w:cs="宋体"/>
                      <w:b w:val="0"/>
                      <w:color w:val="000000"/>
                      <w:sz w:val="21"/>
                      <w:szCs w:val="21"/>
                      <w:lang w:val="en-US" w:eastAsia="zh-CN"/>
                    </w:rPr>
                  </w:pPr>
                  <w:r>
                    <w:rPr>
                      <w:rFonts w:hint="eastAsia" w:ascii="宋体" w:hAnsi="宋体" w:cs="宋体"/>
                      <w:color w:val="000000"/>
                      <w:sz w:val="21"/>
                      <w:szCs w:val="21"/>
                      <w:lang w:val="en-US" w:eastAsia="zh-CN"/>
                    </w:rPr>
                    <w:t>道路沥青改性剂开发研究与应用项目</w:t>
                  </w:r>
                </w:p>
              </w:tc>
              <w:tc>
                <w:tcPr>
                  <w:tcW w:w="3831" w:type="pct"/>
                  <w:shd w:val="clear" w:color="auto" w:fill="FEFEFE"/>
                  <w:noWrap w:val="0"/>
                  <w:vAlign w:val="center"/>
                </w:tcPr>
                <w:p w14:paraId="00C1BF97">
                  <w:pPr>
                    <w:keepNext w:val="0"/>
                    <w:keepLines w:val="0"/>
                    <w:widowControl/>
                    <w:suppressLineNumbers w:val="0"/>
                    <w:ind w:firstLine="420" w:firstLineChars="200"/>
                    <w:jc w:val="left"/>
                    <w:rPr>
                      <w:rStyle w:val="83"/>
                      <w:rFonts w:hint="eastAsia" w:ascii="宋体" w:hAnsi="宋体" w:eastAsia="宋体" w:cs="宋体"/>
                      <w:b w:val="0"/>
                      <w:color w:val="000000"/>
                      <w:sz w:val="21"/>
                      <w:szCs w:val="21"/>
                      <w:lang w:eastAsia="zh-CN"/>
                    </w:rPr>
                  </w:pPr>
                  <w:r>
                    <w:rPr>
                      <w:rFonts w:hint="eastAsia" w:hAnsi="宋体"/>
                      <w:sz w:val="21"/>
                      <w:szCs w:val="21"/>
                    </w:rPr>
                    <w:t>建设原料处理能力为2万吨/年的超硬质沥青/道路沥青改性剂试验装置</w:t>
                  </w:r>
                  <w:r>
                    <w:rPr>
                      <w:rFonts w:hint="eastAsia" w:hAnsi="宋体"/>
                      <w:sz w:val="21"/>
                      <w:szCs w:val="21"/>
                      <w:lang w:eastAsia="zh-CN"/>
                    </w:rPr>
                    <w:t>。</w:t>
                  </w:r>
                  <w:r>
                    <w:rPr>
                      <w:rFonts w:hint="eastAsia" w:ascii="宋体" w:hAnsi="宋体" w:cs="Times New Roman"/>
                      <w:snapToGrid/>
                      <w:sz w:val="21"/>
                      <w:szCs w:val="21"/>
                    </w:rPr>
                    <w:t>煤液化沥青（合格品，粒径40～50mm，片状）通过铲车储存于新增料仓内，经过料仓出料口及皮带输送机将煤液化沥青（合格品）送至新增破碎机，沥青产品通过破碎机破碎至3mm以下通过三通卸料器将破碎后的沥青分成两部分，一部分通过皮带输送机、斗式提升机送至新增双螺杆混料机组，料机组</w:t>
                  </w:r>
                  <w:r>
                    <w:rPr>
                      <w:rFonts w:hint="eastAsia" w:ascii="宋体" w:hAnsi="宋体" w:cs="Times New Roman"/>
                      <w:snapToGrid/>
                      <w:sz w:val="21"/>
                      <w:szCs w:val="21"/>
                      <w:lang w:val="en-US" w:eastAsia="zh-CN"/>
                    </w:rPr>
                    <w:t>进料口全封闭，</w:t>
                  </w:r>
                  <w:r>
                    <w:rPr>
                      <w:rFonts w:hint="eastAsia" w:ascii="宋体" w:hAnsi="宋体" w:cs="Times New Roman"/>
                      <w:snapToGrid/>
                      <w:sz w:val="21"/>
                      <w:szCs w:val="21"/>
                    </w:rPr>
                    <w:t>经过混合、加热、挤出、造粒、冷却等过程产出200kg/h的沥青改性剂，再通过沥青改性剂包装机包装成袋后运走；另一部分直接通过皮带输送机、斗式提升机送至超硬质沥青包装机后包装成袋并运走，超硬质沥青产能2300kg/h。</w:t>
                  </w:r>
                </w:p>
              </w:tc>
              <w:tc>
                <w:tcPr>
                  <w:tcW w:w="356" w:type="pct"/>
                  <w:shd w:val="clear" w:color="auto" w:fill="FEFEFE"/>
                  <w:noWrap w:val="0"/>
                  <w:vAlign w:val="center"/>
                </w:tcPr>
                <w:p w14:paraId="3800610D">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cs="宋体"/>
                      <w:b w:val="0"/>
                      <w:color w:val="000000"/>
                      <w:sz w:val="21"/>
                      <w:szCs w:val="21"/>
                      <w:lang w:val="en-US" w:eastAsia="zh-CN"/>
                    </w:rPr>
                    <w:t>新</w:t>
                  </w:r>
                  <w:r>
                    <w:rPr>
                      <w:rStyle w:val="83"/>
                      <w:rFonts w:hint="eastAsia" w:ascii="宋体" w:hAnsi="宋体" w:eastAsia="宋体" w:cs="宋体"/>
                      <w:b w:val="0"/>
                      <w:color w:val="000000"/>
                      <w:sz w:val="21"/>
                      <w:szCs w:val="21"/>
                    </w:rPr>
                    <w:t>建</w:t>
                  </w:r>
                </w:p>
              </w:tc>
            </w:tr>
            <w:tr w14:paraId="23940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358" w:type="pct"/>
                  <w:vMerge w:val="restart"/>
                  <w:shd w:val="clear" w:color="auto" w:fill="FEFEFE"/>
                  <w:noWrap w:val="0"/>
                  <w:vAlign w:val="center"/>
                </w:tcPr>
                <w:p w14:paraId="51494E98">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公用工程</w:t>
                  </w:r>
                </w:p>
              </w:tc>
              <w:tc>
                <w:tcPr>
                  <w:tcW w:w="454" w:type="pct"/>
                  <w:shd w:val="clear" w:color="auto" w:fill="FEFEFE"/>
                  <w:noWrap w:val="0"/>
                  <w:vAlign w:val="center"/>
                </w:tcPr>
                <w:p w14:paraId="0B8525C9">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供电</w:t>
                  </w:r>
                </w:p>
              </w:tc>
              <w:tc>
                <w:tcPr>
                  <w:tcW w:w="3831" w:type="pct"/>
                  <w:shd w:val="clear" w:color="auto" w:fill="FEFEFE"/>
                  <w:noWrap w:val="0"/>
                  <w:vAlign w:val="center"/>
                </w:tcPr>
                <w:p w14:paraId="065D8A6B">
                  <w:pPr>
                    <w:keepNext w:val="0"/>
                    <w:keepLines w:val="0"/>
                    <w:widowControl/>
                    <w:suppressLineNumbers w:val="0"/>
                    <w:ind w:firstLine="420" w:firstLineChars="200"/>
                    <w:jc w:val="left"/>
                    <w:rPr>
                      <w:rFonts w:hint="eastAsia" w:ascii="宋体" w:hAnsi="宋体" w:eastAsia="宋体" w:cs="宋体"/>
                      <w:color w:val="C00000"/>
                      <w:sz w:val="21"/>
                      <w:szCs w:val="21"/>
                      <w:lang w:val="en-US" w:eastAsia="zh-CN"/>
                    </w:rPr>
                  </w:pPr>
                  <w:r>
                    <w:rPr>
                      <w:rFonts w:hint="eastAsia" w:hAnsi="宋体"/>
                      <w:color w:val="000000"/>
                      <w:sz w:val="21"/>
                      <w:szCs w:val="21"/>
                      <w:lang w:val="en-US" w:eastAsia="zh-CN"/>
                    </w:rPr>
                    <w:t>本项目用电</w:t>
                  </w:r>
                  <w:r>
                    <w:rPr>
                      <w:rFonts w:hint="eastAsia" w:hAnsi="宋体"/>
                      <w:color w:val="000000"/>
                      <w:sz w:val="21"/>
                      <w:szCs w:val="21"/>
                    </w:rPr>
                    <w:t>依托煤液化装置（103单元）界区内公用工程系统</w:t>
                  </w:r>
                  <w:r>
                    <w:rPr>
                      <w:rFonts w:hint="eastAsia" w:hAnsi="宋体"/>
                      <w:color w:val="000000"/>
                      <w:sz w:val="21"/>
                      <w:szCs w:val="21"/>
                      <w:lang w:eastAsia="zh-CN"/>
                    </w:rPr>
                    <w:t>，</w:t>
                  </w:r>
                  <w:r>
                    <w:rPr>
                      <w:rFonts w:hint="eastAsia" w:hAnsi="宋体"/>
                      <w:color w:val="000000"/>
                      <w:sz w:val="21"/>
                      <w:szCs w:val="21"/>
                      <w:lang w:val="en-US" w:eastAsia="zh-CN"/>
                    </w:rPr>
                    <w:t>年消耗量为</w:t>
                  </w:r>
                  <w:r>
                    <w:rPr>
                      <w:rFonts w:hint="eastAsia" w:hAnsi="宋体"/>
                      <w:color w:val="000000"/>
                      <w:sz w:val="21"/>
                      <w:szCs w:val="21"/>
                    </w:rPr>
                    <w:t>156.9×104kWh</w:t>
                  </w:r>
                  <w:r>
                    <w:rPr>
                      <w:rFonts w:hint="eastAsia" w:hAnsi="宋体"/>
                      <w:color w:val="000000"/>
                      <w:sz w:val="21"/>
                      <w:szCs w:val="21"/>
                      <w:lang w:eastAsia="zh-CN"/>
                    </w:rPr>
                    <w:t>。</w:t>
                  </w:r>
                </w:p>
              </w:tc>
              <w:tc>
                <w:tcPr>
                  <w:tcW w:w="356" w:type="pct"/>
                  <w:shd w:val="clear" w:color="auto" w:fill="FEFEFE"/>
                  <w:noWrap w:val="0"/>
                  <w:vAlign w:val="center"/>
                </w:tcPr>
                <w:p w14:paraId="5F8D0157">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lang w:val="en-US" w:eastAsia="zh-CN"/>
                    </w:rPr>
                    <w:t>依托</w:t>
                  </w:r>
                </w:p>
              </w:tc>
            </w:tr>
            <w:tr w14:paraId="5CCFE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358" w:type="pct"/>
                  <w:vMerge w:val="continue"/>
                  <w:shd w:val="clear" w:color="auto" w:fill="FEFEFE"/>
                  <w:noWrap w:val="0"/>
                  <w:vAlign w:val="center"/>
                </w:tcPr>
                <w:p w14:paraId="47207297">
                  <w:pPr>
                    <w:pStyle w:val="74"/>
                    <w:spacing w:line="240" w:lineRule="auto"/>
                    <w:rPr>
                      <w:rStyle w:val="83"/>
                      <w:rFonts w:hint="eastAsia" w:ascii="宋体" w:hAnsi="宋体" w:eastAsia="宋体" w:cs="宋体"/>
                      <w:b w:val="0"/>
                      <w:color w:val="000000"/>
                      <w:sz w:val="21"/>
                      <w:szCs w:val="21"/>
                    </w:rPr>
                  </w:pPr>
                </w:p>
              </w:tc>
              <w:tc>
                <w:tcPr>
                  <w:tcW w:w="454" w:type="pct"/>
                  <w:shd w:val="clear" w:color="auto" w:fill="FEFEFE"/>
                  <w:noWrap w:val="0"/>
                  <w:vAlign w:val="center"/>
                </w:tcPr>
                <w:p w14:paraId="781267F7">
                  <w:pPr>
                    <w:pStyle w:val="74"/>
                    <w:spacing w:line="240" w:lineRule="auto"/>
                    <w:rPr>
                      <w:rStyle w:val="83"/>
                      <w:rFonts w:hint="eastAsia" w:ascii="宋体" w:hAnsi="宋体" w:eastAsia="宋体" w:cs="宋体"/>
                      <w:b w:val="0"/>
                      <w:color w:val="000000"/>
                      <w:sz w:val="21"/>
                      <w:szCs w:val="21"/>
                      <w:lang w:val="en-US" w:eastAsia="zh-CN"/>
                    </w:rPr>
                  </w:pPr>
                  <w:r>
                    <w:rPr>
                      <w:rStyle w:val="83"/>
                      <w:rFonts w:hint="eastAsia" w:ascii="宋体" w:hAnsi="宋体" w:eastAsia="宋体" w:cs="宋体"/>
                      <w:b w:val="0"/>
                      <w:color w:val="000000"/>
                      <w:sz w:val="21"/>
                      <w:szCs w:val="21"/>
                      <w:lang w:val="en-US" w:eastAsia="zh-CN"/>
                    </w:rPr>
                    <w:t>给排水</w:t>
                  </w:r>
                </w:p>
              </w:tc>
              <w:tc>
                <w:tcPr>
                  <w:tcW w:w="3831" w:type="pct"/>
                  <w:shd w:val="clear" w:color="auto" w:fill="FEFEFE"/>
                  <w:noWrap w:val="0"/>
                  <w:vAlign w:val="center"/>
                </w:tcPr>
                <w:p w14:paraId="53095014">
                  <w:pPr>
                    <w:keepNext w:val="0"/>
                    <w:keepLines w:val="0"/>
                    <w:widowControl/>
                    <w:suppressLineNumbers w:val="0"/>
                    <w:spacing w:line="240" w:lineRule="auto"/>
                    <w:ind w:firstLine="420" w:firstLineChars="200"/>
                    <w:jc w:val="left"/>
                    <w:rPr>
                      <w:rFonts w:hint="eastAsia" w:ascii="宋体" w:hAnsi="宋体" w:eastAsia="宋体" w:cs="宋体"/>
                      <w:color w:val="C00000"/>
                      <w:sz w:val="21"/>
                      <w:szCs w:val="21"/>
                      <w:lang w:val="en-US" w:eastAsia="zh-CN"/>
                    </w:rPr>
                  </w:pPr>
                  <w:r>
                    <w:rPr>
                      <w:rFonts w:hint="eastAsia" w:ascii="宋体" w:hAnsi="宋体" w:eastAsia="宋体" w:cs="宋体"/>
                      <w:color w:val="000000"/>
                      <w:kern w:val="0"/>
                      <w:sz w:val="21"/>
                      <w:szCs w:val="21"/>
                      <w:lang w:val="en-US" w:eastAsia="zh-CN" w:bidi="ar"/>
                    </w:rPr>
                    <w:t>本项目</w:t>
                  </w:r>
                  <w:r>
                    <w:rPr>
                      <w:rFonts w:hint="eastAsia" w:ascii="宋体" w:hAnsi="宋体" w:cs="宋体"/>
                      <w:color w:val="000000"/>
                      <w:kern w:val="0"/>
                      <w:sz w:val="21"/>
                      <w:szCs w:val="21"/>
                      <w:lang w:val="en-US" w:eastAsia="zh-CN" w:bidi="ar"/>
                    </w:rPr>
                    <w:t>供水</w:t>
                  </w:r>
                  <w:r>
                    <w:rPr>
                      <w:rFonts w:hint="eastAsia" w:hAnsi="宋体"/>
                      <w:color w:val="000000"/>
                      <w:sz w:val="21"/>
                      <w:szCs w:val="21"/>
                    </w:rPr>
                    <w:t>依托煤液化装置（103单元）界区内公用工程系统</w:t>
                  </w:r>
                  <w:r>
                    <w:rPr>
                      <w:rFonts w:hint="eastAsia" w:hAnsi="宋体"/>
                      <w:color w:val="000000"/>
                      <w:sz w:val="21"/>
                      <w:szCs w:val="21"/>
                      <w:lang w:eastAsia="zh-CN"/>
                    </w:rPr>
                    <w:t>，</w:t>
                  </w:r>
                  <w:r>
                    <w:rPr>
                      <w:rFonts w:hint="eastAsia" w:hAnsi="宋体"/>
                      <w:color w:val="000000"/>
                      <w:sz w:val="21"/>
                      <w:szCs w:val="21"/>
                      <w:lang w:val="en-US" w:eastAsia="zh-CN"/>
                    </w:rPr>
                    <w:t>循环水年消耗量</w:t>
                  </w:r>
                  <w:r>
                    <w:rPr>
                      <w:rFonts w:hint="eastAsia"/>
                      <w:sz w:val="21"/>
                      <w:szCs w:val="21"/>
                    </w:rPr>
                    <w:t>≤11.2×10</w:t>
                  </w:r>
                  <w:r>
                    <w:rPr>
                      <w:rFonts w:hint="eastAsia"/>
                      <w:sz w:val="21"/>
                      <w:szCs w:val="21"/>
                      <w:vertAlign w:val="superscript"/>
                    </w:rPr>
                    <w:t>4</w:t>
                  </w:r>
                  <w:r>
                    <w:rPr>
                      <w:rFonts w:hint="eastAsia"/>
                      <w:sz w:val="21"/>
                      <w:szCs w:val="21"/>
                      <w:vertAlign w:val="baseline"/>
                      <w:lang w:val="en-US" w:eastAsia="zh-CN"/>
                    </w:rPr>
                    <w:t>吨。</w:t>
                  </w:r>
                </w:p>
              </w:tc>
              <w:tc>
                <w:tcPr>
                  <w:tcW w:w="356" w:type="pct"/>
                  <w:shd w:val="clear" w:color="auto" w:fill="FEFEFE"/>
                  <w:noWrap w:val="0"/>
                  <w:vAlign w:val="center"/>
                </w:tcPr>
                <w:p w14:paraId="1A3681BB">
                  <w:pPr>
                    <w:pStyle w:val="74"/>
                    <w:spacing w:line="240" w:lineRule="auto"/>
                    <w:rPr>
                      <w:rStyle w:val="83"/>
                      <w:rFonts w:hint="eastAsia" w:ascii="宋体" w:hAnsi="宋体" w:eastAsia="宋体" w:cs="宋体"/>
                      <w:b w:val="0"/>
                      <w:color w:val="000000"/>
                      <w:sz w:val="21"/>
                      <w:szCs w:val="21"/>
                      <w:lang w:val="en-US" w:eastAsia="zh-CN"/>
                    </w:rPr>
                  </w:pPr>
                  <w:r>
                    <w:rPr>
                      <w:rStyle w:val="83"/>
                      <w:rFonts w:hint="eastAsia" w:ascii="宋体" w:hAnsi="宋体" w:eastAsia="宋体" w:cs="宋体"/>
                      <w:b w:val="0"/>
                      <w:color w:val="000000"/>
                      <w:sz w:val="21"/>
                      <w:szCs w:val="21"/>
                      <w:lang w:val="en-US" w:eastAsia="zh-CN"/>
                    </w:rPr>
                    <w:t>依托</w:t>
                  </w:r>
                </w:p>
              </w:tc>
            </w:tr>
            <w:tr w14:paraId="6CD4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358" w:type="pct"/>
                  <w:vMerge w:val="continue"/>
                  <w:shd w:val="clear" w:color="auto" w:fill="FEFEFE"/>
                  <w:noWrap w:val="0"/>
                  <w:vAlign w:val="center"/>
                </w:tcPr>
                <w:p w14:paraId="08B869E8">
                  <w:pPr>
                    <w:pStyle w:val="74"/>
                    <w:spacing w:line="240" w:lineRule="auto"/>
                    <w:rPr>
                      <w:rStyle w:val="83"/>
                      <w:rFonts w:hint="eastAsia" w:ascii="宋体" w:hAnsi="宋体" w:eastAsia="宋体" w:cs="宋体"/>
                      <w:b w:val="0"/>
                      <w:color w:val="000000"/>
                      <w:sz w:val="21"/>
                      <w:szCs w:val="21"/>
                    </w:rPr>
                  </w:pPr>
                </w:p>
              </w:tc>
              <w:tc>
                <w:tcPr>
                  <w:tcW w:w="454" w:type="pct"/>
                  <w:shd w:val="clear" w:color="auto" w:fill="FEFEFE"/>
                  <w:noWrap w:val="0"/>
                  <w:vAlign w:val="center"/>
                </w:tcPr>
                <w:p w14:paraId="3F54E644">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供暖</w:t>
                  </w:r>
                </w:p>
              </w:tc>
              <w:tc>
                <w:tcPr>
                  <w:tcW w:w="3831" w:type="pct"/>
                  <w:shd w:val="clear" w:color="auto" w:fill="FEFEFE"/>
                  <w:noWrap w:val="0"/>
                  <w:vAlign w:val="center"/>
                </w:tcPr>
                <w:p w14:paraId="57EF83D8">
                  <w:pPr>
                    <w:keepNext w:val="0"/>
                    <w:keepLines w:val="0"/>
                    <w:widowControl/>
                    <w:suppressLineNumbers w:val="0"/>
                    <w:spacing w:line="240" w:lineRule="auto"/>
                    <w:ind w:firstLine="420" w:firstLineChars="200"/>
                    <w:jc w:val="left"/>
                    <w:rPr>
                      <w:rFonts w:hint="eastAsia" w:ascii="宋体" w:hAnsi="宋体" w:eastAsia="宋体" w:cs="宋体"/>
                      <w:color w:val="C00000"/>
                      <w:sz w:val="21"/>
                      <w:szCs w:val="21"/>
                    </w:rPr>
                  </w:pPr>
                  <w:r>
                    <w:rPr>
                      <w:rFonts w:hint="eastAsia" w:ascii="宋体" w:hAnsi="宋体" w:eastAsia="宋体" w:cs="宋体"/>
                      <w:color w:val="000000"/>
                      <w:kern w:val="0"/>
                      <w:sz w:val="21"/>
                      <w:szCs w:val="21"/>
                      <w:lang w:val="en-US" w:eastAsia="zh-CN" w:bidi="ar"/>
                    </w:rPr>
                    <w:t>本项目供热依托现有装置，不增设供热站。</w:t>
                  </w:r>
                </w:p>
              </w:tc>
              <w:tc>
                <w:tcPr>
                  <w:tcW w:w="356" w:type="pct"/>
                  <w:shd w:val="clear" w:color="auto" w:fill="FEFEFE"/>
                  <w:noWrap w:val="0"/>
                  <w:vAlign w:val="center"/>
                </w:tcPr>
                <w:p w14:paraId="42CC3327">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w:t>
                  </w:r>
                </w:p>
              </w:tc>
            </w:tr>
            <w:tr w14:paraId="7CF3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358" w:type="pct"/>
                  <w:vMerge w:val="restart"/>
                  <w:shd w:val="clear" w:color="auto" w:fill="FEFEFE"/>
                  <w:noWrap w:val="0"/>
                  <w:vAlign w:val="center"/>
                </w:tcPr>
                <w:p w14:paraId="551AD396">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环保工程</w:t>
                  </w:r>
                </w:p>
              </w:tc>
              <w:tc>
                <w:tcPr>
                  <w:tcW w:w="454" w:type="pct"/>
                  <w:shd w:val="clear" w:color="auto" w:fill="FEFEFE"/>
                  <w:noWrap w:val="0"/>
                  <w:vAlign w:val="center"/>
                </w:tcPr>
                <w:p w14:paraId="13F1DDCE">
                  <w:pPr>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废气</w:t>
                  </w:r>
                </w:p>
                <w:p w14:paraId="21404003">
                  <w:pPr>
                    <w:spacing w:line="240" w:lineRule="auto"/>
                    <w:jc w:val="center"/>
                    <w:rPr>
                      <w:rFonts w:hint="eastAsia" w:ascii="宋体" w:hAnsi="宋体" w:eastAsia="宋体" w:cs="宋体"/>
                      <w:color w:val="000000"/>
                      <w:sz w:val="21"/>
                      <w:szCs w:val="21"/>
                    </w:rPr>
                  </w:pPr>
                  <w:r>
                    <w:rPr>
                      <w:rFonts w:hint="eastAsia" w:ascii="宋体" w:hAnsi="宋体" w:eastAsia="宋体" w:cs="宋体"/>
                      <w:color w:val="auto"/>
                      <w:sz w:val="21"/>
                      <w:szCs w:val="21"/>
                    </w:rPr>
                    <w:t>处理</w:t>
                  </w:r>
                </w:p>
              </w:tc>
              <w:tc>
                <w:tcPr>
                  <w:tcW w:w="3831" w:type="pct"/>
                  <w:shd w:val="clear" w:color="auto" w:fill="FEFEFE"/>
                  <w:noWrap w:val="0"/>
                  <w:vAlign w:val="center"/>
                </w:tcPr>
                <w:p w14:paraId="22BE3E72">
                  <w:pPr>
                    <w:keepNext w:val="0"/>
                    <w:keepLines w:val="0"/>
                    <w:widowControl/>
                    <w:suppressLineNumbers w:val="0"/>
                    <w:jc w:val="left"/>
                    <w:rPr>
                      <w:rFonts w:hint="default" w:ascii="宋体" w:hAnsi="宋体" w:eastAsia="宋体" w:cs="宋体"/>
                      <w:color w:val="C00000"/>
                      <w:sz w:val="21"/>
                      <w:szCs w:val="21"/>
                      <w:lang w:val="en-US" w:eastAsia="zh-CN"/>
                    </w:rPr>
                  </w:pPr>
                  <w:r>
                    <w:rPr>
                      <w:rFonts w:hint="eastAsia" w:ascii="宋体" w:hAnsi="宋体" w:eastAsia="宋体" w:cs="宋体"/>
                      <w:color w:val="C00000"/>
                      <w:sz w:val="21"/>
                      <w:szCs w:val="21"/>
                    </w:rPr>
                    <w:t xml:space="preserve">    </w:t>
                  </w:r>
                  <w:r>
                    <w:rPr>
                      <w:rFonts w:hint="eastAsia" w:ascii="宋体" w:hAnsi="宋体" w:eastAsia="宋体" w:cs="宋体"/>
                      <w:color w:val="000000"/>
                      <w:kern w:val="0"/>
                      <w:sz w:val="21"/>
                      <w:szCs w:val="21"/>
                      <w:lang w:val="en-US" w:eastAsia="zh-CN" w:bidi="ar"/>
                    </w:rPr>
                    <w:t>运营期产生</w:t>
                  </w:r>
                  <w:r>
                    <w:rPr>
                      <w:rFonts w:hint="eastAsia" w:ascii="宋体" w:hAnsi="宋体" w:cs="宋体"/>
                      <w:color w:val="000000"/>
                      <w:kern w:val="0"/>
                      <w:sz w:val="21"/>
                      <w:szCs w:val="21"/>
                      <w:lang w:val="en-US" w:eastAsia="zh-CN" w:bidi="ar"/>
                    </w:rPr>
                    <w:t>的</w:t>
                  </w:r>
                  <w:r>
                    <w:rPr>
                      <w:rFonts w:hint="eastAsia" w:ascii="宋体" w:hAnsi="宋体" w:eastAsia="宋体" w:cs="宋体"/>
                      <w:color w:val="000000"/>
                      <w:kern w:val="0"/>
                      <w:sz w:val="21"/>
                      <w:szCs w:val="21"/>
                      <w:lang w:val="en-US" w:eastAsia="zh-CN" w:bidi="ar"/>
                    </w:rPr>
                    <w:t>空气污染物主要为沥青</w:t>
                  </w:r>
                  <w:r>
                    <w:rPr>
                      <w:rFonts w:hint="eastAsia" w:ascii="宋体" w:hAnsi="宋体" w:cs="宋体"/>
                      <w:color w:val="000000"/>
                      <w:kern w:val="0"/>
                      <w:sz w:val="21"/>
                      <w:szCs w:val="21"/>
                      <w:lang w:val="en-US" w:eastAsia="zh-CN" w:bidi="ar"/>
                    </w:rPr>
                    <w:t>破碎产生的</w:t>
                  </w:r>
                  <w:r>
                    <w:rPr>
                      <w:rFonts w:hint="eastAsia" w:ascii="宋体" w:hAnsi="宋体" w:eastAsia="宋体" w:cs="宋体"/>
                      <w:color w:val="000000"/>
                      <w:kern w:val="0"/>
                      <w:sz w:val="21"/>
                      <w:szCs w:val="21"/>
                      <w:lang w:val="en-US" w:eastAsia="zh-CN" w:bidi="ar"/>
                    </w:rPr>
                    <w:t>粉尘</w:t>
                  </w:r>
                  <w:r>
                    <w:rPr>
                      <w:rFonts w:hint="eastAsia" w:ascii="宋体" w:hAnsi="宋体" w:cs="宋体"/>
                      <w:color w:val="000000"/>
                      <w:kern w:val="0"/>
                      <w:sz w:val="21"/>
                      <w:szCs w:val="21"/>
                      <w:lang w:val="en-US" w:eastAsia="zh-CN" w:bidi="ar"/>
                    </w:rPr>
                    <w:t>、沥青改性剂生产工段产生的沥青烟及超硬质沥青包装工段产生的</w:t>
                  </w:r>
                  <w:r>
                    <w:rPr>
                      <w:rFonts w:hint="eastAsia" w:ascii="宋体" w:hAnsi="宋体" w:eastAsia="宋体" w:cs="宋体"/>
                      <w:color w:val="000000"/>
                      <w:kern w:val="0"/>
                      <w:sz w:val="21"/>
                      <w:szCs w:val="21"/>
                      <w:lang w:val="en-US" w:eastAsia="zh-CN" w:bidi="ar"/>
                    </w:rPr>
                    <w:t>粉尘，</w:t>
                  </w:r>
                  <w:r>
                    <w:rPr>
                      <w:rFonts w:hint="eastAsia" w:ascii="宋体" w:hAnsi="宋体" w:cs="宋体"/>
                      <w:color w:val="000000"/>
                      <w:kern w:val="0"/>
                      <w:sz w:val="21"/>
                      <w:szCs w:val="21"/>
                      <w:lang w:val="en-US" w:eastAsia="zh-CN" w:bidi="ar"/>
                    </w:rPr>
                    <w:t>破碎工段产生的废气经集气罩+布袋除尘器处理</w:t>
                  </w:r>
                  <w:r>
                    <w:rPr>
                      <w:rFonts w:hint="eastAsia" w:ascii="宋体" w:hAnsi="宋体" w:eastAsia="宋体" w:cs="宋体"/>
                      <w:color w:val="000000"/>
                      <w:kern w:val="0"/>
                      <w:sz w:val="21"/>
                      <w:szCs w:val="21"/>
                      <w:lang w:val="en-US" w:eastAsia="zh-CN" w:bidi="ar"/>
                    </w:rPr>
                    <w:t>，</w:t>
                  </w:r>
                  <w:r>
                    <w:rPr>
                      <w:rFonts w:hint="eastAsia" w:ascii="宋体" w:hAnsi="宋体" w:cs="宋体"/>
                      <w:color w:val="000000"/>
                      <w:kern w:val="0"/>
                      <w:sz w:val="21"/>
                      <w:szCs w:val="21"/>
                      <w:lang w:val="en-US" w:eastAsia="zh-CN" w:bidi="ar"/>
                    </w:rPr>
                    <w:t>沥青改性剂生产工段产生的沥青烟经集气罩+活性炭吸附处理后通过一个15米高排气筒</w:t>
                  </w:r>
                  <w:r>
                    <w:rPr>
                      <w:rFonts w:hint="eastAsia" w:ascii="宋体" w:hAnsi="宋体" w:eastAsia="宋体" w:cs="宋体"/>
                      <w:color w:val="000000"/>
                      <w:kern w:val="0"/>
                      <w:sz w:val="21"/>
                      <w:szCs w:val="21"/>
                      <w:lang w:val="en-US" w:eastAsia="zh-CN" w:bidi="ar"/>
                    </w:rPr>
                    <w:t>排放</w:t>
                  </w:r>
                  <w:r>
                    <w:rPr>
                      <w:rFonts w:hint="eastAsia" w:ascii="宋体" w:hAnsi="宋体" w:cs="宋体"/>
                      <w:color w:val="000000"/>
                      <w:kern w:val="0"/>
                      <w:sz w:val="21"/>
                      <w:szCs w:val="21"/>
                      <w:lang w:val="en-US" w:eastAsia="zh-CN" w:bidi="ar"/>
                    </w:rPr>
                    <w:t>；超硬质沥青和沥青改性剂包装工段产生的废气经集气罩收集后与破碎工段共用一套布袋除尘器处理后通过一个15米高排气筒（与破碎工段共用）</w:t>
                  </w:r>
                  <w:r>
                    <w:rPr>
                      <w:rFonts w:hint="eastAsia" w:ascii="宋体" w:hAnsi="宋体" w:eastAsia="宋体" w:cs="宋体"/>
                      <w:color w:val="000000"/>
                      <w:kern w:val="0"/>
                      <w:sz w:val="21"/>
                      <w:szCs w:val="21"/>
                      <w:lang w:val="en-US" w:eastAsia="zh-CN" w:bidi="ar"/>
                    </w:rPr>
                    <w:t>排放。</w:t>
                  </w:r>
                </w:p>
              </w:tc>
              <w:tc>
                <w:tcPr>
                  <w:tcW w:w="356" w:type="pct"/>
                  <w:shd w:val="clear" w:color="auto" w:fill="FEFEFE"/>
                  <w:noWrap w:val="0"/>
                  <w:vAlign w:val="center"/>
                </w:tcPr>
                <w:p w14:paraId="49D49175">
                  <w:pPr>
                    <w:pStyle w:val="74"/>
                    <w:spacing w:line="240" w:lineRule="auto"/>
                    <w:rPr>
                      <w:rStyle w:val="83"/>
                      <w:rFonts w:hint="eastAsia" w:ascii="宋体" w:hAnsi="宋体" w:eastAsia="宋体" w:cs="宋体"/>
                      <w:b w:val="0"/>
                      <w:color w:val="000000"/>
                      <w:sz w:val="21"/>
                      <w:szCs w:val="21"/>
                    </w:rPr>
                  </w:pPr>
                  <w:r>
                    <w:rPr>
                      <w:rFonts w:hint="eastAsia" w:ascii="宋体" w:hAnsi="宋体" w:eastAsia="宋体" w:cs="宋体"/>
                      <w:color w:val="000000"/>
                      <w:kern w:val="2"/>
                      <w:sz w:val="21"/>
                      <w:szCs w:val="21"/>
                      <w:lang w:val="en-US" w:eastAsia="zh-CN" w:bidi="ar-SA"/>
                    </w:rPr>
                    <w:t>新建</w:t>
                  </w:r>
                </w:p>
              </w:tc>
            </w:tr>
            <w:tr w14:paraId="33804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trPr>
              <w:tc>
                <w:tcPr>
                  <w:tcW w:w="358" w:type="pct"/>
                  <w:vMerge w:val="continue"/>
                  <w:shd w:val="clear" w:color="auto" w:fill="FEFEFE"/>
                  <w:noWrap w:val="0"/>
                  <w:vAlign w:val="center"/>
                </w:tcPr>
                <w:p w14:paraId="087D6193">
                  <w:pPr>
                    <w:pStyle w:val="74"/>
                    <w:spacing w:line="240" w:lineRule="auto"/>
                    <w:rPr>
                      <w:rStyle w:val="83"/>
                      <w:rFonts w:hint="eastAsia" w:ascii="宋体" w:hAnsi="宋体" w:eastAsia="宋体" w:cs="宋体"/>
                      <w:b w:val="0"/>
                      <w:color w:val="000000"/>
                      <w:sz w:val="21"/>
                      <w:szCs w:val="21"/>
                    </w:rPr>
                  </w:pPr>
                </w:p>
              </w:tc>
              <w:tc>
                <w:tcPr>
                  <w:tcW w:w="454" w:type="pct"/>
                  <w:shd w:val="clear" w:color="auto" w:fill="FEFEFE"/>
                  <w:noWrap w:val="0"/>
                  <w:vAlign w:val="center"/>
                </w:tcPr>
                <w:p w14:paraId="338C3291">
                  <w:pPr>
                    <w:pStyle w:val="74"/>
                    <w:spacing w:line="240" w:lineRule="auto"/>
                    <w:rPr>
                      <w:rStyle w:val="83"/>
                      <w:rFonts w:hint="eastAsia" w:ascii="宋体" w:hAnsi="宋体" w:cs="宋体"/>
                      <w:b w:val="0"/>
                      <w:color w:val="000000"/>
                      <w:sz w:val="21"/>
                      <w:szCs w:val="21"/>
                      <w:lang w:val="en-US" w:eastAsia="zh-CN"/>
                    </w:rPr>
                  </w:pPr>
                  <w:r>
                    <w:rPr>
                      <w:rStyle w:val="83"/>
                      <w:rFonts w:hint="eastAsia" w:ascii="宋体" w:hAnsi="宋体" w:cs="宋体"/>
                      <w:b w:val="0"/>
                      <w:color w:val="000000"/>
                      <w:sz w:val="21"/>
                      <w:szCs w:val="21"/>
                      <w:lang w:val="en-US" w:eastAsia="zh-CN"/>
                    </w:rPr>
                    <w:t>固废</w:t>
                  </w:r>
                </w:p>
                <w:p w14:paraId="0829882F">
                  <w:pPr>
                    <w:pStyle w:val="74"/>
                    <w:spacing w:line="240" w:lineRule="auto"/>
                    <w:rPr>
                      <w:rStyle w:val="83"/>
                      <w:rFonts w:hint="eastAsia" w:ascii="宋体" w:hAnsi="宋体" w:eastAsia="宋体" w:cs="宋体"/>
                      <w:b w:val="0"/>
                      <w:color w:val="000000"/>
                      <w:sz w:val="21"/>
                      <w:szCs w:val="21"/>
                      <w:lang w:val="en-US" w:eastAsia="zh-CN"/>
                    </w:rPr>
                  </w:pPr>
                  <w:r>
                    <w:rPr>
                      <w:rStyle w:val="83"/>
                      <w:rFonts w:hint="eastAsia" w:ascii="宋体" w:hAnsi="宋体" w:cs="宋体"/>
                      <w:b w:val="0"/>
                      <w:color w:val="000000"/>
                      <w:sz w:val="21"/>
                      <w:szCs w:val="21"/>
                      <w:lang w:val="en-US" w:eastAsia="zh-CN"/>
                    </w:rPr>
                    <w:t>处理</w:t>
                  </w:r>
                </w:p>
              </w:tc>
              <w:tc>
                <w:tcPr>
                  <w:tcW w:w="3831" w:type="pct"/>
                  <w:shd w:val="clear" w:color="auto" w:fill="FEFEFE"/>
                  <w:noWrap w:val="0"/>
                  <w:vAlign w:val="center"/>
                </w:tcPr>
                <w:p w14:paraId="1BEE6A50">
                  <w:pPr>
                    <w:pStyle w:val="72"/>
                    <w:spacing w:line="240" w:lineRule="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本项目固体废物</w:t>
                  </w:r>
                  <w:r>
                    <w:rPr>
                      <w:rFonts w:hint="eastAsia" w:ascii="宋体" w:hAnsi="宋体" w:cs="宋体"/>
                      <w:color w:val="auto"/>
                      <w:kern w:val="0"/>
                      <w:sz w:val="21"/>
                      <w:szCs w:val="21"/>
                      <w:lang w:val="en-US" w:eastAsia="zh-CN" w:bidi="ar"/>
                    </w:rPr>
                    <w:t>为破碎工段和</w:t>
                  </w:r>
                  <w:r>
                    <w:rPr>
                      <w:rFonts w:hint="eastAsia" w:ascii="宋体" w:hAnsi="宋体" w:cs="宋体"/>
                      <w:color w:val="000000"/>
                      <w:kern w:val="0"/>
                      <w:sz w:val="21"/>
                      <w:szCs w:val="21"/>
                      <w:lang w:val="en-US" w:eastAsia="zh-CN" w:bidi="ar"/>
                    </w:rPr>
                    <w:t>包装工段</w:t>
                  </w:r>
                  <w:r>
                    <w:rPr>
                      <w:rFonts w:hint="eastAsia" w:ascii="宋体" w:hAnsi="宋体" w:cs="宋体"/>
                      <w:color w:val="auto"/>
                      <w:kern w:val="0"/>
                      <w:sz w:val="21"/>
                      <w:szCs w:val="21"/>
                      <w:lang w:val="en-US" w:eastAsia="zh-CN" w:bidi="ar"/>
                    </w:rPr>
                    <w:t>布袋除尘器收集的除尘灰，该工段产生的除尘灰本质为沥青，经布袋除尘器收集后循环利用。</w:t>
                  </w:r>
                </w:p>
              </w:tc>
              <w:tc>
                <w:tcPr>
                  <w:tcW w:w="356" w:type="pct"/>
                  <w:shd w:val="clear" w:color="auto" w:fill="FEFEFE"/>
                  <w:noWrap w:val="0"/>
                  <w:vAlign w:val="center"/>
                </w:tcPr>
                <w:p w14:paraId="15F49D22">
                  <w:pPr>
                    <w:pStyle w:val="74"/>
                    <w:spacing w:line="240" w:lineRule="auto"/>
                    <w:rPr>
                      <w:rStyle w:val="83"/>
                      <w:rFonts w:hint="eastAsia" w:ascii="宋体" w:hAnsi="宋体" w:eastAsia="宋体" w:cs="宋体"/>
                      <w:b w:val="0"/>
                      <w:color w:val="000000"/>
                      <w:sz w:val="21"/>
                      <w:szCs w:val="21"/>
                      <w:lang w:val="en-US" w:eastAsia="zh-CN"/>
                    </w:rPr>
                  </w:pPr>
                  <w:r>
                    <w:rPr>
                      <w:rFonts w:hint="eastAsia" w:ascii="宋体" w:hAnsi="宋体" w:eastAsia="宋体" w:cs="宋体"/>
                      <w:color w:val="000000"/>
                      <w:kern w:val="2"/>
                      <w:sz w:val="21"/>
                      <w:szCs w:val="21"/>
                      <w:lang w:val="en-US" w:eastAsia="zh-CN" w:bidi="ar-SA"/>
                    </w:rPr>
                    <w:t>新建</w:t>
                  </w:r>
                </w:p>
              </w:tc>
            </w:tr>
            <w:tr w14:paraId="0D60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90" w:hRule="atLeast"/>
              </w:trPr>
              <w:tc>
                <w:tcPr>
                  <w:tcW w:w="358" w:type="pct"/>
                  <w:vMerge w:val="continue"/>
                  <w:shd w:val="clear" w:color="auto" w:fill="FEFEFE"/>
                  <w:noWrap w:val="0"/>
                  <w:vAlign w:val="center"/>
                </w:tcPr>
                <w:p w14:paraId="1B300DD0">
                  <w:pPr>
                    <w:pStyle w:val="74"/>
                    <w:spacing w:line="240" w:lineRule="auto"/>
                    <w:rPr>
                      <w:rStyle w:val="83"/>
                      <w:rFonts w:hint="eastAsia" w:ascii="宋体" w:hAnsi="宋体" w:eastAsia="宋体" w:cs="宋体"/>
                      <w:b w:val="0"/>
                      <w:color w:val="000000"/>
                      <w:sz w:val="21"/>
                      <w:szCs w:val="21"/>
                    </w:rPr>
                  </w:pPr>
                </w:p>
              </w:tc>
              <w:tc>
                <w:tcPr>
                  <w:tcW w:w="454" w:type="pct"/>
                  <w:shd w:val="clear" w:color="auto" w:fill="FEFEFE"/>
                  <w:noWrap w:val="0"/>
                  <w:vAlign w:val="center"/>
                </w:tcPr>
                <w:p w14:paraId="786FCB08">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cs="宋体"/>
                      <w:b w:val="0"/>
                      <w:color w:val="000000"/>
                      <w:sz w:val="21"/>
                      <w:szCs w:val="21"/>
                      <w:lang w:val="en-US" w:eastAsia="zh-CN"/>
                    </w:rPr>
                    <w:t>危</w:t>
                  </w:r>
                  <w:r>
                    <w:rPr>
                      <w:rStyle w:val="83"/>
                      <w:rFonts w:hint="eastAsia" w:ascii="宋体" w:hAnsi="宋体" w:eastAsia="宋体" w:cs="宋体"/>
                      <w:b w:val="0"/>
                      <w:color w:val="000000"/>
                      <w:sz w:val="21"/>
                      <w:szCs w:val="21"/>
                    </w:rPr>
                    <w:t>废</w:t>
                  </w:r>
                </w:p>
                <w:p w14:paraId="5ED0BC74">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处理</w:t>
                  </w:r>
                </w:p>
              </w:tc>
              <w:tc>
                <w:tcPr>
                  <w:tcW w:w="3831" w:type="pct"/>
                  <w:shd w:val="clear" w:color="auto" w:fill="FEFEFE"/>
                  <w:noWrap w:val="0"/>
                  <w:vAlign w:val="center"/>
                </w:tcPr>
                <w:p w14:paraId="26A9BBAC">
                  <w:pPr>
                    <w:pStyle w:val="72"/>
                    <w:spacing w:line="240" w:lineRule="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本项目固体废物</w:t>
                  </w:r>
                  <w:r>
                    <w:rPr>
                      <w:rFonts w:hint="eastAsia" w:ascii="宋体" w:hAnsi="宋体" w:cs="宋体"/>
                      <w:color w:val="auto"/>
                      <w:kern w:val="0"/>
                      <w:sz w:val="21"/>
                      <w:szCs w:val="21"/>
                      <w:lang w:val="en-US" w:eastAsia="zh-CN" w:bidi="ar"/>
                    </w:rPr>
                    <w:t>为烟气治理产生的废活性炭，2年更换一次，暂存于厂区危废库，最终送至有资质单位处置</w:t>
                  </w:r>
                  <w:r>
                    <w:rPr>
                      <w:rFonts w:hint="eastAsia" w:ascii="宋体" w:hAnsi="宋体" w:eastAsia="宋体" w:cs="宋体"/>
                      <w:color w:val="auto"/>
                      <w:kern w:val="0"/>
                      <w:sz w:val="21"/>
                      <w:szCs w:val="21"/>
                      <w:lang w:val="en-US" w:eastAsia="zh-CN" w:bidi="ar"/>
                    </w:rPr>
                    <w:t>。</w:t>
                  </w:r>
                </w:p>
              </w:tc>
              <w:tc>
                <w:tcPr>
                  <w:tcW w:w="356" w:type="pct"/>
                  <w:shd w:val="clear" w:color="auto" w:fill="FEFEFE"/>
                  <w:noWrap w:val="0"/>
                  <w:vAlign w:val="center"/>
                </w:tcPr>
                <w:p w14:paraId="01FAE52D">
                  <w:pPr>
                    <w:pStyle w:val="74"/>
                    <w:spacing w:line="240" w:lineRule="auto"/>
                    <w:rPr>
                      <w:rStyle w:val="83"/>
                      <w:rFonts w:hint="eastAsia" w:ascii="宋体" w:hAnsi="宋体" w:eastAsia="宋体" w:cs="宋体"/>
                      <w:b w:val="0"/>
                      <w:color w:val="000000"/>
                      <w:sz w:val="21"/>
                      <w:szCs w:val="21"/>
                      <w:lang w:eastAsia="zh-CN"/>
                    </w:rPr>
                  </w:pPr>
                  <w:r>
                    <w:rPr>
                      <w:rStyle w:val="83"/>
                      <w:rFonts w:hint="eastAsia" w:ascii="宋体" w:hAnsi="宋体" w:eastAsia="宋体" w:cs="宋体"/>
                      <w:b w:val="0"/>
                      <w:color w:val="000000"/>
                      <w:sz w:val="21"/>
                      <w:szCs w:val="21"/>
                      <w:lang w:val="en-US" w:eastAsia="zh-CN"/>
                    </w:rPr>
                    <w:t>依托</w:t>
                  </w:r>
                </w:p>
              </w:tc>
            </w:tr>
            <w:tr w14:paraId="35269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12" w:hRule="atLeast"/>
              </w:trPr>
              <w:tc>
                <w:tcPr>
                  <w:tcW w:w="358" w:type="pct"/>
                  <w:vMerge w:val="continue"/>
                  <w:shd w:val="clear" w:color="auto" w:fill="FEFEFE"/>
                  <w:noWrap w:val="0"/>
                  <w:vAlign w:val="center"/>
                </w:tcPr>
                <w:p w14:paraId="4F70D918">
                  <w:pPr>
                    <w:pStyle w:val="74"/>
                    <w:spacing w:line="240" w:lineRule="auto"/>
                    <w:rPr>
                      <w:rStyle w:val="83"/>
                      <w:rFonts w:hint="eastAsia" w:ascii="宋体" w:hAnsi="宋体" w:eastAsia="宋体" w:cs="宋体"/>
                      <w:b w:val="0"/>
                      <w:color w:val="000000"/>
                      <w:sz w:val="21"/>
                      <w:szCs w:val="21"/>
                    </w:rPr>
                  </w:pPr>
                </w:p>
              </w:tc>
              <w:tc>
                <w:tcPr>
                  <w:tcW w:w="454" w:type="pct"/>
                  <w:shd w:val="clear" w:color="auto" w:fill="FEFEFE"/>
                  <w:noWrap w:val="0"/>
                  <w:vAlign w:val="center"/>
                </w:tcPr>
                <w:p w14:paraId="64F5CE22">
                  <w:pPr>
                    <w:pStyle w:val="74"/>
                    <w:spacing w:line="240" w:lineRule="auto"/>
                    <w:rPr>
                      <w:rStyle w:val="83"/>
                      <w:rFonts w:hint="eastAsia" w:ascii="宋体" w:hAnsi="宋体" w:cs="宋体"/>
                      <w:b w:val="0"/>
                      <w:color w:val="000000"/>
                      <w:sz w:val="21"/>
                      <w:szCs w:val="21"/>
                      <w:lang w:val="en-US" w:eastAsia="zh-CN"/>
                    </w:rPr>
                  </w:pPr>
                  <w:r>
                    <w:rPr>
                      <w:rStyle w:val="83"/>
                      <w:rFonts w:hint="eastAsia" w:ascii="宋体" w:hAnsi="宋体" w:cs="宋体"/>
                      <w:b w:val="0"/>
                      <w:color w:val="000000"/>
                      <w:sz w:val="21"/>
                      <w:szCs w:val="21"/>
                      <w:lang w:val="en-US" w:eastAsia="zh-CN"/>
                    </w:rPr>
                    <w:t>废水</w:t>
                  </w:r>
                </w:p>
                <w:p w14:paraId="67BCCC47">
                  <w:pPr>
                    <w:pStyle w:val="74"/>
                    <w:spacing w:line="240" w:lineRule="auto"/>
                    <w:rPr>
                      <w:rStyle w:val="83"/>
                      <w:rFonts w:hint="default" w:ascii="宋体" w:hAnsi="宋体" w:eastAsia="宋体" w:cs="宋体"/>
                      <w:b w:val="0"/>
                      <w:color w:val="000000"/>
                      <w:sz w:val="21"/>
                      <w:szCs w:val="21"/>
                      <w:lang w:val="en-US" w:eastAsia="zh-CN"/>
                    </w:rPr>
                  </w:pPr>
                  <w:r>
                    <w:rPr>
                      <w:rStyle w:val="83"/>
                      <w:rFonts w:hint="eastAsia" w:ascii="宋体" w:hAnsi="宋体" w:cs="宋体"/>
                      <w:b w:val="0"/>
                      <w:color w:val="000000"/>
                      <w:sz w:val="21"/>
                      <w:szCs w:val="21"/>
                      <w:lang w:val="en-US" w:eastAsia="zh-CN"/>
                    </w:rPr>
                    <w:t>处理</w:t>
                  </w:r>
                </w:p>
              </w:tc>
              <w:tc>
                <w:tcPr>
                  <w:tcW w:w="3831" w:type="pct"/>
                  <w:shd w:val="clear" w:color="auto" w:fill="FEFEFE"/>
                  <w:noWrap w:val="0"/>
                  <w:vAlign w:val="center"/>
                </w:tcPr>
                <w:p w14:paraId="6027A84C">
                  <w:pPr>
                    <w:pStyle w:val="72"/>
                    <w:spacing w:line="240" w:lineRule="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本项目采用双螺杆机水环切造粒的技术，废水产生量约0.8t/h。污水进入含油污水井，通过含油污水井进入154单元</w:t>
                  </w:r>
                  <w:r>
                    <w:rPr>
                      <w:rFonts w:hint="eastAsia" w:ascii="宋体" w:hAnsi="宋体" w:cs="宋体"/>
                      <w:color w:val="auto"/>
                      <w:kern w:val="0"/>
                      <w:sz w:val="21"/>
                      <w:szCs w:val="21"/>
                      <w:lang w:val="en-US" w:eastAsia="zh-CN" w:bidi="ar"/>
                    </w:rPr>
                    <w:t>污水处理厂</w:t>
                  </w:r>
                  <w:r>
                    <w:rPr>
                      <w:rFonts w:hint="eastAsia" w:ascii="宋体" w:hAnsi="宋体" w:eastAsia="宋体" w:cs="宋体"/>
                      <w:color w:val="auto"/>
                      <w:kern w:val="0"/>
                      <w:sz w:val="21"/>
                      <w:szCs w:val="21"/>
                      <w:lang w:val="en-US" w:eastAsia="zh-CN" w:bidi="ar"/>
                    </w:rPr>
                    <w:t>含油污水处理系统，含油污水处理系统额定负荷204t/h，经过生化AO池、二次沉淀池、深度处理AO池、深度MBR膜池处理后，COD50mg/L，回用至全厂循环水系统。</w:t>
                  </w:r>
                </w:p>
              </w:tc>
              <w:tc>
                <w:tcPr>
                  <w:tcW w:w="356" w:type="pct"/>
                  <w:shd w:val="clear" w:color="auto" w:fill="FEFEFE"/>
                  <w:noWrap w:val="0"/>
                  <w:vAlign w:val="center"/>
                </w:tcPr>
                <w:p w14:paraId="20E3CF2F">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lang w:val="en-US" w:eastAsia="zh-CN"/>
                    </w:rPr>
                    <w:t>依托</w:t>
                  </w:r>
                </w:p>
              </w:tc>
            </w:tr>
            <w:tr w14:paraId="1ED32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44" w:hRule="atLeast"/>
              </w:trPr>
              <w:tc>
                <w:tcPr>
                  <w:tcW w:w="358" w:type="pct"/>
                  <w:vMerge w:val="continue"/>
                  <w:shd w:val="clear" w:color="auto" w:fill="FEFEFE"/>
                  <w:noWrap w:val="0"/>
                  <w:vAlign w:val="center"/>
                </w:tcPr>
                <w:p w14:paraId="5BFB0F7B">
                  <w:pPr>
                    <w:pStyle w:val="74"/>
                    <w:spacing w:line="240" w:lineRule="auto"/>
                    <w:rPr>
                      <w:rStyle w:val="83"/>
                      <w:rFonts w:hint="eastAsia" w:ascii="宋体" w:hAnsi="宋体" w:eastAsia="宋体" w:cs="宋体"/>
                      <w:b w:val="0"/>
                      <w:color w:val="000000"/>
                      <w:sz w:val="21"/>
                      <w:szCs w:val="21"/>
                    </w:rPr>
                  </w:pPr>
                </w:p>
              </w:tc>
              <w:tc>
                <w:tcPr>
                  <w:tcW w:w="454" w:type="pct"/>
                  <w:shd w:val="clear" w:color="auto" w:fill="FEFEFE"/>
                  <w:noWrap w:val="0"/>
                  <w:vAlign w:val="center"/>
                </w:tcPr>
                <w:p w14:paraId="1B754140">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噪声</w:t>
                  </w:r>
                </w:p>
                <w:p w14:paraId="2F6F39D3">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处理</w:t>
                  </w:r>
                </w:p>
              </w:tc>
              <w:tc>
                <w:tcPr>
                  <w:tcW w:w="3831" w:type="pct"/>
                  <w:shd w:val="clear" w:color="auto" w:fill="FEFEFE"/>
                  <w:noWrap w:val="0"/>
                  <w:vAlign w:val="center"/>
                </w:tcPr>
                <w:p w14:paraId="71516CF5">
                  <w:pPr>
                    <w:pStyle w:val="74"/>
                    <w:spacing w:line="240" w:lineRule="auto"/>
                    <w:ind w:firstLine="420" w:firstLineChars="200"/>
                    <w:jc w:val="both"/>
                    <w:rPr>
                      <w:rStyle w:val="83"/>
                      <w:rFonts w:hint="eastAsia" w:ascii="宋体" w:hAnsi="宋体" w:eastAsia="宋体" w:cs="宋体"/>
                      <w:b w:val="0"/>
                      <w:color w:val="C00000"/>
                      <w:sz w:val="21"/>
                      <w:szCs w:val="21"/>
                    </w:rPr>
                  </w:pPr>
                  <w:r>
                    <w:rPr>
                      <w:rFonts w:hint="eastAsia" w:ascii="宋体" w:hAnsi="宋体" w:eastAsia="宋体" w:cs="宋体"/>
                      <w:color w:val="auto"/>
                      <w:sz w:val="21"/>
                      <w:szCs w:val="21"/>
                      <w:highlight w:val="none"/>
                      <w:lang w:val="en-US" w:eastAsia="zh-CN"/>
                    </w:rPr>
                    <w:t>采取基础减振、隔声等措施。</w:t>
                  </w:r>
                </w:p>
              </w:tc>
              <w:tc>
                <w:tcPr>
                  <w:tcW w:w="356" w:type="pct"/>
                  <w:shd w:val="clear" w:color="auto" w:fill="FEFEFE"/>
                  <w:noWrap w:val="0"/>
                  <w:vAlign w:val="center"/>
                </w:tcPr>
                <w:p w14:paraId="6A45457F">
                  <w:pPr>
                    <w:pStyle w:val="74"/>
                    <w:spacing w:line="240" w:lineRule="auto"/>
                    <w:rPr>
                      <w:rStyle w:val="83"/>
                      <w:rFonts w:hint="eastAsia" w:ascii="宋体" w:hAnsi="宋体" w:eastAsia="宋体" w:cs="宋体"/>
                      <w:b w:val="0"/>
                      <w:color w:val="000000"/>
                      <w:sz w:val="21"/>
                      <w:szCs w:val="21"/>
                    </w:rPr>
                  </w:pPr>
                  <w:r>
                    <w:rPr>
                      <w:rStyle w:val="83"/>
                      <w:rFonts w:hint="eastAsia" w:ascii="宋体" w:hAnsi="宋体" w:eastAsia="宋体" w:cs="宋体"/>
                      <w:b w:val="0"/>
                      <w:color w:val="000000"/>
                      <w:sz w:val="21"/>
                      <w:szCs w:val="21"/>
                    </w:rPr>
                    <w:t>/</w:t>
                  </w:r>
                </w:p>
              </w:tc>
            </w:tr>
            <w:tr w14:paraId="51FF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0" w:hRule="atLeast"/>
              </w:trPr>
              <w:tc>
                <w:tcPr>
                  <w:tcW w:w="358" w:type="pct"/>
                  <w:vMerge w:val="continue"/>
                  <w:shd w:val="clear" w:color="auto" w:fill="FEFEFE"/>
                  <w:noWrap w:val="0"/>
                  <w:vAlign w:val="center"/>
                </w:tcPr>
                <w:p w14:paraId="170B2BCA">
                  <w:pPr>
                    <w:pStyle w:val="74"/>
                    <w:spacing w:line="240" w:lineRule="auto"/>
                    <w:rPr>
                      <w:rStyle w:val="83"/>
                      <w:rFonts w:hint="eastAsia" w:ascii="宋体" w:hAnsi="宋体" w:eastAsia="宋体" w:cs="宋体"/>
                      <w:b w:val="0"/>
                      <w:color w:val="000000"/>
                      <w:sz w:val="21"/>
                      <w:szCs w:val="21"/>
                    </w:rPr>
                  </w:pPr>
                </w:p>
              </w:tc>
              <w:tc>
                <w:tcPr>
                  <w:tcW w:w="454" w:type="pct"/>
                  <w:shd w:val="clear" w:color="auto" w:fill="FEFEFE"/>
                  <w:noWrap w:val="0"/>
                  <w:vAlign w:val="center"/>
                </w:tcPr>
                <w:p w14:paraId="42F0D2CD">
                  <w:pPr>
                    <w:pStyle w:val="74"/>
                    <w:spacing w:line="240" w:lineRule="auto"/>
                    <w:rPr>
                      <w:rStyle w:val="83"/>
                      <w:rFonts w:hint="eastAsia" w:ascii="宋体" w:hAnsi="宋体" w:eastAsia="宋体" w:cs="宋体"/>
                      <w:b w:val="0"/>
                      <w:color w:val="000000"/>
                      <w:sz w:val="21"/>
                      <w:szCs w:val="21"/>
                      <w:lang w:val="en-US" w:eastAsia="zh-CN"/>
                    </w:rPr>
                  </w:pPr>
                  <w:r>
                    <w:rPr>
                      <w:rStyle w:val="83"/>
                      <w:rFonts w:hint="eastAsia" w:ascii="宋体" w:hAnsi="宋体" w:eastAsia="宋体" w:cs="宋体"/>
                      <w:b w:val="0"/>
                      <w:color w:val="000000"/>
                      <w:sz w:val="21"/>
                      <w:szCs w:val="21"/>
                      <w:lang w:val="en-US" w:eastAsia="zh-CN"/>
                    </w:rPr>
                    <w:t>环境</w:t>
                  </w:r>
                </w:p>
                <w:p w14:paraId="0CFB6B6F">
                  <w:pPr>
                    <w:pStyle w:val="74"/>
                    <w:spacing w:line="240" w:lineRule="auto"/>
                    <w:rPr>
                      <w:rStyle w:val="83"/>
                      <w:rFonts w:hint="eastAsia" w:ascii="宋体" w:hAnsi="宋体" w:eastAsia="宋体" w:cs="宋体"/>
                      <w:b w:val="0"/>
                      <w:color w:val="000000"/>
                      <w:sz w:val="21"/>
                      <w:szCs w:val="21"/>
                      <w:lang w:val="en-US" w:eastAsia="zh-CN"/>
                    </w:rPr>
                  </w:pPr>
                  <w:r>
                    <w:rPr>
                      <w:rStyle w:val="83"/>
                      <w:rFonts w:hint="eastAsia" w:ascii="宋体" w:hAnsi="宋体" w:eastAsia="宋体" w:cs="宋体"/>
                      <w:b w:val="0"/>
                      <w:color w:val="000000"/>
                      <w:sz w:val="21"/>
                      <w:szCs w:val="21"/>
                      <w:lang w:val="en-US" w:eastAsia="zh-CN"/>
                    </w:rPr>
                    <w:t>风险</w:t>
                  </w:r>
                </w:p>
              </w:tc>
              <w:tc>
                <w:tcPr>
                  <w:tcW w:w="3831" w:type="pct"/>
                  <w:shd w:val="clear" w:color="auto" w:fill="FEFEFE"/>
                  <w:noWrap w:val="0"/>
                  <w:vAlign w:val="center"/>
                </w:tcPr>
                <w:p w14:paraId="0ECA2950">
                  <w:pPr>
                    <w:pStyle w:val="74"/>
                    <w:spacing w:line="240" w:lineRule="auto"/>
                    <w:ind w:firstLine="420" w:firstLineChars="200"/>
                    <w:jc w:val="left"/>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远离火种、热源，工作场所严禁吸烟。搬运时轻装、轻卸，防止破损。配备相应品种和数量的消防器材及泄漏应急处理设备。</w:t>
                  </w:r>
                </w:p>
              </w:tc>
              <w:tc>
                <w:tcPr>
                  <w:tcW w:w="356" w:type="pct"/>
                  <w:shd w:val="clear" w:color="auto" w:fill="FEFEFE"/>
                  <w:noWrap w:val="0"/>
                  <w:vAlign w:val="center"/>
                </w:tcPr>
                <w:p w14:paraId="7B514182">
                  <w:pPr>
                    <w:pStyle w:val="74"/>
                    <w:spacing w:line="240" w:lineRule="auto"/>
                    <w:rPr>
                      <w:rStyle w:val="83"/>
                      <w:rFonts w:hint="eastAsia" w:ascii="宋体" w:hAnsi="宋体" w:eastAsia="宋体" w:cs="宋体"/>
                      <w:b w:val="0"/>
                      <w:color w:val="auto"/>
                      <w:sz w:val="21"/>
                      <w:szCs w:val="21"/>
                    </w:rPr>
                  </w:pPr>
                  <w:r>
                    <w:rPr>
                      <w:rStyle w:val="83"/>
                      <w:rFonts w:hint="eastAsia" w:ascii="宋体" w:hAnsi="宋体" w:eastAsia="宋体" w:cs="宋体"/>
                      <w:b w:val="0"/>
                      <w:color w:val="auto"/>
                      <w:sz w:val="21"/>
                      <w:szCs w:val="21"/>
                    </w:rPr>
                    <w:t>/</w:t>
                  </w:r>
                </w:p>
              </w:tc>
            </w:tr>
          </w:tbl>
          <w:p w14:paraId="7972D053">
            <w:pPr>
              <w:pStyle w:val="70"/>
              <w:numPr>
                <w:ilvl w:val="0"/>
                <w:numId w:val="1"/>
              </w:numPr>
              <w:spacing w:line="360" w:lineRule="auto"/>
              <w:ind w:left="0" w:leftChars="0" w:firstLine="0" w:firstLineChars="0"/>
              <w:rPr>
                <w:rFonts w:hint="eastAsia" w:ascii="宋体" w:hAnsi="宋体" w:eastAsia="宋体" w:cs="宋体"/>
                <w:b/>
                <w:color w:val="000000"/>
                <w:sz w:val="24"/>
                <w:szCs w:val="24"/>
                <w:lang w:val="en-US" w:eastAsia="zh-CN"/>
              </w:rPr>
            </w:pPr>
            <w:r>
              <w:rPr>
                <w:rFonts w:hint="eastAsia" w:ascii="宋体" w:hAnsi="宋体" w:eastAsia="宋体" w:cs="宋体"/>
                <w:b/>
                <w:color w:val="000000"/>
                <w:sz w:val="24"/>
                <w:szCs w:val="24"/>
                <w:lang w:val="en-US" w:eastAsia="zh-CN"/>
              </w:rPr>
              <w:t>主要设备</w:t>
            </w:r>
          </w:p>
          <w:p w14:paraId="532BA974">
            <w:pPr>
              <w:pStyle w:val="70"/>
              <w:numPr>
                <w:ilvl w:val="0"/>
                <w:numId w:val="0"/>
              </w:numPr>
              <w:spacing w:line="360" w:lineRule="auto"/>
              <w:ind w:leftChars="0"/>
              <w:rPr>
                <w:rFonts w:hint="default" w:ascii="宋体" w:hAnsi="宋体" w:eastAsia="宋体" w:cs="宋体"/>
                <w:b/>
                <w:color w:val="000000"/>
                <w:sz w:val="24"/>
                <w:szCs w:val="24"/>
                <w:lang w:val="en-US" w:eastAsia="zh-CN"/>
              </w:rPr>
            </w:pPr>
            <w:r>
              <w:rPr>
                <w:rFonts w:hint="eastAsia" w:ascii="宋体" w:hAnsi="宋体" w:cs="宋体"/>
                <w:b/>
                <w:color w:val="000000"/>
                <w:sz w:val="24"/>
                <w:szCs w:val="24"/>
                <w:lang w:val="en-US" w:eastAsia="zh-CN"/>
              </w:rPr>
              <w:t xml:space="preserve">    </w:t>
            </w:r>
            <w:r>
              <w:rPr>
                <w:rFonts w:hint="eastAsia" w:ascii="宋体" w:hAnsi="宋体" w:eastAsia="宋体" w:cs="宋体"/>
                <w:b w:val="0"/>
                <w:color w:val="000000"/>
                <w:kern w:val="0"/>
                <w:sz w:val="24"/>
                <w:szCs w:val="24"/>
                <w:lang w:val="en-US" w:eastAsia="zh-CN" w:bidi="ar"/>
              </w:rPr>
              <w:t>本项目新增工艺设备详见表</w:t>
            </w:r>
            <w:r>
              <w:rPr>
                <w:rFonts w:hint="eastAsia" w:ascii="宋体" w:hAnsi="宋体" w:cs="宋体"/>
                <w:b w:val="0"/>
                <w:color w:val="000000"/>
                <w:kern w:val="0"/>
                <w:sz w:val="24"/>
                <w:szCs w:val="24"/>
                <w:lang w:val="en-US" w:eastAsia="zh-CN" w:bidi="ar"/>
              </w:rPr>
              <w:t>2-2。</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4316"/>
              <w:gridCol w:w="617"/>
              <w:gridCol w:w="863"/>
              <w:gridCol w:w="1862"/>
            </w:tblGrid>
            <w:tr w14:paraId="7C3B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5000" w:type="pct"/>
                  <w:gridSpan w:val="5"/>
                  <w:noWrap w:val="0"/>
                  <w:vAlign w:val="center"/>
                </w:tcPr>
                <w:p w14:paraId="5D627944">
                  <w:pPr>
                    <w:pStyle w:val="70"/>
                    <w:spacing w:line="360" w:lineRule="auto"/>
                    <w:jc w:val="center"/>
                    <w:rPr>
                      <w:rFonts w:hint="eastAsia" w:hAnsi="宋体"/>
                      <w:sz w:val="21"/>
                    </w:rPr>
                  </w:pPr>
                  <w:r>
                    <w:rPr>
                      <w:rFonts w:hint="eastAsia" w:ascii="宋体" w:hAnsi="宋体" w:eastAsia="宋体" w:cs="宋体"/>
                      <w:b/>
                      <w:color w:val="auto"/>
                      <w:sz w:val="24"/>
                      <w:szCs w:val="24"/>
                      <w:lang w:val="en-US" w:eastAsia="zh-CN"/>
                    </w:rPr>
                    <w:t>表2-</w:t>
                  </w:r>
                  <w:r>
                    <w:rPr>
                      <w:rFonts w:hint="eastAsia" w:ascii="宋体" w:hAnsi="宋体" w:cs="宋体"/>
                      <w:b/>
                      <w:color w:val="auto"/>
                      <w:sz w:val="24"/>
                      <w:szCs w:val="24"/>
                      <w:lang w:val="en-US" w:eastAsia="zh-CN"/>
                    </w:rPr>
                    <w:t>2</w:t>
                  </w:r>
                  <w:r>
                    <w:rPr>
                      <w:rFonts w:hint="eastAsia" w:ascii="宋体" w:hAnsi="宋体" w:eastAsia="宋体" w:cs="宋体"/>
                      <w:b/>
                      <w:color w:val="auto"/>
                      <w:sz w:val="24"/>
                      <w:szCs w:val="24"/>
                      <w:lang w:val="en-US" w:eastAsia="zh-CN"/>
                    </w:rPr>
                    <w:t>主要设备一览表</w:t>
                  </w:r>
                </w:p>
              </w:tc>
            </w:tr>
            <w:tr w14:paraId="2FC7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430" w:type="pct"/>
                  <w:noWrap w:val="0"/>
                  <w:vAlign w:val="center"/>
                </w:tcPr>
                <w:p w14:paraId="415F5E26">
                  <w:pPr>
                    <w:spacing w:line="440" w:lineRule="exact"/>
                    <w:jc w:val="center"/>
                    <w:rPr>
                      <w:rFonts w:hAnsi="宋体"/>
                      <w:sz w:val="21"/>
                    </w:rPr>
                  </w:pPr>
                  <w:r>
                    <w:rPr>
                      <w:rFonts w:hint="eastAsia" w:hAnsi="宋体"/>
                      <w:sz w:val="21"/>
                    </w:rPr>
                    <w:t>序 号</w:t>
                  </w:r>
                </w:p>
              </w:tc>
              <w:tc>
                <w:tcPr>
                  <w:tcW w:w="2576" w:type="pct"/>
                  <w:noWrap w:val="0"/>
                  <w:vAlign w:val="center"/>
                </w:tcPr>
                <w:p w14:paraId="6A896AAE">
                  <w:pPr>
                    <w:spacing w:line="440" w:lineRule="exact"/>
                    <w:jc w:val="center"/>
                    <w:rPr>
                      <w:rFonts w:hAnsi="宋体"/>
                      <w:sz w:val="21"/>
                    </w:rPr>
                  </w:pPr>
                  <w:r>
                    <w:rPr>
                      <w:rFonts w:hint="eastAsia" w:hAnsi="宋体"/>
                      <w:sz w:val="21"/>
                    </w:rPr>
                    <w:t>设备名称及位号</w:t>
                  </w:r>
                </w:p>
              </w:tc>
              <w:tc>
                <w:tcPr>
                  <w:tcW w:w="368" w:type="pct"/>
                  <w:noWrap w:val="0"/>
                  <w:vAlign w:val="center"/>
                </w:tcPr>
                <w:p w14:paraId="53F0F65D">
                  <w:pPr>
                    <w:spacing w:line="440" w:lineRule="exact"/>
                    <w:jc w:val="center"/>
                    <w:rPr>
                      <w:rFonts w:hAnsi="宋体"/>
                      <w:sz w:val="21"/>
                    </w:rPr>
                  </w:pPr>
                  <w:r>
                    <w:rPr>
                      <w:rFonts w:hint="eastAsia" w:hAnsi="宋体"/>
                      <w:sz w:val="21"/>
                    </w:rPr>
                    <w:t>单位</w:t>
                  </w:r>
                </w:p>
              </w:tc>
              <w:tc>
                <w:tcPr>
                  <w:tcW w:w="515" w:type="pct"/>
                  <w:noWrap w:val="0"/>
                  <w:vAlign w:val="center"/>
                </w:tcPr>
                <w:p w14:paraId="30B5285A">
                  <w:pPr>
                    <w:spacing w:line="440" w:lineRule="exact"/>
                    <w:jc w:val="center"/>
                    <w:rPr>
                      <w:rFonts w:hAnsi="宋体"/>
                      <w:sz w:val="21"/>
                    </w:rPr>
                  </w:pPr>
                  <w:r>
                    <w:rPr>
                      <w:rFonts w:hint="eastAsia" w:hAnsi="宋体"/>
                      <w:sz w:val="21"/>
                    </w:rPr>
                    <w:t>数 量</w:t>
                  </w:r>
                </w:p>
              </w:tc>
              <w:tc>
                <w:tcPr>
                  <w:tcW w:w="1109" w:type="pct"/>
                  <w:noWrap w:val="0"/>
                  <w:vAlign w:val="center"/>
                </w:tcPr>
                <w:p w14:paraId="61C02C22">
                  <w:pPr>
                    <w:spacing w:line="440" w:lineRule="exact"/>
                    <w:jc w:val="center"/>
                    <w:rPr>
                      <w:rFonts w:hAnsi="宋体"/>
                      <w:sz w:val="21"/>
                    </w:rPr>
                  </w:pPr>
                  <w:r>
                    <w:rPr>
                      <w:rFonts w:hint="eastAsia" w:hAnsi="宋体"/>
                      <w:sz w:val="21"/>
                    </w:rPr>
                    <w:t>备注</w:t>
                  </w:r>
                </w:p>
              </w:tc>
            </w:tr>
            <w:tr w14:paraId="4F25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30" w:type="pct"/>
                  <w:noWrap w:val="0"/>
                  <w:vAlign w:val="center"/>
                </w:tcPr>
                <w:p w14:paraId="64715492">
                  <w:pPr>
                    <w:spacing w:line="440" w:lineRule="exact"/>
                    <w:jc w:val="center"/>
                    <w:rPr>
                      <w:rFonts w:hAnsi="宋体"/>
                      <w:sz w:val="21"/>
                    </w:rPr>
                  </w:pPr>
                  <w:r>
                    <w:rPr>
                      <w:rFonts w:hint="eastAsia" w:hAnsi="宋体"/>
                      <w:sz w:val="21"/>
                    </w:rPr>
                    <w:t>1</w:t>
                  </w:r>
                </w:p>
              </w:tc>
              <w:tc>
                <w:tcPr>
                  <w:tcW w:w="2576" w:type="pct"/>
                  <w:noWrap w:val="0"/>
                  <w:vAlign w:val="center"/>
                </w:tcPr>
                <w:p w14:paraId="4C987566">
                  <w:pPr>
                    <w:spacing w:line="440" w:lineRule="exact"/>
                    <w:jc w:val="center"/>
                    <w:rPr>
                      <w:rFonts w:hAnsi="宋体"/>
                      <w:sz w:val="21"/>
                    </w:rPr>
                  </w:pPr>
                  <w:r>
                    <w:rPr>
                      <w:rFonts w:hAnsi="宋体"/>
                      <w:sz w:val="21"/>
                    </w:rPr>
                    <w:t>料仓（含给料机）</w:t>
                  </w:r>
                </w:p>
              </w:tc>
              <w:tc>
                <w:tcPr>
                  <w:tcW w:w="368" w:type="pct"/>
                  <w:noWrap w:val="0"/>
                  <w:vAlign w:val="center"/>
                </w:tcPr>
                <w:p w14:paraId="0BF99797">
                  <w:pPr>
                    <w:spacing w:line="440" w:lineRule="exact"/>
                    <w:jc w:val="center"/>
                    <w:rPr>
                      <w:rFonts w:hAnsi="宋体"/>
                      <w:sz w:val="21"/>
                    </w:rPr>
                  </w:pPr>
                  <w:r>
                    <w:rPr>
                      <w:rFonts w:hint="eastAsia" w:hAnsi="宋体"/>
                      <w:sz w:val="21"/>
                    </w:rPr>
                    <w:t>台</w:t>
                  </w:r>
                </w:p>
              </w:tc>
              <w:tc>
                <w:tcPr>
                  <w:tcW w:w="515" w:type="pct"/>
                  <w:noWrap w:val="0"/>
                  <w:vAlign w:val="center"/>
                </w:tcPr>
                <w:p w14:paraId="47EE5BD9">
                  <w:pPr>
                    <w:spacing w:line="440" w:lineRule="exact"/>
                    <w:jc w:val="center"/>
                    <w:rPr>
                      <w:rFonts w:hAnsi="宋体"/>
                      <w:sz w:val="21"/>
                    </w:rPr>
                  </w:pPr>
                  <w:r>
                    <w:rPr>
                      <w:rFonts w:hint="eastAsia" w:hAnsi="宋体"/>
                      <w:sz w:val="21"/>
                    </w:rPr>
                    <w:t>1</w:t>
                  </w:r>
                </w:p>
              </w:tc>
              <w:tc>
                <w:tcPr>
                  <w:tcW w:w="1109" w:type="pct"/>
                  <w:noWrap w:val="0"/>
                  <w:vAlign w:val="center"/>
                </w:tcPr>
                <w:p w14:paraId="00AB9548">
                  <w:pPr>
                    <w:spacing w:line="440" w:lineRule="exact"/>
                    <w:jc w:val="center"/>
                    <w:rPr>
                      <w:rFonts w:hAnsi="宋体"/>
                      <w:sz w:val="21"/>
                    </w:rPr>
                  </w:pPr>
                  <w:r>
                    <w:rPr>
                      <w:rFonts w:hint="eastAsia" w:hAnsi="宋体"/>
                      <w:sz w:val="21"/>
                    </w:rPr>
                    <w:t>新增</w:t>
                  </w:r>
                </w:p>
              </w:tc>
            </w:tr>
            <w:tr w14:paraId="7CFD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30" w:type="pct"/>
                  <w:noWrap w:val="0"/>
                  <w:vAlign w:val="center"/>
                </w:tcPr>
                <w:p w14:paraId="7007E73B">
                  <w:pPr>
                    <w:spacing w:line="440" w:lineRule="exact"/>
                    <w:jc w:val="center"/>
                    <w:rPr>
                      <w:rFonts w:hint="eastAsia" w:hAnsi="宋体"/>
                      <w:sz w:val="21"/>
                    </w:rPr>
                  </w:pPr>
                  <w:r>
                    <w:rPr>
                      <w:rFonts w:hint="eastAsia" w:hAnsi="宋体"/>
                      <w:sz w:val="21"/>
                    </w:rPr>
                    <w:t>2</w:t>
                  </w:r>
                </w:p>
              </w:tc>
              <w:tc>
                <w:tcPr>
                  <w:tcW w:w="2576" w:type="pct"/>
                  <w:noWrap w:val="0"/>
                  <w:vAlign w:val="center"/>
                </w:tcPr>
                <w:p w14:paraId="3EB6BA4B">
                  <w:pPr>
                    <w:spacing w:line="440" w:lineRule="exact"/>
                    <w:jc w:val="center"/>
                    <w:rPr>
                      <w:rFonts w:hint="eastAsia" w:hAnsi="宋体"/>
                      <w:sz w:val="21"/>
                    </w:rPr>
                  </w:pPr>
                  <w:r>
                    <w:rPr>
                      <w:rFonts w:hAnsi="宋体"/>
                      <w:sz w:val="21"/>
                    </w:rPr>
                    <w:t>皮带输送机</w:t>
                  </w:r>
                </w:p>
              </w:tc>
              <w:tc>
                <w:tcPr>
                  <w:tcW w:w="368" w:type="pct"/>
                  <w:noWrap w:val="0"/>
                  <w:vAlign w:val="center"/>
                </w:tcPr>
                <w:p w14:paraId="3BBDFEA6">
                  <w:pPr>
                    <w:spacing w:line="440" w:lineRule="exact"/>
                    <w:jc w:val="center"/>
                    <w:rPr>
                      <w:rFonts w:hAnsi="宋体"/>
                      <w:sz w:val="21"/>
                    </w:rPr>
                  </w:pPr>
                  <w:r>
                    <w:rPr>
                      <w:rFonts w:hint="eastAsia" w:hAnsi="宋体"/>
                      <w:sz w:val="21"/>
                    </w:rPr>
                    <w:t>台</w:t>
                  </w:r>
                </w:p>
              </w:tc>
              <w:tc>
                <w:tcPr>
                  <w:tcW w:w="515" w:type="pct"/>
                  <w:noWrap w:val="0"/>
                  <w:vAlign w:val="center"/>
                </w:tcPr>
                <w:p w14:paraId="4B0C52D6">
                  <w:pPr>
                    <w:spacing w:line="440" w:lineRule="exact"/>
                    <w:jc w:val="center"/>
                    <w:rPr>
                      <w:rFonts w:hAnsi="宋体"/>
                      <w:sz w:val="21"/>
                    </w:rPr>
                  </w:pPr>
                  <w:r>
                    <w:rPr>
                      <w:rFonts w:hint="eastAsia" w:hAnsi="宋体"/>
                      <w:sz w:val="21"/>
                    </w:rPr>
                    <w:t>1</w:t>
                  </w:r>
                </w:p>
              </w:tc>
              <w:tc>
                <w:tcPr>
                  <w:tcW w:w="1109" w:type="pct"/>
                  <w:noWrap w:val="0"/>
                  <w:vAlign w:val="center"/>
                </w:tcPr>
                <w:p w14:paraId="30CD1EB5">
                  <w:pPr>
                    <w:spacing w:line="440" w:lineRule="exact"/>
                    <w:jc w:val="center"/>
                    <w:rPr>
                      <w:rFonts w:hAnsi="宋体"/>
                      <w:sz w:val="21"/>
                    </w:rPr>
                  </w:pPr>
                  <w:r>
                    <w:rPr>
                      <w:rFonts w:hint="eastAsia" w:hAnsi="宋体"/>
                      <w:sz w:val="21"/>
                    </w:rPr>
                    <w:t>新增</w:t>
                  </w:r>
                </w:p>
              </w:tc>
            </w:tr>
            <w:tr w14:paraId="77169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30" w:type="pct"/>
                  <w:noWrap w:val="0"/>
                  <w:vAlign w:val="center"/>
                </w:tcPr>
                <w:p w14:paraId="360D8105">
                  <w:pPr>
                    <w:spacing w:line="440" w:lineRule="exact"/>
                    <w:jc w:val="center"/>
                    <w:rPr>
                      <w:rFonts w:hint="eastAsia" w:hAnsi="宋体"/>
                      <w:sz w:val="21"/>
                    </w:rPr>
                  </w:pPr>
                  <w:r>
                    <w:rPr>
                      <w:rFonts w:hint="eastAsia" w:hAnsi="宋体"/>
                      <w:sz w:val="21"/>
                    </w:rPr>
                    <w:t>3</w:t>
                  </w:r>
                </w:p>
              </w:tc>
              <w:tc>
                <w:tcPr>
                  <w:tcW w:w="2576" w:type="pct"/>
                  <w:noWrap w:val="0"/>
                  <w:vAlign w:val="center"/>
                </w:tcPr>
                <w:p w14:paraId="396B6F78">
                  <w:pPr>
                    <w:spacing w:line="440" w:lineRule="exact"/>
                    <w:jc w:val="center"/>
                    <w:rPr>
                      <w:rFonts w:hint="eastAsia" w:hAnsi="宋体"/>
                      <w:sz w:val="21"/>
                    </w:rPr>
                  </w:pPr>
                  <w:r>
                    <w:rPr>
                      <w:rFonts w:hAnsi="宋体"/>
                      <w:sz w:val="21"/>
                    </w:rPr>
                    <w:t>破碎机</w:t>
                  </w:r>
                </w:p>
              </w:tc>
              <w:tc>
                <w:tcPr>
                  <w:tcW w:w="368" w:type="pct"/>
                  <w:noWrap w:val="0"/>
                  <w:vAlign w:val="center"/>
                </w:tcPr>
                <w:p w14:paraId="0521C8A1">
                  <w:pPr>
                    <w:spacing w:line="440" w:lineRule="exact"/>
                    <w:jc w:val="center"/>
                    <w:rPr>
                      <w:rFonts w:hAnsi="宋体"/>
                      <w:sz w:val="21"/>
                    </w:rPr>
                  </w:pPr>
                  <w:r>
                    <w:rPr>
                      <w:rFonts w:hint="eastAsia" w:hAnsi="宋体"/>
                      <w:sz w:val="21"/>
                    </w:rPr>
                    <w:t>台</w:t>
                  </w:r>
                </w:p>
              </w:tc>
              <w:tc>
                <w:tcPr>
                  <w:tcW w:w="515" w:type="pct"/>
                  <w:noWrap w:val="0"/>
                  <w:vAlign w:val="center"/>
                </w:tcPr>
                <w:p w14:paraId="4664A0DD">
                  <w:pPr>
                    <w:spacing w:line="440" w:lineRule="exact"/>
                    <w:jc w:val="center"/>
                    <w:rPr>
                      <w:rFonts w:hAnsi="宋体"/>
                      <w:sz w:val="21"/>
                    </w:rPr>
                  </w:pPr>
                  <w:r>
                    <w:rPr>
                      <w:rFonts w:hint="eastAsia" w:hAnsi="宋体"/>
                      <w:sz w:val="21"/>
                    </w:rPr>
                    <w:t>1</w:t>
                  </w:r>
                </w:p>
              </w:tc>
              <w:tc>
                <w:tcPr>
                  <w:tcW w:w="1109" w:type="pct"/>
                  <w:noWrap w:val="0"/>
                  <w:vAlign w:val="center"/>
                </w:tcPr>
                <w:p w14:paraId="538A0ED8">
                  <w:pPr>
                    <w:spacing w:line="440" w:lineRule="exact"/>
                    <w:jc w:val="center"/>
                    <w:rPr>
                      <w:rFonts w:hAnsi="宋体"/>
                      <w:sz w:val="21"/>
                    </w:rPr>
                  </w:pPr>
                  <w:r>
                    <w:rPr>
                      <w:rFonts w:hint="eastAsia" w:hAnsi="宋体"/>
                      <w:sz w:val="21"/>
                    </w:rPr>
                    <w:t>新增</w:t>
                  </w:r>
                </w:p>
              </w:tc>
            </w:tr>
            <w:tr w14:paraId="3458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30" w:type="pct"/>
                  <w:noWrap w:val="0"/>
                  <w:vAlign w:val="center"/>
                </w:tcPr>
                <w:p w14:paraId="3732EDD3">
                  <w:pPr>
                    <w:spacing w:line="440" w:lineRule="exact"/>
                    <w:jc w:val="center"/>
                    <w:rPr>
                      <w:rFonts w:hint="eastAsia" w:hAnsi="宋体"/>
                      <w:sz w:val="21"/>
                    </w:rPr>
                  </w:pPr>
                  <w:r>
                    <w:rPr>
                      <w:rFonts w:hint="eastAsia" w:hAnsi="宋体"/>
                      <w:sz w:val="21"/>
                    </w:rPr>
                    <w:t>4</w:t>
                  </w:r>
                </w:p>
              </w:tc>
              <w:tc>
                <w:tcPr>
                  <w:tcW w:w="2576" w:type="pct"/>
                  <w:noWrap w:val="0"/>
                  <w:vAlign w:val="center"/>
                </w:tcPr>
                <w:p w14:paraId="4A33A3FC">
                  <w:pPr>
                    <w:spacing w:line="440" w:lineRule="exact"/>
                    <w:jc w:val="center"/>
                    <w:rPr>
                      <w:rFonts w:hint="eastAsia" w:hAnsi="宋体"/>
                      <w:sz w:val="21"/>
                    </w:rPr>
                  </w:pPr>
                  <w:r>
                    <w:rPr>
                      <w:rFonts w:hAnsi="宋体"/>
                      <w:sz w:val="21"/>
                    </w:rPr>
                    <w:t>皮带输送机</w:t>
                  </w:r>
                </w:p>
              </w:tc>
              <w:tc>
                <w:tcPr>
                  <w:tcW w:w="368" w:type="pct"/>
                  <w:noWrap w:val="0"/>
                  <w:vAlign w:val="center"/>
                </w:tcPr>
                <w:p w14:paraId="6514E944">
                  <w:pPr>
                    <w:spacing w:line="440" w:lineRule="exact"/>
                    <w:jc w:val="center"/>
                    <w:rPr>
                      <w:rFonts w:hAnsi="宋体"/>
                      <w:sz w:val="21"/>
                    </w:rPr>
                  </w:pPr>
                  <w:r>
                    <w:rPr>
                      <w:rFonts w:hint="eastAsia" w:hAnsi="宋体"/>
                      <w:sz w:val="21"/>
                    </w:rPr>
                    <w:t>台</w:t>
                  </w:r>
                </w:p>
              </w:tc>
              <w:tc>
                <w:tcPr>
                  <w:tcW w:w="515" w:type="pct"/>
                  <w:noWrap w:val="0"/>
                  <w:vAlign w:val="center"/>
                </w:tcPr>
                <w:p w14:paraId="3A6F1ADB">
                  <w:pPr>
                    <w:spacing w:line="440" w:lineRule="exact"/>
                    <w:jc w:val="center"/>
                    <w:rPr>
                      <w:rFonts w:hAnsi="宋体"/>
                      <w:sz w:val="21"/>
                    </w:rPr>
                  </w:pPr>
                  <w:r>
                    <w:rPr>
                      <w:rFonts w:hint="eastAsia" w:hAnsi="宋体"/>
                      <w:sz w:val="21"/>
                    </w:rPr>
                    <w:t>2</w:t>
                  </w:r>
                </w:p>
              </w:tc>
              <w:tc>
                <w:tcPr>
                  <w:tcW w:w="1109" w:type="pct"/>
                  <w:noWrap w:val="0"/>
                  <w:vAlign w:val="center"/>
                </w:tcPr>
                <w:p w14:paraId="1C133065">
                  <w:pPr>
                    <w:spacing w:line="440" w:lineRule="exact"/>
                    <w:jc w:val="center"/>
                    <w:rPr>
                      <w:rFonts w:hint="eastAsia" w:hAnsi="宋体"/>
                      <w:sz w:val="21"/>
                    </w:rPr>
                  </w:pPr>
                  <w:r>
                    <w:rPr>
                      <w:rFonts w:hint="eastAsia" w:hAnsi="宋体"/>
                      <w:sz w:val="21"/>
                    </w:rPr>
                    <w:t>新增</w:t>
                  </w:r>
                </w:p>
              </w:tc>
            </w:tr>
            <w:tr w14:paraId="68018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30" w:type="pct"/>
                  <w:noWrap w:val="0"/>
                  <w:vAlign w:val="center"/>
                </w:tcPr>
                <w:p w14:paraId="24AEBAC6">
                  <w:pPr>
                    <w:spacing w:line="440" w:lineRule="exact"/>
                    <w:jc w:val="center"/>
                    <w:rPr>
                      <w:rFonts w:hint="eastAsia" w:hAnsi="宋体"/>
                      <w:sz w:val="21"/>
                    </w:rPr>
                  </w:pPr>
                  <w:r>
                    <w:rPr>
                      <w:rFonts w:hint="eastAsia" w:hAnsi="宋体"/>
                      <w:sz w:val="21"/>
                    </w:rPr>
                    <w:t>5</w:t>
                  </w:r>
                </w:p>
              </w:tc>
              <w:tc>
                <w:tcPr>
                  <w:tcW w:w="2576" w:type="pct"/>
                  <w:noWrap w:val="0"/>
                  <w:vAlign w:val="center"/>
                </w:tcPr>
                <w:p w14:paraId="2327B52B">
                  <w:pPr>
                    <w:spacing w:line="440" w:lineRule="exact"/>
                    <w:jc w:val="center"/>
                    <w:rPr>
                      <w:rFonts w:hint="eastAsia" w:hAnsi="宋体"/>
                      <w:sz w:val="21"/>
                    </w:rPr>
                  </w:pPr>
                  <w:r>
                    <w:rPr>
                      <w:rFonts w:hAnsi="宋体"/>
                      <w:sz w:val="21"/>
                    </w:rPr>
                    <w:t>斗式提升机</w:t>
                  </w:r>
                </w:p>
              </w:tc>
              <w:tc>
                <w:tcPr>
                  <w:tcW w:w="368" w:type="pct"/>
                  <w:noWrap w:val="0"/>
                  <w:vAlign w:val="center"/>
                </w:tcPr>
                <w:p w14:paraId="0F9A325F">
                  <w:pPr>
                    <w:spacing w:line="440" w:lineRule="exact"/>
                    <w:jc w:val="center"/>
                    <w:rPr>
                      <w:rFonts w:hAnsi="宋体"/>
                      <w:sz w:val="21"/>
                    </w:rPr>
                  </w:pPr>
                  <w:r>
                    <w:rPr>
                      <w:rFonts w:hint="eastAsia" w:hAnsi="宋体"/>
                      <w:sz w:val="21"/>
                    </w:rPr>
                    <w:t>台</w:t>
                  </w:r>
                </w:p>
              </w:tc>
              <w:tc>
                <w:tcPr>
                  <w:tcW w:w="515" w:type="pct"/>
                  <w:noWrap w:val="0"/>
                  <w:vAlign w:val="center"/>
                </w:tcPr>
                <w:p w14:paraId="7B9AC185">
                  <w:pPr>
                    <w:spacing w:line="440" w:lineRule="exact"/>
                    <w:jc w:val="center"/>
                    <w:rPr>
                      <w:rFonts w:hAnsi="宋体"/>
                      <w:sz w:val="21"/>
                    </w:rPr>
                  </w:pPr>
                  <w:r>
                    <w:rPr>
                      <w:rFonts w:hint="eastAsia" w:hAnsi="宋体"/>
                      <w:sz w:val="21"/>
                    </w:rPr>
                    <w:t>2</w:t>
                  </w:r>
                </w:p>
              </w:tc>
              <w:tc>
                <w:tcPr>
                  <w:tcW w:w="1109" w:type="pct"/>
                  <w:noWrap w:val="0"/>
                  <w:vAlign w:val="center"/>
                </w:tcPr>
                <w:p w14:paraId="7584A687">
                  <w:pPr>
                    <w:spacing w:line="440" w:lineRule="exact"/>
                    <w:jc w:val="center"/>
                    <w:rPr>
                      <w:rFonts w:hint="eastAsia" w:hAnsi="宋体"/>
                      <w:sz w:val="21"/>
                    </w:rPr>
                  </w:pPr>
                  <w:r>
                    <w:rPr>
                      <w:rFonts w:hint="eastAsia" w:hAnsi="宋体"/>
                      <w:sz w:val="21"/>
                    </w:rPr>
                    <w:t>新增</w:t>
                  </w:r>
                </w:p>
              </w:tc>
            </w:tr>
            <w:tr w14:paraId="273F3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30" w:type="pct"/>
                  <w:noWrap w:val="0"/>
                  <w:vAlign w:val="center"/>
                </w:tcPr>
                <w:p w14:paraId="6B8A8E99">
                  <w:pPr>
                    <w:spacing w:line="440" w:lineRule="exact"/>
                    <w:jc w:val="center"/>
                    <w:rPr>
                      <w:rFonts w:hint="eastAsia" w:hAnsi="宋体"/>
                      <w:sz w:val="21"/>
                    </w:rPr>
                  </w:pPr>
                  <w:r>
                    <w:rPr>
                      <w:rFonts w:hint="eastAsia" w:hAnsi="宋体"/>
                      <w:sz w:val="21"/>
                    </w:rPr>
                    <w:t>6</w:t>
                  </w:r>
                </w:p>
              </w:tc>
              <w:tc>
                <w:tcPr>
                  <w:tcW w:w="2576" w:type="pct"/>
                  <w:noWrap w:val="0"/>
                  <w:vAlign w:val="center"/>
                </w:tcPr>
                <w:p w14:paraId="47467F2E">
                  <w:pPr>
                    <w:spacing w:line="440" w:lineRule="exact"/>
                    <w:jc w:val="center"/>
                    <w:rPr>
                      <w:rFonts w:hint="eastAsia" w:hAnsi="宋体"/>
                      <w:sz w:val="21"/>
                    </w:rPr>
                  </w:pPr>
                  <w:r>
                    <w:rPr>
                      <w:rFonts w:hAnsi="宋体"/>
                      <w:sz w:val="21"/>
                    </w:rPr>
                    <w:t>双螺杆混料机</w:t>
                  </w:r>
                  <w:r>
                    <w:rPr>
                      <w:rFonts w:hint="eastAsia" w:hAnsi="宋体"/>
                      <w:sz w:val="21"/>
                    </w:rPr>
                    <w:t>组</w:t>
                  </w:r>
                </w:p>
              </w:tc>
              <w:tc>
                <w:tcPr>
                  <w:tcW w:w="368" w:type="pct"/>
                  <w:noWrap w:val="0"/>
                  <w:vAlign w:val="center"/>
                </w:tcPr>
                <w:p w14:paraId="2B717F8E">
                  <w:pPr>
                    <w:spacing w:line="440" w:lineRule="exact"/>
                    <w:jc w:val="center"/>
                    <w:rPr>
                      <w:rFonts w:hint="eastAsia" w:hAnsi="宋体"/>
                      <w:sz w:val="21"/>
                    </w:rPr>
                  </w:pPr>
                  <w:r>
                    <w:rPr>
                      <w:rFonts w:hint="eastAsia" w:hAnsi="宋体"/>
                      <w:sz w:val="21"/>
                    </w:rPr>
                    <w:t>套</w:t>
                  </w:r>
                </w:p>
              </w:tc>
              <w:tc>
                <w:tcPr>
                  <w:tcW w:w="515" w:type="pct"/>
                  <w:noWrap w:val="0"/>
                  <w:vAlign w:val="center"/>
                </w:tcPr>
                <w:p w14:paraId="0222F27B">
                  <w:pPr>
                    <w:spacing w:line="440" w:lineRule="exact"/>
                    <w:jc w:val="center"/>
                    <w:rPr>
                      <w:rFonts w:hint="eastAsia" w:hAnsi="宋体"/>
                      <w:sz w:val="21"/>
                    </w:rPr>
                  </w:pPr>
                  <w:r>
                    <w:rPr>
                      <w:rFonts w:hint="eastAsia" w:hAnsi="宋体"/>
                      <w:sz w:val="21"/>
                    </w:rPr>
                    <w:t>1</w:t>
                  </w:r>
                </w:p>
              </w:tc>
              <w:tc>
                <w:tcPr>
                  <w:tcW w:w="1109" w:type="pct"/>
                  <w:noWrap w:val="0"/>
                  <w:vAlign w:val="center"/>
                </w:tcPr>
                <w:p w14:paraId="1E26DD47">
                  <w:pPr>
                    <w:spacing w:line="440" w:lineRule="exact"/>
                    <w:jc w:val="center"/>
                    <w:rPr>
                      <w:rFonts w:hint="eastAsia" w:hAnsi="宋体"/>
                      <w:sz w:val="21"/>
                    </w:rPr>
                  </w:pPr>
                  <w:r>
                    <w:rPr>
                      <w:rFonts w:hint="eastAsia" w:hAnsi="宋体"/>
                      <w:sz w:val="21"/>
                    </w:rPr>
                    <w:t>新增，成套供货</w:t>
                  </w:r>
                </w:p>
              </w:tc>
            </w:tr>
            <w:tr w14:paraId="3775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30" w:type="pct"/>
                  <w:noWrap w:val="0"/>
                  <w:vAlign w:val="center"/>
                </w:tcPr>
                <w:p w14:paraId="20F49D62">
                  <w:pPr>
                    <w:spacing w:line="440" w:lineRule="exact"/>
                    <w:jc w:val="center"/>
                    <w:rPr>
                      <w:rFonts w:hint="eastAsia" w:hAnsi="宋体"/>
                      <w:sz w:val="21"/>
                    </w:rPr>
                  </w:pPr>
                  <w:r>
                    <w:rPr>
                      <w:rFonts w:hint="eastAsia" w:hAnsi="宋体"/>
                      <w:sz w:val="21"/>
                    </w:rPr>
                    <w:t>7</w:t>
                  </w:r>
                </w:p>
              </w:tc>
              <w:tc>
                <w:tcPr>
                  <w:tcW w:w="2576" w:type="pct"/>
                  <w:noWrap w:val="0"/>
                  <w:vAlign w:val="center"/>
                </w:tcPr>
                <w:p w14:paraId="703EFC2E">
                  <w:pPr>
                    <w:spacing w:line="440" w:lineRule="exact"/>
                    <w:jc w:val="center"/>
                    <w:rPr>
                      <w:rFonts w:hAnsi="宋体"/>
                      <w:sz w:val="21"/>
                    </w:rPr>
                  </w:pPr>
                  <w:r>
                    <w:rPr>
                      <w:rFonts w:hint="eastAsia" w:hAnsi="宋体"/>
                      <w:sz w:val="21"/>
                    </w:rPr>
                    <w:t>超硬质沥青包装机</w:t>
                  </w:r>
                </w:p>
              </w:tc>
              <w:tc>
                <w:tcPr>
                  <w:tcW w:w="368" w:type="pct"/>
                  <w:noWrap w:val="0"/>
                  <w:vAlign w:val="center"/>
                </w:tcPr>
                <w:p w14:paraId="20548EF4">
                  <w:pPr>
                    <w:spacing w:line="440" w:lineRule="exact"/>
                    <w:jc w:val="center"/>
                    <w:rPr>
                      <w:rFonts w:hAnsi="宋体"/>
                      <w:sz w:val="21"/>
                    </w:rPr>
                  </w:pPr>
                  <w:r>
                    <w:rPr>
                      <w:rFonts w:hint="eastAsia" w:hAnsi="宋体"/>
                      <w:sz w:val="21"/>
                    </w:rPr>
                    <w:t>台</w:t>
                  </w:r>
                </w:p>
              </w:tc>
              <w:tc>
                <w:tcPr>
                  <w:tcW w:w="515" w:type="pct"/>
                  <w:noWrap w:val="0"/>
                  <w:vAlign w:val="center"/>
                </w:tcPr>
                <w:p w14:paraId="2DD87A2E">
                  <w:pPr>
                    <w:spacing w:line="440" w:lineRule="exact"/>
                    <w:jc w:val="center"/>
                    <w:rPr>
                      <w:rFonts w:hAnsi="宋体"/>
                      <w:sz w:val="21"/>
                    </w:rPr>
                  </w:pPr>
                  <w:r>
                    <w:rPr>
                      <w:rFonts w:hint="eastAsia" w:hAnsi="宋体"/>
                      <w:sz w:val="21"/>
                    </w:rPr>
                    <w:t>1</w:t>
                  </w:r>
                </w:p>
              </w:tc>
              <w:tc>
                <w:tcPr>
                  <w:tcW w:w="1109" w:type="pct"/>
                  <w:noWrap w:val="0"/>
                  <w:vAlign w:val="center"/>
                </w:tcPr>
                <w:p w14:paraId="3DEC1515">
                  <w:pPr>
                    <w:spacing w:line="440" w:lineRule="exact"/>
                    <w:jc w:val="center"/>
                    <w:rPr>
                      <w:rFonts w:hint="eastAsia" w:hAnsi="宋体"/>
                      <w:sz w:val="21"/>
                    </w:rPr>
                  </w:pPr>
                  <w:r>
                    <w:rPr>
                      <w:rFonts w:hint="eastAsia" w:hAnsi="宋体"/>
                      <w:sz w:val="21"/>
                    </w:rPr>
                    <w:t>新增，成套供货</w:t>
                  </w:r>
                </w:p>
              </w:tc>
            </w:tr>
            <w:tr w14:paraId="37B60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30" w:type="pct"/>
                  <w:noWrap w:val="0"/>
                  <w:vAlign w:val="center"/>
                </w:tcPr>
                <w:p w14:paraId="12616A80">
                  <w:pPr>
                    <w:spacing w:line="440" w:lineRule="exact"/>
                    <w:jc w:val="center"/>
                    <w:rPr>
                      <w:rFonts w:hint="eastAsia" w:hAnsi="宋体"/>
                      <w:sz w:val="21"/>
                    </w:rPr>
                  </w:pPr>
                  <w:r>
                    <w:rPr>
                      <w:rFonts w:hint="eastAsia" w:hAnsi="宋体"/>
                      <w:sz w:val="21"/>
                    </w:rPr>
                    <w:t>8</w:t>
                  </w:r>
                </w:p>
              </w:tc>
              <w:tc>
                <w:tcPr>
                  <w:tcW w:w="2576" w:type="pct"/>
                  <w:noWrap w:val="0"/>
                  <w:vAlign w:val="center"/>
                </w:tcPr>
                <w:p w14:paraId="0186D208">
                  <w:pPr>
                    <w:spacing w:line="440" w:lineRule="exact"/>
                    <w:jc w:val="center"/>
                    <w:rPr>
                      <w:rFonts w:hint="eastAsia" w:hAnsi="宋体"/>
                      <w:sz w:val="21"/>
                    </w:rPr>
                  </w:pPr>
                  <w:r>
                    <w:rPr>
                      <w:rFonts w:hint="eastAsia" w:hAnsi="宋体"/>
                      <w:sz w:val="21"/>
                    </w:rPr>
                    <w:t>沥青改性剂包装机</w:t>
                  </w:r>
                </w:p>
              </w:tc>
              <w:tc>
                <w:tcPr>
                  <w:tcW w:w="368" w:type="pct"/>
                  <w:noWrap w:val="0"/>
                  <w:vAlign w:val="center"/>
                </w:tcPr>
                <w:p w14:paraId="2F25D771">
                  <w:pPr>
                    <w:spacing w:line="440" w:lineRule="exact"/>
                    <w:jc w:val="center"/>
                    <w:rPr>
                      <w:rFonts w:hAnsi="宋体"/>
                      <w:sz w:val="21"/>
                    </w:rPr>
                  </w:pPr>
                  <w:r>
                    <w:rPr>
                      <w:rFonts w:hint="eastAsia" w:hAnsi="宋体"/>
                      <w:sz w:val="21"/>
                    </w:rPr>
                    <w:t>台</w:t>
                  </w:r>
                </w:p>
              </w:tc>
              <w:tc>
                <w:tcPr>
                  <w:tcW w:w="515" w:type="pct"/>
                  <w:noWrap w:val="0"/>
                  <w:vAlign w:val="center"/>
                </w:tcPr>
                <w:p w14:paraId="3C0D5BCE">
                  <w:pPr>
                    <w:spacing w:line="440" w:lineRule="exact"/>
                    <w:jc w:val="center"/>
                    <w:rPr>
                      <w:rFonts w:hAnsi="宋体"/>
                      <w:sz w:val="21"/>
                    </w:rPr>
                  </w:pPr>
                  <w:r>
                    <w:rPr>
                      <w:rFonts w:hint="eastAsia" w:hAnsi="宋体"/>
                      <w:sz w:val="21"/>
                    </w:rPr>
                    <w:t>1</w:t>
                  </w:r>
                </w:p>
              </w:tc>
              <w:tc>
                <w:tcPr>
                  <w:tcW w:w="1109" w:type="pct"/>
                  <w:noWrap w:val="0"/>
                  <w:vAlign w:val="center"/>
                </w:tcPr>
                <w:p w14:paraId="26EC402C">
                  <w:pPr>
                    <w:spacing w:line="440" w:lineRule="exact"/>
                    <w:jc w:val="center"/>
                    <w:rPr>
                      <w:rFonts w:hint="eastAsia" w:hAnsi="宋体"/>
                      <w:sz w:val="21"/>
                    </w:rPr>
                  </w:pPr>
                  <w:r>
                    <w:rPr>
                      <w:rFonts w:hint="eastAsia" w:hAnsi="宋体"/>
                      <w:sz w:val="21"/>
                    </w:rPr>
                    <w:t>新增，成套供货</w:t>
                  </w:r>
                </w:p>
              </w:tc>
            </w:tr>
          </w:tbl>
          <w:p w14:paraId="0599C7F4">
            <w:pPr>
              <w:pStyle w:val="70"/>
              <w:spacing w:line="360" w:lineRule="auto"/>
              <w:jc w:val="center"/>
              <w:rPr>
                <w:rFonts w:hint="eastAsia" w:ascii="宋体" w:hAnsi="宋体" w:eastAsia="宋体" w:cs="宋体"/>
                <w:b/>
                <w:color w:val="C00000"/>
                <w:sz w:val="24"/>
                <w:szCs w:val="24"/>
                <w:lang w:val="en-US" w:eastAsia="zh-CN"/>
              </w:rPr>
            </w:pPr>
          </w:p>
          <w:p w14:paraId="6596205D">
            <w:pPr>
              <w:pStyle w:val="62"/>
              <w:spacing w:line="360" w:lineRule="auto"/>
              <w:ind w:firstLine="0" w:firstLineChars="0"/>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4</w:t>
            </w:r>
            <w:r>
              <w:rPr>
                <w:rFonts w:hint="eastAsia" w:ascii="宋体" w:hAnsi="宋体" w:eastAsia="宋体" w:cs="宋体"/>
                <w:b/>
                <w:color w:val="auto"/>
                <w:sz w:val="24"/>
                <w:szCs w:val="24"/>
                <w:highlight w:val="none"/>
              </w:rPr>
              <w:t>、劳动定员及工作制度</w:t>
            </w:r>
          </w:p>
          <w:p w14:paraId="4AD8C1C5">
            <w:pPr>
              <w:pStyle w:val="62"/>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w:t>
            </w:r>
            <w:r>
              <w:rPr>
                <w:rFonts w:hint="eastAsia" w:ascii="宋体" w:hAnsi="宋体" w:eastAsia="宋体" w:cs="宋体"/>
                <w:color w:val="000000"/>
                <w:sz w:val="24"/>
                <w:szCs w:val="24"/>
                <w:lang w:val="en-US" w:eastAsia="zh-CN"/>
              </w:rPr>
              <w:t>工作人员从煤制油分公司内部调剂解决，不新增定员，全年工作时间为</w:t>
            </w:r>
            <w:r>
              <w:rPr>
                <w:rFonts w:hint="eastAsia" w:ascii="宋体" w:hAnsi="宋体" w:cs="宋体"/>
                <w:color w:val="000000"/>
                <w:sz w:val="24"/>
                <w:szCs w:val="24"/>
                <w:lang w:val="en-US" w:eastAsia="zh-CN"/>
              </w:rPr>
              <w:t>8000小时</w:t>
            </w:r>
            <w:r>
              <w:rPr>
                <w:rFonts w:hint="eastAsia" w:ascii="宋体" w:hAnsi="宋体" w:eastAsia="宋体" w:cs="宋体"/>
                <w:color w:val="000000"/>
                <w:sz w:val="24"/>
                <w:szCs w:val="24"/>
                <w:lang w:val="en-US" w:eastAsia="zh-CN"/>
              </w:rPr>
              <w:t>。</w:t>
            </w:r>
          </w:p>
          <w:p w14:paraId="787E098B">
            <w:pPr>
              <w:pStyle w:val="62"/>
              <w:spacing w:line="360" w:lineRule="auto"/>
              <w:ind w:firstLine="0" w:firstLineChars="0"/>
              <w:rPr>
                <w:rFonts w:hint="eastAsia" w:ascii="宋体" w:hAnsi="宋体" w:eastAsia="宋体" w:cs="宋体"/>
                <w:b/>
                <w:color w:val="auto"/>
                <w:sz w:val="24"/>
                <w:szCs w:val="24"/>
                <w:highlight w:val="none"/>
                <w:lang w:val="zh-CN"/>
              </w:rPr>
            </w:pPr>
            <w:r>
              <w:rPr>
                <w:rFonts w:hint="eastAsia" w:ascii="宋体" w:hAnsi="宋体" w:cs="宋体"/>
                <w:b/>
                <w:color w:val="auto"/>
                <w:sz w:val="24"/>
                <w:szCs w:val="24"/>
                <w:highlight w:val="none"/>
                <w:lang w:val="en-US" w:eastAsia="zh-CN"/>
              </w:rPr>
              <w:t>5</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zh-CN"/>
              </w:rPr>
              <w:t>公用工程及辅助设施</w:t>
            </w:r>
          </w:p>
          <w:p w14:paraId="05C8ECD1">
            <w:pPr>
              <w:autoSpaceDE w:val="0"/>
              <w:autoSpaceDN w:val="0"/>
              <w:spacing w:line="360" w:lineRule="auto"/>
              <w:ind w:firstLine="480"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本项目需要的水、电、汽、风等公用工程的供应依托煤液化装置（103单元）界区内公用工程系统</w:t>
            </w:r>
          </w:p>
          <w:p w14:paraId="6018B46D">
            <w:pPr>
              <w:autoSpaceDE w:val="0"/>
              <w:autoSpaceDN w:val="0"/>
              <w:spacing w:line="360" w:lineRule="auto"/>
              <w:rPr>
                <w:rFonts w:hint="eastAsia" w:ascii="宋体" w:hAnsi="宋体" w:eastAsia="宋体" w:cs="宋体"/>
                <w:b/>
                <w:color w:val="auto"/>
                <w:sz w:val="24"/>
                <w:szCs w:val="24"/>
                <w:highlight w:val="none"/>
                <w:lang w:val="zh-CN"/>
              </w:rPr>
            </w:pPr>
            <w:r>
              <w:rPr>
                <w:rFonts w:hint="eastAsia" w:ascii="宋体" w:hAnsi="宋体" w:cs="宋体"/>
                <w:b/>
                <w:color w:val="auto"/>
                <w:sz w:val="24"/>
                <w:szCs w:val="24"/>
                <w:highlight w:val="none"/>
                <w:lang w:val="en-US" w:eastAsia="zh-CN"/>
              </w:rPr>
              <w:t>6</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zh-CN"/>
              </w:rPr>
              <w:t>总平面布置</w:t>
            </w:r>
          </w:p>
          <w:p w14:paraId="56D5FBE9">
            <w:pPr>
              <w:pStyle w:val="72"/>
              <w:spacing w:line="360" w:lineRule="auto"/>
              <w:ind w:left="0" w:leftChars="0" w:firstLine="480" w:firstLineChars="200"/>
              <w:rPr>
                <w:rFonts w:hint="default" w:ascii="宋体" w:hAnsi="宋体" w:cs="宋体"/>
                <w:bCs/>
                <w:color w:val="C00000"/>
                <w:sz w:val="24"/>
                <w:szCs w:val="24"/>
                <w:highlight w:val="none"/>
                <w:lang w:val="en-US" w:eastAsia="zh-CN"/>
              </w:rPr>
            </w:pPr>
            <w:r>
              <w:rPr>
                <w:rFonts w:hint="eastAsia" w:hAnsi="宋体"/>
                <w:color w:val="000000"/>
                <w:szCs w:val="24"/>
              </w:rPr>
              <w:t>本项目的新增试验装置布置于油渣成型装置西侧空地，未增加装置占地面积、建筑物面积，且建筑物层数、层高及结构也未发生改变。</w:t>
            </w:r>
            <w:r>
              <w:rPr>
                <w:rFonts w:hint="eastAsia" w:hAnsi="宋体"/>
                <w:color w:val="000000"/>
                <w:szCs w:val="24"/>
                <w:lang w:val="en-US" w:eastAsia="zh-CN"/>
              </w:rPr>
              <w:t>具体位置见附图2。</w:t>
            </w:r>
          </w:p>
        </w:tc>
      </w:tr>
      <w:tr w14:paraId="40DE3D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456" w:type="dxa"/>
            <w:vAlign w:val="center"/>
          </w:tcPr>
          <w:p w14:paraId="685E94DB">
            <w:pPr>
              <w:pStyle w:val="23"/>
              <w:adjustRightInd w:val="0"/>
              <w:snapToGrid w:val="0"/>
              <w:spacing w:before="0" w:beforeAutospacing="0" w:after="0" w:afterAutospacing="0"/>
              <w:jc w:val="center"/>
              <w:rPr>
                <w:rFonts w:hint="eastAsia" w:ascii="宋体" w:hAnsi="宋体" w:eastAsia="宋体" w:cs="宋体"/>
                <w:color w:val="auto"/>
                <w:sz w:val="24"/>
                <w:szCs w:val="24"/>
                <w:highlight w:val="none"/>
              </w:rPr>
            </w:pPr>
          </w:p>
          <w:p w14:paraId="6D52BBFE">
            <w:pPr>
              <w:pStyle w:val="23"/>
              <w:adjustRightInd w:val="0"/>
              <w:snapToGrid w:val="0"/>
              <w:spacing w:before="0" w:beforeAutospacing="0" w:after="0" w:afterAutospacing="0"/>
              <w:jc w:val="center"/>
              <w:rPr>
                <w:rFonts w:hint="eastAsia" w:ascii="宋体" w:hAnsi="宋体" w:eastAsia="宋体" w:cs="宋体"/>
                <w:color w:val="auto"/>
                <w:sz w:val="24"/>
                <w:szCs w:val="24"/>
                <w:highlight w:val="none"/>
              </w:rPr>
            </w:pPr>
          </w:p>
          <w:p w14:paraId="5D5C6DBD">
            <w:pPr>
              <w:pStyle w:val="23"/>
              <w:adjustRightInd w:val="0"/>
              <w:snapToGrid w:val="0"/>
              <w:spacing w:before="0" w:beforeAutospacing="0" w:after="0" w:afterAutospacing="0"/>
              <w:jc w:val="center"/>
              <w:rPr>
                <w:rFonts w:hint="eastAsia" w:ascii="宋体" w:hAnsi="宋体" w:eastAsia="宋体" w:cs="宋体"/>
                <w:color w:val="auto"/>
                <w:sz w:val="24"/>
                <w:szCs w:val="24"/>
                <w:highlight w:val="none"/>
              </w:rPr>
            </w:pPr>
          </w:p>
          <w:p w14:paraId="0C7A13C2">
            <w:pPr>
              <w:pStyle w:val="23"/>
              <w:adjustRightInd w:val="0"/>
              <w:snapToGrid w:val="0"/>
              <w:spacing w:before="0" w:beforeAutospacing="0" w:after="0" w:afterAutospacing="0"/>
              <w:jc w:val="center"/>
              <w:rPr>
                <w:rFonts w:hint="eastAsia" w:ascii="宋体" w:hAnsi="宋体" w:eastAsia="宋体" w:cs="宋体"/>
                <w:color w:val="auto"/>
                <w:sz w:val="24"/>
                <w:szCs w:val="24"/>
                <w:highlight w:val="none"/>
              </w:rPr>
            </w:pPr>
          </w:p>
          <w:p w14:paraId="3AD1596F">
            <w:pPr>
              <w:pStyle w:val="23"/>
              <w:adjustRightInd w:val="0"/>
              <w:snapToGrid w:val="0"/>
              <w:spacing w:before="0" w:beforeAutospacing="0" w:after="0" w:afterAutospacing="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工艺流程和产排污环节</w:t>
            </w:r>
          </w:p>
        </w:tc>
        <w:tc>
          <w:tcPr>
            <w:tcW w:w="8604" w:type="dxa"/>
          </w:tcPr>
          <w:p w14:paraId="420D638D">
            <w:pPr>
              <w:pStyle w:val="72"/>
              <w:numPr>
                <w:ilvl w:val="0"/>
                <w:numId w:val="2"/>
              </w:numPr>
              <w:spacing w:line="360" w:lineRule="auto"/>
              <w:ind w:firstLine="0" w:firstLineChars="0"/>
              <w:rPr>
                <w:rFonts w:hint="eastAsia" w:ascii="宋体" w:hAnsi="宋体" w:eastAsia="宋体" w:cs="宋体"/>
                <w:b/>
                <w:bCs/>
                <w:color w:val="auto"/>
                <w:sz w:val="24"/>
                <w:szCs w:val="24"/>
              </w:rPr>
            </w:pPr>
            <w:bookmarkStart w:id="3" w:name="_Toc51469068"/>
            <w:bookmarkStart w:id="4" w:name="_Toc51054737"/>
            <w:bookmarkStart w:id="5" w:name="_Toc50887082"/>
            <w:r>
              <w:rPr>
                <w:rFonts w:hint="eastAsia" w:ascii="宋体" w:hAnsi="宋体" w:cs="宋体"/>
                <w:b/>
                <w:bCs/>
                <w:color w:val="auto"/>
                <w:sz w:val="24"/>
                <w:szCs w:val="24"/>
                <w:lang w:val="en-US" w:eastAsia="zh-CN"/>
              </w:rPr>
              <w:t>施工</w:t>
            </w:r>
            <w:r>
              <w:rPr>
                <w:rFonts w:hint="eastAsia" w:ascii="宋体" w:hAnsi="宋体" w:eastAsia="宋体" w:cs="宋体"/>
                <w:b/>
                <w:bCs/>
                <w:color w:val="auto"/>
                <w:sz w:val="24"/>
                <w:szCs w:val="24"/>
              </w:rPr>
              <w:t>期污染源分析</w:t>
            </w:r>
          </w:p>
          <w:p w14:paraId="727E97BA">
            <w:pPr>
              <w:pStyle w:val="72"/>
              <w:numPr>
                <w:ilvl w:val="0"/>
                <w:numId w:val="0"/>
              </w:numPr>
              <w:spacing w:line="360" w:lineRule="auto"/>
              <w:rPr>
                <w:rFonts w:hint="default" w:ascii="宋体" w:hAnsi="宋体" w:eastAsia="宋体" w:cs="宋体"/>
                <w:bCs/>
                <w:color w:val="auto"/>
                <w:kern w:val="2"/>
                <w:sz w:val="24"/>
                <w:szCs w:val="24"/>
                <w:lang w:val="en-US" w:eastAsia="zh-CN" w:bidi="ar-SA"/>
              </w:rPr>
            </w:pPr>
            <w:r>
              <w:rPr>
                <w:rFonts w:hint="eastAsia" w:ascii="宋体" w:hAnsi="宋体" w:cs="宋体"/>
                <w:b/>
                <w:bCs/>
                <w:color w:val="auto"/>
                <w:sz w:val="24"/>
                <w:szCs w:val="24"/>
                <w:lang w:val="en-US" w:eastAsia="zh-CN"/>
              </w:rPr>
              <w:t xml:space="preserve">    </w:t>
            </w:r>
            <w:r>
              <w:rPr>
                <w:rFonts w:hint="eastAsia" w:ascii="宋体" w:hAnsi="宋体" w:eastAsia="宋体" w:cs="宋体"/>
                <w:bCs/>
                <w:color w:val="auto"/>
                <w:kern w:val="2"/>
                <w:sz w:val="24"/>
                <w:szCs w:val="24"/>
                <w:lang w:val="en-US" w:eastAsia="zh-CN" w:bidi="ar-SA"/>
              </w:rPr>
              <w:t>本项目为中试项目，将设备运至</w:t>
            </w:r>
            <w:r>
              <w:rPr>
                <w:rFonts w:hint="eastAsia" w:ascii="宋体" w:hAnsi="宋体" w:cs="宋体"/>
                <w:bCs/>
                <w:color w:val="auto"/>
                <w:kern w:val="2"/>
                <w:sz w:val="24"/>
                <w:szCs w:val="24"/>
                <w:lang w:val="en-US" w:eastAsia="zh-CN" w:bidi="ar-SA"/>
              </w:rPr>
              <w:t>指定</w:t>
            </w:r>
            <w:r>
              <w:rPr>
                <w:rFonts w:hint="eastAsia" w:ascii="宋体" w:hAnsi="宋体" w:eastAsia="宋体" w:cs="宋体"/>
                <w:bCs/>
                <w:color w:val="auto"/>
                <w:kern w:val="2"/>
                <w:sz w:val="24"/>
                <w:szCs w:val="24"/>
                <w:lang w:val="en-US" w:eastAsia="zh-CN" w:bidi="ar-SA"/>
              </w:rPr>
              <w:t>场所后进行安装</w:t>
            </w:r>
            <w:r>
              <w:rPr>
                <w:rFonts w:hint="eastAsia" w:ascii="宋体" w:hAnsi="宋体" w:cs="宋体"/>
                <w:bCs/>
                <w:color w:val="auto"/>
                <w:kern w:val="2"/>
                <w:sz w:val="24"/>
                <w:szCs w:val="24"/>
                <w:lang w:val="en-US" w:eastAsia="zh-CN" w:bidi="ar-SA"/>
              </w:rPr>
              <w:t>固定</w:t>
            </w:r>
            <w:r>
              <w:rPr>
                <w:rFonts w:hint="eastAsia" w:ascii="宋体" w:hAnsi="宋体" w:eastAsia="宋体" w:cs="宋体"/>
                <w:bCs/>
                <w:color w:val="auto"/>
                <w:kern w:val="2"/>
                <w:sz w:val="24"/>
                <w:szCs w:val="24"/>
                <w:lang w:val="en-US" w:eastAsia="zh-CN" w:bidi="ar-SA"/>
              </w:rPr>
              <w:t>，</w:t>
            </w:r>
            <w:r>
              <w:rPr>
                <w:rFonts w:hint="eastAsia" w:ascii="宋体" w:hAnsi="宋体" w:cs="宋体"/>
                <w:bCs/>
                <w:color w:val="auto"/>
                <w:kern w:val="2"/>
                <w:sz w:val="24"/>
                <w:szCs w:val="24"/>
                <w:lang w:val="en-US" w:eastAsia="zh-CN" w:bidi="ar-SA"/>
              </w:rPr>
              <w:t>会产生一定的噪声。</w:t>
            </w:r>
          </w:p>
          <w:p w14:paraId="75B77353">
            <w:pPr>
              <w:pStyle w:val="72"/>
              <w:numPr>
                <w:ilvl w:val="0"/>
                <w:numId w:val="2"/>
              </w:numPr>
              <w:spacing w:line="360" w:lineRule="auto"/>
              <w:ind w:left="0" w:leftChars="0" w:firstLine="0" w:firstLineChars="0"/>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运营期污染源分析</w:t>
            </w:r>
          </w:p>
          <w:p w14:paraId="2C479C3B">
            <w:pPr>
              <w:pStyle w:val="72"/>
              <w:numPr>
                <w:ilvl w:val="0"/>
                <w:numId w:val="0"/>
              </w:numPr>
              <w:spacing w:line="360" w:lineRule="auto"/>
              <w:ind w:leftChars="0"/>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eastAsia="zh-CN"/>
              </w:rPr>
              <w:drawing>
                <wp:inline distT="0" distB="0" distL="114300" distR="114300">
                  <wp:extent cx="5323840" cy="1813560"/>
                  <wp:effectExtent l="0" t="0" r="8890" b="0"/>
                  <wp:docPr id="48" name="图片 48" descr="1735610731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1735610731375(1)"/>
                          <pic:cNvPicPr>
                            <a:picLocks noChangeAspect="1"/>
                          </pic:cNvPicPr>
                        </pic:nvPicPr>
                        <pic:blipFill>
                          <a:blip r:embed="rId8"/>
                          <a:stretch>
                            <a:fillRect/>
                          </a:stretch>
                        </pic:blipFill>
                        <pic:spPr>
                          <a:xfrm>
                            <a:off x="0" y="0"/>
                            <a:ext cx="5323840" cy="1813560"/>
                          </a:xfrm>
                          <a:prstGeom prst="rect">
                            <a:avLst/>
                          </a:prstGeom>
                        </pic:spPr>
                      </pic:pic>
                    </a:graphicData>
                  </a:graphic>
                </wp:inline>
              </w:drawing>
            </w:r>
          </w:p>
          <w:p w14:paraId="3169C075">
            <w:pPr>
              <w:spacing w:line="5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运营期工艺</w:t>
            </w:r>
            <w:r>
              <w:rPr>
                <w:rFonts w:hint="eastAsia" w:ascii="宋体" w:hAnsi="宋体" w:eastAsia="宋体" w:cs="宋体"/>
                <w:bCs/>
                <w:color w:val="auto"/>
                <w:sz w:val="24"/>
                <w:szCs w:val="24"/>
              </w:rPr>
              <w:t>流程及产污节点图</w:t>
            </w:r>
          </w:p>
          <w:p w14:paraId="6D16FD1F">
            <w:pPr>
              <w:keepNext w:val="0"/>
              <w:keepLines w:val="0"/>
              <w:widowControl/>
              <w:suppressLineNumbers w:val="0"/>
              <w:spacing w:line="360" w:lineRule="auto"/>
              <w:jc w:val="left"/>
              <w:rPr>
                <w:rFonts w:hint="eastAsia" w:cs="Times New Roman"/>
                <w:snapToGrid/>
                <w:sz w:val="24"/>
              </w:rPr>
            </w:pPr>
          </w:p>
          <w:p w14:paraId="7A8C4C09">
            <w:pPr>
              <w:keepNext w:val="0"/>
              <w:keepLines w:val="0"/>
              <w:widowControl/>
              <w:suppressLineNumbers w:val="0"/>
              <w:spacing w:line="360" w:lineRule="auto"/>
              <w:ind w:firstLine="480" w:firstLineChars="200"/>
              <w:jc w:val="left"/>
              <w:rPr>
                <w:rFonts w:hint="eastAsia"/>
                <w:lang w:eastAsia="zh-CN"/>
              </w:rPr>
            </w:pPr>
            <w:r>
              <w:rPr>
                <w:rFonts w:hint="eastAsia" w:cs="Times New Roman"/>
                <w:snapToGrid/>
                <w:sz w:val="24"/>
              </w:rPr>
              <w:t>本项目新建原料处理能力为2万吨/年的超硬质沥青/道路沥青改性剂试验装置。</w:t>
            </w:r>
            <w:r>
              <w:rPr>
                <w:rFonts w:hint="eastAsia" w:ascii="宋体" w:hAnsi="宋体" w:cs="Times New Roman"/>
                <w:snapToGrid/>
                <w:sz w:val="24"/>
              </w:rPr>
              <w:t>煤液化沥青（合格品，粒径40～50mm，片状）通过铲车储存于新增料仓内，经过料仓出料口及皮带输送机将煤液化沥青（合格品）送至新增破碎机，沥青产品通过破碎机破碎至3mm以下通过三通卸料器将破碎后的沥青分成两部分，一部分通过皮带输送机、斗式提升机送至新增双螺杆混料机组，</w:t>
            </w:r>
            <w:r>
              <w:rPr>
                <w:rFonts w:hint="eastAsia" w:hAnsi="宋体"/>
                <w:szCs w:val="24"/>
              </w:rPr>
              <w:t>采</w:t>
            </w:r>
            <w:r>
              <w:rPr>
                <w:rFonts w:hint="eastAsia" w:ascii="宋体" w:hAnsi="宋体" w:cs="Times New Roman"/>
                <w:snapToGrid/>
                <w:sz w:val="24"/>
              </w:rPr>
              <w:t>用双螺杆机水环切造粒的技术</w:t>
            </w:r>
            <w:r>
              <w:rPr>
                <w:rFonts w:hint="eastAsia" w:ascii="宋体" w:hAnsi="宋体" w:cs="Times New Roman"/>
                <w:snapToGrid/>
                <w:sz w:val="24"/>
                <w:lang w:eastAsia="zh-CN"/>
              </w:rPr>
              <w:t>，</w:t>
            </w:r>
            <w:r>
              <w:rPr>
                <w:rFonts w:hint="eastAsia" w:ascii="宋体" w:hAnsi="宋体" w:cs="Times New Roman"/>
                <w:snapToGrid/>
                <w:sz w:val="24"/>
              </w:rPr>
              <w:t>经过混合、加热、挤出、造粒、冷却等过程产出200kg/h的沥青改性剂，再通过沥青改性剂包装机包装成袋后运走；另一部分直接通过皮带输送机、斗式提升机送至超硬质沥青包装机后包装成袋并运走，超硬质沥青产能2300kg/h。</w:t>
            </w:r>
          </w:p>
          <w:p w14:paraId="67D38D83">
            <w:pPr>
              <w:pStyle w:val="70"/>
              <w:spacing w:line="360" w:lineRule="auto"/>
              <w:ind w:left="0" w:leftChars="0" w:firstLine="0" w:firstLineChars="0"/>
              <w:rPr>
                <w:rStyle w:val="83"/>
                <w:rFonts w:hint="eastAsia" w:ascii="宋体" w:hAnsi="宋体" w:eastAsia="宋体" w:cs="宋体"/>
                <w:b/>
                <w:color w:val="000000"/>
                <w:sz w:val="24"/>
                <w:szCs w:val="24"/>
              </w:rPr>
            </w:pPr>
            <w:r>
              <w:rPr>
                <w:rStyle w:val="83"/>
                <w:rFonts w:hint="eastAsia" w:ascii="宋体" w:hAnsi="宋体" w:cs="宋体"/>
                <w:b/>
                <w:color w:val="000000"/>
                <w:sz w:val="24"/>
                <w:szCs w:val="24"/>
                <w:lang w:val="en-US" w:eastAsia="zh-CN"/>
              </w:rPr>
              <w:t>2</w:t>
            </w:r>
            <w:r>
              <w:rPr>
                <w:rStyle w:val="83"/>
                <w:rFonts w:hint="eastAsia" w:ascii="宋体" w:hAnsi="宋体" w:eastAsia="宋体" w:cs="宋体"/>
                <w:b/>
                <w:color w:val="000000"/>
                <w:sz w:val="24"/>
                <w:szCs w:val="24"/>
              </w:rPr>
              <w:t>.</w:t>
            </w:r>
            <w:r>
              <w:rPr>
                <w:rFonts w:hint="eastAsia" w:ascii="宋体" w:hAnsi="宋体" w:eastAsia="宋体" w:cs="宋体"/>
                <w:b/>
                <w:color w:val="000000"/>
                <w:sz w:val="24"/>
                <w:szCs w:val="24"/>
              </w:rPr>
              <w:t>1大气污染源</w:t>
            </w:r>
          </w:p>
          <w:p w14:paraId="4BF5043F">
            <w:pPr>
              <w:keepNext w:val="0"/>
              <w:keepLines w:val="0"/>
              <w:widowControl/>
              <w:suppressLineNumbers w:val="0"/>
              <w:spacing w:line="360" w:lineRule="auto"/>
              <w:ind w:firstLine="480" w:firstLineChars="200"/>
              <w:jc w:val="left"/>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sz w:val="24"/>
                <w:szCs w:val="24"/>
              </w:rPr>
              <w:t>本项目</w:t>
            </w:r>
            <w:r>
              <w:rPr>
                <w:rFonts w:hint="eastAsia" w:ascii="宋体" w:hAnsi="宋体" w:eastAsia="宋体" w:cs="宋体"/>
                <w:color w:val="000000"/>
                <w:sz w:val="24"/>
                <w:szCs w:val="24"/>
                <w:lang w:val="en-US" w:eastAsia="zh-CN"/>
              </w:rPr>
              <w:t>运营期</w:t>
            </w:r>
            <w:r>
              <w:rPr>
                <w:rFonts w:hint="eastAsia" w:ascii="宋体" w:hAnsi="宋体" w:eastAsia="宋体" w:cs="宋体"/>
                <w:color w:val="000000"/>
                <w:kern w:val="0"/>
                <w:sz w:val="24"/>
                <w:szCs w:val="24"/>
                <w:lang w:val="en-US" w:eastAsia="zh-CN" w:bidi="ar"/>
              </w:rPr>
              <w:t>产生的大气污染物主要为</w:t>
            </w:r>
            <w:r>
              <w:rPr>
                <w:rFonts w:hint="eastAsia" w:ascii="宋体" w:hAnsi="宋体" w:cs="宋体"/>
                <w:color w:val="000000"/>
                <w:kern w:val="0"/>
                <w:sz w:val="24"/>
                <w:szCs w:val="24"/>
                <w:lang w:val="en-US" w:eastAsia="zh-CN" w:bidi="ar"/>
              </w:rPr>
              <w:t>破碎工段产生的</w:t>
            </w:r>
            <w:r>
              <w:rPr>
                <w:rFonts w:hint="eastAsia" w:ascii="宋体" w:hAnsi="宋体" w:eastAsia="宋体" w:cs="宋体"/>
                <w:color w:val="000000"/>
                <w:kern w:val="0"/>
                <w:sz w:val="24"/>
                <w:szCs w:val="24"/>
                <w:lang w:val="en-US" w:eastAsia="zh-CN" w:bidi="ar"/>
              </w:rPr>
              <w:t>沥青粉尘</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沥青改性剂生产工段产生的沥青烟和沥青改性剂</w:t>
            </w:r>
            <w:r>
              <w:rPr>
                <w:rFonts w:hint="eastAsia" w:ascii="宋体" w:hAnsi="宋体" w:cs="宋体"/>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超硬质沥青包装工段产生的粉尘。</w:t>
            </w:r>
          </w:p>
          <w:p w14:paraId="3ECDFC0D">
            <w:pPr>
              <w:pStyle w:val="70"/>
              <w:spacing w:line="360" w:lineRule="auto"/>
              <w:ind w:left="0" w:leftChars="0" w:firstLine="0" w:firstLineChars="0"/>
              <w:rPr>
                <w:rStyle w:val="83"/>
                <w:rFonts w:hint="eastAsia" w:ascii="宋体" w:hAnsi="宋体" w:eastAsia="宋体" w:cs="宋体"/>
                <w:b/>
                <w:color w:val="000000"/>
                <w:sz w:val="24"/>
                <w:szCs w:val="24"/>
              </w:rPr>
            </w:pPr>
            <w:r>
              <w:rPr>
                <w:rStyle w:val="83"/>
                <w:rFonts w:hint="eastAsia" w:ascii="宋体" w:hAnsi="宋体" w:cs="宋体"/>
                <w:b/>
                <w:color w:val="000000"/>
                <w:sz w:val="24"/>
                <w:szCs w:val="24"/>
                <w:lang w:val="en-US" w:eastAsia="zh-CN"/>
              </w:rPr>
              <w:t>2</w:t>
            </w:r>
            <w:r>
              <w:rPr>
                <w:rStyle w:val="83"/>
                <w:rFonts w:hint="eastAsia" w:ascii="宋体" w:hAnsi="宋体" w:eastAsia="宋体" w:cs="宋体"/>
                <w:b/>
                <w:color w:val="000000"/>
                <w:sz w:val="24"/>
                <w:szCs w:val="24"/>
              </w:rPr>
              <w:t>.</w:t>
            </w:r>
            <w:r>
              <w:rPr>
                <w:rFonts w:hint="eastAsia" w:ascii="宋体" w:hAnsi="宋体" w:eastAsia="宋体" w:cs="宋体"/>
                <w:b/>
                <w:color w:val="000000"/>
                <w:sz w:val="24"/>
                <w:szCs w:val="24"/>
              </w:rPr>
              <w:t>2噪声污染源</w:t>
            </w:r>
          </w:p>
          <w:p w14:paraId="0F9CDD78">
            <w:pPr>
              <w:pStyle w:val="72"/>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本项目主要噪声源为汽车运输、</w:t>
            </w:r>
            <w:r>
              <w:rPr>
                <w:rFonts w:hint="eastAsia" w:ascii="宋体" w:hAnsi="宋体" w:cs="宋体"/>
                <w:color w:val="000000"/>
                <w:sz w:val="24"/>
                <w:szCs w:val="24"/>
                <w:lang w:val="en-US" w:eastAsia="zh-CN"/>
              </w:rPr>
              <w:t>皮带运输</w:t>
            </w:r>
            <w:r>
              <w:rPr>
                <w:rFonts w:hint="eastAsia" w:ascii="宋体" w:hAnsi="宋体" w:eastAsia="宋体" w:cs="宋体"/>
                <w:color w:val="000000"/>
                <w:sz w:val="24"/>
                <w:szCs w:val="24"/>
              </w:rPr>
              <w:t>等噪声</w:t>
            </w:r>
            <w:r>
              <w:rPr>
                <w:rFonts w:hint="eastAsia" w:ascii="宋体" w:hAnsi="宋体" w:cs="宋体"/>
                <w:color w:val="000000"/>
                <w:sz w:val="24"/>
                <w:szCs w:val="24"/>
                <w:lang w:eastAsia="zh-CN"/>
              </w:rPr>
              <w:t>、</w:t>
            </w:r>
            <w:r>
              <w:rPr>
                <w:rFonts w:hint="eastAsia" w:ascii="宋体" w:hAnsi="宋体" w:cs="宋体"/>
                <w:color w:val="000000"/>
                <w:sz w:val="24"/>
                <w:szCs w:val="24"/>
                <w:lang w:val="en-US" w:eastAsia="zh-CN"/>
              </w:rPr>
              <w:t>破碎产生的噪声</w:t>
            </w:r>
            <w:r>
              <w:rPr>
                <w:rFonts w:hint="eastAsia" w:ascii="宋体" w:hAnsi="宋体" w:eastAsia="宋体" w:cs="宋体"/>
                <w:color w:val="000000"/>
                <w:sz w:val="24"/>
                <w:szCs w:val="24"/>
              </w:rPr>
              <w:t>，噪声级在65~80dB（A）之间。</w:t>
            </w:r>
          </w:p>
          <w:p w14:paraId="7E66578C">
            <w:pPr>
              <w:pStyle w:val="72"/>
              <w:spacing w:line="360" w:lineRule="auto"/>
              <w:ind w:firstLine="0" w:firstLineChars="0"/>
              <w:rPr>
                <w:rStyle w:val="83"/>
                <w:rFonts w:hint="eastAsia" w:ascii="宋体" w:hAnsi="宋体" w:eastAsia="宋体" w:cs="宋体"/>
                <w:b/>
                <w:bCs w:val="0"/>
                <w:color w:val="000000"/>
                <w:sz w:val="24"/>
                <w:szCs w:val="24"/>
              </w:rPr>
            </w:pPr>
            <w:r>
              <w:rPr>
                <w:rStyle w:val="83"/>
                <w:rFonts w:hint="eastAsia" w:ascii="宋体" w:hAnsi="宋体" w:cs="宋体"/>
                <w:b/>
                <w:bCs w:val="0"/>
                <w:color w:val="000000"/>
                <w:sz w:val="24"/>
                <w:szCs w:val="24"/>
                <w:lang w:val="en-US" w:eastAsia="zh-CN"/>
              </w:rPr>
              <w:t>2</w:t>
            </w:r>
            <w:r>
              <w:rPr>
                <w:rStyle w:val="83"/>
                <w:rFonts w:hint="eastAsia" w:ascii="宋体" w:hAnsi="宋体" w:eastAsia="宋体" w:cs="宋体"/>
                <w:b/>
                <w:bCs w:val="0"/>
                <w:color w:val="000000"/>
                <w:sz w:val="24"/>
                <w:szCs w:val="24"/>
              </w:rPr>
              <w:t>.</w:t>
            </w:r>
            <w:r>
              <w:rPr>
                <w:rFonts w:hint="eastAsia" w:ascii="宋体" w:hAnsi="宋体" w:eastAsia="宋体" w:cs="宋体"/>
                <w:b/>
                <w:bCs w:val="0"/>
                <w:color w:val="000000"/>
                <w:sz w:val="24"/>
                <w:szCs w:val="24"/>
              </w:rPr>
              <w:t>3固体废物污染源</w:t>
            </w:r>
          </w:p>
          <w:p w14:paraId="77E4866F">
            <w:pPr>
              <w:pStyle w:val="72"/>
              <w:spacing w:line="360" w:lineRule="auto"/>
              <w:ind w:left="0" w:leftChars="0" w:firstLine="480" w:firstLineChars="200"/>
              <w:rPr>
                <w:rFonts w:hint="default" w:ascii="宋体" w:hAnsi="宋体" w:eastAsia="宋体" w:cs="宋体"/>
                <w:color w:val="000000"/>
                <w:sz w:val="24"/>
                <w:szCs w:val="24"/>
                <w:lang w:val="en-US" w:eastAsia="zh-CN"/>
              </w:rPr>
            </w:pPr>
            <w:r>
              <w:rPr>
                <w:rFonts w:hint="eastAsia" w:hAnsi="宋体"/>
                <w:szCs w:val="28"/>
              </w:rPr>
              <w:t>本项固体废物</w:t>
            </w:r>
            <w:r>
              <w:rPr>
                <w:rFonts w:hint="eastAsia" w:hAnsi="宋体"/>
                <w:szCs w:val="28"/>
                <w:lang w:val="en-US" w:eastAsia="zh-CN"/>
              </w:rPr>
              <w:t>为破碎工段产生的</w:t>
            </w:r>
            <w:r>
              <w:rPr>
                <w:rFonts w:hint="default" w:hAnsi="宋体"/>
                <w:szCs w:val="28"/>
                <w:lang w:eastAsia="zh-CN"/>
              </w:rPr>
              <w:t>沥青粉尘，经布袋除尘器收集后回用</w:t>
            </w:r>
            <w:r>
              <w:rPr>
                <w:rFonts w:hint="eastAsia" w:ascii="宋体" w:hAnsi="宋体" w:eastAsia="宋体" w:cs="宋体"/>
                <w:color w:val="000000"/>
                <w:sz w:val="24"/>
                <w:szCs w:val="24"/>
              </w:rPr>
              <w:t>。</w:t>
            </w:r>
            <w:r>
              <w:rPr>
                <w:rFonts w:hint="eastAsia" w:ascii="宋体" w:hAnsi="宋体" w:cs="宋体"/>
                <w:color w:val="000000"/>
                <w:sz w:val="24"/>
                <w:szCs w:val="24"/>
                <w:lang w:val="en-US" w:eastAsia="zh-CN"/>
              </w:rPr>
              <w:t>废活性炭暂存于厂区危废库，定期交有资质的单位处置。</w:t>
            </w:r>
          </w:p>
          <w:p w14:paraId="28FB3E7A">
            <w:pPr>
              <w:pStyle w:val="72"/>
              <w:spacing w:line="360" w:lineRule="auto"/>
              <w:ind w:firstLine="0" w:firstLineChars="0"/>
              <w:rPr>
                <w:rStyle w:val="83"/>
                <w:rFonts w:hint="eastAsia" w:ascii="宋体" w:hAnsi="宋体" w:eastAsia="宋体" w:cs="宋体"/>
                <w:b/>
                <w:bCs w:val="0"/>
                <w:color w:val="000000"/>
                <w:sz w:val="24"/>
                <w:szCs w:val="24"/>
              </w:rPr>
            </w:pPr>
            <w:r>
              <w:rPr>
                <w:rStyle w:val="83"/>
                <w:rFonts w:hint="eastAsia" w:ascii="宋体" w:hAnsi="宋体" w:cs="宋体"/>
                <w:b/>
                <w:bCs w:val="0"/>
                <w:color w:val="000000"/>
                <w:sz w:val="24"/>
                <w:szCs w:val="24"/>
                <w:lang w:val="en-US" w:eastAsia="zh-CN"/>
              </w:rPr>
              <w:t>2</w:t>
            </w:r>
            <w:r>
              <w:rPr>
                <w:rStyle w:val="83"/>
                <w:rFonts w:hint="eastAsia" w:ascii="宋体" w:hAnsi="宋体" w:eastAsia="宋体" w:cs="宋体"/>
                <w:b/>
                <w:bCs w:val="0"/>
                <w:color w:val="000000"/>
                <w:sz w:val="24"/>
                <w:szCs w:val="24"/>
              </w:rPr>
              <w:t>.</w:t>
            </w:r>
            <w:r>
              <w:rPr>
                <w:rFonts w:hint="eastAsia" w:ascii="宋体" w:hAnsi="宋体" w:eastAsia="宋体" w:cs="宋体"/>
                <w:b/>
                <w:bCs w:val="0"/>
                <w:color w:val="000000"/>
                <w:sz w:val="24"/>
                <w:szCs w:val="24"/>
              </w:rPr>
              <w:t>4水污染源</w:t>
            </w:r>
            <w:bookmarkEnd w:id="3"/>
            <w:bookmarkEnd w:id="4"/>
            <w:bookmarkEnd w:id="5"/>
          </w:p>
          <w:p w14:paraId="4EC80BD4">
            <w:pPr>
              <w:pStyle w:val="72"/>
              <w:spacing w:line="360" w:lineRule="auto"/>
              <w:ind w:firstLine="420"/>
              <w:rPr>
                <w:rFonts w:hint="default" w:ascii="宋体" w:hAnsi="宋体" w:eastAsia="宋体" w:cs="宋体"/>
                <w:bCs/>
                <w:color w:val="auto"/>
                <w:sz w:val="24"/>
                <w:szCs w:val="24"/>
                <w:highlight w:val="none"/>
                <w:lang w:val="en-US"/>
              </w:rPr>
            </w:pPr>
            <w:r>
              <w:rPr>
                <w:rFonts w:hint="eastAsia" w:hAnsi="宋体"/>
                <w:szCs w:val="28"/>
                <w:lang w:val="en-US" w:eastAsia="zh-CN"/>
              </w:rPr>
              <w:t>本项目采用双螺杆机水环切造粒的技术，废水产生量约0.8t/h。</w:t>
            </w:r>
          </w:p>
        </w:tc>
      </w:tr>
      <w:tr w14:paraId="77D77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81" w:hRule="atLeast"/>
          <w:jc w:val="center"/>
        </w:trPr>
        <w:tc>
          <w:tcPr>
            <w:tcW w:w="456" w:type="dxa"/>
            <w:vAlign w:val="center"/>
          </w:tcPr>
          <w:p w14:paraId="10807439">
            <w:pPr>
              <w:pStyle w:val="23"/>
              <w:adjustRightInd w:val="0"/>
              <w:snapToGrid w:val="0"/>
              <w:spacing w:before="0" w:beforeAutospacing="0" w:after="0" w:afterAutospacing="0"/>
              <w:jc w:val="center"/>
              <w:rPr>
                <w:rFonts w:hint="eastAsia" w:ascii="宋体" w:hAnsi="宋体" w:eastAsia="宋体" w:cs="宋体"/>
                <w:color w:val="auto"/>
                <w:sz w:val="24"/>
                <w:szCs w:val="24"/>
                <w:highlight w:val="none"/>
              </w:rPr>
            </w:pPr>
            <w:r>
              <w:rPr>
                <w:rFonts w:hint="eastAsia" w:ascii="宋体" w:hAnsi="宋体" w:eastAsia="宋体" w:cs="宋体"/>
                <w:bCs/>
                <w:color w:val="auto"/>
                <w:kern w:val="2"/>
                <w:sz w:val="24"/>
                <w:szCs w:val="24"/>
                <w:highlight w:val="none"/>
              </w:rPr>
              <w:t>与项目有关的原有环境污染问题</w:t>
            </w:r>
          </w:p>
        </w:tc>
        <w:tc>
          <w:tcPr>
            <w:tcW w:w="8604" w:type="dxa"/>
            <w:vAlign w:val="center"/>
          </w:tcPr>
          <w:p w14:paraId="58B1316B">
            <w:pPr>
              <w:pStyle w:val="72"/>
              <w:spacing w:line="360" w:lineRule="auto"/>
              <w:ind w:firstLine="420"/>
              <w:jc w:val="left"/>
              <w:rPr>
                <w:rFonts w:hint="eastAsia" w:ascii="宋体" w:hAnsi="宋体" w:eastAsia="宋体" w:cs="宋体"/>
                <w:bCs/>
                <w:color w:val="auto"/>
                <w:sz w:val="24"/>
                <w:szCs w:val="24"/>
                <w:highlight w:val="none"/>
              </w:rPr>
            </w:pPr>
            <w:r>
              <w:rPr>
                <w:rFonts w:hint="eastAsia" w:ascii="宋体" w:hAnsi="宋体" w:eastAsia="宋体" w:cs="宋体"/>
                <w:color w:val="auto"/>
                <w:sz w:val="24"/>
                <w:szCs w:val="24"/>
                <w:lang w:eastAsia="zh-CN"/>
              </w:rPr>
              <w:t>本</w:t>
            </w:r>
            <w:r>
              <w:rPr>
                <w:rFonts w:hint="eastAsia" w:ascii="宋体" w:hAnsi="宋体" w:eastAsia="宋体" w:cs="宋体"/>
                <w:color w:val="auto"/>
                <w:sz w:val="24"/>
                <w:szCs w:val="24"/>
              </w:rPr>
              <w:t>项目</w:t>
            </w:r>
            <w:r>
              <w:rPr>
                <w:rFonts w:hint="eastAsia" w:ascii="宋体" w:hAnsi="宋体" w:cs="宋体"/>
                <w:color w:val="auto"/>
                <w:sz w:val="24"/>
                <w:szCs w:val="24"/>
                <w:lang w:val="en-US" w:eastAsia="zh-CN"/>
              </w:rPr>
              <w:t>为新建项目</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不存在</w:t>
            </w:r>
            <w:r>
              <w:rPr>
                <w:rFonts w:hint="eastAsia" w:ascii="宋体" w:hAnsi="宋体" w:eastAsia="宋体" w:cs="宋体"/>
                <w:bCs/>
                <w:color w:val="auto"/>
                <w:kern w:val="2"/>
                <w:sz w:val="24"/>
                <w:szCs w:val="24"/>
              </w:rPr>
              <w:t>原有环境污染问题</w:t>
            </w:r>
            <w:r>
              <w:rPr>
                <w:rFonts w:hint="eastAsia" w:ascii="宋体" w:hAnsi="宋体" w:eastAsia="宋体" w:cs="宋体"/>
                <w:color w:val="auto"/>
                <w:sz w:val="24"/>
                <w:szCs w:val="24"/>
                <w:lang w:val="en-US" w:eastAsia="zh-CN"/>
              </w:rPr>
              <w:t>。</w:t>
            </w:r>
          </w:p>
        </w:tc>
      </w:tr>
    </w:tbl>
    <w:p w14:paraId="6B793A98">
      <w:pPr>
        <w:pStyle w:val="23"/>
        <w:jc w:val="center"/>
        <w:rPr>
          <w:rFonts w:ascii="黑体" w:hAnsi="黑体" w:eastAsia="黑体"/>
          <w:snapToGrid w:val="0"/>
          <w:color w:val="auto"/>
          <w:sz w:val="36"/>
          <w:szCs w:val="36"/>
          <w:highlight w:val="none"/>
        </w:rPr>
        <w:sectPr>
          <w:pgSz w:w="11906" w:h="16838"/>
          <w:pgMar w:top="1701" w:right="1531" w:bottom="1701" w:left="1531" w:header="851" w:footer="851" w:gutter="0"/>
          <w:cols w:space="720" w:num="1"/>
          <w:docGrid w:linePitch="312" w:charSpace="0"/>
        </w:sectPr>
      </w:pPr>
    </w:p>
    <w:p w14:paraId="6914B3D2">
      <w:pPr>
        <w:pStyle w:val="23"/>
        <w:adjustRightInd w:val="0"/>
        <w:snapToGrid w:val="0"/>
        <w:spacing w:before="0" w:beforeAutospacing="0" w:after="0" w:afterAutospacing="0" w:line="14" w:lineRule="auto"/>
        <w:jc w:val="center"/>
        <w:outlineLvl w:val="0"/>
        <w:rPr>
          <w:rFonts w:ascii="黑体" w:hAnsi="黑体" w:eastAsia="黑体"/>
          <w:snapToGrid w:val="0"/>
          <w:color w:val="auto"/>
          <w:sz w:val="30"/>
          <w:szCs w:val="30"/>
          <w:highlight w:val="none"/>
        </w:rPr>
      </w:pPr>
    </w:p>
    <w:p w14:paraId="234E6C6D">
      <w:pPr>
        <w:pStyle w:val="23"/>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三、区域环境质量现状、环境保护目标及评价标准</w:t>
      </w:r>
    </w:p>
    <w:tbl>
      <w:tblPr>
        <w:tblStyle w:val="26"/>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2B9D9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800" w:type="dxa"/>
            <w:vAlign w:val="center"/>
          </w:tcPr>
          <w:p w14:paraId="36944034">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区域</w:t>
            </w:r>
          </w:p>
          <w:p w14:paraId="6F8682EA">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环境</w:t>
            </w:r>
          </w:p>
          <w:p w14:paraId="52AD861A">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质量</w:t>
            </w:r>
          </w:p>
          <w:p w14:paraId="6341072A">
            <w:pPr>
              <w:adjustRightInd w:val="0"/>
              <w:snapToGrid w:val="0"/>
              <w:jc w:val="center"/>
              <w:rPr>
                <w:rFonts w:ascii="宋体" w:hAnsi="宋体" w:cs="宋体"/>
                <w:color w:val="auto"/>
                <w:kern w:val="0"/>
                <w:szCs w:val="21"/>
                <w:highlight w:val="none"/>
              </w:rPr>
            </w:pPr>
            <w:r>
              <w:rPr>
                <w:rFonts w:hint="eastAsia" w:ascii="宋体" w:hAnsi="宋体" w:cs="宋体"/>
                <w:color w:val="auto"/>
                <w:kern w:val="0"/>
                <w:sz w:val="24"/>
                <w:szCs w:val="24"/>
                <w:highlight w:val="none"/>
              </w:rPr>
              <w:t>现状</w:t>
            </w:r>
          </w:p>
        </w:tc>
        <w:tc>
          <w:tcPr>
            <w:tcW w:w="8190" w:type="dxa"/>
            <w:vAlign w:val="center"/>
          </w:tcPr>
          <w:p w14:paraId="2F537420">
            <w:pPr>
              <w:pStyle w:val="54"/>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环境空气质量现状</w:t>
            </w:r>
          </w:p>
          <w:p w14:paraId="11F1E6A1">
            <w:pPr>
              <w:spacing w:line="440" w:lineRule="exact"/>
              <w:ind w:firstLine="480" w:firstLineChars="200"/>
              <w:rPr>
                <w:color w:val="000000"/>
              </w:rPr>
            </w:pPr>
            <w:r>
              <w:rPr>
                <w:rFonts w:hint="eastAsia" w:ascii="宋体" w:hAnsi="宋体" w:cs="Times New Roman"/>
                <w:snapToGrid/>
                <w:sz w:val="24"/>
              </w:rPr>
              <w:t>项目区达标判定采用202</w:t>
            </w:r>
            <w:r>
              <w:rPr>
                <w:rFonts w:hint="eastAsia" w:ascii="宋体" w:hAnsi="宋体" w:cs="Times New Roman"/>
                <w:snapToGrid/>
                <w:sz w:val="24"/>
                <w:lang w:val="en-US" w:eastAsia="zh-CN"/>
              </w:rPr>
              <w:t>4</w:t>
            </w:r>
            <w:r>
              <w:rPr>
                <w:rFonts w:hint="eastAsia" w:ascii="宋体" w:hAnsi="宋体" w:cs="Times New Roman"/>
                <w:snapToGrid/>
                <w:sz w:val="24"/>
              </w:rPr>
              <w:t>年6月</w:t>
            </w:r>
            <w:r>
              <w:rPr>
                <w:rFonts w:hint="eastAsia" w:ascii="宋体" w:hAnsi="宋体" w:cs="Times New Roman"/>
                <w:snapToGrid/>
                <w:sz w:val="24"/>
                <w:lang w:val="en-US" w:eastAsia="zh-CN"/>
              </w:rPr>
              <w:t>3</w:t>
            </w:r>
            <w:r>
              <w:rPr>
                <w:rFonts w:hint="eastAsia" w:ascii="宋体" w:hAnsi="宋体" w:cs="Times New Roman"/>
                <w:snapToGrid/>
                <w:sz w:val="24"/>
              </w:rPr>
              <w:t>日发布的《202</w:t>
            </w:r>
            <w:r>
              <w:rPr>
                <w:rFonts w:hint="eastAsia" w:ascii="宋体" w:hAnsi="宋体" w:cs="Times New Roman"/>
                <w:snapToGrid/>
                <w:sz w:val="24"/>
                <w:lang w:val="en-US" w:eastAsia="zh-CN"/>
              </w:rPr>
              <w:t>3</w:t>
            </w:r>
            <w:r>
              <w:rPr>
                <w:rFonts w:hint="eastAsia" w:ascii="宋体" w:hAnsi="宋体" w:cs="Times New Roman"/>
                <w:snapToGrid/>
                <w:sz w:val="24"/>
              </w:rPr>
              <w:t>年内蒙古自治区生态环境状况公报》中的环境空气质量监测数据作为评价区域达标情况的依据。202</w:t>
            </w:r>
            <w:r>
              <w:rPr>
                <w:rFonts w:hint="eastAsia" w:ascii="宋体" w:hAnsi="宋体" w:cs="Times New Roman"/>
                <w:snapToGrid/>
                <w:sz w:val="24"/>
                <w:lang w:val="en-US" w:eastAsia="zh-CN"/>
              </w:rPr>
              <w:t>3</w:t>
            </w:r>
            <w:r>
              <w:rPr>
                <w:rFonts w:hint="eastAsia" w:ascii="宋体" w:hAnsi="宋体" w:cs="Times New Roman"/>
                <w:snapToGrid/>
                <w:sz w:val="24"/>
              </w:rPr>
              <w:t>年</w:t>
            </w:r>
            <w:r>
              <w:rPr>
                <w:rFonts w:hint="eastAsia" w:ascii="宋体" w:hAnsi="宋体" w:cs="Times New Roman"/>
                <w:snapToGrid/>
                <w:sz w:val="24"/>
                <w:lang w:val="en-US" w:eastAsia="zh-CN"/>
              </w:rPr>
              <w:t>全区</w:t>
            </w:r>
            <w:r>
              <w:rPr>
                <w:rFonts w:hint="eastAsia" w:ascii="宋体" w:hAnsi="宋体" w:cs="Times New Roman"/>
                <w:snapToGrid/>
                <w:sz w:val="24"/>
              </w:rPr>
              <w:t>PM5、PM</w:t>
            </w:r>
            <w:r>
              <w:rPr>
                <w:rFonts w:hint="eastAsia" w:ascii="宋体" w:hAnsi="宋体" w:cs="Times New Roman"/>
                <w:snapToGrid/>
                <w:sz w:val="24"/>
                <w:lang w:val="en-US" w:eastAsia="zh-CN"/>
              </w:rPr>
              <w:t>1</w:t>
            </w:r>
            <w:r>
              <w:rPr>
                <w:rFonts w:hint="eastAsia" w:ascii="宋体" w:hAnsi="宋体" w:cs="Times New Roman"/>
                <w:snapToGrid/>
                <w:sz w:val="24"/>
              </w:rPr>
              <w:t>0、SO2、NO2年均浓度分别为</w:t>
            </w:r>
            <w:r>
              <w:rPr>
                <w:rFonts w:hint="eastAsia" w:ascii="宋体" w:hAnsi="宋体" w:cs="Times New Roman"/>
                <w:snapToGrid/>
                <w:sz w:val="24"/>
                <w:lang w:eastAsia="zh-CN"/>
              </w:rPr>
              <w:t>：</w:t>
            </w:r>
            <w:r>
              <w:rPr>
                <w:rFonts w:hint="eastAsia" w:ascii="宋体" w:hAnsi="宋体" w:cs="Times New Roman"/>
                <w:snapToGrid/>
                <w:sz w:val="24"/>
              </w:rPr>
              <w:t>2</w:t>
            </w:r>
            <w:r>
              <w:rPr>
                <w:rFonts w:hint="eastAsia" w:ascii="宋体" w:hAnsi="宋体" w:cs="Times New Roman"/>
                <w:snapToGrid/>
                <w:sz w:val="24"/>
                <w:lang w:val="en-US" w:eastAsia="zh-CN"/>
              </w:rPr>
              <w:t>3</w:t>
            </w:r>
            <w:r>
              <w:rPr>
                <w:rFonts w:hint="eastAsia" w:ascii="宋体" w:hAnsi="宋体" w:cs="Times New Roman"/>
                <w:snapToGrid/>
                <w:sz w:val="24"/>
              </w:rPr>
              <w:t>μg/m3、</w:t>
            </w:r>
            <w:r>
              <w:rPr>
                <w:rFonts w:hint="eastAsia" w:ascii="宋体" w:hAnsi="宋体" w:cs="Times New Roman"/>
                <w:snapToGrid/>
                <w:sz w:val="24"/>
                <w:lang w:val="en-US" w:eastAsia="zh-CN"/>
              </w:rPr>
              <w:t>52</w:t>
            </w:r>
            <w:r>
              <w:rPr>
                <w:rFonts w:hint="eastAsia" w:ascii="宋体" w:hAnsi="宋体" w:cs="Times New Roman"/>
                <w:snapToGrid/>
                <w:sz w:val="24"/>
              </w:rPr>
              <w:t>μg/m3、1</w:t>
            </w:r>
            <w:r>
              <w:rPr>
                <w:rFonts w:hint="eastAsia" w:ascii="宋体" w:hAnsi="宋体" w:cs="Times New Roman"/>
                <w:snapToGrid/>
                <w:sz w:val="24"/>
                <w:lang w:val="en-US" w:eastAsia="zh-CN"/>
              </w:rPr>
              <w:t>1</w:t>
            </w:r>
            <w:r>
              <w:rPr>
                <w:rFonts w:hint="eastAsia" w:ascii="宋体" w:hAnsi="宋体" w:cs="Times New Roman"/>
                <w:snapToGrid/>
                <w:sz w:val="24"/>
              </w:rPr>
              <w:t>μg/m3、2</w:t>
            </w:r>
            <w:r>
              <w:rPr>
                <w:rFonts w:hint="eastAsia" w:ascii="宋体" w:hAnsi="宋体" w:cs="Times New Roman"/>
                <w:snapToGrid/>
                <w:sz w:val="24"/>
                <w:lang w:val="en-US" w:eastAsia="zh-CN"/>
              </w:rPr>
              <w:t>1</w:t>
            </w:r>
            <w:r>
              <w:rPr>
                <w:rFonts w:hint="eastAsia" w:ascii="宋体" w:hAnsi="宋体" w:cs="Times New Roman"/>
                <w:snapToGrid/>
                <w:sz w:val="24"/>
              </w:rPr>
              <w:t>μg/m3</w:t>
            </w:r>
            <w:r>
              <w:rPr>
                <w:rFonts w:hint="eastAsia" w:ascii="宋体" w:hAnsi="宋体" w:cs="Times New Roman"/>
                <w:snapToGrid/>
                <w:sz w:val="24"/>
                <w:lang w:eastAsia="zh-CN"/>
              </w:rPr>
              <w:t>；</w:t>
            </w:r>
            <w:r>
              <w:rPr>
                <w:rFonts w:hint="eastAsia" w:ascii="宋体" w:hAnsi="宋体" w:cs="Times New Roman"/>
                <w:snapToGrid/>
                <w:sz w:val="24"/>
              </w:rPr>
              <w:t>CO24小时平均第95百分数浓度为0.9</w:t>
            </w:r>
            <w:r>
              <w:rPr>
                <w:rFonts w:hint="eastAsia" w:ascii="宋体" w:hAnsi="宋体" w:cs="Times New Roman"/>
                <w:snapToGrid/>
                <w:sz w:val="24"/>
                <w:lang w:val="en-US" w:eastAsia="zh-CN"/>
              </w:rPr>
              <w:t>m</w:t>
            </w:r>
            <w:r>
              <w:rPr>
                <w:rFonts w:hint="eastAsia" w:ascii="宋体" w:hAnsi="宋体" w:cs="Times New Roman"/>
                <w:snapToGrid/>
                <w:sz w:val="24"/>
              </w:rPr>
              <w:t>g/m3</w:t>
            </w:r>
            <w:r>
              <w:rPr>
                <w:rFonts w:hint="eastAsia" w:ascii="宋体" w:hAnsi="宋体" w:cs="Times New Roman"/>
                <w:snapToGrid/>
                <w:sz w:val="24"/>
                <w:lang w:eastAsia="zh-CN"/>
              </w:rPr>
              <w:t>；</w:t>
            </w:r>
            <w:r>
              <w:rPr>
                <w:rFonts w:hint="eastAsia" w:ascii="宋体" w:hAnsi="宋体" w:cs="Times New Roman"/>
                <w:snapToGrid/>
                <w:sz w:val="24"/>
              </w:rPr>
              <w:t>O3日最大8小时平均值第90百分位数浓度为</w:t>
            </w:r>
            <w:r>
              <w:rPr>
                <w:rFonts w:hint="eastAsia" w:ascii="宋体" w:hAnsi="宋体" w:cs="Times New Roman"/>
                <w:snapToGrid/>
                <w:sz w:val="24"/>
                <w:lang w:val="en-US" w:eastAsia="zh-CN"/>
              </w:rPr>
              <w:t>139</w:t>
            </w:r>
            <w:r>
              <w:rPr>
                <w:rFonts w:hint="eastAsia" w:ascii="宋体" w:hAnsi="宋体" w:cs="Times New Roman"/>
                <w:snapToGrid/>
                <w:sz w:val="24"/>
              </w:rPr>
              <w:t>μg/m3，各项污染物浓度均满足《环境空气质量标准》</w:t>
            </w:r>
            <w:r>
              <w:rPr>
                <w:rFonts w:hint="eastAsia" w:ascii="宋体" w:hAnsi="宋体" w:cs="Times New Roman"/>
                <w:snapToGrid/>
                <w:sz w:val="24"/>
                <w:lang w:eastAsia="zh-CN"/>
              </w:rPr>
              <w:t>（</w:t>
            </w:r>
            <w:r>
              <w:rPr>
                <w:rFonts w:hint="eastAsia" w:ascii="宋体" w:hAnsi="宋体" w:cs="Times New Roman"/>
                <w:snapToGrid/>
                <w:sz w:val="24"/>
              </w:rPr>
              <w:t>GB3095-2012</w:t>
            </w:r>
            <w:r>
              <w:rPr>
                <w:rFonts w:hint="eastAsia" w:ascii="宋体" w:hAnsi="宋体" w:cs="Times New Roman"/>
                <w:snapToGrid/>
                <w:sz w:val="24"/>
                <w:lang w:eastAsia="zh-CN"/>
              </w:rPr>
              <w:t>）</w:t>
            </w:r>
            <w:r>
              <w:rPr>
                <w:rFonts w:hint="eastAsia" w:ascii="宋体" w:hAnsi="宋体" w:cs="Times New Roman"/>
                <w:snapToGrid/>
                <w:sz w:val="24"/>
              </w:rPr>
              <w:t>中二级标准限值，本项目所在区域为环境空气质量达标区，评价区环境空气质量较好。具体监测结果详见表 3-1。</w:t>
            </w:r>
          </w:p>
          <w:p w14:paraId="76625871">
            <w:pPr>
              <w:pStyle w:val="59"/>
              <w:numPr>
                <w:ilvl w:val="0"/>
                <w:numId w:val="0"/>
              </w:numPr>
              <w:ind w:left="420" w:leftChars="200"/>
              <w:rPr>
                <w:color w:val="000000"/>
              </w:rPr>
            </w:pPr>
            <w:r>
              <w:rPr>
                <w:color w:val="000000"/>
              </w:rPr>
              <w:t xml:space="preserve">表3-1    </w:t>
            </w:r>
            <w:r>
              <w:rPr>
                <w:rFonts w:hint="eastAsia"/>
                <w:color w:val="000000"/>
              </w:rPr>
              <w:t>区域</w:t>
            </w:r>
            <w:r>
              <w:rPr>
                <w:color w:val="000000"/>
              </w:rPr>
              <w:t>环境空气监测结果统计</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7"/>
              <w:gridCol w:w="2180"/>
              <w:gridCol w:w="1176"/>
              <w:gridCol w:w="1337"/>
              <w:gridCol w:w="1147"/>
              <w:gridCol w:w="927"/>
            </w:tblGrid>
            <w:tr w14:paraId="4A30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3DC735A4">
                  <w:pPr>
                    <w:spacing w:line="320" w:lineRule="exact"/>
                    <w:jc w:val="center"/>
                    <w:textAlignment w:val="baseline"/>
                    <w:rPr>
                      <w:color w:val="000000"/>
                      <w:szCs w:val="21"/>
                    </w:rPr>
                  </w:pPr>
                  <w:r>
                    <w:rPr>
                      <w:color w:val="000000"/>
                      <w:szCs w:val="21"/>
                    </w:rPr>
                    <w:t>污染物</w:t>
                  </w:r>
                </w:p>
              </w:tc>
              <w:tc>
                <w:tcPr>
                  <w:tcW w:w="2180" w:type="dxa"/>
                  <w:noWrap w:val="0"/>
                  <w:vAlign w:val="center"/>
                </w:tcPr>
                <w:p w14:paraId="6800CB7D">
                  <w:pPr>
                    <w:spacing w:line="320" w:lineRule="exact"/>
                    <w:jc w:val="center"/>
                    <w:textAlignment w:val="baseline"/>
                    <w:rPr>
                      <w:color w:val="000000"/>
                      <w:szCs w:val="21"/>
                    </w:rPr>
                  </w:pPr>
                  <w:r>
                    <w:rPr>
                      <w:color w:val="000000"/>
                      <w:szCs w:val="21"/>
                    </w:rPr>
                    <w:t>年评价指标</w:t>
                  </w:r>
                </w:p>
              </w:tc>
              <w:tc>
                <w:tcPr>
                  <w:tcW w:w="1176" w:type="dxa"/>
                  <w:noWrap w:val="0"/>
                  <w:vAlign w:val="center"/>
                </w:tcPr>
                <w:p w14:paraId="687EE0E8">
                  <w:pPr>
                    <w:spacing w:line="320" w:lineRule="exact"/>
                    <w:jc w:val="center"/>
                    <w:textAlignment w:val="baseline"/>
                    <w:rPr>
                      <w:color w:val="000000"/>
                      <w:szCs w:val="21"/>
                    </w:rPr>
                  </w:pPr>
                  <w:r>
                    <w:rPr>
                      <w:color w:val="000000"/>
                      <w:szCs w:val="21"/>
                    </w:rPr>
                    <w:t>现状浓度（μg/m</w:t>
                  </w:r>
                  <w:r>
                    <w:rPr>
                      <w:color w:val="000000"/>
                      <w:szCs w:val="21"/>
                      <w:vertAlign w:val="superscript"/>
                    </w:rPr>
                    <w:t>3</w:t>
                  </w:r>
                  <w:r>
                    <w:rPr>
                      <w:color w:val="000000"/>
                      <w:szCs w:val="21"/>
                    </w:rPr>
                    <w:t>）</w:t>
                  </w:r>
                </w:p>
              </w:tc>
              <w:tc>
                <w:tcPr>
                  <w:tcW w:w="1337" w:type="dxa"/>
                  <w:noWrap w:val="0"/>
                  <w:vAlign w:val="center"/>
                </w:tcPr>
                <w:p w14:paraId="5D8D14E4">
                  <w:pPr>
                    <w:spacing w:line="320" w:lineRule="exact"/>
                    <w:jc w:val="center"/>
                    <w:textAlignment w:val="baseline"/>
                    <w:rPr>
                      <w:color w:val="000000"/>
                      <w:szCs w:val="21"/>
                    </w:rPr>
                  </w:pPr>
                  <w:r>
                    <w:rPr>
                      <w:color w:val="000000"/>
                      <w:szCs w:val="21"/>
                    </w:rPr>
                    <w:t>标准值</w:t>
                  </w:r>
                </w:p>
                <w:p w14:paraId="735B88FF">
                  <w:pPr>
                    <w:spacing w:line="320" w:lineRule="exact"/>
                    <w:jc w:val="center"/>
                    <w:textAlignment w:val="baseline"/>
                    <w:rPr>
                      <w:color w:val="000000"/>
                      <w:szCs w:val="21"/>
                    </w:rPr>
                  </w:pPr>
                  <w:r>
                    <w:rPr>
                      <w:color w:val="000000"/>
                      <w:szCs w:val="21"/>
                    </w:rPr>
                    <w:t>（μg/m</w:t>
                  </w:r>
                  <w:r>
                    <w:rPr>
                      <w:color w:val="000000"/>
                      <w:szCs w:val="21"/>
                      <w:vertAlign w:val="superscript"/>
                    </w:rPr>
                    <w:t>3</w:t>
                  </w:r>
                  <w:r>
                    <w:rPr>
                      <w:color w:val="000000"/>
                      <w:szCs w:val="21"/>
                    </w:rPr>
                    <w:t>）</w:t>
                  </w:r>
                </w:p>
              </w:tc>
              <w:tc>
                <w:tcPr>
                  <w:tcW w:w="1147" w:type="dxa"/>
                  <w:noWrap w:val="0"/>
                  <w:vAlign w:val="center"/>
                </w:tcPr>
                <w:p w14:paraId="2CDBC2F8">
                  <w:pPr>
                    <w:spacing w:line="320" w:lineRule="exact"/>
                    <w:jc w:val="center"/>
                    <w:textAlignment w:val="baseline"/>
                    <w:rPr>
                      <w:color w:val="000000"/>
                      <w:szCs w:val="21"/>
                    </w:rPr>
                  </w:pPr>
                  <w:r>
                    <w:rPr>
                      <w:color w:val="000000"/>
                      <w:szCs w:val="21"/>
                    </w:rPr>
                    <w:t>占标率（%）</w:t>
                  </w:r>
                </w:p>
              </w:tc>
              <w:tc>
                <w:tcPr>
                  <w:tcW w:w="927" w:type="dxa"/>
                  <w:noWrap w:val="0"/>
                  <w:vAlign w:val="center"/>
                </w:tcPr>
                <w:p w14:paraId="62FABC87">
                  <w:pPr>
                    <w:spacing w:line="320" w:lineRule="exact"/>
                    <w:jc w:val="center"/>
                    <w:textAlignment w:val="baseline"/>
                    <w:rPr>
                      <w:color w:val="000000"/>
                      <w:szCs w:val="21"/>
                    </w:rPr>
                  </w:pPr>
                  <w:r>
                    <w:rPr>
                      <w:color w:val="000000"/>
                      <w:szCs w:val="21"/>
                    </w:rPr>
                    <w:t>达标</w:t>
                  </w:r>
                </w:p>
                <w:p w14:paraId="28CE7B6E">
                  <w:pPr>
                    <w:spacing w:line="320" w:lineRule="exact"/>
                    <w:jc w:val="center"/>
                    <w:textAlignment w:val="baseline"/>
                    <w:rPr>
                      <w:color w:val="000000"/>
                      <w:szCs w:val="21"/>
                    </w:rPr>
                  </w:pPr>
                  <w:r>
                    <w:rPr>
                      <w:color w:val="000000"/>
                      <w:szCs w:val="21"/>
                    </w:rPr>
                    <w:t>情况</w:t>
                  </w:r>
                </w:p>
              </w:tc>
            </w:tr>
            <w:tr w14:paraId="6A13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0AB85736">
                  <w:pPr>
                    <w:spacing w:line="320" w:lineRule="exact"/>
                    <w:jc w:val="center"/>
                    <w:textAlignment w:val="baseline"/>
                    <w:rPr>
                      <w:color w:val="000000"/>
                      <w:szCs w:val="21"/>
                    </w:rPr>
                  </w:pPr>
                  <w:r>
                    <w:rPr>
                      <w:color w:val="000000"/>
                      <w:szCs w:val="21"/>
                    </w:rPr>
                    <w:t>SO</w:t>
                  </w:r>
                  <w:r>
                    <w:rPr>
                      <w:color w:val="000000"/>
                      <w:szCs w:val="21"/>
                      <w:vertAlign w:val="subscript"/>
                    </w:rPr>
                    <w:t>2</w:t>
                  </w:r>
                </w:p>
              </w:tc>
              <w:tc>
                <w:tcPr>
                  <w:tcW w:w="2180" w:type="dxa"/>
                  <w:noWrap w:val="0"/>
                  <w:vAlign w:val="center"/>
                </w:tcPr>
                <w:p w14:paraId="1AAE7407">
                  <w:pPr>
                    <w:spacing w:line="320" w:lineRule="exact"/>
                    <w:jc w:val="center"/>
                    <w:textAlignment w:val="baseline"/>
                    <w:rPr>
                      <w:color w:val="000000"/>
                      <w:szCs w:val="21"/>
                    </w:rPr>
                  </w:pPr>
                  <w:r>
                    <w:rPr>
                      <w:color w:val="000000"/>
                      <w:szCs w:val="21"/>
                    </w:rPr>
                    <w:t>年平均质量浓度</w:t>
                  </w:r>
                </w:p>
              </w:tc>
              <w:tc>
                <w:tcPr>
                  <w:tcW w:w="1176" w:type="dxa"/>
                  <w:noWrap w:val="0"/>
                  <w:vAlign w:val="center"/>
                </w:tcPr>
                <w:p w14:paraId="53376489">
                  <w:pPr>
                    <w:spacing w:line="320" w:lineRule="exact"/>
                    <w:jc w:val="center"/>
                    <w:textAlignment w:val="baseline"/>
                    <w:rPr>
                      <w:rFonts w:hint="default" w:eastAsia="宋体"/>
                      <w:color w:val="000000"/>
                      <w:szCs w:val="21"/>
                      <w:lang w:val="en-US" w:eastAsia="zh-CN"/>
                    </w:rPr>
                  </w:pPr>
                  <w:r>
                    <w:rPr>
                      <w:rFonts w:hint="eastAsia"/>
                      <w:color w:val="000000"/>
                      <w:szCs w:val="21"/>
                      <w:lang w:val="en-US" w:eastAsia="zh-CN"/>
                    </w:rPr>
                    <w:t>11</w:t>
                  </w:r>
                </w:p>
              </w:tc>
              <w:tc>
                <w:tcPr>
                  <w:tcW w:w="1337" w:type="dxa"/>
                  <w:noWrap w:val="0"/>
                  <w:vAlign w:val="center"/>
                </w:tcPr>
                <w:p w14:paraId="0BB1B7A3">
                  <w:pPr>
                    <w:spacing w:line="320" w:lineRule="exact"/>
                    <w:jc w:val="center"/>
                    <w:textAlignment w:val="baseline"/>
                    <w:rPr>
                      <w:color w:val="000000"/>
                      <w:szCs w:val="21"/>
                    </w:rPr>
                  </w:pPr>
                  <w:r>
                    <w:rPr>
                      <w:rFonts w:hint="eastAsia"/>
                      <w:color w:val="000000"/>
                      <w:szCs w:val="21"/>
                    </w:rPr>
                    <w:t>20</w:t>
                  </w:r>
                </w:p>
              </w:tc>
              <w:tc>
                <w:tcPr>
                  <w:tcW w:w="1147" w:type="dxa"/>
                  <w:noWrap w:val="0"/>
                  <w:vAlign w:val="center"/>
                </w:tcPr>
                <w:p w14:paraId="56AB39BE">
                  <w:pPr>
                    <w:spacing w:line="320" w:lineRule="exact"/>
                    <w:jc w:val="center"/>
                    <w:textAlignment w:val="baseline"/>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 xml:space="preserve">55.00 </w:t>
                  </w:r>
                </w:p>
              </w:tc>
              <w:tc>
                <w:tcPr>
                  <w:tcW w:w="927" w:type="dxa"/>
                  <w:noWrap w:val="0"/>
                  <w:vAlign w:val="center"/>
                </w:tcPr>
                <w:p w14:paraId="4B73ABFF">
                  <w:pPr>
                    <w:spacing w:line="320" w:lineRule="exact"/>
                    <w:jc w:val="center"/>
                    <w:textAlignment w:val="baseline"/>
                    <w:rPr>
                      <w:color w:val="000000"/>
                      <w:szCs w:val="21"/>
                    </w:rPr>
                  </w:pPr>
                  <w:r>
                    <w:rPr>
                      <w:color w:val="000000"/>
                      <w:szCs w:val="21"/>
                    </w:rPr>
                    <w:t>达标</w:t>
                  </w:r>
                </w:p>
              </w:tc>
            </w:tr>
            <w:tr w14:paraId="22D3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519C3CF3">
                  <w:pPr>
                    <w:spacing w:line="320" w:lineRule="exact"/>
                    <w:jc w:val="center"/>
                    <w:textAlignment w:val="baseline"/>
                    <w:rPr>
                      <w:color w:val="000000"/>
                      <w:szCs w:val="21"/>
                    </w:rPr>
                  </w:pPr>
                  <w:r>
                    <w:rPr>
                      <w:color w:val="000000"/>
                      <w:szCs w:val="21"/>
                    </w:rPr>
                    <w:t>NO</w:t>
                  </w:r>
                  <w:r>
                    <w:rPr>
                      <w:color w:val="000000"/>
                      <w:szCs w:val="21"/>
                      <w:vertAlign w:val="subscript"/>
                    </w:rPr>
                    <w:t>2</w:t>
                  </w:r>
                </w:p>
              </w:tc>
              <w:tc>
                <w:tcPr>
                  <w:tcW w:w="2180" w:type="dxa"/>
                  <w:noWrap w:val="0"/>
                  <w:vAlign w:val="center"/>
                </w:tcPr>
                <w:p w14:paraId="3A93D1F5">
                  <w:pPr>
                    <w:spacing w:line="320" w:lineRule="exact"/>
                    <w:jc w:val="center"/>
                    <w:textAlignment w:val="baseline"/>
                    <w:rPr>
                      <w:color w:val="000000"/>
                      <w:szCs w:val="21"/>
                    </w:rPr>
                  </w:pPr>
                  <w:r>
                    <w:rPr>
                      <w:color w:val="000000"/>
                      <w:szCs w:val="21"/>
                    </w:rPr>
                    <w:t>年平均质量浓度</w:t>
                  </w:r>
                </w:p>
              </w:tc>
              <w:tc>
                <w:tcPr>
                  <w:tcW w:w="1176" w:type="dxa"/>
                  <w:noWrap w:val="0"/>
                  <w:vAlign w:val="center"/>
                </w:tcPr>
                <w:p w14:paraId="6C6DECA3">
                  <w:pPr>
                    <w:spacing w:line="320" w:lineRule="exact"/>
                    <w:jc w:val="center"/>
                    <w:textAlignment w:val="baseline"/>
                    <w:rPr>
                      <w:rFonts w:hint="default" w:eastAsia="宋体"/>
                      <w:color w:val="000000"/>
                      <w:szCs w:val="21"/>
                      <w:lang w:val="en-US" w:eastAsia="zh-CN"/>
                    </w:rPr>
                  </w:pPr>
                  <w:r>
                    <w:rPr>
                      <w:rFonts w:hint="eastAsia"/>
                      <w:color w:val="000000"/>
                      <w:szCs w:val="21"/>
                      <w:lang w:val="en-US" w:eastAsia="zh-CN"/>
                    </w:rPr>
                    <w:t>21</w:t>
                  </w:r>
                </w:p>
              </w:tc>
              <w:tc>
                <w:tcPr>
                  <w:tcW w:w="1337" w:type="dxa"/>
                  <w:noWrap w:val="0"/>
                  <w:vAlign w:val="center"/>
                </w:tcPr>
                <w:p w14:paraId="6D31FF7F">
                  <w:pPr>
                    <w:spacing w:line="320" w:lineRule="exact"/>
                    <w:jc w:val="center"/>
                    <w:textAlignment w:val="baseline"/>
                    <w:rPr>
                      <w:color w:val="000000"/>
                      <w:szCs w:val="21"/>
                    </w:rPr>
                  </w:pPr>
                  <w:r>
                    <w:rPr>
                      <w:rFonts w:hint="eastAsia"/>
                      <w:color w:val="000000"/>
                      <w:szCs w:val="21"/>
                    </w:rPr>
                    <w:t>40</w:t>
                  </w:r>
                </w:p>
              </w:tc>
              <w:tc>
                <w:tcPr>
                  <w:tcW w:w="1147" w:type="dxa"/>
                  <w:noWrap w:val="0"/>
                  <w:vAlign w:val="center"/>
                </w:tcPr>
                <w:p w14:paraId="6C406333">
                  <w:pPr>
                    <w:spacing w:line="320" w:lineRule="exact"/>
                    <w:jc w:val="center"/>
                    <w:textAlignment w:val="baseline"/>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 xml:space="preserve">52.50 </w:t>
                  </w:r>
                </w:p>
              </w:tc>
              <w:tc>
                <w:tcPr>
                  <w:tcW w:w="927" w:type="dxa"/>
                  <w:noWrap w:val="0"/>
                  <w:vAlign w:val="center"/>
                </w:tcPr>
                <w:p w14:paraId="6858A7F9">
                  <w:pPr>
                    <w:spacing w:line="320" w:lineRule="exact"/>
                    <w:jc w:val="center"/>
                    <w:textAlignment w:val="baseline"/>
                    <w:rPr>
                      <w:color w:val="000000"/>
                      <w:szCs w:val="21"/>
                    </w:rPr>
                  </w:pPr>
                  <w:r>
                    <w:rPr>
                      <w:color w:val="000000"/>
                      <w:szCs w:val="21"/>
                    </w:rPr>
                    <w:t>达标</w:t>
                  </w:r>
                </w:p>
              </w:tc>
            </w:tr>
            <w:tr w14:paraId="44F2B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5AAA941D">
                  <w:pPr>
                    <w:spacing w:line="320" w:lineRule="exact"/>
                    <w:jc w:val="center"/>
                    <w:textAlignment w:val="baseline"/>
                    <w:rPr>
                      <w:color w:val="000000"/>
                      <w:szCs w:val="21"/>
                    </w:rPr>
                  </w:pPr>
                  <w:r>
                    <w:rPr>
                      <w:color w:val="000000"/>
                      <w:szCs w:val="21"/>
                    </w:rPr>
                    <w:t>PM</w:t>
                  </w:r>
                  <w:r>
                    <w:rPr>
                      <w:color w:val="000000"/>
                      <w:szCs w:val="21"/>
                      <w:vertAlign w:val="subscript"/>
                    </w:rPr>
                    <w:t>2.5</w:t>
                  </w:r>
                </w:p>
              </w:tc>
              <w:tc>
                <w:tcPr>
                  <w:tcW w:w="2180" w:type="dxa"/>
                  <w:noWrap w:val="0"/>
                  <w:vAlign w:val="center"/>
                </w:tcPr>
                <w:p w14:paraId="50160B97">
                  <w:pPr>
                    <w:spacing w:line="320" w:lineRule="exact"/>
                    <w:jc w:val="center"/>
                    <w:textAlignment w:val="baseline"/>
                    <w:rPr>
                      <w:color w:val="000000"/>
                      <w:szCs w:val="21"/>
                    </w:rPr>
                  </w:pPr>
                  <w:r>
                    <w:rPr>
                      <w:color w:val="000000"/>
                      <w:szCs w:val="21"/>
                    </w:rPr>
                    <w:t>年平均质量浓度</w:t>
                  </w:r>
                </w:p>
              </w:tc>
              <w:tc>
                <w:tcPr>
                  <w:tcW w:w="1176" w:type="dxa"/>
                  <w:noWrap w:val="0"/>
                  <w:vAlign w:val="center"/>
                </w:tcPr>
                <w:p w14:paraId="73AE9351">
                  <w:pPr>
                    <w:spacing w:line="320" w:lineRule="exact"/>
                    <w:jc w:val="center"/>
                    <w:textAlignment w:val="baseline"/>
                    <w:rPr>
                      <w:rFonts w:hint="default" w:eastAsia="宋体"/>
                      <w:color w:val="000000"/>
                      <w:szCs w:val="21"/>
                      <w:lang w:val="en-US" w:eastAsia="zh-CN"/>
                    </w:rPr>
                  </w:pPr>
                  <w:r>
                    <w:rPr>
                      <w:rFonts w:hint="eastAsia"/>
                      <w:color w:val="000000"/>
                      <w:szCs w:val="21"/>
                      <w:lang w:val="en-US" w:eastAsia="zh-CN"/>
                    </w:rPr>
                    <w:t>23</w:t>
                  </w:r>
                </w:p>
              </w:tc>
              <w:tc>
                <w:tcPr>
                  <w:tcW w:w="1337" w:type="dxa"/>
                  <w:noWrap w:val="0"/>
                  <w:vAlign w:val="center"/>
                </w:tcPr>
                <w:p w14:paraId="230F174D">
                  <w:pPr>
                    <w:spacing w:line="320" w:lineRule="exact"/>
                    <w:jc w:val="center"/>
                    <w:textAlignment w:val="baseline"/>
                    <w:rPr>
                      <w:color w:val="000000"/>
                      <w:szCs w:val="21"/>
                    </w:rPr>
                  </w:pPr>
                  <w:r>
                    <w:rPr>
                      <w:rFonts w:hint="eastAsia"/>
                      <w:color w:val="000000"/>
                      <w:szCs w:val="21"/>
                    </w:rPr>
                    <w:t>35</w:t>
                  </w:r>
                </w:p>
              </w:tc>
              <w:tc>
                <w:tcPr>
                  <w:tcW w:w="1147" w:type="dxa"/>
                  <w:noWrap w:val="0"/>
                  <w:vAlign w:val="center"/>
                </w:tcPr>
                <w:p w14:paraId="77A00872">
                  <w:pPr>
                    <w:spacing w:line="320" w:lineRule="exact"/>
                    <w:jc w:val="center"/>
                    <w:textAlignment w:val="baseline"/>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 xml:space="preserve">65.71 </w:t>
                  </w:r>
                </w:p>
              </w:tc>
              <w:tc>
                <w:tcPr>
                  <w:tcW w:w="927" w:type="dxa"/>
                  <w:noWrap w:val="0"/>
                  <w:vAlign w:val="center"/>
                </w:tcPr>
                <w:p w14:paraId="5DE24C96">
                  <w:pPr>
                    <w:spacing w:line="320" w:lineRule="exact"/>
                    <w:jc w:val="center"/>
                    <w:textAlignment w:val="baseline"/>
                    <w:rPr>
                      <w:color w:val="000000"/>
                      <w:szCs w:val="21"/>
                    </w:rPr>
                  </w:pPr>
                  <w:r>
                    <w:rPr>
                      <w:color w:val="000000"/>
                      <w:szCs w:val="21"/>
                    </w:rPr>
                    <w:t>达标</w:t>
                  </w:r>
                </w:p>
              </w:tc>
            </w:tr>
            <w:tr w14:paraId="68D5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7" w:type="dxa"/>
                  <w:noWrap w:val="0"/>
                  <w:vAlign w:val="center"/>
                </w:tcPr>
                <w:p w14:paraId="1C53BE1C">
                  <w:pPr>
                    <w:spacing w:line="320" w:lineRule="exact"/>
                    <w:jc w:val="center"/>
                    <w:textAlignment w:val="baseline"/>
                    <w:rPr>
                      <w:color w:val="000000"/>
                      <w:szCs w:val="21"/>
                    </w:rPr>
                  </w:pPr>
                  <w:r>
                    <w:rPr>
                      <w:color w:val="000000"/>
                      <w:szCs w:val="21"/>
                    </w:rPr>
                    <w:t>PM</w:t>
                  </w:r>
                  <w:r>
                    <w:rPr>
                      <w:color w:val="000000"/>
                      <w:szCs w:val="21"/>
                      <w:vertAlign w:val="subscript"/>
                    </w:rPr>
                    <w:t>10</w:t>
                  </w:r>
                </w:p>
              </w:tc>
              <w:tc>
                <w:tcPr>
                  <w:tcW w:w="2180" w:type="dxa"/>
                  <w:noWrap w:val="0"/>
                  <w:vAlign w:val="center"/>
                </w:tcPr>
                <w:p w14:paraId="6B9DAA16">
                  <w:pPr>
                    <w:spacing w:line="320" w:lineRule="exact"/>
                    <w:jc w:val="center"/>
                    <w:textAlignment w:val="baseline"/>
                    <w:rPr>
                      <w:color w:val="000000"/>
                      <w:szCs w:val="21"/>
                    </w:rPr>
                  </w:pPr>
                  <w:r>
                    <w:rPr>
                      <w:color w:val="000000"/>
                      <w:szCs w:val="21"/>
                    </w:rPr>
                    <w:t>年平均质量浓度</w:t>
                  </w:r>
                </w:p>
              </w:tc>
              <w:tc>
                <w:tcPr>
                  <w:tcW w:w="1176" w:type="dxa"/>
                  <w:noWrap w:val="0"/>
                  <w:vAlign w:val="center"/>
                </w:tcPr>
                <w:p w14:paraId="3D1E1EBC">
                  <w:pPr>
                    <w:spacing w:line="320" w:lineRule="exact"/>
                    <w:jc w:val="center"/>
                    <w:textAlignment w:val="baseline"/>
                    <w:rPr>
                      <w:rFonts w:hint="default" w:eastAsia="宋体"/>
                      <w:color w:val="000000"/>
                      <w:szCs w:val="21"/>
                      <w:lang w:val="en-US" w:eastAsia="zh-CN"/>
                    </w:rPr>
                  </w:pPr>
                  <w:r>
                    <w:rPr>
                      <w:rFonts w:hint="eastAsia"/>
                      <w:color w:val="000000"/>
                      <w:szCs w:val="21"/>
                      <w:lang w:val="en-US" w:eastAsia="zh-CN"/>
                    </w:rPr>
                    <w:t>52</w:t>
                  </w:r>
                </w:p>
              </w:tc>
              <w:tc>
                <w:tcPr>
                  <w:tcW w:w="1337" w:type="dxa"/>
                  <w:noWrap w:val="0"/>
                  <w:vAlign w:val="center"/>
                </w:tcPr>
                <w:p w14:paraId="08A6487D">
                  <w:pPr>
                    <w:spacing w:line="320" w:lineRule="exact"/>
                    <w:jc w:val="center"/>
                    <w:textAlignment w:val="baseline"/>
                    <w:rPr>
                      <w:color w:val="000000"/>
                      <w:szCs w:val="21"/>
                    </w:rPr>
                  </w:pPr>
                  <w:r>
                    <w:rPr>
                      <w:rFonts w:hint="eastAsia"/>
                      <w:color w:val="000000"/>
                      <w:szCs w:val="21"/>
                    </w:rPr>
                    <w:t>70</w:t>
                  </w:r>
                </w:p>
              </w:tc>
              <w:tc>
                <w:tcPr>
                  <w:tcW w:w="1147" w:type="dxa"/>
                  <w:noWrap w:val="0"/>
                  <w:vAlign w:val="center"/>
                </w:tcPr>
                <w:p w14:paraId="69F3A9A6">
                  <w:pPr>
                    <w:spacing w:line="320" w:lineRule="exact"/>
                    <w:jc w:val="center"/>
                    <w:textAlignment w:val="baseline"/>
                    <w:rPr>
                      <w:rFonts w:hint="eastAsia" w:ascii="Times New Roman" w:hAnsi="Times New Roman" w:eastAsia="宋体" w:cs="Times New Roman"/>
                      <w:color w:val="000000"/>
                      <w:szCs w:val="21"/>
                    </w:rPr>
                  </w:pPr>
                  <w:r>
                    <w:rPr>
                      <w:rFonts w:hint="eastAsia" w:ascii="Times New Roman" w:hAnsi="Times New Roman" w:eastAsia="宋体" w:cs="Times New Roman"/>
                      <w:color w:val="000000"/>
                      <w:szCs w:val="21"/>
                      <w:lang w:val="en-US" w:eastAsia="zh-CN"/>
                    </w:rPr>
                    <w:t xml:space="preserve">74.29 </w:t>
                  </w:r>
                </w:p>
              </w:tc>
              <w:tc>
                <w:tcPr>
                  <w:tcW w:w="927" w:type="dxa"/>
                  <w:noWrap w:val="0"/>
                  <w:vAlign w:val="center"/>
                </w:tcPr>
                <w:p w14:paraId="43C8242D">
                  <w:pPr>
                    <w:spacing w:line="320" w:lineRule="exact"/>
                    <w:jc w:val="center"/>
                    <w:textAlignment w:val="baseline"/>
                    <w:rPr>
                      <w:color w:val="000000"/>
                      <w:szCs w:val="21"/>
                    </w:rPr>
                  </w:pPr>
                  <w:r>
                    <w:rPr>
                      <w:color w:val="000000"/>
                      <w:szCs w:val="21"/>
                    </w:rPr>
                    <w:t>达标</w:t>
                  </w:r>
                </w:p>
              </w:tc>
            </w:tr>
            <w:tr w14:paraId="35361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608AB7E4">
                  <w:pPr>
                    <w:spacing w:line="320" w:lineRule="exact"/>
                    <w:jc w:val="center"/>
                    <w:textAlignment w:val="baseline"/>
                    <w:rPr>
                      <w:color w:val="000000"/>
                      <w:szCs w:val="21"/>
                    </w:rPr>
                  </w:pPr>
                  <w:r>
                    <w:rPr>
                      <w:color w:val="000000"/>
                      <w:szCs w:val="21"/>
                    </w:rPr>
                    <w:t>CO</w:t>
                  </w:r>
                </w:p>
              </w:tc>
              <w:tc>
                <w:tcPr>
                  <w:tcW w:w="2180" w:type="dxa"/>
                  <w:noWrap w:val="0"/>
                  <w:vAlign w:val="center"/>
                </w:tcPr>
                <w:p w14:paraId="60A9F57D">
                  <w:pPr>
                    <w:spacing w:line="320" w:lineRule="exact"/>
                    <w:jc w:val="center"/>
                    <w:textAlignment w:val="baseline"/>
                    <w:rPr>
                      <w:color w:val="000000"/>
                      <w:szCs w:val="21"/>
                    </w:rPr>
                  </w:pPr>
                  <w:r>
                    <w:rPr>
                      <w:color w:val="000000"/>
                      <w:szCs w:val="21"/>
                    </w:rPr>
                    <w:t>第95百分位数日平均质量浓度</w:t>
                  </w:r>
                </w:p>
              </w:tc>
              <w:tc>
                <w:tcPr>
                  <w:tcW w:w="1176" w:type="dxa"/>
                  <w:noWrap w:val="0"/>
                  <w:vAlign w:val="center"/>
                </w:tcPr>
                <w:p w14:paraId="7E48B778">
                  <w:pPr>
                    <w:spacing w:line="320" w:lineRule="exact"/>
                    <w:jc w:val="center"/>
                    <w:textAlignment w:val="baseline"/>
                    <w:rPr>
                      <w:color w:val="000000"/>
                      <w:szCs w:val="21"/>
                    </w:rPr>
                  </w:pPr>
                  <w:r>
                    <w:rPr>
                      <w:rFonts w:hint="eastAsia"/>
                      <w:color w:val="000000"/>
                      <w:szCs w:val="21"/>
                    </w:rPr>
                    <w:t>0.9mg/m</w:t>
                  </w:r>
                  <w:r>
                    <w:rPr>
                      <w:rFonts w:hint="eastAsia"/>
                      <w:color w:val="000000"/>
                      <w:szCs w:val="21"/>
                      <w:vertAlign w:val="superscript"/>
                    </w:rPr>
                    <w:t>3</w:t>
                  </w:r>
                </w:p>
              </w:tc>
              <w:tc>
                <w:tcPr>
                  <w:tcW w:w="1337" w:type="dxa"/>
                  <w:noWrap w:val="0"/>
                  <w:vAlign w:val="center"/>
                </w:tcPr>
                <w:p w14:paraId="5427A76A">
                  <w:pPr>
                    <w:spacing w:line="320" w:lineRule="exact"/>
                    <w:jc w:val="center"/>
                    <w:textAlignment w:val="baseline"/>
                    <w:rPr>
                      <w:color w:val="000000"/>
                      <w:szCs w:val="21"/>
                    </w:rPr>
                  </w:pPr>
                  <w:r>
                    <w:rPr>
                      <w:rFonts w:hint="eastAsia"/>
                      <w:color w:val="000000"/>
                      <w:szCs w:val="21"/>
                    </w:rPr>
                    <w:t>4mg/m</w:t>
                  </w:r>
                  <w:r>
                    <w:rPr>
                      <w:rFonts w:hint="eastAsia"/>
                      <w:color w:val="000000"/>
                      <w:szCs w:val="21"/>
                      <w:vertAlign w:val="superscript"/>
                    </w:rPr>
                    <w:t>3</w:t>
                  </w:r>
                </w:p>
              </w:tc>
              <w:tc>
                <w:tcPr>
                  <w:tcW w:w="1147" w:type="dxa"/>
                  <w:noWrap w:val="0"/>
                  <w:vAlign w:val="center"/>
                </w:tcPr>
                <w:p w14:paraId="26D79BCF">
                  <w:pPr>
                    <w:spacing w:line="320" w:lineRule="exact"/>
                    <w:jc w:val="center"/>
                    <w:textAlignment w:val="baseline"/>
                    <w:rPr>
                      <w:color w:val="000000"/>
                      <w:szCs w:val="21"/>
                    </w:rPr>
                  </w:pPr>
                  <w:r>
                    <w:rPr>
                      <w:rFonts w:hint="eastAsia"/>
                      <w:color w:val="000000"/>
                      <w:szCs w:val="21"/>
                    </w:rPr>
                    <w:t>22.50</w:t>
                  </w:r>
                </w:p>
              </w:tc>
              <w:tc>
                <w:tcPr>
                  <w:tcW w:w="927" w:type="dxa"/>
                  <w:noWrap w:val="0"/>
                  <w:vAlign w:val="center"/>
                </w:tcPr>
                <w:p w14:paraId="07F516FB">
                  <w:pPr>
                    <w:spacing w:line="320" w:lineRule="exact"/>
                    <w:jc w:val="center"/>
                    <w:textAlignment w:val="baseline"/>
                    <w:rPr>
                      <w:color w:val="000000"/>
                      <w:szCs w:val="21"/>
                    </w:rPr>
                  </w:pPr>
                  <w:r>
                    <w:rPr>
                      <w:color w:val="000000"/>
                      <w:szCs w:val="21"/>
                    </w:rPr>
                    <w:t>达标</w:t>
                  </w:r>
                </w:p>
              </w:tc>
            </w:tr>
            <w:tr w14:paraId="7236B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77" w:type="dxa"/>
                  <w:noWrap w:val="0"/>
                  <w:vAlign w:val="center"/>
                </w:tcPr>
                <w:p w14:paraId="537FACFC">
                  <w:pPr>
                    <w:spacing w:line="320" w:lineRule="exact"/>
                    <w:jc w:val="center"/>
                    <w:textAlignment w:val="baseline"/>
                    <w:rPr>
                      <w:color w:val="000000"/>
                      <w:szCs w:val="21"/>
                    </w:rPr>
                  </w:pPr>
                  <w:r>
                    <w:rPr>
                      <w:color w:val="000000"/>
                      <w:szCs w:val="21"/>
                    </w:rPr>
                    <w:t>O</w:t>
                  </w:r>
                  <w:r>
                    <w:rPr>
                      <w:color w:val="000000"/>
                      <w:szCs w:val="21"/>
                      <w:vertAlign w:val="subscript"/>
                    </w:rPr>
                    <w:t>3</w:t>
                  </w:r>
                </w:p>
              </w:tc>
              <w:tc>
                <w:tcPr>
                  <w:tcW w:w="2180" w:type="dxa"/>
                  <w:noWrap w:val="0"/>
                  <w:vAlign w:val="center"/>
                </w:tcPr>
                <w:p w14:paraId="19E692D3">
                  <w:pPr>
                    <w:spacing w:line="320" w:lineRule="exact"/>
                    <w:jc w:val="center"/>
                    <w:textAlignment w:val="baseline"/>
                    <w:rPr>
                      <w:color w:val="000000"/>
                      <w:szCs w:val="21"/>
                    </w:rPr>
                  </w:pPr>
                  <w:r>
                    <w:rPr>
                      <w:color w:val="000000"/>
                      <w:szCs w:val="21"/>
                    </w:rPr>
                    <w:t>第90百分位数8小时平均质量浓度</w:t>
                  </w:r>
                </w:p>
              </w:tc>
              <w:tc>
                <w:tcPr>
                  <w:tcW w:w="1176" w:type="dxa"/>
                  <w:noWrap w:val="0"/>
                  <w:vAlign w:val="center"/>
                </w:tcPr>
                <w:p w14:paraId="111DBA9C">
                  <w:pPr>
                    <w:spacing w:line="320" w:lineRule="exact"/>
                    <w:jc w:val="center"/>
                    <w:textAlignment w:val="baseline"/>
                    <w:rPr>
                      <w:rFonts w:hint="default" w:eastAsia="宋体"/>
                      <w:color w:val="000000"/>
                      <w:szCs w:val="21"/>
                      <w:lang w:val="en-US" w:eastAsia="zh-CN"/>
                    </w:rPr>
                  </w:pPr>
                  <w:r>
                    <w:rPr>
                      <w:rFonts w:hint="eastAsia"/>
                      <w:color w:val="000000"/>
                      <w:szCs w:val="21"/>
                      <w:lang w:val="en-US" w:eastAsia="zh-CN"/>
                    </w:rPr>
                    <w:t>139</w:t>
                  </w:r>
                </w:p>
              </w:tc>
              <w:tc>
                <w:tcPr>
                  <w:tcW w:w="1337" w:type="dxa"/>
                  <w:noWrap w:val="0"/>
                  <w:vAlign w:val="center"/>
                </w:tcPr>
                <w:p w14:paraId="25434AA3">
                  <w:pPr>
                    <w:spacing w:line="320" w:lineRule="exact"/>
                    <w:jc w:val="center"/>
                    <w:textAlignment w:val="baseline"/>
                    <w:rPr>
                      <w:color w:val="000000"/>
                      <w:szCs w:val="21"/>
                    </w:rPr>
                  </w:pPr>
                  <w:r>
                    <w:rPr>
                      <w:rFonts w:hint="eastAsia"/>
                      <w:color w:val="000000"/>
                      <w:szCs w:val="21"/>
                    </w:rPr>
                    <w:t>160</w:t>
                  </w:r>
                </w:p>
              </w:tc>
              <w:tc>
                <w:tcPr>
                  <w:tcW w:w="1147" w:type="dxa"/>
                  <w:noWrap w:val="0"/>
                  <w:vAlign w:val="center"/>
                </w:tcPr>
                <w:p w14:paraId="41A1CF16">
                  <w:pPr>
                    <w:spacing w:line="320" w:lineRule="exact"/>
                    <w:jc w:val="center"/>
                    <w:textAlignment w:val="baseline"/>
                    <w:rPr>
                      <w:rFonts w:hint="default" w:eastAsia="宋体"/>
                      <w:color w:val="000000"/>
                      <w:szCs w:val="21"/>
                      <w:lang w:val="en-US" w:eastAsia="zh-CN"/>
                    </w:rPr>
                  </w:pPr>
                  <w:r>
                    <w:rPr>
                      <w:rFonts w:hint="eastAsia"/>
                      <w:color w:val="000000"/>
                      <w:szCs w:val="21"/>
                      <w:lang w:val="en-US" w:eastAsia="zh-CN"/>
                    </w:rPr>
                    <w:t>86.88</w:t>
                  </w:r>
                </w:p>
              </w:tc>
              <w:tc>
                <w:tcPr>
                  <w:tcW w:w="927" w:type="dxa"/>
                  <w:noWrap w:val="0"/>
                  <w:vAlign w:val="center"/>
                </w:tcPr>
                <w:p w14:paraId="1C33AF5F">
                  <w:pPr>
                    <w:spacing w:line="320" w:lineRule="exact"/>
                    <w:jc w:val="center"/>
                    <w:textAlignment w:val="baseline"/>
                    <w:rPr>
                      <w:color w:val="000000"/>
                      <w:szCs w:val="21"/>
                    </w:rPr>
                  </w:pPr>
                  <w:r>
                    <w:rPr>
                      <w:color w:val="000000"/>
                      <w:szCs w:val="21"/>
                    </w:rPr>
                    <w:t>达标</w:t>
                  </w:r>
                </w:p>
              </w:tc>
            </w:tr>
          </w:tbl>
          <w:p w14:paraId="156980A9">
            <w:pPr>
              <w:spacing w:line="440" w:lineRule="exact"/>
              <w:ind w:firstLine="480" w:firstLineChars="200"/>
              <w:rPr>
                <w:rFonts w:hint="eastAsia" w:ascii="宋体" w:hAnsi="宋体" w:cs="Times New Roman"/>
                <w:snapToGrid/>
                <w:sz w:val="24"/>
              </w:rPr>
            </w:pPr>
            <w:r>
              <w:rPr>
                <w:rFonts w:hint="eastAsia" w:ascii="宋体" w:hAnsi="宋体" w:cs="Times New Roman"/>
                <w:snapToGrid/>
                <w:sz w:val="24"/>
              </w:rPr>
              <w:t>项目所在区域SO2、NO2、PM2.5、PM10年平均质量浓度、CO 百分位数日平均浓度、O38h平均质量浓度均满足《环境空气质量标准》（GB3095-2012）中二级标准限值。</w:t>
            </w:r>
          </w:p>
          <w:p w14:paraId="5A5350FF">
            <w:pPr>
              <w:spacing w:line="440" w:lineRule="exact"/>
              <w:ind w:firstLine="480" w:firstLineChars="200"/>
              <w:rPr>
                <w:rFonts w:hint="eastAsia" w:ascii="宋体" w:hAnsi="宋体" w:cs="Times New Roman"/>
                <w:snapToGrid/>
                <w:sz w:val="24"/>
              </w:rPr>
            </w:pPr>
            <w:r>
              <w:rPr>
                <w:rFonts w:hint="eastAsia" w:ascii="宋体" w:hAnsi="宋体" w:cs="Times New Roman"/>
                <w:snapToGrid/>
                <w:sz w:val="24"/>
              </w:rPr>
              <w:t>根据《环境影响评价技术导则 大气环境》（HJ2.2-2018），环境空气质量达标情况评价为 SO2、NO2、PM10、PM2.5、CO、O3六项污染物全部达标即为城市环境空气质量达标，因此，项目所在区域为达标区域。</w:t>
            </w:r>
          </w:p>
          <w:p w14:paraId="41A746EA">
            <w:pPr>
              <w:spacing w:line="440" w:lineRule="exact"/>
              <w:rPr>
                <w:rFonts w:hint="eastAsia" w:ascii="宋体" w:hAnsi="宋体" w:eastAsia="宋体" w:cs="宋体"/>
                <w:color w:val="auto"/>
                <w:sz w:val="24"/>
                <w:szCs w:val="24"/>
                <w:highlight w:val="none"/>
              </w:rPr>
            </w:pPr>
            <w:r>
              <w:rPr>
                <w:rFonts w:hint="eastAsia" w:ascii="宋体" w:hAnsi="宋体" w:eastAsia="宋体" w:cs="宋体"/>
                <w:b/>
                <w:color w:val="auto"/>
                <w:kern w:val="2"/>
                <w:sz w:val="24"/>
                <w:szCs w:val="24"/>
                <w:highlight w:val="none"/>
                <w:lang w:val="en-US" w:eastAsia="zh-CN"/>
              </w:rPr>
              <w:t>2、</w:t>
            </w:r>
            <w:r>
              <w:rPr>
                <w:rFonts w:hint="eastAsia" w:ascii="宋体" w:hAnsi="宋体" w:eastAsia="宋体" w:cs="宋体"/>
                <w:b/>
                <w:color w:val="auto"/>
                <w:kern w:val="2"/>
                <w:sz w:val="24"/>
                <w:szCs w:val="24"/>
                <w:highlight w:val="none"/>
              </w:rPr>
              <w:t>声环境质量现状</w:t>
            </w:r>
          </w:p>
          <w:p w14:paraId="7E2320B5">
            <w:pPr>
              <w:pStyle w:val="51"/>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本项目周边50米范围内无敏感目标，无需进行现状监测。</w:t>
            </w:r>
          </w:p>
          <w:p w14:paraId="130E4A2C">
            <w:pPr>
              <w:pStyle w:val="51"/>
              <w:numPr>
                <w:ilvl w:val="0"/>
                <w:numId w:val="3"/>
              </w:numPr>
              <w:spacing w:line="360" w:lineRule="auto"/>
              <w:ind w:left="0" w:leftChars="0" w:firstLine="0" w:firstLineChars="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地表水环境质量现状</w:t>
            </w:r>
          </w:p>
          <w:p w14:paraId="2B3B53B8">
            <w:pPr>
              <w:pStyle w:val="51"/>
              <w:numPr>
                <w:ilvl w:val="0"/>
                <w:numId w:val="0"/>
              </w:numPr>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sz w:val="24"/>
                <w:szCs w:val="24"/>
              </w:rPr>
              <w:t>本项目</w:t>
            </w:r>
            <w:r>
              <w:rPr>
                <w:rFonts w:hint="eastAsia" w:ascii="宋体" w:hAnsi="宋体" w:eastAsia="宋体" w:cs="宋体"/>
                <w:kern w:val="2"/>
                <w:sz w:val="24"/>
                <w:szCs w:val="24"/>
                <w:lang w:val="en-US" w:eastAsia="zh-CN" w:bidi="ar-SA"/>
              </w:rPr>
              <w:t>位于鄂尔多斯圣圆煤化工基地乌兰木伦工业项目区</w:t>
            </w:r>
            <w:r>
              <w:rPr>
                <w:rFonts w:hint="eastAsia" w:ascii="宋体" w:hAnsi="宋体" w:eastAsia="宋体" w:cs="宋体"/>
                <w:sz w:val="24"/>
                <w:szCs w:val="24"/>
              </w:rPr>
              <w:t>内，根据调查，拟建</w:t>
            </w:r>
            <w:r>
              <w:rPr>
                <w:rFonts w:hint="eastAsia" w:ascii="宋体" w:hAnsi="宋体" w:eastAsia="宋体" w:cs="宋体"/>
                <w:sz w:val="24"/>
                <w:szCs w:val="24"/>
                <w:lang w:val="en-US" w:eastAsia="zh-CN"/>
              </w:rPr>
              <w:t>项目</w:t>
            </w:r>
            <w:r>
              <w:rPr>
                <w:rFonts w:hint="eastAsia" w:ascii="宋体" w:hAnsi="宋体" w:eastAsia="宋体" w:cs="宋体"/>
                <w:sz w:val="24"/>
                <w:szCs w:val="24"/>
              </w:rPr>
              <w:t>评价范围内无地表水体，结合《环境影响评价技术导则 地表水环境》 (HJ2.3—2018)中环境现状调查要求，本项目不进行地表水环境质量现状污染及污染源调查</w:t>
            </w:r>
            <w:r>
              <w:rPr>
                <w:rFonts w:hint="eastAsia" w:ascii="宋体" w:hAnsi="宋体" w:eastAsia="宋体" w:cs="宋体"/>
                <w:sz w:val="24"/>
                <w:szCs w:val="24"/>
                <w:lang w:eastAsia="zh-CN"/>
              </w:rPr>
              <w:t>。</w:t>
            </w:r>
          </w:p>
          <w:p w14:paraId="1D164789">
            <w:pPr>
              <w:spacing w:line="360" w:lineRule="auto"/>
              <w:rPr>
                <w:rFonts w:hint="eastAsia" w:ascii="宋体" w:hAnsi="宋体" w:eastAsia="宋体" w:cs="宋体"/>
                <w:b/>
                <w:bCs/>
                <w:color w:val="auto"/>
                <w:kern w:val="2"/>
                <w:sz w:val="24"/>
                <w:szCs w:val="24"/>
                <w:lang w:val="en-US" w:eastAsia="zh-CN" w:bidi="ar-SA"/>
              </w:rPr>
            </w:pPr>
            <w:r>
              <w:rPr>
                <w:rFonts w:hint="eastAsia" w:ascii="宋体" w:hAnsi="宋体" w:cs="宋体"/>
                <w:b/>
                <w:bCs/>
                <w:color w:val="auto"/>
                <w:kern w:val="2"/>
                <w:sz w:val="24"/>
                <w:szCs w:val="24"/>
                <w:lang w:val="en-US" w:eastAsia="zh-CN" w:bidi="ar-SA"/>
              </w:rPr>
              <w:t>4</w:t>
            </w:r>
            <w:r>
              <w:rPr>
                <w:rFonts w:hint="eastAsia" w:ascii="宋体" w:hAnsi="宋体" w:eastAsia="宋体" w:cs="宋体"/>
                <w:b/>
                <w:bCs/>
                <w:color w:val="auto"/>
                <w:kern w:val="2"/>
                <w:sz w:val="24"/>
                <w:szCs w:val="24"/>
                <w:lang w:val="en-US" w:eastAsia="zh-CN" w:bidi="ar-SA"/>
              </w:rPr>
              <w:t>、地下水及土壤环境质量现状</w:t>
            </w:r>
          </w:p>
          <w:p w14:paraId="3924333F">
            <w:pPr>
              <w:autoSpaceDE w:val="0"/>
              <w:autoSpaceDN w:val="0"/>
              <w:spacing w:line="360" w:lineRule="auto"/>
              <w:ind w:firstLine="480" w:firstLineChars="200"/>
              <w:jc w:val="left"/>
              <w:rPr>
                <w:rFonts w:hint="eastAsia" w:ascii="宋体" w:hAnsi="宋体" w:eastAsia="宋体" w:cs="宋体"/>
                <w:color w:val="auto"/>
                <w:sz w:val="24"/>
                <w:szCs w:val="24"/>
                <w:highlight w:val="none"/>
                <w:lang w:val="en-US" w:bidi="zh-CN"/>
              </w:rPr>
            </w:pPr>
            <w:r>
              <w:rPr>
                <w:rFonts w:hint="eastAsia" w:ascii="宋体" w:hAnsi="宋体" w:eastAsia="宋体" w:cs="宋体"/>
                <w:kern w:val="2"/>
                <w:sz w:val="24"/>
                <w:szCs w:val="24"/>
                <w:lang w:val="en-US" w:eastAsia="zh-CN" w:bidi="ar-SA"/>
              </w:rPr>
              <w:t>依照《建设项目环境影响报告表编制技术指南（污染影响类）》（试行），地下水、土壤环境原则上不开展环境质量现状调查。建设项目存在土壤、地下水污染途径的，应结合污染源、保护目标分布情况开展现状调查以留作背景值。</w:t>
            </w:r>
            <w:r>
              <w:rPr>
                <w:rFonts w:hint="eastAsia" w:ascii="宋体" w:hAnsi="宋体" w:eastAsia="宋体" w:cs="宋体"/>
                <w:color w:val="auto"/>
                <w:sz w:val="24"/>
                <w:szCs w:val="24"/>
                <w:lang w:val="en-US" w:eastAsia="zh-CN"/>
              </w:rPr>
              <w:t>本项目不存</w:t>
            </w:r>
            <w:r>
              <w:rPr>
                <w:rFonts w:hint="eastAsia" w:ascii="宋体" w:hAnsi="宋体" w:eastAsia="宋体" w:cs="宋体"/>
                <w:kern w:val="2"/>
                <w:sz w:val="24"/>
                <w:szCs w:val="24"/>
                <w:lang w:val="en-US" w:eastAsia="zh-CN" w:bidi="ar-SA"/>
              </w:rPr>
              <w:t>在土壤、地下水污染途径</w:t>
            </w:r>
            <w:r>
              <w:rPr>
                <w:rFonts w:hint="eastAsia" w:ascii="宋体" w:hAnsi="宋体" w:eastAsia="宋体" w:cs="宋体"/>
                <w:color w:val="auto"/>
                <w:sz w:val="24"/>
                <w:szCs w:val="24"/>
                <w:lang w:val="en-US" w:eastAsia="zh-CN"/>
              </w:rPr>
              <w:t>，故本次评价不开展地下水、土壤环境质量现状监测评价</w:t>
            </w:r>
            <w:r>
              <mc:AlternateContent>
                <mc:Choice Requires="wps">
                  <w:drawing>
                    <wp:anchor distT="0" distB="0" distL="114300" distR="114300" simplePos="0" relativeHeight="251662336" behindDoc="0" locked="0" layoutInCell="0" allowOverlap="1">
                      <wp:simplePos x="0" y="0"/>
                      <wp:positionH relativeFrom="column">
                        <wp:posOffset>1480820</wp:posOffset>
                      </wp:positionH>
                      <wp:positionV relativeFrom="paragraph">
                        <wp:posOffset>-3478530</wp:posOffset>
                      </wp:positionV>
                      <wp:extent cx="257175" cy="635635"/>
                      <wp:effectExtent l="5080" t="4445" r="4445" b="7620"/>
                      <wp:wrapNone/>
                      <wp:docPr id="123" name="_x0000_s1180"/>
                      <wp:cNvGraphicFramePr/>
                      <a:graphic xmlns:a="http://schemas.openxmlformats.org/drawingml/2006/main">
                        <a:graphicData uri="http://schemas.microsoft.com/office/word/2010/wordprocessingShape">
                          <wps:wsp>
                            <wps:cNvSpPr/>
                            <wps:spPr>
                              <a:xfrm>
                                <a:off x="0" y="0"/>
                                <a:ext cx="257175" cy="635635"/>
                              </a:xfrm>
                              <a:prstGeom prst="rect">
                                <a:avLst/>
                              </a:prstGeom>
                              <a:solidFill>
                                <a:srgbClr val="FFFFFF">
                                  <a:alpha val="64999"/>
                                </a:srgbClr>
                              </a:solidFill>
                              <a:ln w="9525" cap="flat" cmpd="sng">
                                <a:solidFill>
                                  <a:srgbClr val="000000"/>
                                </a:solidFill>
                                <a:prstDash val="solid"/>
                                <a:miter lim="0"/>
                                <a:headEnd type="none" w="med" len="med"/>
                                <a:tailEnd type="none" w="med" len="med"/>
                              </a:ln>
                            </wps:spPr>
                            <wps:bodyPr rot="0" spcFirstLastPara="0" vertOverflow="overflow" horzOverflow="overflow" vert="horz" wrap="square" lIns="91440" tIns="45720" rIns="91440" bIns="45720" numCol="1" anchor="t" upright="1">
                              <a:spAutoFit/>
                            </wps:bodyPr>
                          </wps:wsp>
                        </a:graphicData>
                      </a:graphic>
                    </wp:anchor>
                  </w:drawing>
                </mc:Choice>
                <mc:Fallback>
                  <w:pict>
                    <v:rect id="_x0000_s1180" o:spid="_x0000_s1026" o:spt="1" style="position:absolute;left:0pt;margin-left:116.6pt;margin-top:-273.9pt;height:50.05pt;width:20.25pt;z-index:251662336;mso-width-relative:page;mso-height-relative:page;" fillcolor="#FFFFFF" filled="t" stroked="t" coordsize="21600,21600" o:allowincell="f" o:gfxdata="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PKjNj2wAAAA0BAAAPAAAAAAAAAAEAIAAAACIAAABkcnMvZG93bnJl&#10;di54bWxQSwECFAAUAAAACACHTuJA33mzDGwCAAAXBQAADgAAAAAAAAABACAAAAAqAQAAZHJzL2Uy&#10;b0RvYy54bWxQSwUGAAAAAAYABgBZAQAACAYAAAAA&#10;">
                      <v:fill on="t" opacity="42597f" focussize="0,0"/>
                      <v:stroke color="#000000" miterlimit="0" joinstyle="miter"/>
                      <v:imagedata o:title=""/>
                      <o:lock v:ext="edit" aspectratio="f"/>
                      <v:textbox style="mso-fit-shape-to-text:t;"/>
                    </v:rect>
                  </w:pict>
                </mc:Fallback>
              </mc:AlternateContent>
            </w:r>
            <w:r>
              <w:rPr>
                <w:rFonts w:hint="eastAsia" w:ascii="宋体" w:hAnsi="宋体" w:eastAsia="宋体" w:cs="宋体"/>
                <w:color w:val="auto"/>
                <w:sz w:val="24"/>
                <w:szCs w:val="24"/>
                <w:lang w:eastAsia="zh-CN"/>
              </w:rPr>
              <w:t>。</w:t>
            </w:r>
          </w:p>
        </w:tc>
      </w:tr>
      <w:tr w14:paraId="04C3FC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vAlign w:val="center"/>
          </w:tcPr>
          <w:p w14:paraId="1E13577F">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环境</w:t>
            </w:r>
          </w:p>
          <w:p w14:paraId="1C55F1E0">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保护</w:t>
            </w:r>
          </w:p>
          <w:p w14:paraId="6D523044">
            <w:pPr>
              <w:adjustRightInd w:val="0"/>
              <w:snapToGrid w:val="0"/>
              <w:jc w:val="center"/>
              <w:rPr>
                <w:rFonts w:ascii="宋体" w:hAnsi="宋体" w:cs="宋体"/>
                <w:color w:val="auto"/>
                <w:kern w:val="0"/>
                <w:szCs w:val="21"/>
                <w:highlight w:val="none"/>
              </w:rPr>
            </w:pPr>
            <w:r>
              <w:rPr>
                <w:rFonts w:hint="eastAsia" w:ascii="宋体" w:hAnsi="宋体" w:cs="宋体"/>
                <w:color w:val="auto"/>
                <w:kern w:val="0"/>
                <w:sz w:val="24"/>
                <w:szCs w:val="24"/>
                <w:highlight w:val="none"/>
              </w:rPr>
              <w:t>目标</w:t>
            </w:r>
          </w:p>
        </w:tc>
        <w:tc>
          <w:tcPr>
            <w:tcW w:w="8190" w:type="dxa"/>
            <w:vAlign w:val="center"/>
          </w:tcPr>
          <w:p w14:paraId="1B4FB997">
            <w:pPr>
              <w:pStyle w:val="51"/>
              <w:spacing w:line="360" w:lineRule="auto"/>
              <w:ind w:left="0"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本项目位于</w:t>
            </w:r>
            <w:r>
              <w:rPr>
                <w:rFonts w:hint="eastAsia" w:ascii="宋体" w:hAnsi="宋体" w:eastAsia="宋体" w:cs="宋体"/>
                <w:bCs/>
                <w:color w:val="auto"/>
                <w:kern w:val="2"/>
                <w:sz w:val="24"/>
                <w:szCs w:val="24"/>
                <w:highlight w:val="none"/>
                <w:lang w:val="zh-CN"/>
              </w:rPr>
              <w:t>伊金霍洛旗乌兰木伦镇</w:t>
            </w:r>
            <w:r>
              <w:rPr>
                <w:rFonts w:hint="eastAsia" w:ascii="宋体" w:hAnsi="宋体" w:eastAsia="宋体" w:cs="宋体"/>
                <w:color w:val="auto"/>
                <w:sz w:val="24"/>
                <w:szCs w:val="24"/>
                <w:highlight w:val="none"/>
              </w:rPr>
              <w:t>，结合项目运营期的排污特征，确定本项目的主要环境保护要求为：</w:t>
            </w:r>
          </w:p>
          <w:p w14:paraId="5A280086">
            <w:pPr>
              <w:pStyle w:val="51"/>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（1）环境空气：满足《环境空气质量标准》（G095-2012）中的二级标准。</w:t>
            </w:r>
          </w:p>
          <w:p w14:paraId="2C7AC9C0">
            <w:pPr>
              <w:pStyle w:val="51"/>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）声环境：</w:t>
            </w:r>
            <w:r>
              <w:rPr>
                <w:rFonts w:hint="eastAsia" w:ascii="宋体" w:hAnsi="宋体" w:eastAsia="宋体" w:cs="宋体"/>
                <w:kern w:val="2"/>
                <w:sz w:val="24"/>
                <w:szCs w:val="24"/>
                <w:lang w:val="en-US" w:eastAsia="zh-CN" w:bidi="ar-SA"/>
              </w:rPr>
              <w:t>中国神华煤制油化工有限公司鄂尔多斯煤制油分公司</w:t>
            </w:r>
            <w:r>
              <w:rPr>
                <w:rFonts w:hint="eastAsia" w:ascii="宋体" w:hAnsi="宋体" w:cs="宋体"/>
                <w:kern w:val="2"/>
                <w:sz w:val="24"/>
                <w:szCs w:val="24"/>
                <w:lang w:val="en-US" w:eastAsia="zh-CN" w:bidi="ar-SA"/>
              </w:rPr>
              <w:t>煤液化沥青封闭</w:t>
            </w:r>
            <w:r>
              <w:rPr>
                <w:rFonts w:hint="eastAsia" w:ascii="宋体" w:hAnsi="宋体" w:eastAsia="宋体" w:cs="宋体"/>
                <w:kern w:val="2"/>
                <w:sz w:val="24"/>
                <w:szCs w:val="24"/>
                <w:lang w:val="en-US" w:eastAsia="zh-CN" w:bidi="ar-SA"/>
              </w:rPr>
              <w:t>项目，隶属于中国神华煤制油化工有限公司，位于鄂尔多斯圣圆煤化工基地乌兰木伦工业项目区，满足《声环境质量标准》（G096-2008）3类标准</w:t>
            </w:r>
            <w:r>
              <w:rPr>
                <w:rFonts w:hint="eastAsia" w:ascii="宋体" w:hAnsi="宋体" w:eastAsia="宋体" w:cs="宋体"/>
                <w:color w:val="auto"/>
                <w:sz w:val="24"/>
                <w:szCs w:val="24"/>
                <w:highlight w:val="none"/>
              </w:rPr>
              <w:t>。</w:t>
            </w:r>
          </w:p>
          <w:p w14:paraId="7AF1DCDB">
            <w:pPr>
              <w:pStyle w:val="51"/>
              <w:spacing w:line="360" w:lineRule="auto"/>
              <w:ind w:firstLine="48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根据现场调查，本项目建设区域不涉及环境敏感区，项目周围500m范围内没有水源地、名胜古迹、自然保护区、温泉、疗养地等国家明令规定的保护对象，</w:t>
            </w:r>
            <w:r>
              <w:t>也没有</w:t>
            </w:r>
            <w:r>
              <w:rPr>
                <w:rFonts w:hint="eastAsia" w:ascii="宋体" w:hAnsi="宋体" w:eastAsia="宋体" w:cs="宋体"/>
                <w:color w:val="auto"/>
                <w:sz w:val="24"/>
                <w:szCs w:val="24"/>
                <w:highlight w:val="none"/>
              </w:rPr>
              <w:t>居民等环境保护目标。</w:t>
            </w:r>
          </w:p>
        </w:tc>
      </w:tr>
      <w:tr w14:paraId="72A81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5" w:hRule="atLeast"/>
          <w:jc w:val="center"/>
        </w:trPr>
        <w:tc>
          <w:tcPr>
            <w:tcW w:w="800" w:type="dxa"/>
            <w:tcMar>
              <w:top w:w="0" w:type="dxa"/>
              <w:left w:w="28" w:type="dxa"/>
              <w:bottom w:w="0" w:type="dxa"/>
              <w:right w:w="28" w:type="dxa"/>
            </w:tcMar>
            <w:vAlign w:val="center"/>
          </w:tcPr>
          <w:p w14:paraId="4ECDB619">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污染</w:t>
            </w:r>
          </w:p>
          <w:p w14:paraId="36F3A9AD">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物排</w:t>
            </w:r>
          </w:p>
          <w:p w14:paraId="4DCEE356">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放控</w:t>
            </w:r>
          </w:p>
          <w:p w14:paraId="274AF168">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制标</w:t>
            </w:r>
          </w:p>
          <w:p w14:paraId="1A8A7D57">
            <w:pPr>
              <w:adjustRightInd w:val="0"/>
              <w:snapToGrid w:val="0"/>
              <w:jc w:val="center"/>
              <w:rPr>
                <w:rFonts w:ascii="宋体" w:hAnsi="宋体" w:cs="宋体"/>
                <w:color w:val="auto"/>
                <w:kern w:val="0"/>
                <w:szCs w:val="21"/>
                <w:highlight w:val="none"/>
              </w:rPr>
            </w:pPr>
            <w:r>
              <w:rPr>
                <w:rFonts w:hint="eastAsia" w:ascii="宋体" w:hAnsi="宋体" w:cs="宋体"/>
                <w:color w:val="auto"/>
                <w:kern w:val="0"/>
                <w:sz w:val="24"/>
                <w:szCs w:val="24"/>
                <w:highlight w:val="none"/>
              </w:rPr>
              <w:t>准</w:t>
            </w:r>
          </w:p>
        </w:tc>
        <w:tc>
          <w:tcPr>
            <w:tcW w:w="8190" w:type="dxa"/>
            <w:vAlign w:val="center"/>
          </w:tcPr>
          <w:p w14:paraId="3B13DDFD">
            <w:pPr>
              <w:adjustRightInd w:val="0"/>
              <w:snapToGrid w:val="0"/>
              <w:spacing w:before="120" w:beforeLines="50" w:line="360"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1、噪声排放标准</w:t>
            </w:r>
          </w:p>
          <w:p w14:paraId="56FD1FE7">
            <w:pPr>
              <w:adjustRightInd w:val="0"/>
              <w:snapToGrid w:val="0"/>
              <w:spacing w:line="360" w:lineRule="auto"/>
              <w:ind w:left="-34" w:leftChars="-16" w:firstLine="600" w:firstLineChars="250"/>
              <w:rPr>
                <w:rFonts w:hint="eastAsia" w:ascii="宋体" w:hAnsi="宋体" w:eastAsia="宋体" w:cs="宋体"/>
                <w:color w:val="C00000"/>
                <w:sz w:val="24"/>
                <w:szCs w:val="24"/>
                <w:highlight w:val="none"/>
              </w:rPr>
            </w:pPr>
            <w:r>
              <w:rPr>
                <w:rFonts w:hint="eastAsia" w:ascii="宋体" w:hAnsi="宋体" w:eastAsia="宋体" w:cs="宋体"/>
                <w:color w:val="auto"/>
                <w:sz w:val="24"/>
                <w:szCs w:val="24"/>
                <w:highlight w:val="none"/>
              </w:rPr>
              <w:t>运营期项目噪声排放执行《工业企业厂界环境噪声排放标准》（GB12348-2008）中3类标准限值</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详</w:t>
            </w:r>
            <w:r>
              <w:rPr>
                <w:rFonts w:hint="eastAsia" w:ascii="宋体" w:hAnsi="宋体" w:eastAsia="宋体" w:cs="宋体"/>
                <w:color w:val="auto"/>
                <w:sz w:val="24"/>
                <w:szCs w:val="24"/>
                <w:highlight w:val="none"/>
              </w:rPr>
              <w:t>见</w:t>
            </w:r>
            <w:r>
              <w:rPr>
                <w:rFonts w:hint="eastAsia" w:ascii="宋体" w:hAnsi="宋体" w:cs="宋体"/>
                <w:color w:val="auto"/>
                <w:sz w:val="24"/>
                <w:szCs w:val="24"/>
                <w:highlight w:val="none"/>
                <w:lang w:val="en-US" w:eastAsia="zh-CN"/>
              </w:rPr>
              <w:t>下</w:t>
            </w:r>
            <w:r>
              <w:rPr>
                <w:rFonts w:hint="eastAsia" w:ascii="宋体" w:hAnsi="宋体" w:eastAsia="宋体" w:cs="宋体"/>
                <w:color w:val="auto"/>
                <w:sz w:val="24"/>
                <w:szCs w:val="24"/>
                <w:highlight w:val="none"/>
              </w:rPr>
              <w:t>表。</w:t>
            </w:r>
          </w:p>
          <w:p w14:paraId="4E8DC6E3">
            <w:pPr>
              <w:tabs>
                <w:tab w:val="left" w:pos="7600"/>
                <w:tab w:val="right" w:pos="14293"/>
              </w:tabs>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表3-</w:t>
            </w:r>
            <w:r>
              <w:rPr>
                <w:rFonts w:hint="eastAsia" w:ascii="宋体" w:hAnsi="宋体" w:cs="宋体"/>
                <w:b/>
                <w:color w:val="auto"/>
                <w:sz w:val="24"/>
                <w:szCs w:val="24"/>
                <w:highlight w:val="none"/>
                <w:lang w:val="en-US" w:eastAsia="zh-CN"/>
              </w:rPr>
              <w:t>2</w:t>
            </w:r>
            <w:r>
              <w:rPr>
                <w:rFonts w:hint="eastAsia" w:ascii="宋体" w:hAnsi="宋体" w:eastAsia="宋体" w:cs="宋体"/>
                <w:b/>
                <w:color w:val="auto"/>
                <w:sz w:val="24"/>
                <w:szCs w:val="24"/>
                <w:highlight w:val="none"/>
              </w:rPr>
              <w:t xml:space="preserve">  《工业企业厂界环境噪声排放标准》标准限值</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833"/>
              <w:gridCol w:w="2108"/>
              <w:gridCol w:w="2023"/>
            </w:tblGrid>
            <w:tr w14:paraId="5956B5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42" w:type="dxa"/>
                  <w:vMerge w:val="restart"/>
                  <w:vAlign w:val="center"/>
                </w:tcPr>
                <w:p w14:paraId="18638DD3">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厂界外声环境功能区类别</w:t>
                  </w:r>
                </w:p>
              </w:tc>
              <w:tc>
                <w:tcPr>
                  <w:tcW w:w="4137" w:type="dxa"/>
                  <w:gridSpan w:val="2"/>
                  <w:vAlign w:val="center"/>
                </w:tcPr>
                <w:p w14:paraId="45ADCD76">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时段</w:t>
                  </w:r>
                </w:p>
              </w:tc>
            </w:tr>
            <w:tr w14:paraId="4E78BF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42" w:type="dxa"/>
                  <w:vMerge w:val="continue"/>
                  <w:vAlign w:val="center"/>
                </w:tcPr>
                <w:p w14:paraId="0135FFA7">
                  <w:pPr>
                    <w:adjustRightInd w:val="0"/>
                    <w:snapToGrid w:val="0"/>
                    <w:spacing w:line="360" w:lineRule="auto"/>
                    <w:jc w:val="center"/>
                    <w:rPr>
                      <w:rFonts w:hint="eastAsia" w:ascii="宋体" w:hAnsi="宋体" w:eastAsia="宋体" w:cs="宋体"/>
                      <w:color w:val="auto"/>
                      <w:sz w:val="21"/>
                      <w:szCs w:val="21"/>
                      <w:highlight w:val="none"/>
                    </w:rPr>
                  </w:pPr>
                </w:p>
              </w:tc>
              <w:tc>
                <w:tcPr>
                  <w:tcW w:w="2111" w:type="dxa"/>
                  <w:vAlign w:val="center"/>
                </w:tcPr>
                <w:p w14:paraId="47C5AB97">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昼间</w:t>
                  </w:r>
                </w:p>
              </w:tc>
              <w:tc>
                <w:tcPr>
                  <w:tcW w:w="2026" w:type="dxa"/>
                  <w:vAlign w:val="center"/>
                </w:tcPr>
                <w:p w14:paraId="3E75F70D">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夜间</w:t>
                  </w:r>
                </w:p>
              </w:tc>
            </w:tr>
            <w:tr w14:paraId="2295B97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3842" w:type="dxa"/>
                  <w:vAlign w:val="center"/>
                </w:tcPr>
                <w:p w14:paraId="38A98535">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111" w:type="dxa"/>
                  <w:vAlign w:val="center"/>
                </w:tcPr>
                <w:p w14:paraId="631DA5C0">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65</w:t>
                  </w:r>
                  <w:r>
                    <w:rPr>
                      <w:rFonts w:hint="eastAsia" w:ascii="宋体" w:hAnsi="宋体" w:eastAsia="宋体" w:cs="宋体"/>
                      <w:bCs/>
                      <w:color w:val="auto"/>
                      <w:sz w:val="21"/>
                      <w:szCs w:val="21"/>
                      <w:highlight w:val="none"/>
                    </w:rPr>
                    <w:t>dB(A)</w:t>
                  </w:r>
                </w:p>
              </w:tc>
              <w:tc>
                <w:tcPr>
                  <w:tcW w:w="2026" w:type="dxa"/>
                  <w:vAlign w:val="center"/>
                </w:tcPr>
                <w:p w14:paraId="2F100FE6">
                  <w:pPr>
                    <w:adjustRightInd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w:t>
                  </w:r>
                  <w:r>
                    <w:rPr>
                      <w:rFonts w:hint="eastAsia" w:ascii="宋体" w:hAnsi="宋体" w:eastAsia="宋体" w:cs="宋体"/>
                      <w:bCs/>
                      <w:color w:val="auto"/>
                      <w:sz w:val="21"/>
                      <w:szCs w:val="21"/>
                      <w:highlight w:val="none"/>
                    </w:rPr>
                    <w:t>dB(A)</w:t>
                  </w:r>
                </w:p>
              </w:tc>
            </w:tr>
          </w:tbl>
          <w:p w14:paraId="570C4392">
            <w:pPr>
              <w:numPr>
                <w:ilvl w:val="0"/>
                <w:numId w:val="0"/>
              </w:numPr>
              <w:tabs>
                <w:tab w:val="left" w:pos="1260"/>
              </w:tabs>
              <w:spacing w:line="360" w:lineRule="auto"/>
              <w:ind w:leftChars="0"/>
              <w:rPr>
                <w:rFonts w:hint="eastAsia" w:ascii="宋体" w:hAnsi="宋体" w:eastAsia="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废气排放标准</w:t>
            </w:r>
          </w:p>
          <w:p w14:paraId="31298C04">
            <w:pPr>
              <w:numPr>
                <w:ilvl w:val="0"/>
                <w:numId w:val="0"/>
              </w:numPr>
              <w:tabs>
                <w:tab w:val="left" w:pos="1260"/>
              </w:tabs>
              <w:spacing w:line="360" w:lineRule="auto"/>
              <w:ind w:leftChars="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运营期项目</w:t>
            </w:r>
            <w:r>
              <w:rPr>
                <w:rFonts w:hint="eastAsia" w:ascii="宋体" w:hAnsi="宋体" w:cs="宋体"/>
                <w:color w:val="auto"/>
                <w:sz w:val="24"/>
                <w:szCs w:val="24"/>
                <w:highlight w:val="none"/>
                <w:lang w:val="en-US" w:eastAsia="zh-CN"/>
              </w:rPr>
              <w:t>废气</w:t>
            </w:r>
            <w:r>
              <w:rPr>
                <w:rFonts w:hint="eastAsia" w:ascii="宋体" w:hAnsi="宋体" w:eastAsia="宋体" w:cs="宋体"/>
                <w:color w:val="auto"/>
                <w:sz w:val="24"/>
                <w:szCs w:val="24"/>
                <w:highlight w:val="none"/>
              </w:rPr>
              <w:t>排放执行</w:t>
            </w:r>
            <w:r>
              <w:rPr>
                <w:rFonts w:hint="default" w:ascii="宋体" w:hAnsi="宋体" w:eastAsia="宋体" w:cs="宋体"/>
                <w:color w:val="auto"/>
                <w:sz w:val="24"/>
                <w:szCs w:val="24"/>
                <w:highlight w:val="none"/>
              </w:rPr>
              <w:t>《大气污染物综合排放标准》（GB16297-1996）表2中二级排放限值</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详</w:t>
            </w:r>
            <w:r>
              <w:rPr>
                <w:rFonts w:hint="eastAsia" w:ascii="宋体" w:hAnsi="宋体" w:eastAsia="宋体" w:cs="宋体"/>
                <w:color w:val="auto"/>
                <w:sz w:val="24"/>
                <w:szCs w:val="24"/>
                <w:highlight w:val="none"/>
              </w:rPr>
              <w:t>见</w:t>
            </w:r>
            <w:r>
              <w:rPr>
                <w:rFonts w:hint="eastAsia" w:ascii="宋体" w:hAnsi="宋体" w:cs="宋体"/>
                <w:color w:val="auto"/>
                <w:sz w:val="24"/>
                <w:szCs w:val="24"/>
                <w:highlight w:val="none"/>
                <w:lang w:val="en-US" w:eastAsia="zh-CN"/>
              </w:rPr>
              <w:t>下</w:t>
            </w:r>
            <w:r>
              <w:rPr>
                <w:rFonts w:hint="eastAsia" w:ascii="宋体" w:hAnsi="宋体" w:eastAsia="宋体" w:cs="宋体"/>
                <w:color w:val="auto"/>
                <w:sz w:val="24"/>
                <w:szCs w:val="24"/>
                <w:highlight w:val="none"/>
              </w:rPr>
              <w:t>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5"/>
              <w:gridCol w:w="1921"/>
              <w:gridCol w:w="2120"/>
              <w:gridCol w:w="2485"/>
            </w:tblGrid>
            <w:tr w14:paraId="4B3D9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1" w:type="pct"/>
                  <w:noWrap w:val="0"/>
                  <w:vAlign w:val="center"/>
                </w:tcPr>
                <w:p w14:paraId="02D8628F">
                  <w:pPr>
                    <w:adjustRightInd w:val="0"/>
                    <w:snapToGrid w:val="0"/>
                    <w:spacing w:line="280" w:lineRule="exact"/>
                    <w:jc w:val="center"/>
                    <w:rPr>
                      <w:color w:val="auto"/>
                      <w:sz w:val="18"/>
                      <w:szCs w:val="18"/>
                    </w:rPr>
                  </w:pPr>
                  <w:r>
                    <w:rPr>
                      <w:color w:val="auto"/>
                      <w:sz w:val="18"/>
                      <w:szCs w:val="18"/>
                    </w:rPr>
                    <w:t>污</w:t>
                  </w:r>
                  <w:r>
                    <w:rPr>
                      <w:color w:val="auto"/>
                      <w:sz w:val="18"/>
                      <w:szCs w:val="18"/>
                    </w:rPr>
                    <w:cr/>
                  </w:r>
                  <w:r>
                    <w:rPr>
                      <w:color w:val="auto"/>
                      <w:sz w:val="18"/>
                      <w:szCs w:val="18"/>
                    </w:rPr>
                    <w:t>物</w:t>
                  </w:r>
                </w:p>
              </w:tc>
              <w:tc>
                <w:tcPr>
                  <w:tcW w:w="1206" w:type="pct"/>
                  <w:noWrap w:val="0"/>
                  <w:vAlign w:val="center"/>
                </w:tcPr>
                <w:p w14:paraId="51613AF9">
                  <w:pPr>
                    <w:adjustRightInd w:val="0"/>
                    <w:snapToGrid w:val="0"/>
                    <w:spacing w:line="280" w:lineRule="exact"/>
                    <w:jc w:val="center"/>
                    <w:rPr>
                      <w:color w:val="auto"/>
                      <w:sz w:val="18"/>
                      <w:szCs w:val="18"/>
                    </w:rPr>
                  </w:pPr>
                  <w:r>
                    <w:rPr>
                      <w:color w:val="auto"/>
                      <w:sz w:val="18"/>
                      <w:szCs w:val="18"/>
                    </w:rPr>
                    <w:t>最高允许排放浓度（</w:t>
                  </w:r>
                  <w:r>
                    <w:rPr>
                      <w:color w:val="auto"/>
                      <w:kern w:val="24"/>
                      <w:sz w:val="18"/>
                      <w:szCs w:val="18"/>
                    </w:rPr>
                    <w:t>mg/m</w:t>
                  </w:r>
                  <w:r>
                    <w:rPr>
                      <w:color w:val="auto"/>
                      <w:kern w:val="24"/>
                      <w:sz w:val="18"/>
                      <w:szCs w:val="18"/>
                      <w:vertAlign w:val="superscript"/>
                    </w:rPr>
                    <w:t>3</w:t>
                  </w:r>
                  <w:r>
                    <w:rPr>
                      <w:color w:val="auto"/>
                      <w:sz w:val="18"/>
                      <w:szCs w:val="18"/>
                    </w:rPr>
                    <w:t>）</w:t>
                  </w:r>
                </w:p>
              </w:tc>
              <w:tc>
                <w:tcPr>
                  <w:tcW w:w="1331" w:type="pct"/>
                  <w:noWrap w:val="0"/>
                  <w:vAlign w:val="center"/>
                </w:tcPr>
                <w:p w14:paraId="1EA13EFD">
                  <w:pPr>
                    <w:adjustRightInd w:val="0"/>
                    <w:snapToGrid w:val="0"/>
                    <w:spacing w:line="280" w:lineRule="exact"/>
                    <w:jc w:val="center"/>
                    <w:rPr>
                      <w:color w:val="auto"/>
                      <w:sz w:val="18"/>
                      <w:szCs w:val="18"/>
                    </w:rPr>
                  </w:pPr>
                  <w:r>
                    <w:rPr>
                      <w:rFonts w:hint="eastAsia"/>
                      <w:color w:val="auto"/>
                      <w:sz w:val="18"/>
                      <w:szCs w:val="18"/>
                    </w:rPr>
                    <w:t>15m高排气筒</w:t>
                  </w:r>
                  <w:r>
                    <w:rPr>
                      <w:color w:val="auto"/>
                      <w:sz w:val="18"/>
                      <w:szCs w:val="18"/>
                    </w:rPr>
                    <w:t>最高允许排放速率（</w:t>
                  </w:r>
                  <w:r>
                    <w:rPr>
                      <w:color w:val="auto"/>
                      <w:kern w:val="24"/>
                      <w:sz w:val="18"/>
                      <w:szCs w:val="18"/>
                    </w:rPr>
                    <w:t>kg/h</w:t>
                  </w:r>
                  <w:r>
                    <w:rPr>
                      <w:color w:val="auto"/>
                      <w:sz w:val="18"/>
                      <w:szCs w:val="18"/>
                    </w:rPr>
                    <w:t>）</w:t>
                  </w:r>
                </w:p>
              </w:tc>
              <w:tc>
                <w:tcPr>
                  <w:tcW w:w="1560" w:type="pct"/>
                  <w:noWrap w:val="0"/>
                  <w:vAlign w:val="center"/>
                </w:tcPr>
                <w:p w14:paraId="1505FDDA">
                  <w:pPr>
                    <w:adjustRightInd w:val="0"/>
                    <w:snapToGrid w:val="0"/>
                    <w:spacing w:line="280" w:lineRule="exact"/>
                    <w:jc w:val="center"/>
                    <w:rPr>
                      <w:color w:val="auto"/>
                      <w:sz w:val="18"/>
                      <w:szCs w:val="18"/>
                    </w:rPr>
                  </w:pPr>
                  <w:r>
                    <w:rPr>
                      <w:color w:val="auto"/>
                      <w:sz w:val="18"/>
                      <w:szCs w:val="18"/>
                    </w:rPr>
                    <w:t>无组织排放监控浓度限（</w:t>
                  </w:r>
                  <w:r>
                    <w:rPr>
                      <w:color w:val="auto"/>
                      <w:kern w:val="24"/>
                      <w:sz w:val="18"/>
                      <w:szCs w:val="18"/>
                    </w:rPr>
                    <w:t>mg/m</w:t>
                  </w:r>
                  <w:r>
                    <w:rPr>
                      <w:color w:val="auto"/>
                      <w:kern w:val="24"/>
                      <w:sz w:val="18"/>
                      <w:szCs w:val="18"/>
                      <w:vertAlign w:val="superscript"/>
                    </w:rPr>
                    <w:t>3</w:t>
                  </w:r>
                  <w:r>
                    <w:rPr>
                      <w:color w:val="auto"/>
                      <w:sz w:val="18"/>
                      <w:szCs w:val="18"/>
                    </w:rPr>
                    <w:t>）</w:t>
                  </w:r>
                </w:p>
              </w:tc>
            </w:tr>
            <w:tr w14:paraId="5B8D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1" w:type="pct"/>
                  <w:shd w:val="clear" w:color="auto" w:fill="auto"/>
                  <w:noWrap w:val="0"/>
                  <w:vAlign w:val="center"/>
                </w:tcPr>
                <w:p w14:paraId="2679E0BC">
                  <w:pPr>
                    <w:adjustRightInd w:val="0"/>
                    <w:snapToGrid w:val="0"/>
                    <w:spacing w:line="280" w:lineRule="exact"/>
                    <w:jc w:val="center"/>
                    <w:rPr>
                      <w:rFonts w:ascii="Times New Roman" w:hAnsi="Times New Roman" w:eastAsia="宋体" w:cs="Times New Roman"/>
                      <w:color w:val="auto"/>
                      <w:kern w:val="2"/>
                      <w:sz w:val="18"/>
                      <w:szCs w:val="18"/>
                      <w:lang w:val="en-US" w:eastAsia="zh-CN" w:bidi="ar-SA"/>
                    </w:rPr>
                  </w:pPr>
                  <w:r>
                    <w:rPr>
                      <w:color w:val="auto"/>
                      <w:sz w:val="18"/>
                      <w:szCs w:val="18"/>
                    </w:rPr>
                    <w:t>颗粒物</w:t>
                  </w:r>
                </w:p>
              </w:tc>
              <w:tc>
                <w:tcPr>
                  <w:tcW w:w="1206" w:type="pct"/>
                  <w:shd w:val="clear" w:color="auto" w:fill="auto"/>
                  <w:noWrap w:val="0"/>
                  <w:vAlign w:val="center"/>
                </w:tcPr>
                <w:p w14:paraId="6087E180">
                  <w:pPr>
                    <w:adjustRightInd w:val="0"/>
                    <w:snapToGrid w:val="0"/>
                    <w:spacing w:line="280" w:lineRule="exact"/>
                    <w:jc w:val="center"/>
                    <w:rPr>
                      <w:rFonts w:ascii="Times New Roman" w:hAnsi="Times New Roman" w:eastAsia="宋体" w:cs="Times New Roman"/>
                      <w:color w:val="auto"/>
                      <w:kern w:val="2"/>
                      <w:sz w:val="18"/>
                      <w:szCs w:val="18"/>
                      <w:lang w:val="en-US" w:eastAsia="zh-CN" w:bidi="ar-SA"/>
                    </w:rPr>
                  </w:pPr>
                  <w:r>
                    <w:rPr>
                      <w:color w:val="auto"/>
                      <w:sz w:val="18"/>
                      <w:szCs w:val="18"/>
                    </w:rPr>
                    <w:t>120</w:t>
                  </w:r>
                </w:p>
              </w:tc>
              <w:tc>
                <w:tcPr>
                  <w:tcW w:w="1331" w:type="pct"/>
                  <w:shd w:val="clear" w:color="auto" w:fill="auto"/>
                  <w:noWrap w:val="0"/>
                  <w:vAlign w:val="center"/>
                </w:tcPr>
                <w:p w14:paraId="595C4E90">
                  <w:pPr>
                    <w:adjustRightInd w:val="0"/>
                    <w:snapToGrid w:val="0"/>
                    <w:spacing w:line="280" w:lineRule="exact"/>
                    <w:jc w:val="center"/>
                    <w:rPr>
                      <w:rFonts w:ascii="Times New Roman" w:hAnsi="Times New Roman" w:eastAsia="宋体" w:cs="Times New Roman"/>
                      <w:color w:val="auto"/>
                      <w:kern w:val="2"/>
                      <w:sz w:val="18"/>
                      <w:szCs w:val="18"/>
                      <w:lang w:val="en-US" w:eastAsia="zh-CN" w:bidi="ar-SA"/>
                    </w:rPr>
                  </w:pPr>
                  <w:r>
                    <w:rPr>
                      <w:color w:val="auto"/>
                      <w:sz w:val="18"/>
                      <w:szCs w:val="18"/>
                    </w:rPr>
                    <w:t>3.5</w:t>
                  </w:r>
                </w:p>
              </w:tc>
              <w:tc>
                <w:tcPr>
                  <w:tcW w:w="1560" w:type="pct"/>
                  <w:shd w:val="clear" w:color="auto" w:fill="auto"/>
                  <w:noWrap w:val="0"/>
                  <w:vAlign w:val="center"/>
                </w:tcPr>
                <w:p w14:paraId="23324B5C">
                  <w:pPr>
                    <w:adjustRightInd w:val="0"/>
                    <w:snapToGrid w:val="0"/>
                    <w:spacing w:line="280" w:lineRule="exact"/>
                    <w:jc w:val="center"/>
                    <w:rPr>
                      <w:rFonts w:ascii="Times New Roman" w:hAnsi="Times New Roman" w:eastAsia="宋体" w:cs="Times New Roman"/>
                      <w:color w:val="auto"/>
                      <w:kern w:val="2"/>
                      <w:sz w:val="18"/>
                      <w:szCs w:val="18"/>
                      <w:lang w:val="en-US" w:eastAsia="zh-CN" w:bidi="ar-SA"/>
                    </w:rPr>
                  </w:pPr>
                  <w:r>
                    <w:rPr>
                      <w:rFonts w:hint="eastAsia"/>
                      <w:color w:val="auto"/>
                      <w:sz w:val="18"/>
                      <w:szCs w:val="18"/>
                      <w:lang w:val="en-US" w:eastAsia="zh-CN"/>
                    </w:rPr>
                    <w:t>1</w:t>
                  </w:r>
                </w:p>
              </w:tc>
            </w:tr>
            <w:tr w14:paraId="5A8A8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1" w:type="pct"/>
                  <w:noWrap w:val="0"/>
                  <w:vAlign w:val="center"/>
                </w:tcPr>
                <w:p w14:paraId="0935099C">
                  <w:pPr>
                    <w:adjustRightInd w:val="0"/>
                    <w:snapToGrid w:val="0"/>
                    <w:spacing w:line="280" w:lineRule="exact"/>
                    <w:jc w:val="center"/>
                    <w:rPr>
                      <w:color w:val="auto"/>
                      <w:sz w:val="18"/>
                      <w:szCs w:val="18"/>
                    </w:rPr>
                  </w:pPr>
                  <w:r>
                    <w:rPr>
                      <w:color w:val="auto"/>
                      <w:sz w:val="18"/>
                      <w:szCs w:val="18"/>
                    </w:rPr>
                    <w:t>苯并芘</w:t>
                  </w:r>
                </w:p>
              </w:tc>
              <w:tc>
                <w:tcPr>
                  <w:tcW w:w="1206" w:type="pct"/>
                  <w:noWrap w:val="0"/>
                  <w:vAlign w:val="center"/>
                </w:tcPr>
                <w:p w14:paraId="65CCB4F2">
                  <w:pPr>
                    <w:adjustRightInd w:val="0"/>
                    <w:snapToGrid w:val="0"/>
                    <w:spacing w:line="280" w:lineRule="exact"/>
                    <w:jc w:val="center"/>
                    <w:rPr>
                      <w:color w:val="auto"/>
                      <w:sz w:val="18"/>
                      <w:szCs w:val="18"/>
                    </w:rPr>
                  </w:pPr>
                  <w:r>
                    <w:rPr>
                      <w:color w:val="auto"/>
                      <w:sz w:val="18"/>
                      <w:szCs w:val="18"/>
                    </w:rPr>
                    <w:t>0.30×10</w:t>
                  </w:r>
                  <w:r>
                    <w:rPr>
                      <w:color w:val="auto"/>
                      <w:sz w:val="18"/>
                      <w:szCs w:val="18"/>
                      <w:vertAlign w:val="superscript"/>
                    </w:rPr>
                    <w:t>-3</w:t>
                  </w:r>
                </w:p>
              </w:tc>
              <w:tc>
                <w:tcPr>
                  <w:tcW w:w="1331" w:type="pct"/>
                  <w:noWrap w:val="0"/>
                  <w:vAlign w:val="center"/>
                </w:tcPr>
                <w:p w14:paraId="7E1E4C70">
                  <w:pPr>
                    <w:adjustRightInd w:val="0"/>
                    <w:snapToGrid w:val="0"/>
                    <w:spacing w:line="280" w:lineRule="exact"/>
                    <w:jc w:val="center"/>
                    <w:rPr>
                      <w:color w:val="auto"/>
                      <w:sz w:val="18"/>
                      <w:szCs w:val="18"/>
                    </w:rPr>
                  </w:pPr>
                  <w:r>
                    <w:rPr>
                      <w:color w:val="auto"/>
                      <w:sz w:val="18"/>
                      <w:szCs w:val="18"/>
                    </w:rPr>
                    <w:t>0.05×10</w:t>
                  </w:r>
                  <w:r>
                    <w:rPr>
                      <w:color w:val="auto"/>
                      <w:sz w:val="18"/>
                      <w:szCs w:val="18"/>
                      <w:vertAlign w:val="superscript"/>
                    </w:rPr>
                    <w:t>-3</w:t>
                  </w:r>
                </w:p>
              </w:tc>
              <w:tc>
                <w:tcPr>
                  <w:tcW w:w="1560" w:type="pct"/>
                  <w:noWrap w:val="0"/>
                  <w:vAlign w:val="center"/>
                </w:tcPr>
                <w:p w14:paraId="4C25662C">
                  <w:pPr>
                    <w:adjustRightInd w:val="0"/>
                    <w:snapToGrid w:val="0"/>
                    <w:spacing w:line="280" w:lineRule="exact"/>
                    <w:jc w:val="center"/>
                    <w:rPr>
                      <w:color w:val="auto"/>
                      <w:sz w:val="18"/>
                      <w:szCs w:val="18"/>
                    </w:rPr>
                  </w:pPr>
                  <w:r>
                    <w:rPr>
                      <w:color w:val="auto"/>
                      <w:sz w:val="18"/>
                      <w:szCs w:val="18"/>
                    </w:rPr>
                    <w:t>0.008μ</w:t>
                  </w:r>
                  <w:r>
                    <w:rPr>
                      <w:color w:val="auto"/>
                      <w:kern w:val="24"/>
                      <w:sz w:val="18"/>
                      <w:szCs w:val="18"/>
                    </w:rPr>
                    <w:t>g/m</w:t>
                  </w:r>
                  <w:r>
                    <w:rPr>
                      <w:color w:val="auto"/>
                      <w:kern w:val="24"/>
                      <w:sz w:val="18"/>
                      <w:szCs w:val="18"/>
                      <w:vertAlign w:val="superscript"/>
                    </w:rPr>
                    <w:t>3</w:t>
                  </w:r>
                </w:p>
              </w:tc>
            </w:tr>
            <w:tr w14:paraId="7DDC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1" w:type="pct"/>
                  <w:noWrap w:val="0"/>
                  <w:vAlign w:val="center"/>
                </w:tcPr>
                <w:p w14:paraId="79656AEC">
                  <w:pPr>
                    <w:adjustRightInd w:val="0"/>
                    <w:snapToGrid w:val="0"/>
                    <w:spacing w:line="280" w:lineRule="exact"/>
                    <w:jc w:val="center"/>
                    <w:rPr>
                      <w:color w:val="auto"/>
                      <w:sz w:val="18"/>
                      <w:szCs w:val="18"/>
                    </w:rPr>
                  </w:pPr>
                  <w:r>
                    <w:rPr>
                      <w:color w:val="auto"/>
                      <w:sz w:val="18"/>
                      <w:szCs w:val="18"/>
                    </w:rPr>
                    <w:t>沥青烟</w:t>
                  </w:r>
                </w:p>
              </w:tc>
              <w:tc>
                <w:tcPr>
                  <w:tcW w:w="1206" w:type="pct"/>
                  <w:noWrap w:val="0"/>
                  <w:vAlign w:val="center"/>
                </w:tcPr>
                <w:p w14:paraId="0888FA0A">
                  <w:pPr>
                    <w:adjustRightInd w:val="0"/>
                    <w:snapToGrid w:val="0"/>
                    <w:spacing w:line="280" w:lineRule="exact"/>
                    <w:jc w:val="center"/>
                    <w:rPr>
                      <w:color w:val="auto"/>
                      <w:sz w:val="18"/>
                      <w:szCs w:val="18"/>
                    </w:rPr>
                  </w:pPr>
                  <w:r>
                    <w:rPr>
                      <w:color w:val="auto"/>
                      <w:sz w:val="18"/>
                      <w:szCs w:val="18"/>
                    </w:rPr>
                    <w:t>75</w:t>
                  </w:r>
                </w:p>
              </w:tc>
              <w:tc>
                <w:tcPr>
                  <w:tcW w:w="1331" w:type="pct"/>
                  <w:noWrap w:val="0"/>
                  <w:vAlign w:val="center"/>
                </w:tcPr>
                <w:p w14:paraId="09E600BB">
                  <w:pPr>
                    <w:adjustRightInd w:val="0"/>
                    <w:snapToGrid w:val="0"/>
                    <w:spacing w:line="280" w:lineRule="exact"/>
                    <w:jc w:val="center"/>
                    <w:rPr>
                      <w:color w:val="auto"/>
                      <w:sz w:val="18"/>
                      <w:szCs w:val="18"/>
                    </w:rPr>
                  </w:pPr>
                  <w:r>
                    <w:rPr>
                      <w:color w:val="auto"/>
                      <w:sz w:val="18"/>
                      <w:szCs w:val="18"/>
                    </w:rPr>
                    <w:t>0.18</w:t>
                  </w:r>
                </w:p>
              </w:tc>
              <w:tc>
                <w:tcPr>
                  <w:tcW w:w="1560" w:type="pct"/>
                  <w:noWrap w:val="0"/>
                  <w:vAlign w:val="center"/>
                </w:tcPr>
                <w:p w14:paraId="6169C659">
                  <w:pPr>
                    <w:adjustRightInd w:val="0"/>
                    <w:snapToGrid w:val="0"/>
                    <w:spacing w:line="280" w:lineRule="exact"/>
                    <w:jc w:val="center"/>
                    <w:rPr>
                      <w:color w:val="auto"/>
                      <w:sz w:val="18"/>
                      <w:szCs w:val="18"/>
                    </w:rPr>
                  </w:pPr>
                  <w:r>
                    <w:rPr>
                      <w:color w:val="auto"/>
                      <w:sz w:val="18"/>
                      <w:szCs w:val="18"/>
                    </w:rPr>
                    <w:t>生产设备不得明显无组织排放</w:t>
                  </w:r>
                </w:p>
              </w:tc>
            </w:tr>
            <w:tr w14:paraId="41DA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01" w:type="pct"/>
                  <w:noWrap w:val="0"/>
                  <w:vAlign w:val="center"/>
                </w:tcPr>
                <w:p w14:paraId="37D8DA47">
                  <w:pPr>
                    <w:adjustRightInd w:val="0"/>
                    <w:snapToGrid w:val="0"/>
                    <w:spacing w:line="280" w:lineRule="exact"/>
                    <w:jc w:val="center"/>
                    <w:rPr>
                      <w:color w:val="auto"/>
                      <w:sz w:val="18"/>
                      <w:szCs w:val="18"/>
                    </w:rPr>
                  </w:pPr>
                  <w:r>
                    <w:rPr>
                      <w:color w:val="auto"/>
                      <w:sz w:val="18"/>
                      <w:szCs w:val="18"/>
                    </w:rPr>
                    <w:t>非甲烷总烃</w:t>
                  </w:r>
                </w:p>
              </w:tc>
              <w:tc>
                <w:tcPr>
                  <w:tcW w:w="1206" w:type="pct"/>
                  <w:noWrap w:val="0"/>
                  <w:vAlign w:val="center"/>
                </w:tcPr>
                <w:p w14:paraId="2B68928B">
                  <w:pPr>
                    <w:adjustRightInd w:val="0"/>
                    <w:snapToGrid w:val="0"/>
                    <w:spacing w:line="280" w:lineRule="exact"/>
                    <w:jc w:val="center"/>
                    <w:rPr>
                      <w:color w:val="auto"/>
                      <w:sz w:val="18"/>
                      <w:szCs w:val="18"/>
                    </w:rPr>
                  </w:pPr>
                  <w:r>
                    <w:rPr>
                      <w:color w:val="auto"/>
                      <w:sz w:val="18"/>
                      <w:szCs w:val="18"/>
                    </w:rPr>
                    <w:t>120</w:t>
                  </w:r>
                </w:p>
              </w:tc>
              <w:tc>
                <w:tcPr>
                  <w:tcW w:w="1331" w:type="pct"/>
                  <w:noWrap w:val="0"/>
                  <w:vAlign w:val="center"/>
                </w:tcPr>
                <w:p w14:paraId="74614FAC">
                  <w:pPr>
                    <w:adjustRightInd w:val="0"/>
                    <w:snapToGrid w:val="0"/>
                    <w:spacing w:line="280" w:lineRule="exact"/>
                    <w:jc w:val="center"/>
                    <w:rPr>
                      <w:color w:val="auto"/>
                      <w:sz w:val="18"/>
                      <w:szCs w:val="18"/>
                    </w:rPr>
                  </w:pPr>
                  <w:r>
                    <w:rPr>
                      <w:color w:val="auto"/>
                      <w:sz w:val="18"/>
                      <w:szCs w:val="18"/>
                    </w:rPr>
                    <w:t>10</w:t>
                  </w:r>
                </w:p>
              </w:tc>
              <w:tc>
                <w:tcPr>
                  <w:tcW w:w="1560" w:type="pct"/>
                  <w:noWrap w:val="0"/>
                  <w:vAlign w:val="center"/>
                </w:tcPr>
                <w:p w14:paraId="2F5D847A">
                  <w:pPr>
                    <w:adjustRightInd w:val="0"/>
                    <w:snapToGrid w:val="0"/>
                    <w:spacing w:line="280" w:lineRule="exact"/>
                    <w:jc w:val="center"/>
                    <w:rPr>
                      <w:color w:val="auto"/>
                      <w:sz w:val="18"/>
                      <w:szCs w:val="18"/>
                    </w:rPr>
                  </w:pPr>
                  <w:r>
                    <w:rPr>
                      <w:color w:val="auto"/>
                      <w:sz w:val="18"/>
                      <w:szCs w:val="18"/>
                    </w:rPr>
                    <w:t>4.0</w:t>
                  </w:r>
                </w:p>
              </w:tc>
            </w:tr>
          </w:tbl>
          <w:p w14:paraId="665FDA2B">
            <w:pPr>
              <w:numPr>
                <w:ilvl w:val="0"/>
                <w:numId w:val="0"/>
              </w:numPr>
              <w:tabs>
                <w:tab w:val="left" w:pos="1260"/>
              </w:tabs>
              <w:spacing w:line="360" w:lineRule="auto"/>
              <w:ind w:leftChars="0" w:firstLine="480" w:firstLineChars="200"/>
              <w:rPr>
                <w:rFonts w:hint="default" w:ascii="宋体" w:hAnsi="宋体" w:eastAsia="宋体" w:cs="宋体"/>
                <w:color w:val="auto"/>
                <w:sz w:val="24"/>
                <w:szCs w:val="24"/>
                <w:highlight w:val="none"/>
                <w:lang w:val="en-US" w:eastAsia="zh-CN"/>
              </w:rPr>
            </w:pPr>
          </w:p>
        </w:tc>
      </w:tr>
      <w:tr w14:paraId="06E5FF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8" w:hRule="atLeast"/>
          <w:jc w:val="center"/>
        </w:trPr>
        <w:tc>
          <w:tcPr>
            <w:tcW w:w="800" w:type="dxa"/>
            <w:vAlign w:val="center"/>
          </w:tcPr>
          <w:p w14:paraId="3C634341">
            <w:pPr>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总量</w:t>
            </w:r>
          </w:p>
          <w:p w14:paraId="01957866">
            <w:pPr>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控制</w:t>
            </w:r>
          </w:p>
          <w:p w14:paraId="0539A945">
            <w:pPr>
              <w:adjustRightInd w:val="0"/>
              <w:snapToGrid w:val="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指标</w:t>
            </w:r>
          </w:p>
        </w:tc>
        <w:tc>
          <w:tcPr>
            <w:tcW w:w="8190" w:type="dxa"/>
            <w:vAlign w:val="center"/>
          </w:tcPr>
          <w:p w14:paraId="02D3FF23">
            <w:pPr>
              <w:adjustRightInd w:val="0"/>
              <w:snapToGrid w:val="0"/>
              <w:spacing w:line="360" w:lineRule="auto"/>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rPr>
              <w:t>本项目</w:t>
            </w:r>
            <w:r>
              <w:rPr>
                <w:rFonts w:hint="eastAsia" w:ascii="宋体" w:hAnsi="宋体" w:cs="宋体"/>
                <w:color w:val="auto"/>
                <w:sz w:val="24"/>
                <w:szCs w:val="24"/>
                <w:highlight w:val="none"/>
                <w:lang w:val="en-US" w:eastAsia="zh-CN"/>
              </w:rPr>
              <w:t>非甲烷总烃排放量为1.84kg/a。</w:t>
            </w:r>
          </w:p>
        </w:tc>
      </w:tr>
    </w:tbl>
    <w:p w14:paraId="4F2474A8">
      <w:pPr>
        <w:pStyle w:val="23"/>
        <w:jc w:val="center"/>
        <w:outlineLvl w:val="0"/>
        <w:rPr>
          <w:rFonts w:ascii="黑体" w:hAnsi="黑体" w:eastAsia="黑体"/>
          <w:snapToGrid w:val="0"/>
          <w:color w:val="auto"/>
          <w:sz w:val="30"/>
          <w:szCs w:val="30"/>
          <w:highlight w:val="none"/>
        </w:rPr>
      </w:pPr>
      <w:r>
        <w:br w:type="page"/>
      </w:r>
      <w:r>
        <w:rPr>
          <w:rFonts w:hint="eastAsia" w:ascii="黑体" w:hAnsi="黑体" w:eastAsia="黑体"/>
          <w:snapToGrid w:val="0"/>
          <w:color w:val="auto"/>
          <w:sz w:val="30"/>
          <w:szCs w:val="30"/>
          <w:highlight w:val="none"/>
        </w:rPr>
        <w:t>四、主要环境影响和保护措施</w:t>
      </w:r>
    </w:p>
    <w:tbl>
      <w:tblPr>
        <w:tblStyle w:val="26"/>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625"/>
      </w:tblGrid>
      <w:tr w14:paraId="3979E3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92" w:hRule="atLeast"/>
          <w:jc w:val="center"/>
        </w:trPr>
        <w:tc>
          <w:tcPr>
            <w:tcW w:w="746" w:type="dxa"/>
            <w:tcMar>
              <w:top w:w="0" w:type="dxa"/>
              <w:left w:w="28" w:type="dxa"/>
              <w:bottom w:w="0" w:type="dxa"/>
              <w:right w:w="28" w:type="dxa"/>
            </w:tcMar>
            <w:vAlign w:val="center"/>
          </w:tcPr>
          <w:p w14:paraId="6326A07C">
            <w:pPr>
              <w:pStyle w:val="23"/>
              <w:adjustRightInd w:val="0"/>
              <w:snapToGrid w:val="0"/>
              <w:spacing w:before="0" w:beforeAutospacing="0" w:after="0" w:afterAutospacing="0"/>
              <w:jc w:val="center"/>
              <w:rPr>
                <w:rFonts w:cs="宋体"/>
                <w:color w:val="auto"/>
                <w:kern w:val="2"/>
                <w:sz w:val="24"/>
                <w:szCs w:val="24"/>
                <w:highlight w:val="none"/>
              </w:rPr>
            </w:pPr>
            <w:r>
              <w:rPr>
                <w:rFonts w:hint="eastAsia" w:cs="宋体"/>
                <w:color w:val="auto"/>
                <w:kern w:val="2"/>
                <w:sz w:val="24"/>
                <w:szCs w:val="24"/>
                <w:highlight w:val="none"/>
                <w:lang w:val="en-US" w:eastAsia="zh-CN"/>
              </w:rPr>
              <w:t>施工期</w:t>
            </w:r>
            <w:r>
              <w:rPr>
                <w:rFonts w:hint="eastAsia" w:cs="宋体"/>
                <w:color w:val="auto"/>
                <w:kern w:val="2"/>
                <w:sz w:val="24"/>
                <w:szCs w:val="24"/>
                <w:highlight w:val="none"/>
              </w:rPr>
              <w:t>环</w:t>
            </w:r>
          </w:p>
          <w:p w14:paraId="41938CD9">
            <w:pPr>
              <w:pStyle w:val="23"/>
              <w:adjustRightInd w:val="0"/>
              <w:snapToGrid w:val="0"/>
              <w:spacing w:before="0" w:beforeAutospacing="0" w:after="0" w:afterAutospacing="0"/>
              <w:jc w:val="center"/>
              <w:rPr>
                <w:rFonts w:cs="宋体"/>
                <w:color w:val="auto"/>
                <w:kern w:val="2"/>
                <w:sz w:val="24"/>
                <w:szCs w:val="24"/>
                <w:highlight w:val="none"/>
              </w:rPr>
            </w:pPr>
            <w:r>
              <w:rPr>
                <w:rFonts w:hint="eastAsia" w:cs="宋体"/>
                <w:color w:val="auto"/>
                <w:kern w:val="2"/>
                <w:sz w:val="24"/>
                <w:szCs w:val="24"/>
                <w:highlight w:val="none"/>
              </w:rPr>
              <w:t>境</w:t>
            </w:r>
            <w:r>
              <w:rPr>
                <w:rFonts w:hint="eastAsia" w:cs="宋体"/>
                <w:color w:val="auto"/>
                <w:kern w:val="2"/>
                <w:sz w:val="24"/>
                <w:szCs w:val="24"/>
                <w:highlight w:val="none"/>
                <w:lang w:val="en-US" w:eastAsia="zh-CN"/>
              </w:rPr>
              <w:t>影响和</w:t>
            </w:r>
            <w:r>
              <w:rPr>
                <w:rFonts w:hint="eastAsia" w:cs="宋体"/>
                <w:color w:val="auto"/>
                <w:kern w:val="2"/>
                <w:sz w:val="24"/>
                <w:szCs w:val="24"/>
                <w:highlight w:val="none"/>
              </w:rPr>
              <w:t>保</w:t>
            </w:r>
          </w:p>
          <w:p w14:paraId="6EFD6EAC">
            <w:pPr>
              <w:pStyle w:val="23"/>
              <w:adjustRightInd w:val="0"/>
              <w:snapToGrid w:val="0"/>
              <w:spacing w:before="0" w:beforeAutospacing="0" w:after="0" w:afterAutospacing="0"/>
              <w:jc w:val="center"/>
              <w:rPr>
                <w:rFonts w:cs="宋体"/>
                <w:color w:val="auto"/>
                <w:kern w:val="2"/>
                <w:sz w:val="24"/>
                <w:szCs w:val="24"/>
                <w:highlight w:val="none"/>
              </w:rPr>
            </w:pPr>
            <w:r>
              <w:rPr>
                <w:rFonts w:hint="eastAsia" w:cs="宋体"/>
                <w:color w:val="auto"/>
                <w:kern w:val="2"/>
                <w:sz w:val="24"/>
                <w:szCs w:val="24"/>
                <w:highlight w:val="none"/>
              </w:rPr>
              <w:t>护措</w:t>
            </w:r>
          </w:p>
          <w:p w14:paraId="126D12FA">
            <w:pPr>
              <w:pStyle w:val="23"/>
              <w:adjustRightInd w:val="0"/>
              <w:snapToGrid w:val="0"/>
              <w:spacing w:before="0" w:beforeAutospacing="0" w:after="0" w:afterAutospacing="0"/>
              <w:jc w:val="center"/>
              <w:rPr>
                <w:rFonts w:cs="宋体"/>
                <w:bCs/>
                <w:color w:val="auto"/>
                <w:kern w:val="2"/>
                <w:sz w:val="21"/>
                <w:szCs w:val="21"/>
                <w:highlight w:val="none"/>
              </w:rPr>
            </w:pPr>
            <w:r>
              <w:rPr>
                <w:rFonts w:hint="eastAsia" w:cs="宋体"/>
                <w:color w:val="auto"/>
                <w:kern w:val="2"/>
                <w:sz w:val="24"/>
                <w:szCs w:val="24"/>
                <w:highlight w:val="none"/>
              </w:rPr>
              <w:t>施</w:t>
            </w:r>
          </w:p>
        </w:tc>
        <w:tc>
          <w:tcPr>
            <w:tcW w:w="8162" w:type="dxa"/>
            <w:vAlign w:val="center"/>
          </w:tcPr>
          <w:p w14:paraId="53242943">
            <w:pPr>
              <w:pStyle w:val="51"/>
              <w:spacing w:line="360" w:lineRule="auto"/>
              <w:ind w:left="0" w:leftChars="0" w:firstLine="480" w:firstLineChars="200"/>
              <w:rPr>
                <w:color w:val="auto"/>
                <w:highlight w:val="none"/>
              </w:rPr>
            </w:pPr>
            <w:r>
              <w:rPr>
                <w:rFonts w:hint="eastAsia" w:ascii="宋体" w:hAnsi="宋体" w:cs="宋体"/>
                <w:bCs/>
                <w:color w:val="auto"/>
                <w:kern w:val="2"/>
                <w:sz w:val="24"/>
                <w:szCs w:val="24"/>
                <w:lang w:val="en-US" w:eastAsia="zh-CN" w:bidi="ar-SA"/>
              </w:rPr>
              <w:t>本项目施工主要为设备安装。</w:t>
            </w:r>
            <w:r>
              <w:rPr>
                <w:rFonts w:hint="eastAsia" w:ascii="宋体" w:hAnsi="宋体" w:eastAsia="宋体" w:cs="宋体"/>
                <w:bCs/>
                <w:color w:val="auto"/>
                <w:kern w:val="2"/>
                <w:sz w:val="24"/>
                <w:szCs w:val="24"/>
                <w:lang w:val="en-US" w:eastAsia="zh-CN" w:bidi="ar-SA"/>
              </w:rPr>
              <w:t>施工机械应尽量选用低噪声的机械设备，从噪声的源头上控制；合理安排施工时间和施工进度，合理安排好施工时间，除工程必需外，夜间（22：00~6：00）和午休期间（12：00~14：00）不得进行施工作业</w:t>
            </w:r>
            <w:r>
              <w:rPr>
                <w:rFonts w:hint="eastAsia" w:ascii="宋体" w:hAnsi="宋体" w:cs="宋体"/>
                <w:bCs/>
                <w:color w:val="auto"/>
                <w:kern w:val="2"/>
                <w:sz w:val="24"/>
                <w:szCs w:val="24"/>
                <w:lang w:val="en-US" w:eastAsia="zh-CN" w:bidi="ar-SA"/>
              </w:rPr>
              <w:t>。</w:t>
            </w:r>
          </w:p>
        </w:tc>
      </w:tr>
      <w:tr w14:paraId="120397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tcMar>
              <w:top w:w="0" w:type="dxa"/>
              <w:left w:w="28" w:type="dxa"/>
              <w:bottom w:w="0" w:type="dxa"/>
              <w:right w:w="28" w:type="dxa"/>
            </w:tcMar>
            <w:vAlign w:val="center"/>
          </w:tcPr>
          <w:p w14:paraId="6F404DF8">
            <w:pPr>
              <w:adjustRightInd w:val="0"/>
              <w:snapToGrid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运营</w:t>
            </w:r>
          </w:p>
          <w:p w14:paraId="76396C91">
            <w:pPr>
              <w:adjustRightInd w:val="0"/>
              <w:snapToGrid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期环</w:t>
            </w:r>
          </w:p>
          <w:p w14:paraId="41F17E6C">
            <w:pPr>
              <w:adjustRightInd w:val="0"/>
              <w:snapToGrid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境影</w:t>
            </w:r>
          </w:p>
          <w:p w14:paraId="26A89953">
            <w:pPr>
              <w:adjustRightInd w:val="0"/>
              <w:snapToGrid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响和</w:t>
            </w:r>
          </w:p>
          <w:p w14:paraId="1CE10BC7">
            <w:pPr>
              <w:adjustRightInd w:val="0"/>
              <w:snapToGrid w:val="0"/>
              <w:jc w:val="center"/>
              <w:rPr>
                <w:rFonts w:ascii="宋体" w:hAnsi="宋体" w:cs="宋体"/>
                <w:bCs/>
                <w:color w:val="auto"/>
                <w:sz w:val="24"/>
                <w:szCs w:val="24"/>
                <w:highlight w:val="none"/>
              </w:rPr>
            </w:pPr>
            <w:r>
              <w:rPr>
                <w:rFonts w:hint="eastAsia" w:ascii="宋体" w:hAnsi="宋体" w:cs="宋体"/>
                <w:bCs/>
                <w:color w:val="auto"/>
                <w:sz w:val="24"/>
                <w:szCs w:val="24"/>
                <w:highlight w:val="none"/>
              </w:rPr>
              <w:t>保护</w:t>
            </w:r>
          </w:p>
          <w:p w14:paraId="451D26BB">
            <w:pPr>
              <w:adjustRightInd w:val="0"/>
              <w:snapToGrid w:val="0"/>
              <w:jc w:val="center"/>
              <w:rPr>
                <w:rFonts w:ascii="宋体" w:hAnsi="宋体" w:cs="宋体"/>
                <w:bCs/>
                <w:color w:val="auto"/>
                <w:szCs w:val="21"/>
                <w:highlight w:val="none"/>
              </w:rPr>
            </w:pPr>
            <w:r>
              <w:rPr>
                <w:rFonts w:hint="eastAsia" w:ascii="宋体" w:hAnsi="宋体" w:cs="宋体"/>
                <w:bCs/>
                <w:color w:val="auto"/>
                <w:sz w:val="24"/>
                <w:szCs w:val="24"/>
                <w:highlight w:val="none"/>
              </w:rPr>
              <w:t>措施</w:t>
            </w:r>
          </w:p>
        </w:tc>
        <w:tc>
          <w:tcPr>
            <w:tcW w:w="8162" w:type="dxa"/>
            <w:vAlign w:val="center"/>
          </w:tcPr>
          <w:p w14:paraId="2E6AD99D">
            <w:pPr>
              <w:pStyle w:val="51"/>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大气环境</w:t>
            </w:r>
          </w:p>
          <w:p w14:paraId="29C4EF0F">
            <w:pPr>
              <w:keepNext w:val="0"/>
              <w:keepLines w:val="0"/>
              <w:widowControl/>
              <w:numPr>
                <w:ilvl w:val="0"/>
                <w:numId w:val="4"/>
              </w:numPr>
              <w:suppressLineNumbers w:val="0"/>
              <w:spacing w:line="360" w:lineRule="auto"/>
              <w:ind w:firstLine="480" w:firstLineChars="200"/>
              <w:jc w:val="left"/>
              <w:rPr>
                <w:rFonts w:hint="default"/>
                <w:color w:val="auto"/>
                <w:sz w:val="24"/>
                <w:szCs w:val="24"/>
                <w:lang w:eastAsia="zh-CN"/>
              </w:rPr>
            </w:pPr>
            <w:r>
              <w:rPr>
                <w:rFonts w:hint="default"/>
                <w:color w:val="auto"/>
                <w:sz w:val="24"/>
                <w:szCs w:val="24"/>
                <w:lang w:eastAsia="zh-CN"/>
              </w:rPr>
              <w:t>沥青粉尘源强分析</w:t>
            </w:r>
          </w:p>
          <w:p w14:paraId="3C994F2D">
            <w:pPr>
              <w:widowControl/>
              <w:spacing w:line="360" w:lineRule="auto"/>
              <w:ind w:firstLine="480" w:firstLineChars="200"/>
              <w:jc w:val="left"/>
              <w:rPr>
                <w:rFonts w:hint="default" w:ascii="宋体" w:hAnsi="宋体" w:eastAsia="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①</w:t>
            </w:r>
            <w:r>
              <w:rPr>
                <w:rFonts w:hint="eastAsia" w:ascii="宋体" w:hAnsi="宋体" w:eastAsia="宋体" w:cs="宋体"/>
                <w:bCs/>
                <w:color w:val="auto"/>
                <w:kern w:val="2"/>
                <w:sz w:val="24"/>
                <w:szCs w:val="24"/>
                <w:lang w:val="en-US" w:eastAsia="zh-CN" w:bidi="ar-SA"/>
              </w:rPr>
              <w:t>破碎工段</w:t>
            </w:r>
          </w:p>
          <w:p w14:paraId="04EF36A9">
            <w:pPr>
              <w:widowControl/>
              <w:spacing w:line="360" w:lineRule="auto"/>
              <w:ind w:firstLine="480" w:firstLineChars="200"/>
              <w:jc w:val="left"/>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破碎过程产生的粉尘量根据“303砖瓦、石材等建筑材料制造行业系数手册”中“3039 其他建筑材料制造行业”产污系数核算，具体产污核算参数见表4-</w:t>
            </w:r>
            <w:r>
              <w:rPr>
                <w:rFonts w:hint="eastAsia" w:ascii="宋体" w:hAnsi="宋体" w:cs="宋体"/>
                <w:bCs/>
                <w:color w:val="auto"/>
                <w:kern w:val="2"/>
                <w:sz w:val="24"/>
                <w:szCs w:val="24"/>
                <w:lang w:val="en-US" w:eastAsia="zh-CN" w:bidi="ar-SA"/>
              </w:rPr>
              <w:t>1</w:t>
            </w:r>
            <w:r>
              <w:rPr>
                <w:rFonts w:hint="eastAsia" w:ascii="宋体" w:hAnsi="宋体" w:eastAsia="宋体" w:cs="宋体"/>
                <w:bCs/>
                <w:color w:val="auto"/>
                <w:kern w:val="2"/>
                <w:sz w:val="24"/>
                <w:szCs w:val="24"/>
                <w:lang w:val="en-US" w:eastAsia="zh-CN" w:bidi="ar-SA"/>
              </w:rPr>
              <w:t>。</w:t>
            </w:r>
          </w:p>
          <w:p w14:paraId="06B8807D">
            <w:pPr>
              <w:pStyle w:val="2"/>
              <w:ind w:firstLine="482"/>
              <w:rPr>
                <w:rFonts w:hint="eastAsia"/>
                <w:b/>
                <w:bCs/>
                <w:color w:val="auto"/>
                <w:kern w:val="0"/>
                <w:sz w:val="21"/>
                <w:szCs w:val="21"/>
                <w:lang w:bidi="ar"/>
              </w:rPr>
            </w:pPr>
            <w:r>
              <w:rPr>
                <w:rFonts w:hint="eastAsia"/>
                <w:b/>
                <w:bCs/>
                <w:color w:val="auto"/>
                <w:kern w:val="0"/>
                <w:sz w:val="21"/>
                <w:szCs w:val="21"/>
                <w:lang w:bidi="ar"/>
              </w:rPr>
              <w:t>表4-</w:t>
            </w:r>
            <w:r>
              <w:rPr>
                <w:rFonts w:hint="eastAsia"/>
                <w:b/>
                <w:bCs/>
                <w:color w:val="auto"/>
                <w:kern w:val="0"/>
                <w:sz w:val="21"/>
                <w:szCs w:val="21"/>
                <w:lang w:val="en-US" w:eastAsia="zh-CN" w:bidi="ar"/>
              </w:rPr>
              <w:t>1</w:t>
            </w:r>
            <w:r>
              <w:rPr>
                <w:rFonts w:hint="eastAsia"/>
                <w:b/>
                <w:bCs/>
                <w:color w:val="auto"/>
                <w:kern w:val="0"/>
                <w:sz w:val="21"/>
                <w:szCs w:val="21"/>
                <w:lang w:bidi="ar"/>
              </w:rPr>
              <w:t xml:space="preserve">    </w:t>
            </w:r>
            <w:r>
              <w:rPr>
                <w:rFonts w:hint="eastAsia"/>
                <w:b/>
                <w:bCs/>
                <w:color w:val="auto"/>
                <w:kern w:val="0"/>
                <w:sz w:val="21"/>
                <w:szCs w:val="21"/>
                <w:lang w:val="en-US" w:eastAsia="zh-CN" w:bidi="ar"/>
              </w:rPr>
              <w:t>硬质沥青</w:t>
            </w:r>
            <w:r>
              <w:rPr>
                <w:rFonts w:hint="eastAsia"/>
                <w:b/>
                <w:bCs/>
                <w:color w:val="auto"/>
                <w:kern w:val="0"/>
                <w:sz w:val="21"/>
                <w:szCs w:val="21"/>
                <w:lang w:bidi="ar"/>
              </w:rPr>
              <w:t>破碎过程粉尘产污系数</w:t>
            </w:r>
          </w:p>
          <w:tbl>
            <w:tblPr>
              <w:tblStyle w:val="26"/>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319"/>
              <w:gridCol w:w="937"/>
              <w:gridCol w:w="1199"/>
              <w:gridCol w:w="1144"/>
              <w:gridCol w:w="956"/>
              <w:gridCol w:w="937"/>
              <w:gridCol w:w="956"/>
            </w:tblGrid>
            <w:tr w14:paraId="0EE0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563" w:type="pct"/>
                  <w:noWrap w:val="0"/>
                  <w:vAlign w:val="center"/>
                </w:tcPr>
                <w:p w14:paraId="77B9B6F2">
                  <w:pPr>
                    <w:jc w:val="center"/>
                    <w:rPr>
                      <w:color w:val="auto"/>
                      <w:sz w:val="21"/>
                      <w:szCs w:val="21"/>
                    </w:rPr>
                  </w:pPr>
                  <w:r>
                    <w:rPr>
                      <w:color w:val="auto"/>
                      <w:sz w:val="21"/>
                      <w:szCs w:val="21"/>
                    </w:rPr>
                    <w:t>产品名称</w:t>
                  </w:r>
                </w:p>
              </w:tc>
              <w:tc>
                <w:tcPr>
                  <w:tcW w:w="785" w:type="pct"/>
                  <w:noWrap w:val="0"/>
                  <w:vAlign w:val="center"/>
                </w:tcPr>
                <w:p w14:paraId="1900847C">
                  <w:pPr>
                    <w:jc w:val="center"/>
                    <w:rPr>
                      <w:color w:val="auto"/>
                      <w:sz w:val="21"/>
                      <w:szCs w:val="21"/>
                    </w:rPr>
                  </w:pPr>
                  <w:r>
                    <w:rPr>
                      <w:color w:val="auto"/>
                      <w:sz w:val="21"/>
                      <w:szCs w:val="21"/>
                    </w:rPr>
                    <w:t>原料名称</w:t>
                  </w:r>
                </w:p>
              </w:tc>
              <w:tc>
                <w:tcPr>
                  <w:tcW w:w="558" w:type="pct"/>
                  <w:noWrap w:val="0"/>
                  <w:vAlign w:val="center"/>
                </w:tcPr>
                <w:p w14:paraId="78F44398">
                  <w:pPr>
                    <w:jc w:val="center"/>
                    <w:rPr>
                      <w:color w:val="auto"/>
                      <w:sz w:val="21"/>
                      <w:szCs w:val="21"/>
                    </w:rPr>
                  </w:pPr>
                  <w:r>
                    <w:rPr>
                      <w:color w:val="auto"/>
                      <w:sz w:val="21"/>
                      <w:szCs w:val="21"/>
                    </w:rPr>
                    <w:t>工艺名称</w:t>
                  </w:r>
                </w:p>
              </w:tc>
              <w:tc>
                <w:tcPr>
                  <w:tcW w:w="714" w:type="pct"/>
                  <w:noWrap w:val="0"/>
                  <w:vAlign w:val="center"/>
                </w:tcPr>
                <w:p w14:paraId="5ACFC463">
                  <w:pPr>
                    <w:jc w:val="center"/>
                    <w:rPr>
                      <w:color w:val="auto"/>
                      <w:sz w:val="21"/>
                      <w:szCs w:val="21"/>
                    </w:rPr>
                  </w:pPr>
                  <w:r>
                    <w:rPr>
                      <w:color w:val="auto"/>
                      <w:sz w:val="21"/>
                      <w:szCs w:val="21"/>
                    </w:rPr>
                    <w:t>污染物指标</w:t>
                  </w:r>
                </w:p>
              </w:tc>
              <w:tc>
                <w:tcPr>
                  <w:tcW w:w="681" w:type="pct"/>
                  <w:noWrap w:val="0"/>
                  <w:vAlign w:val="center"/>
                </w:tcPr>
                <w:p w14:paraId="6944FC51">
                  <w:pPr>
                    <w:jc w:val="center"/>
                    <w:rPr>
                      <w:color w:val="auto"/>
                      <w:sz w:val="21"/>
                      <w:szCs w:val="21"/>
                    </w:rPr>
                  </w:pPr>
                  <w:r>
                    <w:rPr>
                      <w:color w:val="auto"/>
                      <w:sz w:val="21"/>
                      <w:szCs w:val="21"/>
                    </w:rPr>
                    <w:t>系数单位</w:t>
                  </w:r>
                </w:p>
              </w:tc>
              <w:tc>
                <w:tcPr>
                  <w:tcW w:w="569" w:type="pct"/>
                  <w:noWrap w:val="0"/>
                  <w:vAlign w:val="center"/>
                </w:tcPr>
                <w:p w14:paraId="7D43ABC1">
                  <w:pPr>
                    <w:jc w:val="center"/>
                    <w:rPr>
                      <w:color w:val="auto"/>
                      <w:sz w:val="21"/>
                      <w:szCs w:val="21"/>
                    </w:rPr>
                  </w:pPr>
                  <w:r>
                    <w:rPr>
                      <w:color w:val="auto"/>
                      <w:sz w:val="21"/>
                      <w:szCs w:val="21"/>
                    </w:rPr>
                    <w:t>产污系数</w:t>
                  </w:r>
                </w:p>
              </w:tc>
              <w:tc>
                <w:tcPr>
                  <w:tcW w:w="558" w:type="pct"/>
                  <w:noWrap w:val="0"/>
                  <w:vAlign w:val="center"/>
                </w:tcPr>
                <w:p w14:paraId="129B436F">
                  <w:pPr>
                    <w:jc w:val="center"/>
                    <w:rPr>
                      <w:color w:val="auto"/>
                      <w:sz w:val="21"/>
                      <w:szCs w:val="21"/>
                    </w:rPr>
                  </w:pPr>
                  <w:r>
                    <w:rPr>
                      <w:color w:val="auto"/>
                      <w:sz w:val="21"/>
                      <w:szCs w:val="21"/>
                    </w:rPr>
                    <w:t>末端治理</w:t>
                  </w:r>
                </w:p>
              </w:tc>
              <w:tc>
                <w:tcPr>
                  <w:tcW w:w="569" w:type="pct"/>
                  <w:noWrap w:val="0"/>
                  <w:vAlign w:val="center"/>
                </w:tcPr>
                <w:p w14:paraId="2AE5AB50">
                  <w:pPr>
                    <w:jc w:val="center"/>
                    <w:rPr>
                      <w:color w:val="auto"/>
                      <w:sz w:val="21"/>
                      <w:szCs w:val="21"/>
                    </w:rPr>
                  </w:pPr>
                  <w:r>
                    <w:rPr>
                      <w:color w:val="auto"/>
                      <w:sz w:val="21"/>
                      <w:szCs w:val="21"/>
                    </w:rPr>
                    <w:t>去除效率</w:t>
                  </w:r>
                </w:p>
              </w:tc>
            </w:tr>
            <w:tr w14:paraId="376F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563" w:type="pct"/>
                  <w:noWrap w:val="0"/>
                  <w:vAlign w:val="center"/>
                </w:tcPr>
                <w:p w14:paraId="16C4E12D">
                  <w:pPr>
                    <w:jc w:val="center"/>
                    <w:rPr>
                      <w:color w:val="auto"/>
                      <w:sz w:val="21"/>
                      <w:szCs w:val="21"/>
                    </w:rPr>
                  </w:pPr>
                  <w:r>
                    <w:rPr>
                      <w:rFonts w:hint="eastAsia" w:ascii="宋体" w:hAnsi="宋体" w:eastAsia="宋体" w:cs="宋体"/>
                      <w:color w:val="auto"/>
                      <w:kern w:val="2"/>
                      <w:sz w:val="21"/>
                      <w:szCs w:val="21"/>
                      <w:highlight w:val="none"/>
                      <w:u w:val="none"/>
                      <w:lang w:val="en-US" w:eastAsia="zh-CN" w:bidi="ar-SA"/>
                    </w:rPr>
                    <w:t>硬质沥青</w:t>
                  </w:r>
                </w:p>
              </w:tc>
              <w:tc>
                <w:tcPr>
                  <w:tcW w:w="785" w:type="pct"/>
                  <w:noWrap w:val="0"/>
                  <w:vAlign w:val="center"/>
                </w:tcPr>
                <w:p w14:paraId="149B1CF7">
                  <w:pPr>
                    <w:jc w:val="center"/>
                    <w:rPr>
                      <w:color w:val="auto"/>
                      <w:sz w:val="21"/>
                      <w:szCs w:val="21"/>
                    </w:rPr>
                  </w:pPr>
                  <w:r>
                    <w:rPr>
                      <w:rFonts w:hint="eastAsia" w:ascii="宋体" w:hAnsi="宋体" w:eastAsia="宋体" w:cs="宋体"/>
                      <w:color w:val="auto"/>
                      <w:kern w:val="2"/>
                      <w:sz w:val="21"/>
                      <w:szCs w:val="21"/>
                      <w:highlight w:val="none"/>
                      <w:u w:val="none"/>
                      <w:lang w:val="en-US" w:eastAsia="zh-CN" w:bidi="ar-SA"/>
                    </w:rPr>
                    <w:t>超硬质沥青</w:t>
                  </w:r>
                </w:p>
              </w:tc>
              <w:tc>
                <w:tcPr>
                  <w:tcW w:w="558" w:type="pct"/>
                  <w:noWrap w:val="0"/>
                  <w:vAlign w:val="center"/>
                </w:tcPr>
                <w:p w14:paraId="699556C9">
                  <w:pPr>
                    <w:jc w:val="center"/>
                    <w:rPr>
                      <w:color w:val="auto"/>
                      <w:sz w:val="21"/>
                      <w:szCs w:val="21"/>
                    </w:rPr>
                  </w:pPr>
                  <w:r>
                    <w:rPr>
                      <w:color w:val="auto"/>
                      <w:sz w:val="21"/>
                      <w:szCs w:val="21"/>
                    </w:rPr>
                    <w:t>破碎</w:t>
                  </w:r>
                </w:p>
              </w:tc>
              <w:tc>
                <w:tcPr>
                  <w:tcW w:w="714" w:type="pct"/>
                  <w:noWrap w:val="0"/>
                  <w:vAlign w:val="center"/>
                </w:tcPr>
                <w:p w14:paraId="51918093">
                  <w:pPr>
                    <w:jc w:val="center"/>
                    <w:rPr>
                      <w:rFonts w:hint="eastAsia" w:eastAsia="宋体"/>
                      <w:color w:val="auto"/>
                      <w:sz w:val="21"/>
                      <w:szCs w:val="21"/>
                      <w:lang w:eastAsia="zh-CN"/>
                    </w:rPr>
                  </w:pPr>
                  <w:r>
                    <w:rPr>
                      <w:rFonts w:hint="eastAsia"/>
                      <w:color w:val="auto"/>
                      <w:sz w:val="21"/>
                      <w:szCs w:val="21"/>
                      <w:lang w:val="en-US" w:eastAsia="zh-CN"/>
                    </w:rPr>
                    <w:t>颗粒物</w:t>
                  </w:r>
                </w:p>
              </w:tc>
              <w:tc>
                <w:tcPr>
                  <w:tcW w:w="681" w:type="pct"/>
                  <w:noWrap w:val="0"/>
                  <w:vAlign w:val="center"/>
                </w:tcPr>
                <w:p w14:paraId="23864AAB">
                  <w:pPr>
                    <w:jc w:val="center"/>
                    <w:rPr>
                      <w:color w:val="auto"/>
                      <w:sz w:val="21"/>
                      <w:szCs w:val="21"/>
                    </w:rPr>
                  </w:pPr>
                  <w:r>
                    <w:rPr>
                      <w:rFonts w:hint="eastAsia"/>
                      <w:color w:val="auto"/>
                      <w:sz w:val="21"/>
                      <w:szCs w:val="21"/>
                      <w:lang w:val="en-US" w:eastAsia="zh-CN"/>
                    </w:rPr>
                    <w:t>千克/吨-产品</w:t>
                  </w:r>
                </w:p>
              </w:tc>
              <w:tc>
                <w:tcPr>
                  <w:tcW w:w="569" w:type="pct"/>
                  <w:noWrap w:val="0"/>
                  <w:vAlign w:val="center"/>
                </w:tcPr>
                <w:p w14:paraId="154A93C5">
                  <w:pPr>
                    <w:jc w:val="center"/>
                    <w:rPr>
                      <w:rFonts w:hint="default" w:eastAsia="宋体"/>
                      <w:color w:val="auto"/>
                      <w:sz w:val="21"/>
                      <w:szCs w:val="21"/>
                      <w:lang w:val="en-US" w:eastAsia="zh-CN"/>
                    </w:rPr>
                  </w:pPr>
                  <w:r>
                    <w:rPr>
                      <w:rFonts w:hint="eastAsia"/>
                      <w:color w:val="auto"/>
                      <w:sz w:val="21"/>
                      <w:szCs w:val="21"/>
                      <w:lang w:val="en-US" w:eastAsia="zh-CN"/>
                    </w:rPr>
                    <w:t>1.89</w:t>
                  </w:r>
                </w:p>
              </w:tc>
              <w:tc>
                <w:tcPr>
                  <w:tcW w:w="558" w:type="pct"/>
                  <w:noWrap w:val="0"/>
                  <w:vAlign w:val="center"/>
                </w:tcPr>
                <w:p w14:paraId="3D727F42">
                  <w:pPr>
                    <w:jc w:val="center"/>
                    <w:rPr>
                      <w:color w:val="auto"/>
                      <w:sz w:val="21"/>
                      <w:szCs w:val="21"/>
                    </w:rPr>
                  </w:pPr>
                  <w:r>
                    <w:rPr>
                      <w:rFonts w:hint="eastAsia"/>
                      <w:color w:val="auto"/>
                      <w:sz w:val="21"/>
                      <w:szCs w:val="21"/>
                      <w:lang w:val="en-US" w:eastAsia="zh-CN"/>
                    </w:rPr>
                    <w:t>集气罩+</w:t>
                  </w:r>
                  <w:r>
                    <w:rPr>
                      <w:color w:val="auto"/>
                      <w:sz w:val="21"/>
                      <w:szCs w:val="21"/>
                    </w:rPr>
                    <w:t>袋式除尘</w:t>
                  </w:r>
                </w:p>
              </w:tc>
              <w:tc>
                <w:tcPr>
                  <w:tcW w:w="569" w:type="pct"/>
                  <w:noWrap w:val="0"/>
                  <w:vAlign w:val="center"/>
                </w:tcPr>
                <w:p w14:paraId="13BE50F2">
                  <w:pPr>
                    <w:jc w:val="center"/>
                    <w:rPr>
                      <w:color w:val="auto"/>
                      <w:sz w:val="21"/>
                      <w:szCs w:val="21"/>
                    </w:rPr>
                  </w:pPr>
                  <w:r>
                    <w:rPr>
                      <w:rFonts w:hint="eastAsia"/>
                      <w:color w:val="auto"/>
                      <w:sz w:val="21"/>
                      <w:szCs w:val="21"/>
                      <w:lang w:val="en-US" w:eastAsia="zh-CN"/>
                    </w:rPr>
                    <w:t>集气罩（集气效率90%）+布袋除尘器（去除率99%）</w:t>
                  </w:r>
                </w:p>
              </w:tc>
            </w:tr>
          </w:tbl>
          <w:p w14:paraId="7F659A92">
            <w:pPr>
              <w:pStyle w:val="2"/>
              <w:spacing w:after="0" w:line="360" w:lineRule="auto"/>
              <w:ind w:left="0" w:leftChars="0" w:firstLine="480"/>
              <w:rPr>
                <w:rFonts w:hint="default" w:ascii="宋体" w:hAnsi="宋体" w:eastAsia="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由表4-</w:t>
            </w:r>
            <w:r>
              <w:rPr>
                <w:rFonts w:hint="eastAsia" w:ascii="宋体" w:hAnsi="宋体" w:eastAsia="宋体" w:cs="宋体"/>
                <w:bCs/>
                <w:color w:val="auto"/>
                <w:kern w:val="2"/>
                <w:sz w:val="24"/>
                <w:szCs w:val="24"/>
                <w:lang w:val="en-US" w:eastAsia="zh-CN" w:bidi="ar-SA"/>
              </w:rPr>
              <w:t>1</w:t>
            </w:r>
            <w:r>
              <w:rPr>
                <w:rFonts w:hint="default" w:ascii="宋体" w:hAnsi="宋体" w:eastAsia="宋体" w:cs="宋体"/>
                <w:bCs/>
                <w:color w:val="auto"/>
                <w:kern w:val="2"/>
                <w:sz w:val="24"/>
                <w:szCs w:val="24"/>
                <w:lang w:val="en-US" w:eastAsia="zh-CN" w:bidi="ar-SA"/>
              </w:rPr>
              <w:t>，</w:t>
            </w:r>
            <w:r>
              <w:rPr>
                <w:rFonts w:hint="eastAsia" w:ascii="宋体" w:hAnsi="宋体" w:cs="宋体"/>
                <w:bCs/>
                <w:color w:val="auto"/>
                <w:kern w:val="2"/>
                <w:sz w:val="24"/>
                <w:szCs w:val="24"/>
                <w:lang w:val="en-US" w:eastAsia="zh-CN" w:bidi="ar-SA"/>
              </w:rPr>
              <w:t>硬质沥青破碎</w:t>
            </w:r>
            <w:r>
              <w:rPr>
                <w:rFonts w:hint="default" w:ascii="宋体" w:hAnsi="宋体" w:eastAsia="宋体" w:cs="宋体"/>
                <w:bCs/>
                <w:color w:val="auto"/>
                <w:kern w:val="2"/>
                <w:sz w:val="24"/>
                <w:szCs w:val="24"/>
                <w:lang w:val="en-US" w:eastAsia="zh-CN" w:bidi="ar-SA"/>
              </w:rPr>
              <w:t>过程粉尘产生量为</w:t>
            </w:r>
            <w:r>
              <w:rPr>
                <w:rFonts w:hint="eastAsia" w:ascii="宋体" w:hAnsi="宋体" w:cs="宋体"/>
                <w:bCs/>
                <w:color w:val="auto"/>
                <w:kern w:val="2"/>
                <w:sz w:val="24"/>
                <w:szCs w:val="24"/>
                <w:lang w:val="en-US" w:eastAsia="zh-CN" w:bidi="ar-SA"/>
              </w:rPr>
              <w:t>37.8</w:t>
            </w:r>
            <w:r>
              <w:rPr>
                <w:rFonts w:hint="default" w:ascii="宋体" w:hAnsi="宋体" w:eastAsia="宋体" w:cs="宋体"/>
                <w:bCs/>
                <w:color w:val="auto"/>
                <w:kern w:val="2"/>
                <w:sz w:val="24"/>
                <w:szCs w:val="24"/>
                <w:lang w:val="en-US" w:eastAsia="zh-CN" w:bidi="ar-SA"/>
              </w:rPr>
              <w:t>t/a，</w:t>
            </w:r>
            <w:r>
              <w:rPr>
                <w:rFonts w:hint="eastAsia" w:ascii="宋体" w:hAnsi="宋体" w:cs="宋体"/>
                <w:bCs/>
                <w:color w:val="auto"/>
                <w:kern w:val="2"/>
                <w:sz w:val="24"/>
                <w:szCs w:val="24"/>
                <w:lang w:val="en-US" w:eastAsia="zh-CN" w:bidi="ar-SA"/>
              </w:rPr>
              <w:t>该工段单独设立集气罩，</w:t>
            </w:r>
            <w:r>
              <w:rPr>
                <w:rFonts w:hint="default" w:ascii="宋体" w:hAnsi="宋体" w:eastAsia="宋体" w:cs="宋体"/>
                <w:bCs/>
                <w:color w:val="auto"/>
                <w:kern w:val="2"/>
                <w:sz w:val="24"/>
                <w:szCs w:val="24"/>
                <w:lang w:val="en-US" w:eastAsia="zh-CN" w:bidi="ar-SA"/>
              </w:rPr>
              <w:t>集气罩收集效率为</w:t>
            </w:r>
            <w:r>
              <w:rPr>
                <w:rFonts w:hint="eastAsia" w:ascii="宋体" w:hAnsi="宋体" w:cs="宋体"/>
                <w:bCs/>
                <w:color w:val="auto"/>
                <w:kern w:val="2"/>
                <w:sz w:val="24"/>
                <w:szCs w:val="24"/>
                <w:lang w:val="en-US" w:eastAsia="zh-CN" w:bidi="ar-SA"/>
              </w:rPr>
              <w:t>9</w:t>
            </w:r>
            <w:r>
              <w:rPr>
                <w:rFonts w:hint="default" w:ascii="宋体" w:hAnsi="宋体" w:eastAsia="宋体" w:cs="宋体"/>
                <w:bCs/>
                <w:color w:val="auto"/>
                <w:kern w:val="2"/>
                <w:sz w:val="24"/>
                <w:szCs w:val="24"/>
                <w:lang w:val="en-US" w:eastAsia="zh-CN" w:bidi="ar-SA"/>
              </w:rPr>
              <w:t>0%，</w:t>
            </w:r>
            <w:r>
              <w:rPr>
                <w:rFonts w:hint="eastAsia" w:ascii="宋体" w:hAnsi="宋体" w:cs="宋体"/>
                <w:bCs/>
                <w:color w:val="auto"/>
                <w:kern w:val="2"/>
                <w:sz w:val="24"/>
                <w:szCs w:val="24"/>
                <w:lang w:val="en-US" w:eastAsia="zh-CN" w:bidi="ar-SA"/>
              </w:rPr>
              <w:t>沥青粉尘经集气罩收集后与包装工段共用一套</w:t>
            </w:r>
            <w:r>
              <w:rPr>
                <w:rFonts w:hint="default" w:ascii="宋体" w:hAnsi="宋体" w:eastAsia="宋体" w:cs="宋体"/>
                <w:bCs/>
                <w:color w:val="auto"/>
                <w:kern w:val="2"/>
                <w:sz w:val="24"/>
                <w:szCs w:val="24"/>
                <w:lang w:val="en-US" w:eastAsia="zh-CN" w:bidi="ar-SA"/>
              </w:rPr>
              <w:t>布袋除尘器</w:t>
            </w:r>
            <w:r>
              <w:rPr>
                <w:rFonts w:hint="eastAsia" w:ascii="宋体" w:hAnsi="宋体" w:cs="宋体"/>
                <w:bCs/>
                <w:color w:val="auto"/>
                <w:kern w:val="2"/>
                <w:sz w:val="24"/>
                <w:szCs w:val="24"/>
                <w:lang w:val="en-US" w:eastAsia="zh-CN" w:bidi="ar-SA"/>
              </w:rPr>
              <w:t>（</w:t>
            </w:r>
            <w:r>
              <w:rPr>
                <w:rFonts w:hint="default" w:ascii="宋体" w:hAnsi="宋体" w:eastAsia="宋体" w:cs="宋体"/>
                <w:bCs/>
                <w:color w:val="auto"/>
                <w:kern w:val="2"/>
                <w:sz w:val="24"/>
                <w:szCs w:val="24"/>
                <w:lang w:val="en-US" w:eastAsia="zh-CN" w:bidi="ar-SA"/>
              </w:rPr>
              <w:t>处理效率</w:t>
            </w:r>
            <w:r>
              <w:rPr>
                <w:rFonts w:hint="eastAsia" w:ascii="宋体" w:hAnsi="宋体" w:cs="宋体"/>
                <w:bCs/>
                <w:color w:val="auto"/>
                <w:kern w:val="2"/>
                <w:sz w:val="24"/>
                <w:szCs w:val="24"/>
                <w:lang w:val="en-US" w:eastAsia="zh-CN" w:bidi="ar-SA"/>
              </w:rPr>
              <w:t>为</w:t>
            </w:r>
            <w:r>
              <w:rPr>
                <w:rFonts w:hint="default" w:ascii="宋体" w:hAnsi="宋体" w:eastAsia="宋体" w:cs="宋体"/>
                <w:bCs/>
                <w:color w:val="auto"/>
                <w:kern w:val="2"/>
                <w:sz w:val="24"/>
                <w:szCs w:val="24"/>
                <w:lang w:val="en-US" w:eastAsia="zh-CN" w:bidi="ar-SA"/>
              </w:rPr>
              <w:t>99%</w:t>
            </w:r>
            <w:r>
              <w:rPr>
                <w:rFonts w:hint="eastAsia" w:ascii="宋体" w:hAnsi="宋体" w:cs="宋体"/>
                <w:bCs/>
                <w:color w:val="auto"/>
                <w:kern w:val="2"/>
                <w:sz w:val="24"/>
                <w:szCs w:val="24"/>
                <w:lang w:val="en-US" w:eastAsia="zh-CN" w:bidi="ar-SA"/>
              </w:rPr>
              <w:t>）+15m高排气筒（与包装工段共用）排放</w:t>
            </w:r>
            <w:r>
              <w:rPr>
                <w:rFonts w:hint="default" w:ascii="宋体" w:hAnsi="宋体" w:eastAsia="宋体" w:cs="宋体"/>
                <w:bCs/>
                <w:color w:val="auto"/>
                <w:kern w:val="2"/>
                <w:sz w:val="24"/>
                <w:szCs w:val="24"/>
                <w:lang w:val="en-US" w:eastAsia="zh-CN" w:bidi="ar-SA"/>
              </w:rPr>
              <w:t>。</w:t>
            </w:r>
          </w:p>
          <w:p w14:paraId="772AD93A">
            <w:pPr>
              <w:spacing w:line="360" w:lineRule="auto"/>
              <w:ind w:firstLine="480" w:firstLineChars="200"/>
              <w:rPr>
                <w:rFonts w:hint="default" w:ascii="宋体" w:hAnsi="宋体" w:eastAsia="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破碎过程有约</w:t>
            </w:r>
            <w:r>
              <w:rPr>
                <w:rFonts w:hint="eastAsia" w:ascii="宋体" w:hAnsi="宋体" w:cs="宋体"/>
                <w:bCs/>
                <w:color w:val="auto"/>
                <w:kern w:val="2"/>
                <w:sz w:val="24"/>
                <w:szCs w:val="24"/>
                <w:lang w:val="en-US" w:eastAsia="zh-CN" w:bidi="ar-SA"/>
              </w:rPr>
              <w:t>1</w:t>
            </w:r>
            <w:r>
              <w:rPr>
                <w:rFonts w:hint="default" w:ascii="宋体" w:hAnsi="宋体" w:eastAsia="宋体" w:cs="宋体"/>
                <w:bCs/>
                <w:color w:val="auto"/>
                <w:kern w:val="2"/>
                <w:sz w:val="24"/>
                <w:szCs w:val="24"/>
                <w:lang w:val="en-US" w:eastAsia="zh-CN" w:bidi="ar-SA"/>
              </w:rPr>
              <w:t>0%的粉尘未被收集，以无组织形式扩散，则该部分排放量为</w:t>
            </w:r>
            <w:r>
              <w:rPr>
                <w:rFonts w:hint="eastAsia" w:ascii="宋体" w:hAnsi="宋体" w:cs="宋体"/>
                <w:bCs/>
                <w:color w:val="auto"/>
                <w:kern w:val="2"/>
                <w:sz w:val="24"/>
                <w:szCs w:val="24"/>
                <w:lang w:val="en-US" w:eastAsia="zh-CN" w:bidi="ar-SA"/>
              </w:rPr>
              <w:t>3.78</w:t>
            </w:r>
            <w:r>
              <w:rPr>
                <w:rFonts w:hint="default" w:ascii="宋体" w:hAnsi="宋体" w:eastAsia="宋体" w:cs="宋体"/>
                <w:bCs/>
                <w:color w:val="auto"/>
                <w:kern w:val="2"/>
                <w:sz w:val="24"/>
                <w:szCs w:val="24"/>
                <w:lang w:val="en-US" w:eastAsia="zh-CN" w:bidi="ar-SA"/>
              </w:rPr>
              <w:t>t/a。</w:t>
            </w:r>
          </w:p>
          <w:p w14:paraId="3E90BD66">
            <w:pPr>
              <w:pStyle w:val="2"/>
              <w:spacing w:after="0" w:line="360" w:lineRule="auto"/>
              <w:ind w:left="0" w:leftChars="0" w:firstLine="480"/>
              <w:rPr>
                <w:rFonts w:hint="eastAsia" w:ascii="宋体" w:hAnsi="宋体" w:cs="宋体"/>
                <w:bCs/>
                <w:color w:val="auto"/>
                <w:kern w:val="2"/>
                <w:sz w:val="24"/>
                <w:szCs w:val="24"/>
                <w:lang w:val="en-US" w:eastAsia="zh-CN" w:bidi="ar-SA"/>
              </w:rPr>
            </w:pPr>
            <w:r>
              <w:rPr>
                <w:rFonts w:hint="default" w:ascii="宋体" w:hAnsi="宋体" w:eastAsia="宋体" w:cs="宋体"/>
                <w:bCs/>
                <w:color w:val="auto"/>
                <w:kern w:val="2"/>
                <w:sz w:val="24"/>
                <w:szCs w:val="24"/>
                <w:lang w:val="en-US" w:eastAsia="zh-CN" w:bidi="ar-SA"/>
              </w:rPr>
              <w:t>②</w:t>
            </w:r>
            <w:r>
              <w:rPr>
                <w:rFonts w:hint="eastAsia" w:ascii="宋体" w:hAnsi="宋体" w:cs="宋体"/>
                <w:bCs/>
                <w:color w:val="auto"/>
                <w:kern w:val="2"/>
                <w:sz w:val="24"/>
                <w:szCs w:val="24"/>
                <w:lang w:val="en-US" w:eastAsia="zh-CN" w:bidi="ar-SA"/>
              </w:rPr>
              <w:t>包装工段</w:t>
            </w:r>
          </w:p>
          <w:p w14:paraId="78D4B23F">
            <w:pPr>
              <w:pStyle w:val="72"/>
              <w:spacing w:line="360" w:lineRule="auto"/>
              <w:ind w:firstLine="420"/>
              <w:rPr>
                <w:rFonts w:hint="default" w:ascii="宋体" w:hAnsi="宋体" w:cs="Times New Roman"/>
                <w:snapToGrid/>
                <w:color w:val="auto"/>
                <w:sz w:val="24"/>
                <w:lang w:val="en-US" w:eastAsia="zh-CN"/>
              </w:rPr>
            </w:pPr>
            <w:r>
              <w:rPr>
                <w:rFonts w:hint="eastAsia" w:ascii="宋体" w:hAnsi="宋体" w:cs="Times New Roman"/>
                <w:snapToGrid/>
                <w:color w:val="auto"/>
                <w:sz w:val="24"/>
                <w:lang w:val="en-US" w:eastAsia="zh-CN"/>
              </w:rPr>
              <w:t>本项目年产超硬质沥青18400吨和沥青改性剂</w:t>
            </w:r>
            <w:r>
              <w:rPr>
                <w:rFonts w:hint="eastAsia"/>
                <w:color w:val="auto"/>
                <w:sz w:val="24"/>
                <w:szCs w:val="24"/>
                <w:lang w:val="en-US" w:eastAsia="zh-CN"/>
              </w:rPr>
              <w:t>1600t/a</w:t>
            </w:r>
            <w:r>
              <w:rPr>
                <w:rFonts w:hint="eastAsia" w:ascii="宋体" w:hAnsi="宋体" w:cs="Times New Roman"/>
                <w:snapToGrid/>
                <w:color w:val="auto"/>
                <w:sz w:val="24"/>
                <w:lang w:val="en-US" w:eastAsia="zh-CN"/>
              </w:rPr>
              <w:t>。</w:t>
            </w:r>
            <w:r>
              <w:rPr>
                <w:rFonts w:hint="default" w:ascii="宋体" w:hAnsi="宋体" w:cs="Times New Roman"/>
                <w:snapToGrid/>
                <w:color w:val="auto"/>
                <w:sz w:val="24"/>
                <w:lang w:val="en-US" w:eastAsia="zh-CN"/>
              </w:rPr>
              <w:t>根据类比调查和同类型项目产污系数，产尘系数按</w:t>
            </w:r>
            <w:r>
              <w:rPr>
                <w:rFonts w:hint="eastAsia" w:ascii="宋体" w:hAnsi="宋体" w:cs="Times New Roman"/>
                <w:snapToGrid/>
                <w:color w:val="auto"/>
                <w:sz w:val="24"/>
                <w:lang w:val="en-US" w:eastAsia="zh-CN"/>
              </w:rPr>
              <w:t>0.1</w:t>
            </w:r>
            <w:r>
              <w:rPr>
                <w:rFonts w:hint="default" w:ascii="宋体" w:hAnsi="宋体" w:cs="Times New Roman"/>
                <w:snapToGrid/>
                <w:color w:val="auto"/>
                <w:sz w:val="24"/>
                <w:lang w:val="en-US" w:eastAsia="zh-CN"/>
              </w:rPr>
              <w:t>kg/t粉料计，项目包装粉尘产生量约</w:t>
            </w:r>
            <w:r>
              <w:rPr>
                <w:rFonts w:hint="eastAsia" w:ascii="宋体" w:hAnsi="宋体" w:cs="Times New Roman"/>
                <w:snapToGrid/>
                <w:color w:val="auto"/>
                <w:sz w:val="24"/>
                <w:lang w:val="en-US" w:eastAsia="zh-CN"/>
              </w:rPr>
              <w:t>2t</w:t>
            </w:r>
            <w:r>
              <w:rPr>
                <w:rFonts w:hint="default" w:ascii="宋体" w:hAnsi="宋体" w:cs="Times New Roman"/>
                <w:snapToGrid/>
                <w:color w:val="auto"/>
                <w:sz w:val="24"/>
                <w:lang w:val="en-US" w:eastAsia="zh-CN"/>
              </w:rPr>
              <w:t>/a，产生速率为0.2</w:t>
            </w:r>
            <w:r>
              <w:rPr>
                <w:rFonts w:hint="eastAsia" w:ascii="宋体" w:hAnsi="宋体" w:cs="Times New Roman"/>
                <w:snapToGrid/>
                <w:color w:val="auto"/>
                <w:sz w:val="24"/>
                <w:lang w:val="en-US" w:eastAsia="zh-CN"/>
              </w:rPr>
              <w:t>5</w:t>
            </w:r>
            <w:r>
              <w:rPr>
                <w:rFonts w:hint="default" w:ascii="宋体" w:hAnsi="宋体" w:cs="Times New Roman"/>
                <w:snapToGrid/>
                <w:color w:val="auto"/>
                <w:sz w:val="24"/>
                <w:lang w:val="en-US" w:eastAsia="zh-CN"/>
              </w:rPr>
              <w:t>kg/h。</w:t>
            </w:r>
          </w:p>
          <w:p w14:paraId="7E474E64">
            <w:pPr>
              <w:pStyle w:val="72"/>
              <w:spacing w:line="360" w:lineRule="auto"/>
              <w:ind w:firstLine="420"/>
              <w:rPr>
                <w:rFonts w:hint="default" w:ascii="宋体" w:hAnsi="宋体" w:cs="Times New Roman"/>
                <w:snapToGrid/>
                <w:color w:val="auto"/>
                <w:sz w:val="24"/>
                <w:lang w:val="en-US" w:eastAsia="zh-CN"/>
              </w:rPr>
            </w:pPr>
            <w:r>
              <w:rPr>
                <w:rFonts w:hint="eastAsia" w:ascii="宋体" w:hAnsi="宋体" w:cs="Times New Roman"/>
                <w:snapToGrid/>
                <w:color w:val="auto"/>
                <w:sz w:val="24"/>
                <w:lang w:val="en-US" w:eastAsia="zh-CN"/>
              </w:rPr>
              <w:t>超硬质沥青和沥青改性剂包装</w:t>
            </w:r>
            <w:r>
              <w:rPr>
                <w:rFonts w:hint="default" w:ascii="宋体" w:hAnsi="宋体" w:cs="Times New Roman"/>
                <w:snapToGrid/>
                <w:color w:val="auto"/>
                <w:sz w:val="24"/>
                <w:lang w:val="en-US" w:eastAsia="zh-CN"/>
              </w:rPr>
              <w:t>过程</w:t>
            </w:r>
            <w:r>
              <w:rPr>
                <w:rFonts w:hint="eastAsia" w:ascii="宋体" w:hAnsi="宋体" w:cs="Times New Roman"/>
                <w:snapToGrid/>
                <w:color w:val="auto"/>
                <w:sz w:val="24"/>
                <w:lang w:val="en-US" w:eastAsia="zh-CN"/>
              </w:rPr>
              <w:t>单独设置集气罩，</w:t>
            </w:r>
            <w:r>
              <w:rPr>
                <w:rFonts w:hint="default" w:ascii="宋体" w:hAnsi="宋体" w:cs="Times New Roman"/>
                <w:snapToGrid/>
                <w:color w:val="auto"/>
                <w:sz w:val="24"/>
                <w:lang w:val="en-US" w:eastAsia="zh-CN"/>
              </w:rPr>
              <w:t>产生的粉尘分别通过集气罩（风机风量</w:t>
            </w:r>
            <w:r>
              <w:rPr>
                <w:rFonts w:hint="eastAsia" w:ascii="宋体" w:hAnsi="宋体" w:cs="Times New Roman"/>
                <w:snapToGrid/>
                <w:color w:val="auto"/>
                <w:sz w:val="24"/>
                <w:lang w:val="en-US" w:eastAsia="zh-CN"/>
              </w:rPr>
              <w:t>均</w:t>
            </w:r>
            <w:r>
              <w:rPr>
                <w:rFonts w:hint="default" w:ascii="宋体" w:hAnsi="宋体" w:cs="Times New Roman"/>
                <w:snapToGrid/>
                <w:color w:val="auto"/>
                <w:sz w:val="24"/>
                <w:lang w:val="en-US" w:eastAsia="zh-CN"/>
              </w:rPr>
              <w:t>为</w:t>
            </w:r>
            <w:r>
              <w:rPr>
                <w:rFonts w:hint="eastAsia" w:ascii="宋体" w:hAnsi="宋体" w:cs="Times New Roman"/>
                <w:snapToGrid/>
                <w:color w:val="auto"/>
                <w:sz w:val="24"/>
                <w:lang w:val="en-US" w:eastAsia="zh-CN"/>
              </w:rPr>
              <w:t>21</w:t>
            </w:r>
            <w:r>
              <w:rPr>
                <w:rFonts w:hint="default" w:ascii="宋体" w:hAnsi="宋体" w:cs="Times New Roman"/>
                <w:snapToGrid/>
                <w:color w:val="auto"/>
                <w:sz w:val="24"/>
                <w:lang w:val="en-US" w:eastAsia="zh-CN"/>
              </w:rPr>
              <w:t>00m</w:t>
            </w:r>
            <w:r>
              <w:rPr>
                <w:rFonts w:hint="default" w:ascii="宋体" w:hAnsi="宋体" w:cs="Times New Roman"/>
                <w:snapToGrid/>
                <w:color w:val="auto"/>
                <w:sz w:val="24"/>
                <w:vertAlign w:val="superscript"/>
                <w:lang w:val="en-US" w:eastAsia="zh-CN"/>
              </w:rPr>
              <w:t>3</w:t>
            </w:r>
            <w:r>
              <w:rPr>
                <w:rFonts w:hint="default" w:ascii="宋体" w:hAnsi="宋体" w:cs="Times New Roman"/>
                <w:snapToGrid/>
                <w:color w:val="auto"/>
                <w:sz w:val="24"/>
                <w:lang w:val="en-US" w:eastAsia="zh-CN"/>
              </w:rPr>
              <w:t>/h，集气罩收集效率</w:t>
            </w:r>
            <w:r>
              <w:rPr>
                <w:rFonts w:hint="eastAsia" w:ascii="宋体" w:hAnsi="宋体" w:cs="Times New Roman"/>
                <w:snapToGrid/>
                <w:color w:val="auto"/>
                <w:sz w:val="24"/>
                <w:lang w:val="en-US" w:eastAsia="zh-CN"/>
              </w:rPr>
              <w:t>均</w:t>
            </w:r>
            <w:r>
              <w:rPr>
                <w:rFonts w:hint="default" w:ascii="宋体" w:hAnsi="宋体" w:cs="Times New Roman"/>
                <w:snapToGrid/>
                <w:color w:val="auto"/>
                <w:sz w:val="24"/>
                <w:lang w:val="en-US" w:eastAsia="zh-CN"/>
              </w:rPr>
              <w:t>为90%），进入</w:t>
            </w:r>
            <w:r>
              <w:rPr>
                <w:rFonts w:hint="eastAsia" w:ascii="宋体" w:hAnsi="宋体" w:cs="Times New Roman"/>
                <w:snapToGrid/>
                <w:color w:val="auto"/>
                <w:sz w:val="24"/>
                <w:lang w:val="en-US" w:eastAsia="zh-CN"/>
              </w:rPr>
              <w:t>与破碎工段共用的</w:t>
            </w:r>
            <w:r>
              <w:rPr>
                <w:rFonts w:hint="default" w:ascii="宋体" w:hAnsi="宋体" w:cs="Times New Roman"/>
                <w:snapToGrid/>
                <w:color w:val="auto"/>
                <w:sz w:val="24"/>
                <w:lang w:val="en-US" w:eastAsia="zh-CN"/>
              </w:rPr>
              <w:t>一套布袋除尘器中，布袋除尘器效率按9</w:t>
            </w:r>
            <w:r>
              <w:rPr>
                <w:rFonts w:hint="eastAsia" w:ascii="宋体" w:hAnsi="宋体" w:cs="Times New Roman"/>
                <w:snapToGrid/>
                <w:color w:val="auto"/>
                <w:sz w:val="24"/>
                <w:lang w:val="en-US" w:eastAsia="zh-CN"/>
              </w:rPr>
              <w:t>9</w:t>
            </w:r>
            <w:r>
              <w:rPr>
                <w:rFonts w:hint="default" w:ascii="宋体" w:hAnsi="宋体" w:cs="Times New Roman"/>
                <w:snapToGrid/>
                <w:color w:val="auto"/>
                <w:sz w:val="24"/>
                <w:lang w:val="en-US" w:eastAsia="zh-CN"/>
              </w:rPr>
              <w:t>%计，处理后的粉尘通过15m排气筒</w:t>
            </w:r>
            <w:r>
              <w:rPr>
                <w:rFonts w:hint="eastAsia" w:ascii="宋体" w:hAnsi="宋体" w:cs="Times New Roman"/>
                <w:snapToGrid/>
                <w:color w:val="auto"/>
                <w:sz w:val="24"/>
                <w:lang w:val="en-US" w:eastAsia="zh-CN"/>
              </w:rPr>
              <w:t>（与破碎工段共用）</w:t>
            </w:r>
            <w:r>
              <w:rPr>
                <w:rFonts w:hint="default" w:ascii="宋体" w:hAnsi="宋体" w:cs="Times New Roman"/>
                <w:snapToGrid/>
                <w:color w:val="auto"/>
                <w:sz w:val="24"/>
                <w:lang w:val="en-US" w:eastAsia="zh-CN"/>
              </w:rPr>
              <w:t>排放</w:t>
            </w:r>
            <w:r>
              <w:rPr>
                <w:rFonts w:hint="eastAsia" w:ascii="宋体" w:hAnsi="宋体" w:cs="Times New Roman"/>
                <w:snapToGrid/>
                <w:color w:val="auto"/>
                <w:sz w:val="24"/>
                <w:lang w:val="en-US" w:eastAsia="zh-CN"/>
              </w:rPr>
              <w:t>，</w:t>
            </w:r>
            <w:r>
              <w:rPr>
                <w:rFonts w:hint="default" w:ascii="宋体" w:hAnsi="宋体" w:cs="Times New Roman"/>
                <w:snapToGrid/>
                <w:color w:val="auto"/>
                <w:sz w:val="24"/>
                <w:lang w:val="en-US" w:eastAsia="zh-CN"/>
              </w:rPr>
              <w:t>其余10%无组织排放</w:t>
            </w:r>
            <w:r>
              <w:rPr>
                <w:rFonts w:hint="eastAsia" w:ascii="宋体" w:hAnsi="宋体" w:cs="Times New Roman"/>
                <w:snapToGrid/>
                <w:color w:val="auto"/>
                <w:sz w:val="24"/>
                <w:lang w:val="en-US" w:eastAsia="zh-CN"/>
              </w:rPr>
              <w:t>，</w:t>
            </w:r>
            <w:r>
              <w:rPr>
                <w:rFonts w:hint="default" w:ascii="宋体" w:hAnsi="宋体" w:cs="Times New Roman"/>
                <w:snapToGrid/>
                <w:color w:val="auto"/>
                <w:sz w:val="24"/>
                <w:lang w:val="en-US" w:eastAsia="zh-CN"/>
              </w:rPr>
              <w:t>无组织排放量为0.</w:t>
            </w:r>
            <w:r>
              <w:rPr>
                <w:rFonts w:hint="eastAsia" w:ascii="宋体" w:hAnsi="宋体" w:cs="Times New Roman"/>
                <w:snapToGrid/>
                <w:color w:val="auto"/>
                <w:sz w:val="24"/>
                <w:lang w:val="en-US" w:eastAsia="zh-CN"/>
              </w:rPr>
              <w:t>2</w:t>
            </w:r>
            <w:r>
              <w:rPr>
                <w:rFonts w:hint="default" w:ascii="宋体" w:hAnsi="宋体" w:cs="Times New Roman"/>
                <w:snapToGrid/>
                <w:color w:val="auto"/>
                <w:sz w:val="24"/>
                <w:lang w:val="en-US" w:eastAsia="zh-CN"/>
              </w:rPr>
              <w:t>t/a。</w:t>
            </w:r>
          </w:p>
          <w:p w14:paraId="5028F7EF">
            <w:pPr>
              <w:pStyle w:val="72"/>
              <w:spacing w:line="360" w:lineRule="auto"/>
              <w:ind w:firstLine="420"/>
              <w:rPr>
                <w:rFonts w:hint="default" w:ascii="宋体" w:hAnsi="宋体" w:eastAsia="宋体" w:cs="宋体"/>
                <w:bCs/>
                <w:color w:val="auto"/>
                <w:kern w:val="2"/>
                <w:sz w:val="24"/>
                <w:szCs w:val="24"/>
                <w:lang w:val="en-US" w:eastAsia="zh-CN" w:bidi="ar-SA"/>
              </w:rPr>
            </w:pPr>
            <w:r>
              <w:rPr>
                <w:rFonts w:hint="eastAsia" w:ascii="宋体" w:hAnsi="宋体" w:cs="Times New Roman"/>
                <w:snapToGrid/>
                <w:color w:val="auto"/>
                <w:sz w:val="24"/>
                <w:lang w:val="en-US" w:eastAsia="zh-CN"/>
              </w:rPr>
              <w:t>该项目</w:t>
            </w:r>
            <w:r>
              <w:rPr>
                <w:rFonts w:hint="default" w:ascii="宋体" w:hAnsi="宋体" w:cs="Times New Roman"/>
                <w:snapToGrid/>
                <w:color w:val="auto"/>
                <w:sz w:val="24"/>
                <w:lang w:val="en-US" w:eastAsia="zh-CN"/>
              </w:rPr>
              <w:t>年生产</w:t>
            </w:r>
            <w:r>
              <w:rPr>
                <w:rFonts w:hint="eastAsia" w:ascii="宋体" w:hAnsi="宋体" w:cs="Times New Roman"/>
                <w:snapToGrid/>
                <w:color w:val="auto"/>
                <w:sz w:val="24"/>
                <w:lang w:val="en-US" w:eastAsia="zh-CN"/>
              </w:rPr>
              <w:t>800</w:t>
            </w:r>
            <w:r>
              <w:rPr>
                <w:rFonts w:hint="default" w:ascii="宋体" w:hAnsi="宋体" w:cs="Times New Roman"/>
                <w:snapToGrid/>
                <w:color w:val="auto"/>
                <w:sz w:val="24"/>
                <w:lang w:val="en-US" w:eastAsia="zh-CN"/>
              </w:rPr>
              <w:t>0h</w:t>
            </w:r>
            <w:r>
              <w:rPr>
                <w:rFonts w:hint="eastAsia" w:ascii="宋体" w:hAnsi="宋体" w:cs="Times New Roman"/>
                <w:snapToGrid/>
                <w:color w:val="auto"/>
                <w:sz w:val="24"/>
                <w:lang w:val="en-US" w:eastAsia="zh-CN"/>
              </w:rPr>
              <w:t>，</w:t>
            </w:r>
            <w:r>
              <w:rPr>
                <w:rFonts w:hint="default" w:ascii="宋体" w:hAnsi="宋体" w:cs="Times New Roman"/>
                <w:snapToGrid/>
                <w:color w:val="auto"/>
                <w:sz w:val="24"/>
                <w:lang w:val="en-US" w:eastAsia="zh-CN"/>
              </w:rPr>
              <w:t>根据计算可知：有组织排放量为0.</w:t>
            </w:r>
            <w:r>
              <w:rPr>
                <w:rFonts w:hint="eastAsia" w:ascii="宋体" w:hAnsi="宋体" w:cs="Times New Roman"/>
                <w:snapToGrid/>
                <w:color w:val="auto"/>
                <w:sz w:val="24"/>
                <w:lang w:val="en-US" w:eastAsia="zh-CN"/>
              </w:rPr>
              <w:t>358</w:t>
            </w:r>
            <w:r>
              <w:rPr>
                <w:rFonts w:hint="default" w:ascii="宋体" w:hAnsi="宋体" w:cs="Times New Roman"/>
                <w:snapToGrid/>
                <w:color w:val="auto"/>
                <w:sz w:val="24"/>
                <w:lang w:val="en-US" w:eastAsia="zh-CN"/>
              </w:rPr>
              <w:t>t/a,</w:t>
            </w:r>
            <w:r>
              <w:rPr>
                <w:rFonts w:hint="eastAsia" w:ascii="宋体" w:hAnsi="宋体" w:cs="Times New Roman"/>
                <w:snapToGrid/>
                <w:color w:val="auto"/>
                <w:sz w:val="24"/>
                <w:lang w:val="en-US" w:eastAsia="zh-CN"/>
              </w:rPr>
              <w:t>排放速率为</w:t>
            </w:r>
            <w:r>
              <w:rPr>
                <w:rFonts w:hint="default" w:ascii="宋体" w:hAnsi="宋体" w:cs="Times New Roman"/>
                <w:snapToGrid/>
                <w:color w:val="auto"/>
                <w:sz w:val="24"/>
                <w:lang w:val="en-US" w:eastAsia="zh-CN"/>
              </w:rPr>
              <w:t>0.0</w:t>
            </w:r>
            <w:r>
              <w:rPr>
                <w:rFonts w:hint="eastAsia" w:ascii="宋体" w:hAnsi="宋体" w:cs="Times New Roman"/>
                <w:snapToGrid/>
                <w:color w:val="auto"/>
                <w:sz w:val="24"/>
                <w:lang w:val="en-US" w:eastAsia="zh-CN"/>
              </w:rPr>
              <w:t>45</w:t>
            </w:r>
            <w:r>
              <w:rPr>
                <w:rFonts w:hint="default" w:ascii="宋体" w:hAnsi="宋体" w:cs="Times New Roman"/>
                <w:snapToGrid/>
                <w:color w:val="auto"/>
                <w:sz w:val="24"/>
                <w:lang w:val="en-US" w:eastAsia="zh-CN"/>
              </w:rPr>
              <w:t>kg/h，排气筒出口浓度为</w:t>
            </w:r>
            <w:r>
              <w:rPr>
                <w:rFonts w:hint="eastAsia" w:ascii="宋体" w:hAnsi="宋体" w:cs="Times New Roman"/>
                <w:snapToGrid/>
                <w:color w:val="auto"/>
                <w:sz w:val="24"/>
                <w:lang w:val="en-US" w:eastAsia="zh-CN"/>
              </w:rPr>
              <w:t>21.43</w:t>
            </w:r>
            <w:r>
              <w:rPr>
                <w:rFonts w:hint="default" w:ascii="宋体" w:hAnsi="宋体" w:cs="Times New Roman"/>
                <w:snapToGrid/>
                <w:color w:val="auto"/>
                <w:sz w:val="24"/>
                <w:lang w:val="en-US" w:eastAsia="zh-CN"/>
              </w:rPr>
              <w:t>mg/m</w:t>
            </w:r>
            <w:r>
              <w:rPr>
                <w:rFonts w:hint="default" w:ascii="宋体" w:hAnsi="宋体" w:cs="Times New Roman"/>
                <w:snapToGrid/>
                <w:color w:val="auto"/>
                <w:sz w:val="24"/>
                <w:vertAlign w:val="superscript"/>
                <w:lang w:val="en-US" w:eastAsia="zh-CN"/>
              </w:rPr>
              <w:t>3</w:t>
            </w:r>
            <w:r>
              <w:rPr>
                <w:rFonts w:hint="default" w:ascii="宋体" w:hAnsi="宋体" w:cs="Times New Roman"/>
                <w:snapToGrid/>
                <w:color w:val="auto"/>
                <w:sz w:val="24"/>
                <w:lang w:val="en-US" w:eastAsia="zh-CN"/>
              </w:rPr>
              <w:t>。</w:t>
            </w:r>
            <w:r>
              <w:rPr>
                <w:rFonts w:hint="eastAsia" w:ascii="宋体" w:hAnsi="宋体" w:cs="宋体"/>
                <w:bCs/>
                <w:color w:val="auto"/>
                <w:kern w:val="2"/>
                <w:sz w:val="24"/>
                <w:szCs w:val="24"/>
                <w:lang w:val="en-US" w:eastAsia="zh-CN" w:bidi="ar-SA"/>
              </w:rPr>
              <w:t>该项目沥青粉尘</w:t>
            </w:r>
            <w:r>
              <w:rPr>
                <w:rFonts w:hint="default" w:ascii="宋体" w:hAnsi="宋体" w:eastAsia="宋体" w:cs="宋体"/>
                <w:bCs/>
                <w:color w:val="auto"/>
                <w:kern w:val="2"/>
                <w:sz w:val="24"/>
                <w:szCs w:val="24"/>
                <w:lang w:val="en-US" w:eastAsia="zh-CN" w:bidi="ar-SA"/>
              </w:rPr>
              <w:t>排放情况汇总见表4-</w:t>
            </w:r>
            <w:r>
              <w:rPr>
                <w:rFonts w:hint="eastAsia" w:ascii="宋体" w:hAnsi="宋体" w:cs="宋体"/>
                <w:bCs/>
                <w:color w:val="auto"/>
                <w:kern w:val="2"/>
                <w:sz w:val="24"/>
                <w:szCs w:val="24"/>
                <w:lang w:val="en-US" w:eastAsia="zh-CN" w:bidi="ar-SA"/>
              </w:rPr>
              <w:t>2</w:t>
            </w:r>
            <w:r>
              <w:rPr>
                <w:rFonts w:hint="default" w:ascii="宋体" w:hAnsi="宋体" w:eastAsia="宋体" w:cs="宋体"/>
                <w:bCs/>
                <w:color w:val="auto"/>
                <w:kern w:val="2"/>
                <w:sz w:val="24"/>
                <w:szCs w:val="24"/>
                <w:lang w:val="en-US" w:eastAsia="zh-CN" w:bidi="ar-SA"/>
              </w:rPr>
              <w:t>。</w:t>
            </w:r>
          </w:p>
          <w:p w14:paraId="78E288F2">
            <w:pPr>
              <w:pStyle w:val="8"/>
              <w:keepNext w:val="0"/>
              <w:keepLines w:val="0"/>
              <w:pageBreakBefore w:val="0"/>
              <w:widowControl w:val="0"/>
              <w:kinsoku/>
              <w:wordWrap/>
              <w:overflowPunct/>
              <w:topLinePunct w:val="0"/>
              <w:autoSpaceDE/>
              <w:autoSpaceDN/>
              <w:bidi w:val="0"/>
              <w:adjustRightInd/>
              <w:snapToGrid/>
              <w:ind w:firstLine="0"/>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cs="Times New Roman"/>
                <w:b/>
                <w:bCs/>
                <w:color w:val="auto"/>
                <w:kern w:val="0"/>
                <w:sz w:val="21"/>
                <w:szCs w:val="21"/>
                <w:lang w:val="en-US" w:eastAsia="zh-CN" w:bidi="ar"/>
              </w:rPr>
              <w:t>表4-</w:t>
            </w:r>
            <w:r>
              <w:rPr>
                <w:rFonts w:hint="eastAsia" w:ascii="Times New Roman" w:hAnsi="Times New Roman" w:cs="Times New Roman"/>
                <w:b/>
                <w:bCs/>
                <w:color w:val="auto"/>
                <w:kern w:val="0"/>
                <w:sz w:val="21"/>
                <w:szCs w:val="21"/>
                <w:lang w:val="en-US" w:eastAsia="zh-CN" w:bidi="ar"/>
              </w:rPr>
              <w:t>2</w:t>
            </w:r>
            <w:r>
              <w:rPr>
                <w:rFonts w:hint="default" w:ascii="Times New Roman" w:hAnsi="Times New Roman" w:cs="Times New Roman"/>
                <w:b/>
                <w:bCs/>
                <w:color w:val="auto"/>
                <w:kern w:val="0"/>
                <w:sz w:val="21"/>
                <w:szCs w:val="21"/>
                <w:lang w:val="en-US" w:eastAsia="zh-CN" w:bidi="ar"/>
              </w:rPr>
              <w:t xml:space="preserve">    </w:t>
            </w:r>
            <w:r>
              <w:rPr>
                <w:rFonts w:hint="eastAsia"/>
                <w:b/>
                <w:bCs/>
                <w:color w:val="auto"/>
                <w:kern w:val="0"/>
                <w:sz w:val="21"/>
                <w:szCs w:val="21"/>
                <w:lang w:val="en-US" w:eastAsia="zh-CN" w:bidi="ar"/>
              </w:rPr>
              <w:t>硬质沥青</w:t>
            </w:r>
            <w:r>
              <w:rPr>
                <w:rFonts w:hint="default" w:ascii="Times New Roman" w:hAnsi="Times New Roman" w:cs="Times New Roman"/>
                <w:b/>
                <w:bCs/>
                <w:color w:val="auto"/>
                <w:kern w:val="0"/>
                <w:sz w:val="21"/>
                <w:szCs w:val="21"/>
                <w:lang w:val="en-US" w:eastAsia="zh-CN" w:bidi="ar"/>
              </w:rPr>
              <w:t>破碎工序废气污染物产排放情况汇总</w:t>
            </w:r>
          </w:p>
          <w:tbl>
            <w:tblPr>
              <w:tblStyle w:val="27"/>
              <w:tblW w:w="5000"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632"/>
              <w:gridCol w:w="681"/>
              <w:gridCol w:w="874"/>
              <w:gridCol w:w="1374"/>
              <w:gridCol w:w="881"/>
              <w:gridCol w:w="881"/>
              <w:gridCol w:w="1078"/>
              <w:gridCol w:w="1120"/>
            </w:tblGrid>
            <w:tr w14:paraId="782F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2" w:type="pct"/>
                  <w:tcBorders>
                    <w:tl2br w:val="nil"/>
                    <w:tr2bl w:val="nil"/>
                  </w:tcBorders>
                  <w:shd w:val="clear" w:color="auto" w:fill="auto"/>
                  <w:noWrap w:val="0"/>
                  <w:vAlign w:val="center"/>
                </w:tcPr>
                <w:p w14:paraId="7439246F">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olor w:val="auto"/>
                      <w:kern w:val="0"/>
                      <w:sz w:val="21"/>
                      <w:szCs w:val="21"/>
                      <w:vertAlign w:val="baseline"/>
                      <w:lang w:val="en-US" w:eastAsia="zh-CN" w:bidi="ar"/>
                    </w:rPr>
                    <w:t>排放形式</w:t>
                  </w:r>
                </w:p>
              </w:tc>
              <w:tc>
                <w:tcPr>
                  <w:tcW w:w="376" w:type="pct"/>
                  <w:tcBorders>
                    <w:tl2br w:val="nil"/>
                    <w:tr2bl w:val="nil"/>
                  </w:tcBorders>
                  <w:noWrap w:val="0"/>
                  <w:vAlign w:val="center"/>
                </w:tcPr>
                <w:p w14:paraId="03914664">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排放源</w:t>
                  </w:r>
                </w:p>
              </w:tc>
              <w:tc>
                <w:tcPr>
                  <w:tcW w:w="405" w:type="pct"/>
                  <w:tcBorders>
                    <w:tl2br w:val="nil"/>
                    <w:tr2bl w:val="nil"/>
                  </w:tcBorders>
                  <w:noWrap w:val="0"/>
                  <w:vAlign w:val="center"/>
                </w:tcPr>
                <w:p w14:paraId="0CE34C1C">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污染物</w:t>
                  </w:r>
                </w:p>
              </w:tc>
              <w:tc>
                <w:tcPr>
                  <w:tcW w:w="520" w:type="pct"/>
                  <w:tcBorders>
                    <w:tl2br w:val="nil"/>
                    <w:tr2bl w:val="nil"/>
                  </w:tcBorders>
                  <w:noWrap w:val="0"/>
                  <w:vAlign w:val="center"/>
                </w:tcPr>
                <w:p w14:paraId="388F6B76">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产生量t/a</w:t>
                  </w:r>
                </w:p>
              </w:tc>
              <w:tc>
                <w:tcPr>
                  <w:tcW w:w="817" w:type="pct"/>
                  <w:tcBorders>
                    <w:tl2br w:val="nil"/>
                    <w:tr2bl w:val="nil"/>
                  </w:tcBorders>
                  <w:noWrap w:val="0"/>
                  <w:vAlign w:val="center"/>
                </w:tcPr>
                <w:p w14:paraId="7C85F0FE">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措施</w:t>
                  </w:r>
                </w:p>
              </w:tc>
              <w:tc>
                <w:tcPr>
                  <w:tcW w:w="524" w:type="pct"/>
                  <w:tcBorders>
                    <w:tl2br w:val="nil"/>
                    <w:tr2bl w:val="nil"/>
                  </w:tcBorders>
                  <w:shd w:val="clear" w:color="auto" w:fill="auto"/>
                  <w:noWrap w:val="0"/>
                  <w:vAlign w:val="center"/>
                </w:tcPr>
                <w:p w14:paraId="0847E32A">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rPr>
                    <w:t>排风量m</w:t>
                  </w:r>
                  <w:r>
                    <w:rPr>
                      <w:rFonts w:hint="eastAsia"/>
                      <w:color w:val="auto"/>
                      <w:szCs w:val="21"/>
                      <w:vertAlign w:val="superscript"/>
                    </w:rPr>
                    <w:t>3</w:t>
                  </w:r>
                  <w:r>
                    <w:rPr>
                      <w:rFonts w:hint="eastAsia"/>
                      <w:color w:val="auto"/>
                      <w:szCs w:val="21"/>
                    </w:rPr>
                    <w:t>/h</w:t>
                  </w:r>
                </w:p>
              </w:tc>
              <w:tc>
                <w:tcPr>
                  <w:tcW w:w="524" w:type="pct"/>
                  <w:tcBorders>
                    <w:tl2br w:val="nil"/>
                    <w:tr2bl w:val="nil"/>
                  </w:tcBorders>
                  <w:noWrap w:val="0"/>
                  <w:vAlign w:val="center"/>
                </w:tcPr>
                <w:p w14:paraId="1A28020D">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r>
                    <w:rPr>
                      <w:rFonts w:hint="eastAsia"/>
                      <w:color w:val="auto"/>
                      <w:kern w:val="0"/>
                      <w:sz w:val="21"/>
                      <w:szCs w:val="21"/>
                      <w:vertAlign w:val="baseline"/>
                      <w:lang w:val="en-US" w:eastAsia="zh-CN" w:bidi="ar"/>
                    </w:rPr>
                    <w:t>排放量t/a</w:t>
                  </w:r>
                </w:p>
              </w:tc>
              <w:tc>
                <w:tcPr>
                  <w:tcW w:w="641" w:type="pct"/>
                  <w:tcBorders>
                    <w:tl2br w:val="nil"/>
                    <w:tr2bl w:val="nil"/>
                  </w:tcBorders>
                  <w:noWrap w:val="0"/>
                  <w:vAlign w:val="center"/>
                </w:tcPr>
                <w:p w14:paraId="54FCDB1E">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r>
                    <w:rPr>
                      <w:rFonts w:hint="eastAsia"/>
                      <w:color w:val="auto"/>
                      <w:kern w:val="0"/>
                      <w:sz w:val="21"/>
                      <w:szCs w:val="21"/>
                      <w:vertAlign w:val="baseline"/>
                      <w:lang w:val="en-US" w:eastAsia="zh-CN" w:bidi="ar"/>
                    </w:rPr>
                    <w:t>排放速率kg/h</w:t>
                  </w:r>
                </w:p>
              </w:tc>
              <w:tc>
                <w:tcPr>
                  <w:tcW w:w="666" w:type="pct"/>
                  <w:tcBorders>
                    <w:tl2br w:val="nil"/>
                    <w:tr2bl w:val="nil"/>
                  </w:tcBorders>
                  <w:noWrap w:val="0"/>
                  <w:vAlign w:val="center"/>
                </w:tcPr>
                <w:p w14:paraId="5910C01C">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排放浓度mg/m</w:t>
                  </w:r>
                  <w:r>
                    <w:rPr>
                      <w:rFonts w:hint="eastAsia"/>
                      <w:color w:val="auto"/>
                      <w:kern w:val="0"/>
                      <w:sz w:val="21"/>
                      <w:szCs w:val="21"/>
                      <w:vertAlign w:val="superscript"/>
                      <w:lang w:val="en-US" w:eastAsia="zh-CN" w:bidi="ar"/>
                    </w:rPr>
                    <w:t>3</w:t>
                  </w:r>
                </w:p>
              </w:tc>
            </w:tr>
            <w:tr w14:paraId="7F9FF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22" w:type="pct"/>
                  <w:vMerge w:val="restart"/>
                  <w:tcBorders>
                    <w:tl2br w:val="nil"/>
                    <w:tr2bl w:val="nil"/>
                  </w:tcBorders>
                  <w:shd w:val="clear" w:color="auto" w:fill="auto"/>
                  <w:noWrap w:val="0"/>
                  <w:vAlign w:val="center"/>
                </w:tcPr>
                <w:p w14:paraId="6808985D">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kern w:val="0"/>
                      <w:sz w:val="21"/>
                      <w:szCs w:val="21"/>
                      <w:vertAlign w:val="baseline"/>
                      <w:lang w:val="en-US" w:eastAsia="zh-CN" w:bidi="ar"/>
                    </w:rPr>
                  </w:pPr>
                  <w:r>
                    <w:rPr>
                      <w:rFonts w:hint="eastAsia"/>
                      <w:color w:val="auto"/>
                      <w:kern w:val="0"/>
                      <w:sz w:val="21"/>
                      <w:szCs w:val="21"/>
                      <w:vertAlign w:val="baseline"/>
                      <w:lang w:val="en-US" w:eastAsia="zh-CN" w:bidi="ar"/>
                    </w:rPr>
                    <w:t>有组织</w:t>
                  </w:r>
                </w:p>
                <w:p w14:paraId="7FBF011A">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p>
              </w:tc>
              <w:tc>
                <w:tcPr>
                  <w:tcW w:w="376" w:type="pct"/>
                  <w:tcBorders>
                    <w:tl2br w:val="nil"/>
                    <w:tr2bl w:val="nil"/>
                  </w:tcBorders>
                  <w:noWrap w:val="0"/>
                  <w:vAlign w:val="center"/>
                </w:tcPr>
                <w:p w14:paraId="1B001875">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破碎</w:t>
                  </w:r>
                </w:p>
              </w:tc>
              <w:tc>
                <w:tcPr>
                  <w:tcW w:w="405" w:type="pct"/>
                  <w:vMerge w:val="restart"/>
                  <w:tcBorders>
                    <w:tl2br w:val="nil"/>
                    <w:tr2bl w:val="nil"/>
                  </w:tcBorders>
                  <w:noWrap w:val="0"/>
                  <w:vAlign w:val="center"/>
                </w:tcPr>
                <w:p w14:paraId="78ADFF62">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颗粒物</w:t>
                  </w:r>
                </w:p>
              </w:tc>
              <w:tc>
                <w:tcPr>
                  <w:tcW w:w="520" w:type="pct"/>
                  <w:tcBorders>
                    <w:tl2br w:val="nil"/>
                    <w:tr2bl w:val="nil"/>
                  </w:tcBorders>
                  <w:noWrap w:val="0"/>
                  <w:vAlign w:val="center"/>
                </w:tcPr>
                <w:p w14:paraId="57AAA2C5">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37.8</w:t>
                  </w:r>
                </w:p>
              </w:tc>
              <w:tc>
                <w:tcPr>
                  <w:tcW w:w="817" w:type="pct"/>
                  <w:tcBorders>
                    <w:tl2br w:val="nil"/>
                    <w:tr2bl w:val="nil"/>
                  </w:tcBorders>
                  <w:noWrap w:val="0"/>
                  <w:vAlign w:val="center"/>
                </w:tcPr>
                <w:p w14:paraId="61735E5B">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eastAsia="宋体"/>
                      <w:color w:val="auto"/>
                      <w:kern w:val="0"/>
                      <w:sz w:val="21"/>
                      <w:szCs w:val="21"/>
                      <w:vertAlign w:val="baseline"/>
                      <w:lang w:val="en-US" w:eastAsia="zh-CN" w:bidi="ar"/>
                    </w:rPr>
                  </w:pPr>
                  <w:r>
                    <w:rPr>
                      <w:rFonts w:hint="eastAsia"/>
                      <w:color w:val="auto"/>
                      <w:kern w:val="0"/>
                      <w:sz w:val="21"/>
                      <w:szCs w:val="21"/>
                      <w:vertAlign w:val="baseline"/>
                      <w:lang w:val="en-US" w:eastAsia="zh-CN" w:bidi="ar"/>
                    </w:rPr>
                    <w:t>集气罩（集气效率90%）+布袋除尘器（去除率99%，与包装工段共用）</w:t>
                  </w:r>
                </w:p>
              </w:tc>
              <w:tc>
                <w:tcPr>
                  <w:tcW w:w="524" w:type="pct"/>
                  <w:tcBorders>
                    <w:tl2br w:val="nil"/>
                    <w:tr2bl w:val="nil"/>
                  </w:tcBorders>
                  <w:shd w:val="clear" w:color="auto" w:fill="auto"/>
                  <w:noWrap w:val="0"/>
                  <w:vAlign w:val="center"/>
                </w:tcPr>
                <w:p w14:paraId="6E096DD8">
                  <w:pPr>
                    <w:jc w:val="center"/>
                    <w:rPr>
                      <w:rFonts w:hint="eastAsia" w:ascii="Times New Roman" w:hAnsi="Times New Roman" w:eastAsia="宋体" w:cs="Times New Roman"/>
                      <w:color w:val="auto"/>
                      <w:kern w:val="2"/>
                      <w:sz w:val="21"/>
                      <w:szCs w:val="21"/>
                      <w:lang w:val="en-US" w:eastAsia="zh-CN" w:bidi="ar-SA"/>
                    </w:rPr>
                  </w:pPr>
                  <w:r>
                    <w:rPr>
                      <w:rFonts w:hint="eastAsia"/>
                      <w:color w:val="auto"/>
                      <w:szCs w:val="21"/>
                      <w:lang w:val="en-US" w:eastAsia="zh-CN"/>
                    </w:rPr>
                    <w:t>2100</w:t>
                  </w:r>
                </w:p>
              </w:tc>
              <w:tc>
                <w:tcPr>
                  <w:tcW w:w="524" w:type="pct"/>
                  <w:vMerge w:val="restart"/>
                  <w:tcBorders>
                    <w:tl2br w:val="nil"/>
                    <w:tr2bl w:val="nil"/>
                  </w:tcBorders>
                  <w:noWrap w:val="0"/>
                  <w:vAlign w:val="center"/>
                </w:tcPr>
                <w:p w14:paraId="5A572D10">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r>
                    <w:rPr>
                      <w:rFonts w:hint="eastAsia"/>
                      <w:color w:val="auto"/>
                      <w:kern w:val="0"/>
                      <w:sz w:val="21"/>
                      <w:szCs w:val="21"/>
                      <w:vertAlign w:val="baseline"/>
                      <w:lang w:val="en-US" w:eastAsia="zh-CN" w:bidi="ar"/>
                    </w:rPr>
                    <w:t>0.358</w:t>
                  </w:r>
                </w:p>
              </w:tc>
              <w:tc>
                <w:tcPr>
                  <w:tcW w:w="641" w:type="pct"/>
                  <w:vMerge w:val="restart"/>
                  <w:tcBorders>
                    <w:tl2br w:val="nil"/>
                    <w:tr2bl w:val="nil"/>
                  </w:tcBorders>
                  <w:noWrap w:val="0"/>
                  <w:vAlign w:val="center"/>
                </w:tcPr>
                <w:p w14:paraId="3EBE822A">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r>
                    <w:rPr>
                      <w:rFonts w:hint="eastAsia"/>
                      <w:color w:val="auto"/>
                      <w:kern w:val="0"/>
                      <w:sz w:val="21"/>
                      <w:szCs w:val="21"/>
                      <w:vertAlign w:val="baseline"/>
                      <w:lang w:val="en-US" w:eastAsia="zh-CN" w:bidi="ar"/>
                    </w:rPr>
                    <w:t>0.045</w:t>
                  </w:r>
                </w:p>
              </w:tc>
              <w:tc>
                <w:tcPr>
                  <w:tcW w:w="666" w:type="pct"/>
                  <w:vMerge w:val="restart"/>
                  <w:tcBorders>
                    <w:tl2br w:val="nil"/>
                    <w:tr2bl w:val="nil"/>
                  </w:tcBorders>
                  <w:noWrap w:val="0"/>
                  <w:vAlign w:val="center"/>
                </w:tcPr>
                <w:p w14:paraId="31273BF4">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r>
                    <w:rPr>
                      <w:rFonts w:hint="eastAsia"/>
                      <w:color w:val="auto"/>
                      <w:kern w:val="0"/>
                      <w:sz w:val="21"/>
                      <w:szCs w:val="21"/>
                      <w:vertAlign w:val="baseline"/>
                      <w:lang w:val="en-US" w:eastAsia="zh-CN" w:bidi="ar"/>
                    </w:rPr>
                    <w:t>21.43</w:t>
                  </w:r>
                </w:p>
              </w:tc>
            </w:tr>
            <w:tr w14:paraId="5CE2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22" w:type="pct"/>
                  <w:vMerge w:val="continue"/>
                  <w:tcBorders>
                    <w:tl2br w:val="nil"/>
                    <w:tr2bl w:val="nil"/>
                  </w:tcBorders>
                  <w:shd w:val="clear" w:color="auto" w:fill="auto"/>
                  <w:noWrap w:val="0"/>
                  <w:vAlign w:val="center"/>
                </w:tcPr>
                <w:p w14:paraId="3313AFE9">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p>
              </w:tc>
              <w:tc>
                <w:tcPr>
                  <w:tcW w:w="376" w:type="pct"/>
                  <w:tcBorders>
                    <w:tl2br w:val="nil"/>
                    <w:tr2bl w:val="nil"/>
                  </w:tcBorders>
                  <w:noWrap w:val="0"/>
                  <w:vAlign w:val="center"/>
                </w:tcPr>
                <w:p w14:paraId="165BD21F">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color w:val="auto"/>
                    </w:rPr>
                  </w:pPr>
                  <w:r>
                    <w:rPr>
                      <w:rFonts w:hint="eastAsia"/>
                      <w:color w:val="auto"/>
                      <w:kern w:val="0"/>
                      <w:sz w:val="21"/>
                      <w:szCs w:val="21"/>
                      <w:vertAlign w:val="baseline"/>
                      <w:lang w:val="en-US" w:eastAsia="zh-CN" w:bidi="ar"/>
                    </w:rPr>
                    <w:t>包装</w:t>
                  </w:r>
                </w:p>
              </w:tc>
              <w:tc>
                <w:tcPr>
                  <w:tcW w:w="405" w:type="pct"/>
                  <w:vMerge w:val="continue"/>
                  <w:tcBorders>
                    <w:tl2br w:val="nil"/>
                    <w:tr2bl w:val="nil"/>
                  </w:tcBorders>
                  <w:noWrap w:val="0"/>
                  <w:vAlign w:val="center"/>
                </w:tcPr>
                <w:p w14:paraId="747DE359">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color w:val="auto"/>
                    </w:rPr>
                  </w:pPr>
                </w:p>
              </w:tc>
              <w:tc>
                <w:tcPr>
                  <w:tcW w:w="520" w:type="pct"/>
                  <w:tcBorders>
                    <w:tl2br w:val="nil"/>
                    <w:tr2bl w:val="nil"/>
                  </w:tcBorders>
                  <w:noWrap w:val="0"/>
                  <w:vAlign w:val="center"/>
                </w:tcPr>
                <w:p w14:paraId="61DAE241">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r>
                    <w:rPr>
                      <w:rFonts w:hint="eastAsia"/>
                      <w:color w:val="auto"/>
                      <w:kern w:val="0"/>
                      <w:sz w:val="21"/>
                      <w:szCs w:val="21"/>
                      <w:vertAlign w:val="baseline"/>
                      <w:lang w:val="en-US" w:eastAsia="zh-CN" w:bidi="ar"/>
                    </w:rPr>
                    <w:t>2</w:t>
                  </w:r>
                </w:p>
              </w:tc>
              <w:tc>
                <w:tcPr>
                  <w:tcW w:w="817" w:type="pct"/>
                  <w:tcBorders>
                    <w:tl2br w:val="nil"/>
                    <w:tr2bl w:val="nil"/>
                  </w:tcBorders>
                  <w:noWrap w:val="0"/>
                  <w:vAlign w:val="center"/>
                </w:tcPr>
                <w:p w14:paraId="61C68885">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r>
                    <w:rPr>
                      <w:rFonts w:hint="eastAsia"/>
                      <w:color w:val="auto"/>
                      <w:kern w:val="0"/>
                      <w:sz w:val="21"/>
                      <w:szCs w:val="21"/>
                      <w:vertAlign w:val="baseline"/>
                      <w:lang w:val="en-US" w:eastAsia="zh-CN" w:bidi="ar"/>
                    </w:rPr>
                    <w:t>集气罩（集气效率90%）+布袋除尘器（去除率99%，与破碎工段共用）</w:t>
                  </w:r>
                </w:p>
              </w:tc>
              <w:tc>
                <w:tcPr>
                  <w:tcW w:w="524" w:type="pct"/>
                  <w:tcBorders>
                    <w:tl2br w:val="nil"/>
                    <w:tr2bl w:val="nil"/>
                  </w:tcBorders>
                  <w:noWrap w:val="0"/>
                  <w:vAlign w:val="center"/>
                </w:tcPr>
                <w:p w14:paraId="0A67FFF7">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color w:val="auto"/>
                      <w:kern w:val="0"/>
                      <w:sz w:val="21"/>
                      <w:szCs w:val="21"/>
                      <w:vertAlign w:val="baseline"/>
                      <w:lang w:val="en-US" w:eastAsia="zh-CN" w:bidi="ar"/>
                    </w:rPr>
                  </w:pPr>
                  <w:r>
                    <w:rPr>
                      <w:rFonts w:hint="eastAsia" w:ascii="Times New Roman" w:hAnsi="Times New Roman" w:eastAsia="宋体" w:cs="Times New Roman"/>
                      <w:color w:val="auto"/>
                      <w:kern w:val="2"/>
                      <w:sz w:val="21"/>
                      <w:szCs w:val="21"/>
                      <w:lang w:val="en-US" w:eastAsia="zh-CN" w:bidi="ar-SA"/>
                    </w:rPr>
                    <w:t>2100</w:t>
                  </w:r>
                </w:p>
              </w:tc>
              <w:tc>
                <w:tcPr>
                  <w:tcW w:w="524" w:type="pct"/>
                  <w:vMerge w:val="continue"/>
                  <w:tcBorders>
                    <w:tl2br w:val="nil"/>
                    <w:tr2bl w:val="nil"/>
                  </w:tcBorders>
                  <w:noWrap w:val="0"/>
                  <w:vAlign w:val="center"/>
                </w:tcPr>
                <w:p w14:paraId="4FA6E6ED">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p>
              </w:tc>
              <w:tc>
                <w:tcPr>
                  <w:tcW w:w="641" w:type="pct"/>
                  <w:vMerge w:val="continue"/>
                  <w:tcBorders>
                    <w:tl2br w:val="nil"/>
                    <w:tr2bl w:val="nil"/>
                  </w:tcBorders>
                  <w:noWrap w:val="0"/>
                  <w:vAlign w:val="center"/>
                </w:tcPr>
                <w:p w14:paraId="5EDC403D">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p>
              </w:tc>
              <w:tc>
                <w:tcPr>
                  <w:tcW w:w="666" w:type="pct"/>
                  <w:vMerge w:val="continue"/>
                  <w:tcBorders>
                    <w:tl2br w:val="nil"/>
                    <w:tr2bl w:val="nil"/>
                  </w:tcBorders>
                  <w:noWrap w:val="0"/>
                  <w:vAlign w:val="center"/>
                </w:tcPr>
                <w:p w14:paraId="07005406">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color w:val="auto"/>
                      <w:kern w:val="0"/>
                      <w:sz w:val="21"/>
                      <w:szCs w:val="21"/>
                      <w:vertAlign w:val="baseline"/>
                      <w:lang w:val="en-US" w:eastAsia="zh-CN" w:bidi="ar"/>
                    </w:rPr>
                  </w:pPr>
                </w:p>
              </w:tc>
            </w:tr>
            <w:tr w14:paraId="426C1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22" w:type="pct"/>
                  <w:vMerge w:val="restart"/>
                  <w:tcBorders>
                    <w:tl2br w:val="nil"/>
                    <w:tr2bl w:val="nil"/>
                  </w:tcBorders>
                  <w:shd w:val="clear" w:color="auto" w:fill="auto"/>
                  <w:noWrap w:val="0"/>
                  <w:vAlign w:val="center"/>
                </w:tcPr>
                <w:p w14:paraId="7BF0913D">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无组织</w:t>
                  </w:r>
                </w:p>
              </w:tc>
              <w:tc>
                <w:tcPr>
                  <w:tcW w:w="376" w:type="pct"/>
                  <w:tcBorders>
                    <w:tl2br w:val="nil"/>
                    <w:tr2bl w:val="nil"/>
                  </w:tcBorders>
                  <w:noWrap w:val="0"/>
                  <w:vAlign w:val="center"/>
                </w:tcPr>
                <w:p w14:paraId="4E9E32C0">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宋体"/>
                      <w:color w:val="auto"/>
                      <w:lang w:val="en-US" w:eastAsia="zh-CN"/>
                    </w:rPr>
                  </w:pPr>
                  <w:r>
                    <w:rPr>
                      <w:rFonts w:hint="eastAsia"/>
                      <w:color w:val="auto"/>
                      <w:kern w:val="0"/>
                      <w:sz w:val="21"/>
                      <w:szCs w:val="21"/>
                      <w:vertAlign w:val="baseline"/>
                      <w:lang w:val="en-US" w:eastAsia="zh-CN" w:bidi="ar"/>
                    </w:rPr>
                    <w:t>破碎</w:t>
                  </w:r>
                </w:p>
              </w:tc>
              <w:tc>
                <w:tcPr>
                  <w:tcW w:w="405" w:type="pct"/>
                  <w:vMerge w:val="continue"/>
                  <w:tcBorders>
                    <w:tl2br w:val="nil"/>
                    <w:tr2bl w:val="nil"/>
                  </w:tcBorders>
                  <w:noWrap w:val="0"/>
                  <w:vAlign w:val="center"/>
                </w:tcPr>
                <w:p w14:paraId="0264CC52">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color w:val="auto"/>
                    </w:rPr>
                  </w:pPr>
                </w:p>
              </w:tc>
              <w:tc>
                <w:tcPr>
                  <w:tcW w:w="520" w:type="pct"/>
                  <w:tcBorders>
                    <w:tl2br w:val="nil"/>
                    <w:tr2bl w:val="nil"/>
                  </w:tcBorders>
                  <w:noWrap w:val="0"/>
                  <w:vAlign w:val="center"/>
                </w:tcPr>
                <w:p w14:paraId="54BC3DE9">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p>
              </w:tc>
              <w:tc>
                <w:tcPr>
                  <w:tcW w:w="817" w:type="pct"/>
                  <w:tcBorders>
                    <w:tl2br w:val="nil"/>
                    <w:tr2bl w:val="nil"/>
                  </w:tcBorders>
                  <w:shd w:val="clear" w:color="auto" w:fill="auto"/>
                  <w:noWrap w:val="0"/>
                  <w:vAlign w:val="center"/>
                </w:tcPr>
                <w:p w14:paraId="21AF1A75">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olor w:val="auto"/>
                      <w:kern w:val="0"/>
                      <w:sz w:val="21"/>
                      <w:szCs w:val="21"/>
                      <w:vertAlign w:val="baseline"/>
                      <w:lang w:val="en-US" w:eastAsia="zh-CN" w:bidi="ar"/>
                    </w:rPr>
                    <w:t>/</w:t>
                  </w:r>
                </w:p>
              </w:tc>
              <w:tc>
                <w:tcPr>
                  <w:tcW w:w="524" w:type="pct"/>
                  <w:tcBorders>
                    <w:tl2br w:val="nil"/>
                    <w:tr2bl w:val="nil"/>
                  </w:tcBorders>
                  <w:shd w:val="clear" w:color="auto" w:fill="auto"/>
                  <w:noWrap w:val="0"/>
                  <w:vAlign w:val="center"/>
                </w:tcPr>
                <w:p w14:paraId="6C84F488">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p>
              </w:tc>
              <w:tc>
                <w:tcPr>
                  <w:tcW w:w="524" w:type="pct"/>
                  <w:tcBorders>
                    <w:tl2br w:val="nil"/>
                    <w:tr2bl w:val="nil"/>
                  </w:tcBorders>
                  <w:shd w:val="clear" w:color="auto" w:fill="auto"/>
                  <w:noWrap w:val="0"/>
                  <w:vAlign w:val="center"/>
                </w:tcPr>
                <w:p w14:paraId="78927186">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olor w:val="auto"/>
                      <w:kern w:val="0"/>
                      <w:sz w:val="21"/>
                      <w:szCs w:val="21"/>
                      <w:vertAlign w:val="baseline"/>
                      <w:lang w:val="en-US" w:eastAsia="zh-CN" w:bidi="ar"/>
                    </w:rPr>
                    <w:t>3.78</w:t>
                  </w:r>
                </w:p>
              </w:tc>
              <w:tc>
                <w:tcPr>
                  <w:tcW w:w="641" w:type="pct"/>
                  <w:tcBorders>
                    <w:tl2br w:val="nil"/>
                    <w:tr2bl w:val="nil"/>
                  </w:tcBorders>
                  <w:shd w:val="clear" w:color="auto" w:fill="auto"/>
                  <w:noWrap w:val="0"/>
                  <w:vAlign w:val="center"/>
                </w:tcPr>
                <w:p w14:paraId="527D38AD">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w:t>
                  </w:r>
                </w:p>
              </w:tc>
              <w:tc>
                <w:tcPr>
                  <w:tcW w:w="666" w:type="pct"/>
                  <w:tcBorders>
                    <w:tl2br w:val="nil"/>
                    <w:tr2bl w:val="nil"/>
                  </w:tcBorders>
                  <w:shd w:val="clear" w:color="auto" w:fill="auto"/>
                  <w:noWrap w:val="0"/>
                  <w:vAlign w:val="center"/>
                </w:tcPr>
                <w:p w14:paraId="361A54F7">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olor w:val="auto"/>
                      <w:kern w:val="0"/>
                      <w:sz w:val="21"/>
                      <w:szCs w:val="21"/>
                      <w:vertAlign w:val="baseline"/>
                      <w:lang w:val="en-US" w:eastAsia="zh-CN" w:bidi="ar"/>
                    </w:rPr>
                    <w:t>/</w:t>
                  </w:r>
                </w:p>
              </w:tc>
            </w:tr>
            <w:tr w14:paraId="2D84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22" w:type="pct"/>
                  <w:vMerge w:val="continue"/>
                  <w:tcBorders>
                    <w:tl2br w:val="nil"/>
                    <w:tr2bl w:val="nil"/>
                  </w:tcBorders>
                  <w:shd w:val="clear" w:color="auto" w:fill="auto"/>
                  <w:noWrap w:val="0"/>
                  <w:vAlign w:val="center"/>
                </w:tcPr>
                <w:p w14:paraId="587FADFA">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kern w:val="0"/>
                      <w:sz w:val="21"/>
                      <w:szCs w:val="21"/>
                      <w:vertAlign w:val="baseline"/>
                      <w:lang w:val="en-US" w:eastAsia="zh-CN" w:bidi="ar"/>
                    </w:rPr>
                  </w:pPr>
                </w:p>
              </w:tc>
              <w:tc>
                <w:tcPr>
                  <w:tcW w:w="376" w:type="pct"/>
                  <w:tcBorders>
                    <w:tl2br w:val="nil"/>
                    <w:tr2bl w:val="nil"/>
                  </w:tcBorders>
                  <w:noWrap w:val="0"/>
                  <w:vAlign w:val="center"/>
                </w:tcPr>
                <w:p w14:paraId="2AA619ED">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color w:val="auto"/>
                    </w:rPr>
                  </w:pPr>
                  <w:r>
                    <w:rPr>
                      <w:rFonts w:hint="eastAsia"/>
                      <w:color w:val="auto"/>
                      <w:kern w:val="0"/>
                      <w:sz w:val="21"/>
                      <w:szCs w:val="21"/>
                      <w:vertAlign w:val="baseline"/>
                      <w:lang w:val="en-US" w:eastAsia="zh-CN" w:bidi="ar"/>
                    </w:rPr>
                    <w:t>包装</w:t>
                  </w:r>
                </w:p>
              </w:tc>
              <w:tc>
                <w:tcPr>
                  <w:tcW w:w="405" w:type="pct"/>
                  <w:vMerge w:val="continue"/>
                  <w:tcBorders>
                    <w:tl2br w:val="nil"/>
                    <w:tr2bl w:val="nil"/>
                  </w:tcBorders>
                  <w:noWrap w:val="0"/>
                  <w:vAlign w:val="center"/>
                </w:tcPr>
                <w:p w14:paraId="40D9263E">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color w:val="auto"/>
                    </w:rPr>
                  </w:pPr>
                </w:p>
              </w:tc>
              <w:tc>
                <w:tcPr>
                  <w:tcW w:w="520" w:type="pct"/>
                  <w:tcBorders>
                    <w:tl2br w:val="nil"/>
                    <w:tr2bl w:val="nil"/>
                  </w:tcBorders>
                  <w:noWrap w:val="0"/>
                  <w:vAlign w:val="center"/>
                </w:tcPr>
                <w:p w14:paraId="29C14142">
                  <w:pPr>
                    <w:pStyle w:val="8"/>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color w:val="auto"/>
                      <w:kern w:val="0"/>
                      <w:sz w:val="21"/>
                      <w:szCs w:val="21"/>
                      <w:vertAlign w:val="baseline"/>
                      <w:lang w:val="en-US" w:eastAsia="zh-CN" w:bidi="ar"/>
                    </w:rPr>
                  </w:pPr>
                </w:p>
              </w:tc>
              <w:tc>
                <w:tcPr>
                  <w:tcW w:w="817" w:type="pct"/>
                  <w:tcBorders>
                    <w:tl2br w:val="nil"/>
                    <w:tr2bl w:val="nil"/>
                  </w:tcBorders>
                  <w:shd w:val="clear" w:color="auto" w:fill="auto"/>
                  <w:noWrap w:val="0"/>
                  <w:vAlign w:val="center"/>
                </w:tcPr>
                <w:p w14:paraId="78D85275">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kern w:val="0"/>
                      <w:sz w:val="21"/>
                      <w:szCs w:val="21"/>
                      <w:vertAlign w:val="baseline"/>
                      <w:lang w:val="en-US" w:eastAsia="zh-CN" w:bidi="ar"/>
                    </w:rPr>
                  </w:pPr>
                </w:p>
              </w:tc>
              <w:tc>
                <w:tcPr>
                  <w:tcW w:w="524" w:type="pct"/>
                  <w:tcBorders>
                    <w:tl2br w:val="nil"/>
                    <w:tr2bl w:val="nil"/>
                  </w:tcBorders>
                  <w:shd w:val="clear" w:color="auto" w:fill="auto"/>
                  <w:noWrap w:val="0"/>
                  <w:vAlign w:val="center"/>
                </w:tcPr>
                <w:p w14:paraId="61474CEC">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p>
              </w:tc>
              <w:tc>
                <w:tcPr>
                  <w:tcW w:w="524" w:type="pct"/>
                  <w:tcBorders>
                    <w:tl2br w:val="nil"/>
                    <w:tr2bl w:val="nil"/>
                  </w:tcBorders>
                  <w:shd w:val="clear" w:color="auto" w:fill="auto"/>
                  <w:noWrap w:val="0"/>
                  <w:vAlign w:val="center"/>
                </w:tcPr>
                <w:p w14:paraId="3139B550">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kern w:val="0"/>
                      <w:sz w:val="21"/>
                      <w:szCs w:val="21"/>
                      <w:vertAlign w:val="baseline"/>
                      <w:lang w:val="en-US" w:eastAsia="zh-CN" w:bidi="ar"/>
                    </w:rPr>
                  </w:pPr>
                  <w:r>
                    <w:rPr>
                      <w:rFonts w:hint="eastAsia"/>
                      <w:color w:val="auto"/>
                      <w:kern w:val="0"/>
                      <w:sz w:val="21"/>
                      <w:szCs w:val="21"/>
                      <w:vertAlign w:val="baseline"/>
                      <w:lang w:val="en-US" w:eastAsia="zh-CN" w:bidi="ar"/>
                    </w:rPr>
                    <w:t>0.2</w:t>
                  </w:r>
                </w:p>
              </w:tc>
              <w:tc>
                <w:tcPr>
                  <w:tcW w:w="641" w:type="pct"/>
                  <w:tcBorders>
                    <w:tl2br w:val="nil"/>
                    <w:tr2bl w:val="nil"/>
                  </w:tcBorders>
                  <w:shd w:val="clear" w:color="auto" w:fill="auto"/>
                  <w:noWrap w:val="0"/>
                  <w:vAlign w:val="center"/>
                </w:tcPr>
                <w:p w14:paraId="6578118A">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kern w:val="0"/>
                      <w:sz w:val="21"/>
                      <w:szCs w:val="21"/>
                      <w:vertAlign w:val="baseline"/>
                      <w:lang w:val="en-US" w:eastAsia="zh-CN" w:bidi="ar"/>
                    </w:rPr>
                  </w:pPr>
                  <w:r>
                    <w:rPr>
                      <w:rFonts w:hint="eastAsia"/>
                      <w:color w:val="auto"/>
                      <w:kern w:val="0"/>
                      <w:sz w:val="21"/>
                      <w:szCs w:val="21"/>
                      <w:vertAlign w:val="baseline"/>
                      <w:lang w:val="en-US" w:eastAsia="zh-CN" w:bidi="ar"/>
                    </w:rPr>
                    <w:t>/</w:t>
                  </w:r>
                </w:p>
              </w:tc>
              <w:tc>
                <w:tcPr>
                  <w:tcW w:w="666" w:type="pct"/>
                  <w:tcBorders>
                    <w:tl2br w:val="nil"/>
                    <w:tr2bl w:val="nil"/>
                  </w:tcBorders>
                  <w:shd w:val="clear" w:color="auto" w:fill="auto"/>
                  <w:noWrap w:val="0"/>
                  <w:vAlign w:val="center"/>
                </w:tcPr>
                <w:p w14:paraId="1DB54E62">
                  <w:pPr>
                    <w:pStyle w:val="8"/>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kern w:val="0"/>
                      <w:sz w:val="21"/>
                      <w:szCs w:val="21"/>
                      <w:vertAlign w:val="baseline"/>
                      <w:lang w:val="en-US" w:eastAsia="zh-CN" w:bidi="ar"/>
                    </w:rPr>
                  </w:pPr>
                </w:p>
              </w:tc>
            </w:tr>
          </w:tbl>
          <w:p w14:paraId="534F2D11">
            <w:pPr>
              <w:pStyle w:val="72"/>
              <w:spacing w:line="360" w:lineRule="auto"/>
              <w:ind w:firstLine="420"/>
              <w:rPr>
                <w:rFonts w:hint="default"/>
                <w:color w:val="auto"/>
                <w:sz w:val="24"/>
                <w:szCs w:val="24"/>
                <w:lang w:eastAsia="zh-CN"/>
              </w:rPr>
            </w:pPr>
            <w:r>
              <w:rPr>
                <w:rFonts w:hint="default" w:ascii="宋体" w:hAnsi="宋体" w:eastAsia="宋体" w:cs="宋体"/>
                <w:bCs/>
                <w:color w:val="auto"/>
                <w:kern w:val="2"/>
                <w:sz w:val="24"/>
                <w:szCs w:val="24"/>
                <w:lang w:val="en-US" w:eastAsia="zh-CN" w:bidi="ar-SA"/>
              </w:rPr>
              <w:t>综上，</w:t>
            </w:r>
            <w:r>
              <w:rPr>
                <w:rFonts w:hint="eastAsia" w:ascii="宋体" w:hAnsi="宋体" w:cs="宋体"/>
                <w:bCs/>
                <w:color w:val="auto"/>
                <w:kern w:val="2"/>
                <w:sz w:val="24"/>
                <w:szCs w:val="24"/>
                <w:lang w:val="en-US" w:eastAsia="zh-CN" w:bidi="ar-SA"/>
              </w:rPr>
              <w:t>该</w:t>
            </w:r>
            <w:r>
              <w:rPr>
                <w:rFonts w:hint="default" w:ascii="宋体" w:hAnsi="宋体" w:cs="Times New Roman"/>
                <w:snapToGrid/>
                <w:color w:val="auto"/>
                <w:sz w:val="24"/>
                <w:lang w:val="en-US" w:eastAsia="zh-CN"/>
              </w:rPr>
              <w:t>项目</w:t>
            </w:r>
            <w:r>
              <w:rPr>
                <w:rFonts w:hint="eastAsia" w:ascii="宋体" w:hAnsi="宋体" w:cs="Times New Roman"/>
                <w:snapToGrid/>
                <w:color w:val="auto"/>
                <w:sz w:val="24"/>
                <w:lang w:val="en-US" w:eastAsia="zh-CN"/>
              </w:rPr>
              <w:t>沥青粉尘</w:t>
            </w:r>
            <w:r>
              <w:rPr>
                <w:rFonts w:hint="default" w:ascii="宋体" w:hAnsi="宋体" w:cs="Times New Roman"/>
                <w:snapToGrid/>
                <w:color w:val="auto"/>
                <w:sz w:val="24"/>
                <w:lang w:val="en-US" w:eastAsia="zh-CN"/>
              </w:rPr>
              <w:t>有组织、无组织粉尘均能够达到《大气污染物综合排放标准》 （GB16297-1996）中表2的二级排放要求。</w:t>
            </w:r>
          </w:p>
          <w:p w14:paraId="1F00E0C3">
            <w:pPr>
              <w:keepNext w:val="0"/>
              <w:keepLines w:val="0"/>
              <w:widowControl/>
              <w:suppressLineNumbers w:val="0"/>
              <w:spacing w:line="360" w:lineRule="auto"/>
              <w:ind w:firstLine="480" w:firstLineChars="200"/>
              <w:jc w:val="left"/>
              <w:rPr>
                <w:rFonts w:hint="default"/>
                <w:color w:val="auto"/>
                <w:sz w:val="24"/>
                <w:szCs w:val="24"/>
                <w:lang w:eastAsia="zh-CN"/>
              </w:rPr>
            </w:pPr>
            <w:r>
              <w:rPr>
                <w:rFonts w:hint="default"/>
                <w:color w:val="auto"/>
                <w:sz w:val="24"/>
                <w:szCs w:val="24"/>
                <w:lang w:eastAsia="zh-CN"/>
              </w:rPr>
              <w:t>（2）</w:t>
            </w:r>
            <w:r>
              <w:rPr>
                <w:rFonts w:hint="eastAsia" w:ascii="宋体" w:hAnsi="宋体" w:cs="Times New Roman"/>
                <w:snapToGrid/>
                <w:color w:val="auto"/>
                <w:sz w:val="24"/>
                <w:lang w:val="en-US" w:eastAsia="zh-CN"/>
              </w:rPr>
              <w:t>沥青改性剂</w:t>
            </w:r>
            <w:r>
              <w:rPr>
                <w:rFonts w:hint="default" w:ascii="宋体" w:hAnsi="宋体" w:cs="Times New Roman"/>
                <w:snapToGrid/>
                <w:color w:val="auto"/>
                <w:sz w:val="24"/>
              </w:rPr>
              <w:t>工段沥青烟源强分析</w:t>
            </w:r>
          </w:p>
          <w:p w14:paraId="3C210EE8">
            <w:pPr>
              <w:keepNext w:val="0"/>
              <w:keepLines w:val="0"/>
              <w:widowControl/>
              <w:suppressLineNumbers w:val="0"/>
              <w:spacing w:line="360" w:lineRule="auto"/>
              <w:ind w:firstLine="480" w:firstLineChars="200"/>
              <w:jc w:val="left"/>
              <w:rPr>
                <w:rFonts w:hint="eastAsia"/>
                <w:color w:val="auto"/>
                <w:sz w:val="24"/>
                <w:szCs w:val="24"/>
                <w:lang w:val="en-US" w:eastAsia="zh-CN"/>
              </w:rPr>
            </w:pPr>
            <w:r>
              <w:rPr>
                <w:rFonts w:hint="eastAsia"/>
                <w:color w:val="auto"/>
                <w:sz w:val="24"/>
                <w:szCs w:val="24"/>
                <w:lang w:val="en-US" w:eastAsia="zh-CN"/>
              </w:rPr>
              <w:t>沥青烟是沥青加热和含沥青物质的燃烧产生的气溶胶和蒸气。沥青烟气一般夹杂着一定浓度的烟尘，呈棕色或黑色，有强烈的刺激作用。沥青烟气中含多环芳烃类物质尤多，以苯并[a]芘、非甲烷总烃为代表的多环芳烃类物质是强致癌物。</w:t>
            </w:r>
          </w:p>
          <w:p w14:paraId="22DC4F48">
            <w:pPr>
              <w:keepNext w:val="0"/>
              <w:keepLines w:val="0"/>
              <w:widowControl/>
              <w:suppressLineNumbers w:val="0"/>
              <w:spacing w:line="360" w:lineRule="auto"/>
              <w:ind w:firstLine="480" w:firstLineChars="200"/>
              <w:jc w:val="left"/>
              <w:rPr>
                <w:rFonts w:hint="eastAsia"/>
                <w:color w:val="auto"/>
                <w:sz w:val="24"/>
                <w:szCs w:val="24"/>
                <w:lang w:val="en-US" w:eastAsia="zh-CN"/>
              </w:rPr>
            </w:pPr>
            <w:r>
              <w:rPr>
                <w:rFonts w:hint="eastAsia"/>
                <w:color w:val="auto"/>
                <w:sz w:val="24"/>
                <w:szCs w:val="24"/>
                <w:lang w:val="en-US" w:eastAsia="zh-CN"/>
              </w:rPr>
              <w:t>参考《沥青烟产生机理研究》（期刊《石油沥青》第29卷第5期，2015年10月）有关资料，沥青烟在沥青加热、搅拌过程中的产生量约为250mg/kg沥青；参考《工业生产中有害物质手册》（化学工业出版社）有关资料，沥青烟中苯并[a]芘含量约0.01~0.02‰，本次评价取平均值0.015‰；参照《壳牌沥青手册》（壳牌大中华集团，1995年9月初版）的有关资料，每吨石油沥青在加热120℃加热到160℃过程中可产生非甲烷总烃2.5g。</w:t>
            </w:r>
          </w:p>
          <w:p w14:paraId="22D058A0">
            <w:pPr>
              <w:keepNext w:val="0"/>
              <w:keepLines w:val="0"/>
              <w:widowControl/>
              <w:suppressLineNumbers w:val="0"/>
              <w:spacing w:line="360" w:lineRule="auto"/>
              <w:ind w:firstLine="480" w:firstLineChars="200"/>
              <w:jc w:val="left"/>
              <w:rPr>
                <w:rFonts w:hint="eastAsia"/>
                <w:color w:val="auto"/>
                <w:sz w:val="24"/>
                <w:szCs w:val="24"/>
                <w:lang w:val="en-US" w:eastAsia="zh-CN"/>
              </w:rPr>
            </w:pPr>
            <w:r>
              <w:rPr>
                <w:rFonts w:hint="eastAsia"/>
                <w:color w:val="auto"/>
                <w:sz w:val="24"/>
                <w:szCs w:val="24"/>
                <w:lang w:val="en-US" w:eastAsia="zh-CN"/>
              </w:rPr>
              <w:t>本项目</w:t>
            </w:r>
            <w:r>
              <w:rPr>
                <w:rFonts w:hint="eastAsia" w:ascii="宋体" w:hAnsi="宋体" w:cs="Times New Roman"/>
                <w:snapToGrid/>
                <w:color w:val="auto"/>
                <w:sz w:val="24"/>
              </w:rPr>
              <w:t>混合、加热、挤出</w:t>
            </w:r>
            <w:r>
              <w:rPr>
                <w:rFonts w:hint="default" w:ascii="宋体" w:hAnsi="宋体" w:cs="Times New Roman"/>
                <w:snapToGrid/>
                <w:color w:val="auto"/>
                <w:sz w:val="24"/>
              </w:rPr>
              <w:t>工段</w:t>
            </w:r>
            <w:r>
              <w:rPr>
                <w:rFonts w:hint="eastAsia" w:ascii="宋体" w:hAnsi="宋体" w:cs="Times New Roman"/>
                <w:snapToGrid/>
                <w:color w:val="auto"/>
                <w:sz w:val="24"/>
                <w:lang w:val="en-US" w:eastAsia="zh-CN"/>
              </w:rPr>
              <w:t>均在全封闭混料机内进行，该工段产生的沥青烟随出料时从出料口排出，沥青烟经集气罩收集（</w:t>
            </w:r>
            <w:r>
              <w:rPr>
                <w:rFonts w:hint="default" w:ascii="宋体" w:hAnsi="宋体" w:cs="Times New Roman"/>
                <w:snapToGrid/>
                <w:color w:val="auto"/>
                <w:sz w:val="24"/>
                <w:lang w:val="en-US" w:eastAsia="zh-CN"/>
              </w:rPr>
              <w:t>风机风量为</w:t>
            </w:r>
            <w:r>
              <w:rPr>
                <w:rFonts w:hint="eastAsia" w:ascii="宋体" w:hAnsi="宋体" w:cs="Times New Roman"/>
                <w:snapToGrid/>
                <w:color w:val="auto"/>
                <w:sz w:val="24"/>
                <w:lang w:val="en-US" w:eastAsia="zh-CN"/>
              </w:rPr>
              <w:t>10</w:t>
            </w:r>
            <w:r>
              <w:rPr>
                <w:rFonts w:hint="default" w:ascii="宋体" w:hAnsi="宋体" w:cs="Times New Roman"/>
                <w:snapToGrid/>
                <w:color w:val="auto"/>
                <w:sz w:val="24"/>
                <w:lang w:val="en-US" w:eastAsia="zh-CN"/>
              </w:rPr>
              <w:t>00m</w:t>
            </w:r>
            <w:r>
              <w:rPr>
                <w:rFonts w:hint="default" w:ascii="宋体" w:hAnsi="宋体" w:cs="Times New Roman"/>
                <w:snapToGrid/>
                <w:color w:val="auto"/>
                <w:sz w:val="24"/>
                <w:vertAlign w:val="superscript"/>
                <w:lang w:val="en-US" w:eastAsia="zh-CN"/>
              </w:rPr>
              <w:t>3</w:t>
            </w:r>
            <w:r>
              <w:rPr>
                <w:rFonts w:hint="default" w:ascii="宋体" w:hAnsi="宋体" w:cs="Times New Roman"/>
                <w:snapToGrid/>
                <w:color w:val="auto"/>
                <w:sz w:val="24"/>
                <w:lang w:val="en-US" w:eastAsia="zh-CN"/>
              </w:rPr>
              <w:t>/h</w:t>
            </w:r>
            <w:r>
              <w:rPr>
                <w:rFonts w:hint="eastAsia" w:ascii="宋体" w:hAnsi="宋体" w:cs="Times New Roman"/>
                <w:snapToGrid/>
                <w:color w:val="auto"/>
                <w:sz w:val="24"/>
                <w:lang w:val="en-US" w:eastAsia="zh-CN"/>
              </w:rPr>
              <w:t>，收集效率为90%）+活性炭处理（吸附效率为60%）后通过15m高排气筒排放。该工段</w:t>
            </w:r>
            <w:r>
              <w:rPr>
                <w:rFonts w:hint="eastAsia"/>
                <w:color w:val="auto"/>
                <w:sz w:val="24"/>
                <w:szCs w:val="24"/>
                <w:lang w:val="en-US" w:eastAsia="zh-CN"/>
              </w:rPr>
              <w:t>年使用沥青量约为1600t/a，年运行8000h，运营期沥青烟产生量为0.4t/a，苯并[a]芘产生量为6×10</w:t>
            </w:r>
            <w:r>
              <w:rPr>
                <w:rFonts w:hint="eastAsia"/>
                <w:color w:val="auto"/>
                <w:sz w:val="24"/>
                <w:szCs w:val="24"/>
                <w:vertAlign w:val="superscript"/>
                <w:lang w:val="en-US" w:eastAsia="zh-CN"/>
              </w:rPr>
              <w:t>﹣6</w:t>
            </w:r>
            <w:r>
              <w:rPr>
                <w:rFonts w:hint="eastAsia"/>
                <w:color w:val="auto"/>
                <w:sz w:val="24"/>
                <w:szCs w:val="24"/>
                <w:lang w:val="en-US" w:eastAsia="zh-CN"/>
              </w:rPr>
              <w:t>t/a，非甲烷总烃产生量为0.004t/a。经处理后，沥青烟有组织排放量为0.144t/a，苯并[a]芘有组织排放量为2.16×10</w:t>
            </w:r>
            <w:r>
              <w:rPr>
                <w:rFonts w:hint="eastAsia"/>
                <w:color w:val="auto"/>
                <w:sz w:val="24"/>
                <w:szCs w:val="24"/>
                <w:vertAlign w:val="superscript"/>
                <w:lang w:val="en-US" w:eastAsia="zh-CN"/>
              </w:rPr>
              <w:t>-6</w:t>
            </w:r>
            <w:r>
              <w:rPr>
                <w:rFonts w:hint="eastAsia"/>
                <w:color w:val="auto"/>
                <w:sz w:val="24"/>
                <w:szCs w:val="24"/>
                <w:lang w:val="en-US" w:eastAsia="zh-CN"/>
              </w:rPr>
              <w:t>t/a，非甲烷总烃有组织排放量为1.44×10</w:t>
            </w:r>
            <w:r>
              <w:rPr>
                <w:rFonts w:hint="eastAsia"/>
                <w:color w:val="auto"/>
                <w:sz w:val="24"/>
                <w:szCs w:val="24"/>
                <w:vertAlign w:val="superscript"/>
                <w:lang w:val="en-US" w:eastAsia="zh-CN"/>
              </w:rPr>
              <w:t>-3</w:t>
            </w:r>
            <w:r>
              <w:rPr>
                <w:rFonts w:hint="eastAsia"/>
                <w:color w:val="auto"/>
                <w:sz w:val="24"/>
                <w:szCs w:val="24"/>
                <w:lang w:val="en-US" w:eastAsia="zh-CN"/>
              </w:rPr>
              <w:t>t/a；沥青烟无组织排放量为0.04t/a，苯并[a]芘无组织排放量为6×10</w:t>
            </w:r>
            <w:r>
              <w:rPr>
                <w:rFonts w:hint="eastAsia"/>
                <w:color w:val="auto"/>
                <w:sz w:val="24"/>
                <w:szCs w:val="24"/>
                <w:vertAlign w:val="superscript"/>
                <w:lang w:val="en-US" w:eastAsia="zh-CN"/>
              </w:rPr>
              <w:t>-7</w:t>
            </w:r>
            <w:r>
              <w:rPr>
                <w:rFonts w:hint="eastAsia"/>
                <w:color w:val="auto"/>
                <w:sz w:val="24"/>
                <w:szCs w:val="24"/>
                <w:lang w:val="en-US" w:eastAsia="zh-CN"/>
              </w:rPr>
              <w:t>t/a，非甲烷总烃有组织排放量为4×10</w:t>
            </w:r>
            <w:r>
              <w:rPr>
                <w:rFonts w:hint="eastAsia"/>
                <w:color w:val="auto"/>
                <w:sz w:val="24"/>
                <w:szCs w:val="24"/>
                <w:vertAlign w:val="superscript"/>
                <w:lang w:val="en-US" w:eastAsia="zh-CN"/>
              </w:rPr>
              <w:t>-4</w:t>
            </w:r>
            <w:r>
              <w:rPr>
                <w:rFonts w:hint="eastAsia"/>
                <w:color w:val="auto"/>
                <w:sz w:val="24"/>
                <w:szCs w:val="24"/>
                <w:lang w:val="en-US" w:eastAsia="zh-CN"/>
              </w:rPr>
              <w:t>t/a。</w:t>
            </w:r>
          </w:p>
          <w:p w14:paraId="7D639407">
            <w:pPr>
              <w:pStyle w:val="2"/>
              <w:ind w:left="0" w:leftChars="0" w:firstLine="480" w:firstLineChars="200"/>
              <w:rPr>
                <w:rFonts w:hint="default"/>
                <w:color w:val="auto"/>
                <w:lang w:val="en-US" w:eastAsia="zh-CN"/>
              </w:rPr>
            </w:pPr>
            <w:r>
              <w:rPr>
                <w:rFonts w:hint="default" w:ascii="宋体" w:hAnsi="宋体" w:eastAsia="宋体" w:cs="宋体"/>
                <w:bCs/>
                <w:color w:val="auto"/>
                <w:kern w:val="2"/>
                <w:sz w:val="24"/>
                <w:szCs w:val="24"/>
                <w:lang w:val="en-US" w:eastAsia="zh-CN" w:bidi="ar-SA"/>
              </w:rPr>
              <w:t>综上，</w:t>
            </w:r>
            <w:r>
              <w:rPr>
                <w:rFonts w:hint="eastAsia" w:ascii="宋体" w:hAnsi="宋体" w:cs="Times New Roman"/>
                <w:snapToGrid/>
                <w:color w:val="auto"/>
                <w:sz w:val="24"/>
              </w:rPr>
              <w:t>混合、加热、挤出</w:t>
            </w:r>
            <w:r>
              <w:rPr>
                <w:rFonts w:hint="default" w:ascii="宋体" w:hAnsi="宋体" w:cs="Times New Roman"/>
                <w:snapToGrid/>
                <w:color w:val="auto"/>
                <w:sz w:val="24"/>
              </w:rPr>
              <w:t>工</w:t>
            </w:r>
            <w:r>
              <w:rPr>
                <w:rFonts w:hint="eastAsia" w:ascii="宋体" w:hAnsi="宋体" w:cs="Times New Roman"/>
                <w:snapToGrid/>
                <w:color w:val="auto"/>
                <w:sz w:val="24"/>
                <w:lang w:val="en-US" w:eastAsia="zh-CN"/>
              </w:rPr>
              <w:t>序</w:t>
            </w:r>
            <w:r>
              <w:rPr>
                <w:rFonts w:hint="default" w:ascii="宋体" w:hAnsi="宋体" w:cs="Times New Roman"/>
                <w:snapToGrid/>
                <w:color w:val="auto"/>
                <w:sz w:val="24"/>
              </w:rPr>
              <w:t>沥青烟</w:t>
            </w:r>
            <w:r>
              <w:rPr>
                <w:rFonts w:hint="default" w:ascii="宋体" w:hAnsi="宋体" w:eastAsia="宋体" w:cs="宋体"/>
                <w:bCs/>
                <w:color w:val="auto"/>
                <w:kern w:val="2"/>
                <w:sz w:val="24"/>
                <w:szCs w:val="24"/>
                <w:lang w:val="en-US" w:eastAsia="zh-CN" w:bidi="ar-SA"/>
              </w:rPr>
              <w:t>废气污染物排放情况汇总见表4-</w:t>
            </w:r>
            <w:r>
              <w:rPr>
                <w:rFonts w:hint="eastAsia" w:ascii="宋体" w:hAnsi="宋体" w:cs="宋体"/>
                <w:bCs/>
                <w:color w:val="auto"/>
                <w:kern w:val="2"/>
                <w:sz w:val="24"/>
                <w:szCs w:val="24"/>
                <w:lang w:val="en-US" w:eastAsia="zh-CN" w:bidi="ar-SA"/>
              </w:rPr>
              <w:t>3。</w:t>
            </w:r>
          </w:p>
          <w:p w14:paraId="434F9227">
            <w:pPr>
              <w:pStyle w:val="16"/>
              <w:spacing w:after="0" w:line="360" w:lineRule="auto"/>
              <w:ind w:left="0" w:leftChars="0"/>
              <w:jc w:val="center"/>
              <w:rPr>
                <w:b/>
                <w:bCs/>
                <w:color w:val="auto"/>
                <w:sz w:val="21"/>
                <w:szCs w:val="21"/>
              </w:rPr>
            </w:pPr>
            <w:r>
              <w:rPr>
                <w:rFonts w:hint="eastAsia"/>
                <w:b/>
                <w:bCs/>
                <w:color w:val="auto"/>
                <w:kern w:val="0"/>
                <w:sz w:val="21"/>
                <w:szCs w:val="21"/>
                <w:lang w:bidi="ar"/>
              </w:rPr>
              <w:t>表4-</w:t>
            </w:r>
            <w:r>
              <w:rPr>
                <w:rFonts w:hint="eastAsia"/>
                <w:b/>
                <w:bCs/>
                <w:color w:val="auto"/>
                <w:kern w:val="0"/>
                <w:sz w:val="21"/>
                <w:szCs w:val="21"/>
                <w:lang w:val="en-US" w:eastAsia="zh-CN" w:bidi="ar"/>
              </w:rPr>
              <w:t>3</w:t>
            </w:r>
            <w:r>
              <w:rPr>
                <w:rFonts w:hint="eastAsia"/>
                <w:b/>
                <w:bCs/>
                <w:color w:val="auto"/>
                <w:kern w:val="0"/>
                <w:sz w:val="21"/>
                <w:szCs w:val="21"/>
                <w:lang w:bidi="ar"/>
              </w:rPr>
              <w:t xml:space="preserve">    沥青烟产排情况一览表</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4"/>
              <w:gridCol w:w="1208"/>
              <w:gridCol w:w="1241"/>
              <w:gridCol w:w="1057"/>
              <w:gridCol w:w="1238"/>
              <w:gridCol w:w="1302"/>
              <w:gridCol w:w="1356"/>
            </w:tblGrid>
            <w:tr w14:paraId="540E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pct"/>
                  <w:noWrap w:val="0"/>
                  <w:vAlign w:val="center"/>
                </w:tcPr>
                <w:p w14:paraId="7FD56ACE">
                  <w:pPr>
                    <w:jc w:val="center"/>
                    <w:rPr>
                      <w:color w:val="auto"/>
                      <w:szCs w:val="21"/>
                    </w:rPr>
                  </w:pPr>
                  <w:r>
                    <w:rPr>
                      <w:color w:val="auto"/>
                      <w:szCs w:val="21"/>
                    </w:rPr>
                    <w:t>污染物</w:t>
                  </w:r>
                </w:p>
              </w:tc>
              <w:tc>
                <w:tcPr>
                  <w:tcW w:w="720" w:type="pct"/>
                  <w:noWrap w:val="0"/>
                  <w:vAlign w:val="center"/>
                </w:tcPr>
                <w:p w14:paraId="1AF0B4E4">
                  <w:pPr>
                    <w:jc w:val="center"/>
                    <w:rPr>
                      <w:color w:val="auto"/>
                      <w:szCs w:val="21"/>
                    </w:rPr>
                  </w:pPr>
                  <w:r>
                    <w:rPr>
                      <w:rFonts w:hint="eastAsia"/>
                      <w:color w:val="auto"/>
                      <w:szCs w:val="21"/>
                    </w:rPr>
                    <w:t>产生量t/a</w:t>
                  </w:r>
                </w:p>
              </w:tc>
              <w:tc>
                <w:tcPr>
                  <w:tcW w:w="732" w:type="pct"/>
                  <w:noWrap w:val="0"/>
                  <w:vAlign w:val="center"/>
                </w:tcPr>
                <w:p w14:paraId="5F591A1E">
                  <w:pPr>
                    <w:jc w:val="center"/>
                    <w:rPr>
                      <w:rFonts w:hint="eastAsia"/>
                      <w:color w:val="auto"/>
                      <w:szCs w:val="21"/>
                    </w:rPr>
                  </w:pPr>
                  <w:r>
                    <w:rPr>
                      <w:rFonts w:hint="eastAsia"/>
                      <w:color w:val="auto"/>
                      <w:szCs w:val="21"/>
                    </w:rPr>
                    <w:t>处理</w:t>
                  </w:r>
                </w:p>
                <w:p w14:paraId="795C97B8">
                  <w:pPr>
                    <w:jc w:val="center"/>
                    <w:rPr>
                      <w:color w:val="auto"/>
                      <w:szCs w:val="21"/>
                    </w:rPr>
                  </w:pPr>
                  <w:r>
                    <w:rPr>
                      <w:rFonts w:hint="eastAsia"/>
                      <w:color w:val="auto"/>
                      <w:szCs w:val="21"/>
                    </w:rPr>
                    <w:t>措施</w:t>
                  </w:r>
                </w:p>
              </w:tc>
              <w:tc>
                <w:tcPr>
                  <w:tcW w:w="630" w:type="pct"/>
                  <w:noWrap w:val="0"/>
                  <w:vAlign w:val="center"/>
                </w:tcPr>
                <w:p w14:paraId="6E572CB7">
                  <w:pPr>
                    <w:jc w:val="center"/>
                    <w:rPr>
                      <w:color w:val="auto"/>
                      <w:szCs w:val="21"/>
                    </w:rPr>
                  </w:pPr>
                  <w:r>
                    <w:rPr>
                      <w:rFonts w:hint="eastAsia"/>
                      <w:color w:val="auto"/>
                      <w:szCs w:val="21"/>
                    </w:rPr>
                    <w:t>排风量m</w:t>
                  </w:r>
                  <w:r>
                    <w:rPr>
                      <w:rFonts w:hint="eastAsia"/>
                      <w:color w:val="auto"/>
                      <w:szCs w:val="21"/>
                      <w:vertAlign w:val="superscript"/>
                    </w:rPr>
                    <w:t>3</w:t>
                  </w:r>
                  <w:r>
                    <w:rPr>
                      <w:rFonts w:hint="eastAsia"/>
                      <w:color w:val="auto"/>
                      <w:szCs w:val="21"/>
                    </w:rPr>
                    <w:t>/h</w:t>
                  </w:r>
                </w:p>
              </w:tc>
              <w:tc>
                <w:tcPr>
                  <w:tcW w:w="738" w:type="pct"/>
                  <w:noWrap w:val="0"/>
                  <w:vAlign w:val="center"/>
                </w:tcPr>
                <w:p w14:paraId="0DE4A58C">
                  <w:pPr>
                    <w:jc w:val="center"/>
                    <w:rPr>
                      <w:color w:val="auto"/>
                      <w:szCs w:val="21"/>
                    </w:rPr>
                  </w:pPr>
                  <w:r>
                    <w:rPr>
                      <w:color w:val="auto"/>
                      <w:szCs w:val="21"/>
                    </w:rPr>
                    <w:t>排放量</w:t>
                  </w:r>
                  <w:r>
                    <w:rPr>
                      <w:rFonts w:hint="eastAsia"/>
                      <w:color w:val="auto"/>
                      <w:szCs w:val="21"/>
                    </w:rPr>
                    <w:t>t/a</w:t>
                  </w:r>
                </w:p>
              </w:tc>
              <w:tc>
                <w:tcPr>
                  <w:tcW w:w="776" w:type="pct"/>
                  <w:noWrap w:val="0"/>
                  <w:vAlign w:val="center"/>
                </w:tcPr>
                <w:p w14:paraId="7B4015D6">
                  <w:pPr>
                    <w:jc w:val="center"/>
                    <w:rPr>
                      <w:color w:val="auto"/>
                      <w:szCs w:val="21"/>
                    </w:rPr>
                  </w:pPr>
                  <w:r>
                    <w:rPr>
                      <w:color w:val="auto"/>
                      <w:szCs w:val="21"/>
                    </w:rPr>
                    <w:t>排放速率</w:t>
                  </w:r>
                  <w:r>
                    <w:rPr>
                      <w:rFonts w:hint="eastAsia"/>
                      <w:color w:val="auto"/>
                      <w:szCs w:val="21"/>
                    </w:rPr>
                    <w:t>kg/h</w:t>
                  </w:r>
                </w:p>
              </w:tc>
              <w:tc>
                <w:tcPr>
                  <w:tcW w:w="808" w:type="pct"/>
                  <w:noWrap w:val="0"/>
                  <w:vAlign w:val="center"/>
                </w:tcPr>
                <w:p w14:paraId="1CD051C8">
                  <w:pPr>
                    <w:jc w:val="center"/>
                    <w:rPr>
                      <w:color w:val="auto"/>
                      <w:szCs w:val="21"/>
                    </w:rPr>
                  </w:pPr>
                  <w:r>
                    <w:rPr>
                      <w:color w:val="auto"/>
                      <w:szCs w:val="21"/>
                    </w:rPr>
                    <w:t>排放浓度</w:t>
                  </w:r>
                  <w:r>
                    <w:rPr>
                      <w:rFonts w:hint="eastAsia"/>
                      <w:color w:val="auto"/>
                      <w:szCs w:val="21"/>
                    </w:rPr>
                    <w:t>mg/m</w:t>
                  </w:r>
                  <w:r>
                    <w:rPr>
                      <w:rFonts w:hint="eastAsia"/>
                      <w:color w:val="auto"/>
                      <w:szCs w:val="21"/>
                      <w:vertAlign w:val="superscript"/>
                    </w:rPr>
                    <w:t>3</w:t>
                  </w:r>
                </w:p>
              </w:tc>
            </w:tr>
            <w:tr w14:paraId="17C8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pct"/>
                  <w:noWrap w:val="0"/>
                  <w:vAlign w:val="center"/>
                </w:tcPr>
                <w:p w14:paraId="5D150075">
                  <w:pPr>
                    <w:jc w:val="center"/>
                    <w:rPr>
                      <w:color w:val="auto"/>
                      <w:szCs w:val="21"/>
                    </w:rPr>
                  </w:pPr>
                  <w:r>
                    <w:rPr>
                      <w:rFonts w:hint="eastAsia"/>
                      <w:color w:val="auto"/>
                      <w:szCs w:val="21"/>
                    </w:rPr>
                    <w:t>沥青烟</w:t>
                  </w:r>
                </w:p>
              </w:tc>
              <w:tc>
                <w:tcPr>
                  <w:tcW w:w="720" w:type="pct"/>
                  <w:noWrap w:val="0"/>
                  <w:vAlign w:val="center"/>
                </w:tcPr>
                <w:p w14:paraId="480E56A7">
                  <w:pPr>
                    <w:jc w:val="center"/>
                    <w:rPr>
                      <w:rFonts w:hint="default" w:eastAsia="宋体"/>
                      <w:color w:val="auto"/>
                      <w:szCs w:val="21"/>
                      <w:lang w:val="en-US" w:eastAsia="zh-CN"/>
                    </w:rPr>
                  </w:pPr>
                  <w:r>
                    <w:rPr>
                      <w:rFonts w:hint="eastAsia"/>
                      <w:color w:val="auto"/>
                      <w:szCs w:val="21"/>
                      <w:lang w:val="en-US" w:eastAsia="zh-CN"/>
                    </w:rPr>
                    <w:t>0.4</w:t>
                  </w:r>
                </w:p>
              </w:tc>
              <w:tc>
                <w:tcPr>
                  <w:tcW w:w="732" w:type="pct"/>
                  <w:vMerge w:val="restart"/>
                  <w:noWrap w:val="0"/>
                  <w:vAlign w:val="center"/>
                </w:tcPr>
                <w:p w14:paraId="3FB293AE">
                  <w:pPr>
                    <w:jc w:val="center"/>
                    <w:rPr>
                      <w:rFonts w:hint="default" w:eastAsia="宋体"/>
                      <w:color w:val="auto"/>
                      <w:szCs w:val="21"/>
                      <w:lang w:val="en-US" w:eastAsia="zh-CN"/>
                    </w:rPr>
                  </w:pPr>
                  <w:r>
                    <w:rPr>
                      <w:rFonts w:hint="eastAsia"/>
                      <w:color w:val="auto"/>
                      <w:szCs w:val="21"/>
                      <w:lang w:val="en-US" w:eastAsia="zh-CN"/>
                    </w:rPr>
                    <w:t>气罩收集（</w:t>
                  </w:r>
                  <w:r>
                    <w:rPr>
                      <w:rFonts w:hint="default"/>
                      <w:color w:val="auto"/>
                      <w:szCs w:val="21"/>
                      <w:lang w:val="en-US" w:eastAsia="zh-CN"/>
                    </w:rPr>
                    <w:t>风机风量为</w:t>
                  </w:r>
                  <w:r>
                    <w:rPr>
                      <w:rFonts w:hint="eastAsia"/>
                      <w:color w:val="auto"/>
                      <w:szCs w:val="21"/>
                      <w:lang w:val="en-US" w:eastAsia="zh-CN"/>
                    </w:rPr>
                    <w:t>10</w:t>
                  </w:r>
                  <w:r>
                    <w:rPr>
                      <w:rFonts w:hint="default"/>
                      <w:color w:val="auto"/>
                      <w:szCs w:val="21"/>
                      <w:lang w:val="en-US" w:eastAsia="zh-CN"/>
                    </w:rPr>
                    <w:t>00m</w:t>
                  </w:r>
                  <w:r>
                    <w:rPr>
                      <w:rFonts w:hint="default"/>
                      <w:color w:val="auto"/>
                      <w:szCs w:val="21"/>
                      <w:vertAlign w:val="superscript"/>
                      <w:lang w:val="en-US" w:eastAsia="zh-CN"/>
                    </w:rPr>
                    <w:t>3</w:t>
                  </w:r>
                  <w:r>
                    <w:rPr>
                      <w:rFonts w:hint="default"/>
                      <w:color w:val="auto"/>
                      <w:szCs w:val="21"/>
                      <w:lang w:val="en-US" w:eastAsia="zh-CN"/>
                    </w:rPr>
                    <w:t>/h</w:t>
                  </w:r>
                  <w:r>
                    <w:rPr>
                      <w:rFonts w:hint="eastAsia"/>
                      <w:color w:val="auto"/>
                      <w:szCs w:val="21"/>
                      <w:lang w:val="en-US" w:eastAsia="zh-CN"/>
                    </w:rPr>
                    <w:t>，收集效率为90%）+活性炭处理（吸附效率为60%）</w:t>
                  </w:r>
                </w:p>
              </w:tc>
              <w:tc>
                <w:tcPr>
                  <w:tcW w:w="630" w:type="pct"/>
                  <w:vMerge w:val="restart"/>
                  <w:noWrap w:val="0"/>
                  <w:vAlign w:val="center"/>
                </w:tcPr>
                <w:p w14:paraId="32A6A43A">
                  <w:pPr>
                    <w:jc w:val="center"/>
                    <w:rPr>
                      <w:rFonts w:hint="default" w:eastAsia="宋体"/>
                      <w:color w:val="auto"/>
                      <w:szCs w:val="21"/>
                      <w:lang w:val="en-US" w:eastAsia="zh-CN"/>
                    </w:rPr>
                  </w:pPr>
                  <w:r>
                    <w:rPr>
                      <w:rFonts w:hint="eastAsia"/>
                      <w:color w:val="auto"/>
                      <w:szCs w:val="21"/>
                      <w:lang w:val="en-US" w:eastAsia="zh-CN"/>
                    </w:rPr>
                    <w:t>1000</w:t>
                  </w:r>
                </w:p>
              </w:tc>
              <w:tc>
                <w:tcPr>
                  <w:tcW w:w="738" w:type="pct"/>
                  <w:noWrap w:val="0"/>
                  <w:vAlign w:val="center"/>
                </w:tcPr>
                <w:p w14:paraId="54E1ED0E">
                  <w:pPr>
                    <w:jc w:val="center"/>
                    <w:rPr>
                      <w:rFonts w:hint="default" w:eastAsia="宋体"/>
                      <w:color w:val="auto"/>
                      <w:szCs w:val="21"/>
                      <w:lang w:val="en-US" w:eastAsia="zh-CN"/>
                    </w:rPr>
                  </w:pPr>
                  <w:r>
                    <w:rPr>
                      <w:rFonts w:hint="eastAsia"/>
                      <w:color w:val="auto"/>
                      <w:szCs w:val="21"/>
                      <w:lang w:val="en-US" w:eastAsia="zh-CN"/>
                    </w:rPr>
                    <w:t>0.144</w:t>
                  </w:r>
                </w:p>
              </w:tc>
              <w:tc>
                <w:tcPr>
                  <w:tcW w:w="776" w:type="pct"/>
                  <w:noWrap w:val="0"/>
                  <w:vAlign w:val="center"/>
                </w:tcPr>
                <w:p w14:paraId="0945333A">
                  <w:pPr>
                    <w:jc w:val="center"/>
                    <w:rPr>
                      <w:rFonts w:hint="default" w:eastAsia="宋体"/>
                      <w:color w:val="auto"/>
                      <w:szCs w:val="21"/>
                      <w:lang w:val="en-US" w:eastAsia="zh-CN"/>
                    </w:rPr>
                  </w:pPr>
                  <w:r>
                    <w:rPr>
                      <w:rFonts w:hint="eastAsia"/>
                      <w:color w:val="auto"/>
                      <w:szCs w:val="21"/>
                    </w:rPr>
                    <w:t>0.</w:t>
                  </w:r>
                  <w:r>
                    <w:rPr>
                      <w:rFonts w:hint="eastAsia"/>
                      <w:color w:val="auto"/>
                      <w:szCs w:val="21"/>
                      <w:lang w:val="en-US" w:eastAsia="zh-CN"/>
                    </w:rPr>
                    <w:t>018</w:t>
                  </w:r>
                </w:p>
              </w:tc>
              <w:tc>
                <w:tcPr>
                  <w:tcW w:w="808" w:type="pct"/>
                  <w:noWrap w:val="0"/>
                  <w:vAlign w:val="center"/>
                </w:tcPr>
                <w:p w14:paraId="6A5FBCE0">
                  <w:pPr>
                    <w:jc w:val="center"/>
                    <w:rPr>
                      <w:rFonts w:hint="default" w:eastAsia="宋体"/>
                      <w:color w:val="auto"/>
                      <w:szCs w:val="21"/>
                      <w:lang w:val="en-US" w:eastAsia="zh-CN"/>
                    </w:rPr>
                  </w:pPr>
                  <w:r>
                    <w:rPr>
                      <w:rFonts w:hint="eastAsia"/>
                      <w:color w:val="auto"/>
                      <w:szCs w:val="21"/>
                      <w:lang w:val="en-US" w:eastAsia="zh-CN"/>
                    </w:rPr>
                    <w:t>18</w:t>
                  </w:r>
                </w:p>
              </w:tc>
            </w:tr>
            <w:tr w14:paraId="4FA4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pct"/>
                  <w:noWrap w:val="0"/>
                  <w:vAlign w:val="center"/>
                </w:tcPr>
                <w:p w14:paraId="30F8A0B6">
                  <w:pPr>
                    <w:jc w:val="center"/>
                    <w:rPr>
                      <w:color w:val="auto"/>
                      <w:szCs w:val="21"/>
                    </w:rPr>
                  </w:pPr>
                  <w:r>
                    <w:rPr>
                      <w:rFonts w:hint="eastAsia"/>
                      <w:color w:val="auto"/>
                      <w:szCs w:val="21"/>
                    </w:rPr>
                    <w:t>苯并芘</w:t>
                  </w:r>
                </w:p>
              </w:tc>
              <w:tc>
                <w:tcPr>
                  <w:tcW w:w="720" w:type="pct"/>
                  <w:noWrap w:val="0"/>
                  <w:vAlign w:val="center"/>
                </w:tcPr>
                <w:p w14:paraId="57186AAF">
                  <w:pPr>
                    <w:jc w:val="center"/>
                    <w:rPr>
                      <w:rFonts w:hint="default" w:eastAsia="宋体"/>
                      <w:color w:val="auto"/>
                      <w:szCs w:val="21"/>
                      <w:lang w:val="en-US" w:eastAsia="zh-CN"/>
                    </w:rPr>
                  </w:pPr>
                  <w:r>
                    <w:rPr>
                      <w:rFonts w:hint="eastAsia"/>
                      <w:color w:val="auto"/>
                      <w:szCs w:val="21"/>
                      <w:lang w:val="en-US" w:eastAsia="zh-CN"/>
                    </w:rPr>
                    <w:t>6×10</w:t>
                  </w:r>
                  <w:r>
                    <w:rPr>
                      <w:rFonts w:hint="eastAsia"/>
                      <w:color w:val="auto"/>
                      <w:szCs w:val="21"/>
                      <w:vertAlign w:val="superscript"/>
                      <w:lang w:val="en-US" w:eastAsia="zh-CN"/>
                    </w:rPr>
                    <w:t>﹣6</w:t>
                  </w:r>
                </w:p>
              </w:tc>
              <w:tc>
                <w:tcPr>
                  <w:tcW w:w="732" w:type="pct"/>
                  <w:vMerge w:val="continue"/>
                  <w:noWrap w:val="0"/>
                  <w:vAlign w:val="center"/>
                </w:tcPr>
                <w:p w14:paraId="4B17A7CD">
                  <w:pPr>
                    <w:jc w:val="center"/>
                    <w:rPr>
                      <w:color w:val="auto"/>
                      <w:szCs w:val="21"/>
                    </w:rPr>
                  </w:pPr>
                </w:p>
              </w:tc>
              <w:tc>
                <w:tcPr>
                  <w:tcW w:w="630" w:type="pct"/>
                  <w:vMerge w:val="continue"/>
                  <w:noWrap w:val="0"/>
                  <w:vAlign w:val="center"/>
                </w:tcPr>
                <w:p w14:paraId="267F6477">
                  <w:pPr>
                    <w:jc w:val="center"/>
                    <w:rPr>
                      <w:color w:val="auto"/>
                      <w:szCs w:val="21"/>
                    </w:rPr>
                  </w:pPr>
                </w:p>
              </w:tc>
              <w:tc>
                <w:tcPr>
                  <w:tcW w:w="738" w:type="pct"/>
                  <w:noWrap w:val="0"/>
                  <w:vAlign w:val="center"/>
                </w:tcPr>
                <w:p w14:paraId="71D304C2">
                  <w:pPr>
                    <w:jc w:val="center"/>
                    <w:rPr>
                      <w:rFonts w:hint="eastAsia" w:eastAsia="宋体"/>
                      <w:color w:val="auto"/>
                      <w:szCs w:val="21"/>
                      <w:lang w:eastAsia="zh-CN"/>
                    </w:rPr>
                  </w:pPr>
                  <w:r>
                    <w:rPr>
                      <w:rFonts w:hint="eastAsia"/>
                      <w:color w:val="auto"/>
                      <w:szCs w:val="21"/>
                      <w:lang w:val="en-US" w:eastAsia="zh-CN"/>
                    </w:rPr>
                    <w:t>2.16</w:t>
                  </w:r>
                  <w:r>
                    <w:rPr>
                      <w:rFonts w:hint="eastAsia"/>
                      <w:color w:val="auto"/>
                      <w:kern w:val="0"/>
                      <w:szCs w:val="21"/>
                      <w:lang w:bidi="ar"/>
                    </w:rPr>
                    <w:t>×10</w:t>
                  </w:r>
                  <w:r>
                    <w:rPr>
                      <w:rFonts w:hint="eastAsia"/>
                      <w:color w:val="auto"/>
                      <w:kern w:val="0"/>
                      <w:szCs w:val="21"/>
                      <w:vertAlign w:val="superscript"/>
                      <w:lang w:bidi="ar"/>
                    </w:rPr>
                    <w:t>-</w:t>
                  </w:r>
                  <w:r>
                    <w:rPr>
                      <w:rFonts w:hint="eastAsia"/>
                      <w:color w:val="auto"/>
                      <w:kern w:val="0"/>
                      <w:szCs w:val="21"/>
                      <w:vertAlign w:val="superscript"/>
                      <w:lang w:val="en-US" w:eastAsia="zh-CN" w:bidi="ar"/>
                    </w:rPr>
                    <w:t>6</w:t>
                  </w:r>
                </w:p>
              </w:tc>
              <w:tc>
                <w:tcPr>
                  <w:tcW w:w="776" w:type="pct"/>
                  <w:noWrap w:val="0"/>
                  <w:vAlign w:val="center"/>
                </w:tcPr>
                <w:p w14:paraId="5E7AFA01">
                  <w:pPr>
                    <w:jc w:val="center"/>
                    <w:rPr>
                      <w:rFonts w:hint="default" w:eastAsia="宋体"/>
                      <w:color w:val="auto"/>
                      <w:szCs w:val="21"/>
                      <w:lang w:val="en-US" w:eastAsia="zh-CN"/>
                    </w:rPr>
                  </w:pPr>
                  <w:r>
                    <w:rPr>
                      <w:rFonts w:hint="eastAsia"/>
                      <w:color w:val="auto"/>
                      <w:szCs w:val="21"/>
                      <w:lang w:val="en-US" w:eastAsia="zh-CN"/>
                    </w:rPr>
                    <w:t>2.7</w:t>
                  </w:r>
                  <w:r>
                    <w:rPr>
                      <w:rFonts w:hint="eastAsia"/>
                      <w:color w:val="auto"/>
                      <w:kern w:val="0"/>
                      <w:szCs w:val="21"/>
                      <w:lang w:bidi="ar"/>
                    </w:rPr>
                    <w:t>×10</w:t>
                  </w:r>
                  <w:r>
                    <w:rPr>
                      <w:rFonts w:hint="eastAsia"/>
                      <w:color w:val="auto"/>
                      <w:kern w:val="0"/>
                      <w:szCs w:val="21"/>
                      <w:vertAlign w:val="superscript"/>
                      <w:lang w:bidi="ar"/>
                    </w:rPr>
                    <w:t>-</w:t>
                  </w:r>
                  <w:r>
                    <w:rPr>
                      <w:rFonts w:hint="eastAsia"/>
                      <w:color w:val="auto"/>
                      <w:kern w:val="0"/>
                      <w:szCs w:val="21"/>
                      <w:vertAlign w:val="superscript"/>
                      <w:lang w:val="en-US" w:eastAsia="zh-CN" w:bidi="ar"/>
                    </w:rPr>
                    <w:t>7</w:t>
                  </w:r>
                </w:p>
              </w:tc>
              <w:tc>
                <w:tcPr>
                  <w:tcW w:w="808" w:type="pct"/>
                  <w:noWrap w:val="0"/>
                  <w:vAlign w:val="center"/>
                </w:tcPr>
                <w:p w14:paraId="07041AE3">
                  <w:pPr>
                    <w:jc w:val="center"/>
                    <w:rPr>
                      <w:rFonts w:hint="default" w:eastAsia="宋体"/>
                      <w:color w:val="auto"/>
                      <w:szCs w:val="21"/>
                      <w:lang w:val="en-US" w:eastAsia="zh-CN"/>
                    </w:rPr>
                  </w:pPr>
                  <w:r>
                    <w:rPr>
                      <w:rFonts w:hint="eastAsia"/>
                      <w:color w:val="auto"/>
                      <w:szCs w:val="21"/>
                      <w:lang w:val="en-US" w:eastAsia="zh-CN"/>
                    </w:rPr>
                    <w:t>2.7</w:t>
                  </w:r>
                  <w:r>
                    <w:rPr>
                      <w:rFonts w:hint="eastAsia"/>
                      <w:color w:val="auto"/>
                      <w:kern w:val="0"/>
                      <w:szCs w:val="21"/>
                      <w:lang w:bidi="ar"/>
                    </w:rPr>
                    <w:t>×10</w:t>
                  </w:r>
                  <w:r>
                    <w:rPr>
                      <w:rFonts w:hint="eastAsia"/>
                      <w:color w:val="auto"/>
                      <w:kern w:val="0"/>
                      <w:szCs w:val="21"/>
                      <w:vertAlign w:val="superscript"/>
                      <w:lang w:bidi="ar"/>
                    </w:rPr>
                    <w:t>-</w:t>
                  </w:r>
                  <w:r>
                    <w:rPr>
                      <w:rFonts w:hint="eastAsia"/>
                      <w:color w:val="auto"/>
                      <w:kern w:val="0"/>
                      <w:szCs w:val="21"/>
                      <w:vertAlign w:val="superscript"/>
                      <w:lang w:val="en-US" w:eastAsia="zh-CN" w:bidi="ar"/>
                    </w:rPr>
                    <w:t>4</w:t>
                  </w:r>
                </w:p>
              </w:tc>
            </w:tr>
            <w:tr w14:paraId="6C0D6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3" w:type="pct"/>
                  <w:noWrap w:val="0"/>
                  <w:vAlign w:val="center"/>
                </w:tcPr>
                <w:p w14:paraId="364BC20D">
                  <w:pPr>
                    <w:jc w:val="center"/>
                    <w:rPr>
                      <w:color w:val="auto"/>
                      <w:szCs w:val="21"/>
                    </w:rPr>
                  </w:pPr>
                  <w:r>
                    <w:rPr>
                      <w:rFonts w:hint="eastAsia"/>
                      <w:color w:val="auto"/>
                      <w:szCs w:val="21"/>
                    </w:rPr>
                    <w:t>非甲烷总烃</w:t>
                  </w:r>
                </w:p>
              </w:tc>
              <w:tc>
                <w:tcPr>
                  <w:tcW w:w="720" w:type="pct"/>
                  <w:noWrap w:val="0"/>
                  <w:vAlign w:val="center"/>
                </w:tcPr>
                <w:p w14:paraId="5D8EF91D">
                  <w:pPr>
                    <w:jc w:val="center"/>
                    <w:rPr>
                      <w:rFonts w:hint="default" w:eastAsia="宋体"/>
                      <w:color w:val="auto"/>
                      <w:szCs w:val="21"/>
                      <w:lang w:val="en-US" w:eastAsia="zh-CN"/>
                    </w:rPr>
                  </w:pPr>
                  <w:r>
                    <w:rPr>
                      <w:rFonts w:hint="eastAsia"/>
                      <w:color w:val="auto"/>
                      <w:kern w:val="0"/>
                      <w:szCs w:val="21"/>
                      <w:lang w:bidi="ar"/>
                    </w:rPr>
                    <w:t>0.0</w:t>
                  </w:r>
                  <w:r>
                    <w:rPr>
                      <w:rFonts w:hint="eastAsia"/>
                      <w:color w:val="auto"/>
                      <w:kern w:val="0"/>
                      <w:szCs w:val="21"/>
                      <w:lang w:val="en-US" w:eastAsia="zh-CN" w:bidi="ar"/>
                    </w:rPr>
                    <w:t>04</w:t>
                  </w:r>
                </w:p>
              </w:tc>
              <w:tc>
                <w:tcPr>
                  <w:tcW w:w="732" w:type="pct"/>
                  <w:vMerge w:val="continue"/>
                  <w:noWrap w:val="0"/>
                  <w:vAlign w:val="center"/>
                </w:tcPr>
                <w:p w14:paraId="7B942203">
                  <w:pPr>
                    <w:jc w:val="center"/>
                    <w:rPr>
                      <w:color w:val="auto"/>
                      <w:szCs w:val="21"/>
                    </w:rPr>
                  </w:pPr>
                </w:p>
              </w:tc>
              <w:tc>
                <w:tcPr>
                  <w:tcW w:w="630" w:type="pct"/>
                  <w:vMerge w:val="continue"/>
                  <w:noWrap w:val="0"/>
                  <w:vAlign w:val="center"/>
                </w:tcPr>
                <w:p w14:paraId="550715DA">
                  <w:pPr>
                    <w:jc w:val="center"/>
                    <w:rPr>
                      <w:color w:val="auto"/>
                      <w:szCs w:val="21"/>
                    </w:rPr>
                  </w:pPr>
                </w:p>
              </w:tc>
              <w:tc>
                <w:tcPr>
                  <w:tcW w:w="738" w:type="pct"/>
                  <w:noWrap w:val="0"/>
                  <w:vAlign w:val="center"/>
                </w:tcPr>
                <w:p w14:paraId="2B3676A3">
                  <w:pPr>
                    <w:jc w:val="center"/>
                    <w:rPr>
                      <w:rFonts w:hint="eastAsia" w:eastAsia="宋体"/>
                      <w:color w:val="auto"/>
                      <w:szCs w:val="21"/>
                      <w:lang w:val="en-US" w:eastAsia="zh-CN"/>
                    </w:rPr>
                  </w:pPr>
                  <w:r>
                    <w:rPr>
                      <w:rFonts w:hint="eastAsia"/>
                      <w:color w:val="auto"/>
                      <w:szCs w:val="21"/>
                      <w:lang w:val="en-US" w:eastAsia="zh-CN"/>
                    </w:rPr>
                    <w:t>1.44</w:t>
                  </w:r>
                  <w:r>
                    <w:rPr>
                      <w:rFonts w:hint="eastAsia"/>
                      <w:color w:val="auto"/>
                      <w:kern w:val="0"/>
                      <w:szCs w:val="21"/>
                      <w:lang w:bidi="ar"/>
                    </w:rPr>
                    <w:t>×10</w:t>
                  </w:r>
                  <w:r>
                    <w:rPr>
                      <w:rFonts w:hint="eastAsia"/>
                      <w:color w:val="auto"/>
                      <w:kern w:val="0"/>
                      <w:szCs w:val="21"/>
                      <w:vertAlign w:val="superscript"/>
                      <w:lang w:bidi="ar"/>
                    </w:rPr>
                    <w:t>-</w:t>
                  </w:r>
                  <w:r>
                    <w:rPr>
                      <w:rFonts w:hint="eastAsia"/>
                      <w:color w:val="auto"/>
                      <w:kern w:val="0"/>
                      <w:szCs w:val="21"/>
                      <w:vertAlign w:val="superscript"/>
                      <w:lang w:val="en-US" w:eastAsia="zh-CN" w:bidi="ar"/>
                    </w:rPr>
                    <w:t>3</w:t>
                  </w:r>
                </w:p>
              </w:tc>
              <w:tc>
                <w:tcPr>
                  <w:tcW w:w="776" w:type="pct"/>
                  <w:noWrap w:val="0"/>
                  <w:vAlign w:val="center"/>
                </w:tcPr>
                <w:p w14:paraId="1702C9CE">
                  <w:pPr>
                    <w:jc w:val="center"/>
                    <w:rPr>
                      <w:rFonts w:hint="default" w:eastAsia="宋体"/>
                      <w:color w:val="auto"/>
                      <w:szCs w:val="21"/>
                      <w:lang w:val="en-US" w:eastAsia="zh-CN"/>
                    </w:rPr>
                  </w:pPr>
                  <w:r>
                    <w:rPr>
                      <w:rFonts w:hint="eastAsia"/>
                      <w:color w:val="auto"/>
                      <w:szCs w:val="21"/>
                      <w:lang w:val="en-US" w:eastAsia="zh-CN"/>
                    </w:rPr>
                    <w:t>1.8</w:t>
                  </w:r>
                  <w:r>
                    <w:rPr>
                      <w:rFonts w:hint="eastAsia"/>
                      <w:color w:val="auto"/>
                      <w:kern w:val="0"/>
                      <w:szCs w:val="21"/>
                      <w:lang w:bidi="ar"/>
                    </w:rPr>
                    <w:t>×10</w:t>
                  </w:r>
                  <w:r>
                    <w:rPr>
                      <w:rFonts w:hint="eastAsia"/>
                      <w:color w:val="auto"/>
                      <w:kern w:val="0"/>
                      <w:szCs w:val="21"/>
                      <w:vertAlign w:val="superscript"/>
                      <w:lang w:bidi="ar"/>
                    </w:rPr>
                    <w:t>-</w:t>
                  </w:r>
                  <w:r>
                    <w:rPr>
                      <w:rFonts w:hint="eastAsia"/>
                      <w:color w:val="auto"/>
                      <w:kern w:val="0"/>
                      <w:szCs w:val="21"/>
                      <w:vertAlign w:val="superscript"/>
                      <w:lang w:val="en-US" w:eastAsia="zh-CN" w:bidi="ar"/>
                    </w:rPr>
                    <w:t>4</w:t>
                  </w:r>
                </w:p>
              </w:tc>
              <w:tc>
                <w:tcPr>
                  <w:tcW w:w="808" w:type="pct"/>
                  <w:noWrap w:val="0"/>
                  <w:vAlign w:val="center"/>
                </w:tcPr>
                <w:p w14:paraId="1EA72340">
                  <w:pPr>
                    <w:jc w:val="center"/>
                    <w:rPr>
                      <w:rFonts w:hint="default" w:eastAsia="宋体"/>
                      <w:color w:val="auto"/>
                      <w:szCs w:val="21"/>
                      <w:lang w:val="en-US" w:eastAsia="zh-CN"/>
                    </w:rPr>
                  </w:pPr>
                  <w:r>
                    <w:rPr>
                      <w:rFonts w:hint="eastAsia"/>
                      <w:color w:val="auto"/>
                      <w:szCs w:val="21"/>
                      <w:lang w:val="en-US" w:eastAsia="zh-CN"/>
                    </w:rPr>
                    <w:t>0.18</w:t>
                  </w:r>
                </w:p>
              </w:tc>
            </w:tr>
          </w:tbl>
          <w:p w14:paraId="1BCE7B24">
            <w:pPr>
              <w:pStyle w:val="72"/>
              <w:spacing w:line="360" w:lineRule="auto"/>
              <w:ind w:firstLine="420"/>
              <w:rPr>
                <w:rFonts w:hint="default" w:ascii="宋体" w:hAnsi="宋体" w:cs="Times New Roman"/>
                <w:snapToGrid/>
                <w:color w:val="auto"/>
                <w:sz w:val="24"/>
                <w:lang w:val="en-US" w:eastAsia="zh-CN"/>
              </w:rPr>
            </w:pPr>
            <w:r>
              <w:rPr>
                <w:rFonts w:hint="eastAsia" w:ascii="宋体" w:hAnsi="宋体" w:cs="Times New Roman"/>
                <w:snapToGrid/>
                <w:color w:val="auto"/>
                <w:sz w:val="24"/>
                <w:lang w:val="en-US" w:eastAsia="zh-CN"/>
              </w:rPr>
              <w:t>综上，本项目各工段污染物均能达标排放，污染影响较小。</w:t>
            </w:r>
          </w:p>
          <w:p w14:paraId="021FC182">
            <w:pPr>
              <w:pStyle w:val="72"/>
              <w:spacing w:line="360" w:lineRule="auto"/>
              <w:ind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2 水环境影响分析</w:t>
            </w:r>
          </w:p>
          <w:p w14:paraId="48DBE788">
            <w:pPr>
              <w:pStyle w:val="72"/>
              <w:spacing w:line="360" w:lineRule="auto"/>
              <w:ind w:firstLine="420"/>
              <w:rPr>
                <w:rFonts w:hint="eastAsia" w:ascii="宋体" w:hAnsi="宋体" w:cs="宋体"/>
                <w:color w:val="auto"/>
                <w:sz w:val="24"/>
                <w:szCs w:val="24"/>
                <w:lang w:val="en-US" w:eastAsia="zh-CN"/>
              </w:rPr>
            </w:pPr>
            <w:r>
              <w:rPr>
                <w:rFonts w:hint="eastAsia" w:hAnsi="宋体"/>
                <w:color w:val="auto"/>
                <w:szCs w:val="28"/>
                <w:lang w:val="en-US" w:eastAsia="zh-CN"/>
              </w:rPr>
              <w:t>本项目采用双螺杆机水环切造粒的技术，废水产生量约0.8t/h。</w:t>
            </w:r>
            <w:r>
              <w:rPr>
                <w:rFonts w:hint="eastAsia" w:ascii="宋体" w:hAnsi="宋体" w:cs="宋体"/>
                <w:color w:val="auto"/>
                <w:sz w:val="24"/>
                <w:szCs w:val="24"/>
                <w:lang w:val="en-US" w:eastAsia="zh-CN"/>
              </w:rPr>
              <w:t>污水进入含油污水井，通过含油污水井进入154单元污水处理厂含油污水处理系统，含油污水处理系统额定负荷204t/h，经过生化AO池、二次沉淀池、深度处理AO池、深度MBR膜池处理后，COD50mg/L，回用至全厂循环水系统。</w:t>
            </w:r>
          </w:p>
          <w:p w14:paraId="40C24232">
            <w:pPr>
              <w:pStyle w:val="72"/>
              <w:spacing w:line="360" w:lineRule="auto"/>
              <w:ind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3 噪声环境影响分析</w:t>
            </w:r>
          </w:p>
          <w:p w14:paraId="5431F2D3">
            <w:pPr>
              <w:pStyle w:val="72"/>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本项目运营过程中运输车辆会产生一定的噪声，采取减速、禁止鸣笛、规范操作等措施，且搬运及转运过程具有间断性和时间短的特点，厂界噪声可满足《工业企业厂界环境噪声排放标准》 (GB 12348-2008)中</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类标准限值的要求，实现达标排放。</w:t>
            </w:r>
          </w:p>
          <w:p w14:paraId="5A799825">
            <w:pPr>
              <w:pStyle w:val="51"/>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 固废环境影响分析</w:t>
            </w:r>
          </w:p>
          <w:p w14:paraId="4B6C4D51">
            <w:pPr>
              <w:pStyle w:val="72"/>
              <w:spacing w:line="360" w:lineRule="auto"/>
              <w:ind w:left="0" w:leftChars="0"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本项目无新增工作人员，无新增生活垃圾。</w:t>
            </w:r>
            <w:r>
              <w:rPr>
                <w:rFonts w:hint="eastAsia" w:ascii="宋体" w:hAnsi="宋体" w:cs="宋体"/>
                <w:color w:val="auto"/>
                <w:sz w:val="24"/>
                <w:szCs w:val="24"/>
                <w:lang w:val="en-US" w:eastAsia="zh-CN"/>
              </w:rPr>
              <w:t>生产固废为布袋除尘器收集的除尘灰（沥青），经布袋除尘器收集后回用。废活性炭暂存于厂区危废库，定期交有资质的单位处置。</w:t>
            </w:r>
          </w:p>
          <w:p w14:paraId="32471EF3">
            <w:pPr>
              <w:pStyle w:val="72"/>
              <w:spacing w:line="360" w:lineRule="auto"/>
              <w:ind w:firstLine="420"/>
              <w:rPr>
                <w:rFonts w:hint="eastAsia" w:ascii="宋体" w:hAnsi="宋体" w:eastAsia="宋体" w:cs="宋体"/>
                <w:b/>
                <w:bCs/>
                <w:color w:val="auto"/>
                <w:sz w:val="24"/>
                <w:szCs w:val="24"/>
              </w:rPr>
            </w:pPr>
            <w:r>
              <w:rPr>
                <w:rFonts w:hint="eastAsia" w:ascii="宋体" w:hAnsi="宋体" w:eastAsia="宋体" w:cs="宋体"/>
                <w:b/>
                <w:bCs/>
                <w:color w:val="auto"/>
                <w:sz w:val="24"/>
                <w:szCs w:val="24"/>
              </w:rPr>
              <w:t>5土壤、地下水环境影响分析</w:t>
            </w:r>
          </w:p>
          <w:p w14:paraId="105BC7FA">
            <w:pPr>
              <w:pStyle w:val="72"/>
              <w:spacing w:line="360" w:lineRule="auto"/>
              <w:ind w:firstLine="42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本项目为</w:t>
            </w:r>
            <w:r>
              <w:rPr>
                <w:rFonts w:hint="eastAsia" w:ascii="宋体" w:hAnsi="宋体" w:cs="宋体"/>
                <w:color w:val="auto"/>
                <w:sz w:val="24"/>
                <w:szCs w:val="24"/>
                <w:lang w:val="en-US" w:eastAsia="zh-CN"/>
              </w:rPr>
              <w:t>中试项目</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所有设备均置于厂区防渗区域内，</w:t>
            </w:r>
            <w:r>
              <w:rPr>
                <w:rFonts w:hint="eastAsia" w:ascii="宋体" w:hAnsi="宋体" w:eastAsia="宋体" w:cs="宋体"/>
                <w:color w:val="auto"/>
                <w:sz w:val="24"/>
                <w:szCs w:val="24"/>
                <w:lang w:val="en-US" w:eastAsia="zh-CN"/>
              </w:rPr>
              <w:t>项目基本不会对土壤及地下水环境产生污染。</w:t>
            </w:r>
          </w:p>
          <w:p w14:paraId="29468541">
            <w:pPr>
              <w:pStyle w:val="51"/>
              <w:spacing w:line="360" w:lineRule="auto"/>
              <w:ind w:left="0" w:leftChars="0"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6环保投资</w:t>
            </w:r>
          </w:p>
          <w:p w14:paraId="077D63E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项目总投资为</w:t>
            </w:r>
            <w:r>
              <w:rPr>
                <w:rFonts w:hint="eastAsia" w:cs="Times New Roman"/>
                <w:color w:val="auto"/>
                <w:kern w:val="0"/>
                <w:sz w:val="24"/>
                <w:szCs w:val="24"/>
                <w:lang w:val="en-US" w:eastAsia="zh-CN" w:bidi="ar"/>
              </w:rPr>
              <w:t>386.1</w:t>
            </w:r>
            <w:r>
              <w:rPr>
                <w:rFonts w:hint="eastAsia" w:ascii="宋体" w:hAnsi="宋体" w:eastAsia="宋体" w:cs="宋体"/>
                <w:color w:val="auto"/>
                <w:sz w:val="24"/>
                <w:szCs w:val="24"/>
                <w:highlight w:val="none"/>
              </w:rPr>
              <w:t>万元，环保投资</w:t>
            </w:r>
            <w:r>
              <w:rPr>
                <w:rFonts w:hint="eastAsia" w:ascii="宋体" w:hAnsi="宋体" w:eastAsia="宋体" w:cs="宋体"/>
                <w:color w:val="auto"/>
                <w:sz w:val="24"/>
                <w:szCs w:val="24"/>
                <w:highlight w:val="none"/>
                <w:lang w:val="en-US" w:eastAsia="zh-CN"/>
              </w:rPr>
              <w:t>为</w:t>
            </w:r>
            <w:r>
              <w:rPr>
                <w:rFonts w:hint="eastAsia" w:cs="Times New Roman"/>
                <w:color w:val="auto"/>
                <w:kern w:val="0"/>
                <w:sz w:val="24"/>
                <w:szCs w:val="24"/>
                <w:lang w:val="en-US" w:eastAsia="zh-CN" w:bidi="ar"/>
              </w:rPr>
              <w:t>5</w:t>
            </w:r>
            <w:r>
              <w:rPr>
                <w:rFonts w:hint="eastAsia" w:ascii="宋体" w:hAnsi="宋体" w:eastAsia="宋体" w:cs="宋体"/>
                <w:color w:val="auto"/>
                <w:sz w:val="24"/>
                <w:szCs w:val="24"/>
                <w:lang w:val="en-US" w:eastAsia="zh-CN"/>
              </w:rPr>
              <w:t>万元</w:t>
            </w:r>
            <w:r>
              <w:rPr>
                <w:rFonts w:hint="eastAsia" w:ascii="宋体" w:hAnsi="宋体" w:eastAsia="宋体" w:cs="宋体"/>
                <w:color w:val="auto"/>
                <w:sz w:val="24"/>
                <w:szCs w:val="24"/>
                <w:highlight w:val="none"/>
              </w:rPr>
              <w:t>。</w:t>
            </w:r>
          </w:p>
          <w:p w14:paraId="5985D4A1">
            <w:pPr>
              <w:pStyle w:val="72"/>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2.7、环境风险影响和保护措施</w:t>
            </w:r>
          </w:p>
          <w:p w14:paraId="192404BA">
            <w:pPr>
              <w:pStyle w:val="72"/>
              <w:spacing w:line="360" w:lineRule="auto"/>
              <w:ind w:firstLine="42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（1）</w:t>
            </w:r>
            <w:r>
              <w:rPr>
                <w:rFonts w:hint="eastAsia" w:ascii="宋体" w:hAnsi="宋体" w:eastAsia="宋体" w:cs="宋体"/>
                <w:b/>
                <w:bCs/>
                <w:color w:val="auto"/>
                <w:kern w:val="0"/>
                <w:sz w:val="24"/>
                <w:szCs w:val="24"/>
                <w:lang w:val="en-US" w:eastAsia="zh-CN"/>
              </w:rPr>
              <w:t>物质风险识别</w:t>
            </w:r>
            <w:r>
              <w:rPr>
                <w:rFonts w:hint="eastAsia" w:ascii="宋体" w:hAnsi="宋体" w:eastAsia="宋体" w:cs="宋体"/>
                <w:b/>
                <w:bCs/>
                <w:color w:val="auto"/>
                <w:sz w:val="24"/>
                <w:szCs w:val="24"/>
                <w:lang w:val="en-US" w:eastAsia="zh-CN"/>
              </w:rPr>
              <w:t>及危害分析</w:t>
            </w:r>
          </w:p>
          <w:p w14:paraId="1D0A4767">
            <w:pPr>
              <w:keepNext w:val="0"/>
              <w:keepLines w:val="0"/>
              <w:widowControl/>
              <w:suppressLineNumbers w:val="0"/>
              <w:spacing w:line="360" w:lineRule="auto"/>
              <w:jc w:val="left"/>
              <w:rPr>
                <w:rFonts w:hint="eastAsia" w:ascii="宋体" w:hAnsi="宋体" w:eastAsia="宋体" w:cs="宋体"/>
                <w:b/>
                <w:bCs/>
                <w:color w:val="auto"/>
                <w:kern w:val="0"/>
                <w:sz w:val="24"/>
                <w:szCs w:val="24"/>
                <w:lang w:val="en-US" w:eastAsia="zh-CN"/>
              </w:rPr>
            </w:pPr>
            <w:r>
              <w:rPr>
                <w:rFonts w:hint="eastAsia" w:ascii="宋体" w:hAnsi="宋体" w:eastAsia="宋体" w:cs="宋体"/>
                <w:b/>
                <w:bCs/>
                <w:color w:val="auto"/>
                <w:kern w:val="0"/>
                <w:sz w:val="24"/>
                <w:szCs w:val="24"/>
                <w:lang w:val="en-US" w:eastAsia="zh-CN"/>
              </w:rPr>
              <w:t xml:space="preserve">   </w:t>
            </w:r>
            <w:r>
              <w:rPr>
                <w:rFonts w:hint="eastAsia" w:ascii="宋体" w:hAnsi="宋体" w:eastAsia="宋体" w:cs="宋体"/>
                <w:color w:val="auto"/>
                <w:kern w:val="0"/>
                <w:sz w:val="24"/>
                <w:szCs w:val="24"/>
                <w:lang w:val="en-US" w:eastAsia="zh-CN"/>
              </w:rPr>
              <w:t>项目环境风险评价物质风险识别范围包括：主要原材料及辅助材料、燃料、中间产品、最终产品以及生产过程排放的“三废”污染物等。根据《建设项目环境风险评价技术导则》（HJ/T169－2004）附录 A.1，对其按有毒有害、易燃易爆物质逐个分类识别判定。《建设项目环境风险评价技术导则》（HJ/T169－2004）。附录 A.1 中物质危险性判定标准见表。</w:t>
            </w:r>
          </w:p>
          <w:p w14:paraId="1D094A95">
            <w:pPr>
              <w:keepNext w:val="0"/>
              <w:keepLines w:val="0"/>
              <w:widowControl/>
              <w:suppressLineNumbers w:val="0"/>
              <w:spacing w:line="360" w:lineRule="auto"/>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val="en-US" w:eastAsia="zh-CN"/>
              </w:rPr>
              <w:t>表4-2物质危险性标准</w:t>
            </w:r>
          </w:p>
          <w:tbl>
            <w:tblPr>
              <w:tblStyle w:val="27"/>
              <w:tblpPr w:leftFromText="180" w:rightFromText="180" w:vertAnchor="text" w:horzAnchor="page" w:tblpX="301" w:tblpY="132"/>
              <w:tblOverlap w:val="never"/>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600"/>
              <w:gridCol w:w="2397"/>
              <w:gridCol w:w="2123"/>
              <w:gridCol w:w="2479"/>
            </w:tblGrid>
            <w:tr w14:paraId="12B3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475" w:type="pct"/>
                </w:tcPr>
                <w:p w14:paraId="29FA20F3">
                  <w:pPr>
                    <w:keepNext w:val="0"/>
                    <w:keepLines w:val="0"/>
                    <w:widowControl/>
                    <w:suppressLineNumbers w:val="0"/>
                    <w:jc w:val="center"/>
                    <w:rPr>
                      <w:rFonts w:hint="eastAsia"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分类</w:t>
                  </w:r>
                </w:p>
              </w:tc>
              <w:tc>
                <w:tcPr>
                  <w:tcW w:w="356" w:type="pct"/>
                </w:tcPr>
                <w:p w14:paraId="5D5C5842">
                  <w:pPr>
                    <w:keepNext w:val="0"/>
                    <w:keepLines w:val="0"/>
                    <w:widowControl/>
                    <w:suppressLineNumbers w:val="0"/>
                    <w:jc w:val="center"/>
                    <w:rPr>
                      <w:rFonts w:hint="eastAsia"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序号</w:t>
                  </w:r>
                </w:p>
              </w:tc>
              <w:tc>
                <w:tcPr>
                  <w:tcW w:w="1427" w:type="pct"/>
                </w:tcPr>
                <w:p w14:paraId="210969EC">
                  <w:pPr>
                    <w:keepNext w:val="0"/>
                    <w:keepLines w:val="0"/>
                    <w:widowControl/>
                    <w:suppressLineNumbers w:val="0"/>
                    <w:jc w:val="center"/>
                    <w:rPr>
                      <w:rFonts w:hint="eastAsia"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LD50（大鼠经口）mg/kg</w:t>
                  </w:r>
                </w:p>
              </w:tc>
              <w:tc>
                <w:tcPr>
                  <w:tcW w:w="1264" w:type="pct"/>
                </w:tcPr>
                <w:p w14:paraId="4CA12EEF">
                  <w:pPr>
                    <w:keepNext w:val="0"/>
                    <w:keepLines w:val="0"/>
                    <w:widowControl/>
                    <w:suppressLineNumbers w:val="0"/>
                    <w:jc w:val="center"/>
                    <w:rPr>
                      <w:rFonts w:hint="eastAsia"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LD50（大鼠经皮）mg/kg</w:t>
                  </w:r>
                </w:p>
              </w:tc>
              <w:tc>
                <w:tcPr>
                  <w:tcW w:w="1476" w:type="pct"/>
                </w:tcPr>
                <w:p w14:paraId="2F1D4644">
                  <w:pPr>
                    <w:keepNext w:val="0"/>
                    <w:keepLines w:val="0"/>
                    <w:widowControl/>
                    <w:suppressLineNumbers w:val="0"/>
                    <w:jc w:val="center"/>
                    <w:rPr>
                      <w:rFonts w:hint="eastAsia"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LC50（小鼠吸入，4 小时）mg/L</w:t>
                  </w:r>
                </w:p>
              </w:tc>
            </w:tr>
            <w:tr w14:paraId="1A77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75" w:type="pct"/>
                  <w:vMerge w:val="restart"/>
                </w:tcPr>
                <w:p w14:paraId="192DEA9E">
                  <w:pPr>
                    <w:keepNext w:val="0"/>
                    <w:keepLines w:val="0"/>
                    <w:widowControl/>
                    <w:suppressLineNumbers w:val="0"/>
                    <w:jc w:val="center"/>
                    <w:rPr>
                      <w:rFonts w:hint="eastAsia" w:ascii="宋体" w:hAnsi="宋体" w:eastAsia="宋体" w:cs="宋体"/>
                      <w:color w:val="auto"/>
                      <w:kern w:val="0"/>
                      <w:sz w:val="21"/>
                      <w:szCs w:val="21"/>
                      <w:lang w:val="en-US" w:eastAsia="zh-CN"/>
                    </w:rPr>
                  </w:pPr>
                </w:p>
                <w:p w14:paraId="11384B50">
                  <w:pPr>
                    <w:keepNext w:val="0"/>
                    <w:keepLines w:val="0"/>
                    <w:widowControl/>
                    <w:suppressLineNumbers w:val="0"/>
                    <w:jc w:val="center"/>
                    <w:rPr>
                      <w:color w:val="auto"/>
                    </w:rPr>
                  </w:pPr>
                  <w:r>
                    <w:rPr>
                      <w:rFonts w:hint="eastAsia" w:ascii="宋体" w:hAnsi="宋体" w:eastAsia="宋体" w:cs="宋体"/>
                      <w:color w:val="auto"/>
                      <w:kern w:val="0"/>
                      <w:sz w:val="21"/>
                      <w:szCs w:val="21"/>
                      <w:lang w:val="en-US" w:eastAsia="zh-CN"/>
                    </w:rPr>
                    <w:t>有毒</w:t>
                  </w:r>
                </w:p>
                <w:p w14:paraId="49861E8A">
                  <w:pPr>
                    <w:keepNext w:val="0"/>
                    <w:keepLines w:val="0"/>
                    <w:widowControl/>
                    <w:suppressLineNumbers w:val="0"/>
                    <w:jc w:val="center"/>
                    <w:rPr>
                      <w:color w:val="auto"/>
                    </w:rPr>
                  </w:pPr>
                  <w:r>
                    <w:rPr>
                      <w:rFonts w:hint="eastAsia" w:ascii="宋体" w:hAnsi="宋体" w:eastAsia="宋体" w:cs="宋体"/>
                      <w:color w:val="auto"/>
                      <w:kern w:val="0"/>
                      <w:sz w:val="21"/>
                      <w:szCs w:val="21"/>
                      <w:lang w:val="en-US" w:eastAsia="zh-CN"/>
                    </w:rPr>
                    <w:t>物质</w:t>
                  </w:r>
                </w:p>
                <w:p w14:paraId="6CC0C5E8">
                  <w:pPr>
                    <w:pStyle w:val="21"/>
                    <w:jc w:val="center"/>
                    <w:rPr>
                      <w:rFonts w:hint="default"/>
                      <w:color w:val="auto"/>
                      <w:vertAlign w:val="baseline"/>
                      <w:lang w:val="en-US"/>
                    </w:rPr>
                  </w:pPr>
                </w:p>
              </w:tc>
              <w:tc>
                <w:tcPr>
                  <w:tcW w:w="356" w:type="pct"/>
                </w:tcPr>
                <w:p w14:paraId="071C7126">
                  <w:pPr>
                    <w:pStyle w:val="21"/>
                    <w:jc w:val="center"/>
                    <w:rPr>
                      <w:rFonts w:hint="eastAsia" w:eastAsia="宋体"/>
                      <w:color w:val="auto"/>
                      <w:vertAlign w:val="baseline"/>
                      <w:lang w:val="en-US" w:eastAsia="zh-CN"/>
                    </w:rPr>
                  </w:pPr>
                  <w:r>
                    <w:rPr>
                      <w:rFonts w:hint="eastAsia"/>
                      <w:color w:val="auto"/>
                      <w:vertAlign w:val="baseline"/>
                      <w:lang w:val="en-US" w:eastAsia="zh-CN"/>
                    </w:rPr>
                    <w:t>1</w:t>
                  </w:r>
                </w:p>
              </w:tc>
              <w:tc>
                <w:tcPr>
                  <w:tcW w:w="1427" w:type="pct"/>
                </w:tcPr>
                <w:p w14:paraId="1B70ED61">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&lt;5</w:t>
                  </w:r>
                </w:p>
              </w:tc>
              <w:tc>
                <w:tcPr>
                  <w:tcW w:w="1264" w:type="pct"/>
                </w:tcPr>
                <w:p w14:paraId="0E0FCCC5">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&lt;</w:t>
                  </w:r>
                  <w:r>
                    <w:rPr>
                      <w:rFonts w:hint="eastAsia" w:cs="Times New Roman"/>
                      <w:color w:val="auto"/>
                      <w:kern w:val="0"/>
                      <w:sz w:val="21"/>
                      <w:szCs w:val="21"/>
                      <w:lang w:val="en-US" w:eastAsia="zh-CN"/>
                    </w:rPr>
                    <w:t>1</w:t>
                  </w:r>
                </w:p>
              </w:tc>
              <w:tc>
                <w:tcPr>
                  <w:tcW w:w="1476" w:type="pct"/>
                </w:tcPr>
                <w:p w14:paraId="380BEAEA">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&lt;</w:t>
                  </w:r>
                  <w:r>
                    <w:rPr>
                      <w:rFonts w:hint="eastAsia" w:cs="Times New Roman"/>
                      <w:color w:val="auto"/>
                      <w:kern w:val="0"/>
                      <w:sz w:val="21"/>
                      <w:szCs w:val="21"/>
                      <w:lang w:val="en-US" w:eastAsia="zh-CN"/>
                    </w:rPr>
                    <w:t>0.1</w:t>
                  </w:r>
                </w:p>
              </w:tc>
            </w:tr>
            <w:tr w14:paraId="118B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75" w:type="pct"/>
                  <w:vMerge w:val="continue"/>
                </w:tcPr>
                <w:p w14:paraId="26990F1F">
                  <w:pPr>
                    <w:pStyle w:val="21"/>
                    <w:jc w:val="center"/>
                    <w:rPr>
                      <w:rFonts w:hint="default"/>
                      <w:color w:val="auto"/>
                      <w:vertAlign w:val="baseline"/>
                      <w:lang w:val="en-US"/>
                    </w:rPr>
                  </w:pPr>
                </w:p>
              </w:tc>
              <w:tc>
                <w:tcPr>
                  <w:tcW w:w="356" w:type="pct"/>
                </w:tcPr>
                <w:p w14:paraId="2DD4B19D">
                  <w:pPr>
                    <w:pStyle w:val="21"/>
                    <w:jc w:val="center"/>
                    <w:rPr>
                      <w:rFonts w:hint="eastAsia" w:eastAsia="宋体"/>
                      <w:color w:val="auto"/>
                      <w:vertAlign w:val="baseline"/>
                      <w:lang w:val="en-US" w:eastAsia="zh-CN"/>
                    </w:rPr>
                  </w:pPr>
                  <w:r>
                    <w:rPr>
                      <w:rFonts w:hint="eastAsia"/>
                      <w:color w:val="auto"/>
                      <w:vertAlign w:val="baseline"/>
                      <w:lang w:val="en-US" w:eastAsia="zh-CN"/>
                    </w:rPr>
                    <w:t>2</w:t>
                  </w:r>
                </w:p>
              </w:tc>
              <w:tc>
                <w:tcPr>
                  <w:tcW w:w="1427" w:type="pct"/>
                </w:tcPr>
                <w:p w14:paraId="5ED42B8F">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5&lt;LD</w:t>
                  </w:r>
                  <w:r>
                    <w:rPr>
                      <w:rFonts w:hint="default" w:ascii="Times New Roman" w:hAnsi="Times New Roman" w:eastAsia="宋体" w:cs="Times New Roman"/>
                      <w:color w:val="auto"/>
                      <w:kern w:val="0"/>
                      <w:sz w:val="13"/>
                      <w:szCs w:val="13"/>
                      <w:lang w:val="en-US" w:eastAsia="zh-CN"/>
                    </w:rPr>
                    <w:t>50</w:t>
                  </w:r>
                  <w:r>
                    <w:rPr>
                      <w:rFonts w:hint="default" w:ascii="Times New Roman" w:hAnsi="Times New Roman" w:eastAsia="宋体" w:cs="Times New Roman"/>
                      <w:color w:val="auto"/>
                      <w:kern w:val="0"/>
                      <w:sz w:val="21"/>
                      <w:szCs w:val="21"/>
                      <w:lang w:val="en-US" w:eastAsia="zh-CN"/>
                    </w:rPr>
                    <w:t>&lt;25</w:t>
                  </w:r>
                </w:p>
              </w:tc>
              <w:tc>
                <w:tcPr>
                  <w:tcW w:w="1264" w:type="pct"/>
                </w:tcPr>
                <w:p w14:paraId="585DF51E">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10&lt;LD</w:t>
                  </w:r>
                  <w:r>
                    <w:rPr>
                      <w:rFonts w:hint="default" w:ascii="Times New Roman" w:hAnsi="Times New Roman" w:eastAsia="宋体" w:cs="Times New Roman"/>
                      <w:color w:val="auto"/>
                      <w:kern w:val="0"/>
                      <w:sz w:val="13"/>
                      <w:szCs w:val="13"/>
                      <w:lang w:val="en-US" w:eastAsia="zh-CN"/>
                    </w:rPr>
                    <w:t>50</w:t>
                  </w:r>
                  <w:r>
                    <w:rPr>
                      <w:rFonts w:hint="default" w:ascii="Times New Roman" w:hAnsi="Times New Roman" w:eastAsia="宋体" w:cs="Times New Roman"/>
                      <w:color w:val="auto"/>
                      <w:kern w:val="0"/>
                      <w:sz w:val="21"/>
                      <w:szCs w:val="21"/>
                      <w:lang w:val="en-US" w:eastAsia="zh-CN"/>
                    </w:rPr>
                    <w:t>&lt;50</w:t>
                  </w:r>
                </w:p>
              </w:tc>
              <w:tc>
                <w:tcPr>
                  <w:tcW w:w="1476" w:type="pct"/>
                </w:tcPr>
                <w:p w14:paraId="0275297E">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0.1&lt;LC</w:t>
                  </w:r>
                  <w:r>
                    <w:rPr>
                      <w:rFonts w:hint="default" w:ascii="Times New Roman" w:hAnsi="Times New Roman" w:eastAsia="宋体" w:cs="Times New Roman"/>
                      <w:color w:val="auto"/>
                      <w:kern w:val="0"/>
                      <w:sz w:val="13"/>
                      <w:szCs w:val="13"/>
                      <w:lang w:val="en-US" w:eastAsia="zh-CN"/>
                    </w:rPr>
                    <w:t>50</w:t>
                  </w:r>
                  <w:r>
                    <w:rPr>
                      <w:rFonts w:hint="default" w:ascii="Times New Roman" w:hAnsi="Times New Roman" w:eastAsia="宋体" w:cs="Times New Roman"/>
                      <w:color w:val="auto"/>
                      <w:kern w:val="0"/>
                      <w:sz w:val="21"/>
                      <w:szCs w:val="21"/>
                      <w:lang w:val="en-US" w:eastAsia="zh-CN"/>
                    </w:rPr>
                    <w:t>&lt;0.5</w:t>
                  </w:r>
                </w:p>
              </w:tc>
            </w:tr>
            <w:tr w14:paraId="593B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75" w:type="pct"/>
                  <w:vMerge w:val="continue"/>
                </w:tcPr>
                <w:p w14:paraId="13DD879B">
                  <w:pPr>
                    <w:pStyle w:val="21"/>
                    <w:jc w:val="center"/>
                    <w:rPr>
                      <w:rFonts w:hint="default"/>
                      <w:color w:val="auto"/>
                      <w:vertAlign w:val="baseline"/>
                      <w:lang w:val="en-US"/>
                    </w:rPr>
                  </w:pPr>
                </w:p>
              </w:tc>
              <w:tc>
                <w:tcPr>
                  <w:tcW w:w="356" w:type="pct"/>
                </w:tcPr>
                <w:p w14:paraId="168772CE">
                  <w:pPr>
                    <w:pStyle w:val="21"/>
                    <w:jc w:val="center"/>
                    <w:rPr>
                      <w:rFonts w:hint="eastAsia" w:eastAsia="宋体"/>
                      <w:color w:val="auto"/>
                      <w:vertAlign w:val="baseline"/>
                      <w:lang w:val="en-US" w:eastAsia="zh-CN"/>
                    </w:rPr>
                  </w:pPr>
                  <w:r>
                    <w:rPr>
                      <w:rFonts w:hint="eastAsia"/>
                      <w:color w:val="auto"/>
                      <w:vertAlign w:val="baseline"/>
                      <w:lang w:val="en-US" w:eastAsia="zh-CN"/>
                    </w:rPr>
                    <w:t>3</w:t>
                  </w:r>
                </w:p>
              </w:tc>
              <w:tc>
                <w:tcPr>
                  <w:tcW w:w="1427" w:type="pct"/>
                </w:tcPr>
                <w:p w14:paraId="699D87CB">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25&lt;LD</w:t>
                  </w:r>
                  <w:r>
                    <w:rPr>
                      <w:rFonts w:hint="default" w:ascii="Times New Roman" w:hAnsi="Times New Roman" w:eastAsia="宋体" w:cs="Times New Roman"/>
                      <w:color w:val="auto"/>
                      <w:kern w:val="0"/>
                      <w:sz w:val="13"/>
                      <w:szCs w:val="13"/>
                      <w:lang w:val="en-US" w:eastAsia="zh-CN"/>
                    </w:rPr>
                    <w:t>50</w:t>
                  </w:r>
                  <w:r>
                    <w:rPr>
                      <w:rFonts w:hint="default" w:ascii="Times New Roman" w:hAnsi="Times New Roman" w:eastAsia="宋体" w:cs="Times New Roman"/>
                      <w:color w:val="auto"/>
                      <w:kern w:val="0"/>
                      <w:sz w:val="21"/>
                      <w:szCs w:val="21"/>
                      <w:lang w:val="en-US" w:eastAsia="zh-CN"/>
                    </w:rPr>
                    <w:t>&lt;200</w:t>
                  </w:r>
                </w:p>
              </w:tc>
              <w:tc>
                <w:tcPr>
                  <w:tcW w:w="1264" w:type="pct"/>
                </w:tcPr>
                <w:p w14:paraId="54D3B840">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50&lt;LD</w:t>
                  </w:r>
                  <w:r>
                    <w:rPr>
                      <w:rFonts w:hint="default" w:ascii="Times New Roman" w:hAnsi="Times New Roman" w:eastAsia="宋体" w:cs="Times New Roman"/>
                      <w:color w:val="auto"/>
                      <w:kern w:val="0"/>
                      <w:sz w:val="13"/>
                      <w:szCs w:val="13"/>
                      <w:lang w:val="en-US" w:eastAsia="zh-CN"/>
                    </w:rPr>
                    <w:t>50</w:t>
                  </w:r>
                  <w:r>
                    <w:rPr>
                      <w:rFonts w:hint="default" w:ascii="Times New Roman" w:hAnsi="Times New Roman" w:eastAsia="宋体" w:cs="Times New Roman"/>
                      <w:color w:val="auto"/>
                      <w:kern w:val="0"/>
                      <w:sz w:val="21"/>
                      <w:szCs w:val="21"/>
                      <w:lang w:val="en-US" w:eastAsia="zh-CN"/>
                    </w:rPr>
                    <w:t>&lt;400</w:t>
                  </w:r>
                </w:p>
              </w:tc>
              <w:tc>
                <w:tcPr>
                  <w:tcW w:w="1476" w:type="pct"/>
                </w:tcPr>
                <w:p w14:paraId="148DD029">
                  <w:pPr>
                    <w:keepNext w:val="0"/>
                    <w:keepLines w:val="0"/>
                    <w:widowControl/>
                    <w:suppressLineNumbers w:val="0"/>
                    <w:jc w:val="center"/>
                    <w:rPr>
                      <w:rFonts w:hint="default"/>
                      <w:color w:val="auto"/>
                      <w:vertAlign w:val="baseline"/>
                      <w:lang w:val="en-US"/>
                    </w:rPr>
                  </w:pPr>
                  <w:r>
                    <w:rPr>
                      <w:rFonts w:hint="default" w:ascii="Times New Roman" w:hAnsi="Times New Roman" w:eastAsia="宋体" w:cs="Times New Roman"/>
                      <w:color w:val="auto"/>
                      <w:kern w:val="0"/>
                      <w:sz w:val="21"/>
                      <w:szCs w:val="21"/>
                      <w:lang w:val="en-US" w:eastAsia="zh-CN"/>
                    </w:rPr>
                    <w:t>0.5&lt;LC</w:t>
                  </w:r>
                  <w:r>
                    <w:rPr>
                      <w:rFonts w:hint="default" w:ascii="Times New Roman" w:hAnsi="Times New Roman" w:eastAsia="宋体" w:cs="Times New Roman"/>
                      <w:color w:val="auto"/>
                      <w:kern w:val="0"/>
                      <w:sz w:val="13"/>
                      <w:szCs w:val="13"/>
                      <w:lang w:val="en-US" w:eastAsia="zh-CN"/>
                    </w:rPr>
                    <w:t>50</w:t>
                  </w:r>
                  <w:r>
                    <w:rPr>
                      <w:rFonts w:hint="default" w:ascii="Times New Roman" w:hAnsi="Times New Roman" w:eastAsia="宋体" w:cs="Times New Roman"/>
                      <w:color w:val="auto"/>
                      <w:kern w:val="0"/>
                      <w:sz w:val="21"/>
                      <w:szCs w:val="21"/>
                      <w:lang w:val="en-US" w:eastAsia="zh-CN"/>
                    </w:rPr>
                    <w:t>&lt;2</w:t>
                  </w:r>
                </w:p>
              </w:tc>
            </w:tr>
            <w:tr w14:paraId="478CC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75" w:type="pct"/>
                  <w:vMerge w:val="restart"/>
                </w:tcPr>
                <w:p w14:paraId="75BAB8F0">
                  <w:pPr>
                    <w:keepNext w:val="0"/>
                    <w:keepLines w:val="0"/>
                    <w:widowControl/>
                    <w:suppressLineNumbers w:val="0"/>
                    <w:jc w:val="center"/>
                    <w:rPr>
                      <w:rFonts w:hint="eastAsia" w:ascii="宋体" w:hAnsi="宋体" w:eastAsia="宋体" w:cs="宋体"/>
                      <w:color w:val="auto"/>
                      <w:kern w:val="0"/>
                      <w:sz w:val="21"/>
                      <w:szCs w:val="21"/>
                      <w:lang w:val="en-US" w:eastAsia="zh-CN"/>
                    </w:rPr>
                  </w:pPr>
                </w:p>
                <w:p w14:paraId="17ABD9C9">
                  <w:pPr>
                    <w:keepNext w:val="0"/>
                    <w:keepLines w:val="0"/>
                    <w:widowControl/>
                    <w:suppressLineNumbers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易燃</w:t>
                  </w:r>
                </w:p>
                <w:p w14:paraId="5926B233">
                  <w:pPr>
                    <w:keepNext w:val="0"/>
                    <w:keepLines w:val="0"/>
                    <w:widowControl/>
                    <w:suppressLineNumbers w:val="0"/>
                    <w:jc w:val="center"/>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rPr>
                    <w:t>物质</w:t>
                  </w:r>
                </w:p>
                <w:p w14:paraId="6B068966">
                  <w:pPr>
                    <w:pStyle w:val="21"/>
                    <w:jc w:val="center"/>
                    <w:rPr>
                      <w:rFonts w:hint="eastAsia" w:ascii="宋体" w:hAnsi="宋体" w:eastAsia="宋体" w:cs="宋体"/>
                      <w:color w:val="auto"/>
                      <w:sz w:val="21"/>
                      <w:szCs w:val="21"/>
                      <w:vertAlign w:val="baseline"/>
                      <w:lang w:val="en-US"/>
                    </w:rPr>
                  </w:pPr>
                </w:p>
              </w:tc>
              <w:tc>
                <w:tcPr>
                  <w:tcW w:w="356" w:type="pct"/>
                </w:tcPr>
                <w:p w14:paraId="48A07D92">
                  <w:pPr>
                    <w:pStyle w:val="21"/>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4167" w:type="pct"/>
                  <w:gridSpan w:val="3"/>
                </w:tcPr>
                <w:p w14:paraId="1AAF5F04">
                  <w:pPr>
                    <w:keepNext w:val="0"/>
                    <w:keepLines w:val="0"/>
                    <w:widowControl/>
                    <w:suppressLineNumbers w:val="0"/>
                    <w:jc w:val="left"/>
                    <w:rPr>
                      <w:rFonts w:hint="default"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可燃气体—在常压下以气态存在并与空气混合形成可燃混合物；其沸点（常压下）是 20℃或 20℃以下的物质。</w:t>
                  </w:r>
                </w:p>
              </w:tc>
            </w:tr>
            <w:tr w14:paraId="3B64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75" w:type="pct"/>
                  <w:vMerge w:val="continue"/>
                </w:tcPr>
                <w:p w14:paraId="7FB5C82B">
                  <w:pPr>
                    <w:pStyle w:val="21"/>
                    <w:jc w:val="center"/>
                    <w:rPr>
                      <w:rFonts w:hint="eastAsia" w:ascii="宋体" w:hAnsi="宋体" w:eastAsia="宋体" w:cs="宋体"/>
                      <w:color w:val="auto"/>
                      <w:sz w:val="21"/>
                      <w:szCs w:val="21"/>
                      <w:vertAlign w:val="baseline"/>
                      <w:lang w:val="en-US"/>
                    </w:rPr>
                  </w:pPr>
                </w:p>
              </w:tc>
              <w:tc>
                <w:tcPr>
                  <w:tcW w:w="356" w:type="pct"/>
                </w:tcPr>
                <w:p w14:paraId="0D474503">
                  <w:pPr>
                    <w:pStyle w:val="21"/>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2</w:t>
                  </w:r>
                </w:p>
              </w:tc>
              <w:tc>
                <w:tcPr>
                  <w:tcW w:w="4167" w:type="pct"/>
                  <w:gridSpan w:val="3"/>
                </w:tcPr>
                <w:p w14:paraId="3A8F67E9">
                  <w:pPr>
                    <w:keepNext w:val="0"/>
                    <w:keepLines w:val="0"/>
                    <w:widowControl/>
                    <w:suppressLineNumbers w:val="0"/>
                    <w:jc w:val="left"/>
                    <w:rPr>
                      <w:rFonts w:hint="eastAsia"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易燃液体—闪点低于 21℃，沸点高于 20℃的物质。</w:t>
                  </w:r>
                </w:p>
              </w:tc>
            </w:tr>
            <w:tr w14:paraId="04884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475" w:type="pct"/>
                  <w:vMerge w:val="continue"/>
                </w:tcPr>
                <w:p w14:paraId="460A6F25">
                  <w:pPr>
                    <w:pStyle w:val="21"/>
                    <w:jc w:val="center"/>
                    <w:rPr>
                      <w:rFonts w:hint="eastAsia" w:ascii="宋体" w:hAnsi="宋体" w:eastAsia="宋体" w:cs="宋体"/>
                      <w:color w:val="auto"/>
                      <w:sz w:val="21"/>
                      <w:szCs w:val="21"/>
                      <w:vertAlign w:val="baseline"/>
                      <w:lang w:val="en-US"/>
                    </w:rPr>
                  </w:pPr>
                </w:p>
              </w:tc>
              <w:tc>
                <w:tcPr>
                  <w:tcW w:w="356" w:type="pct"/>
                </w:tcPr>
                <w:p w14:paraId="488A621C">
                  <w:pPr>
                    <w:pStyle w:val="21"/>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3</w:t>
                  </w:r>
                </w:p>
              </w:tc>
              <w:tc>
                <w:tcPr>
                  <w:tcW w:w="4167" w:type="pct"/>
                  <w:gridSpan w:val="3"/>
                </w:tcPr>
                <w:p w14:paraId="051202DC">
                  <w:pPr>
                    <w:keepNext w:val="0"/>
                    <w:keepLines w:val="0"/>
                    <w:widowControl/>
                    <w:suppressLineNumbers w:val="0"/>
                    <w:jc w:val="left"/>
                    <w:rPr>
                      <w:rFonts w:hint="eastAsia" w:ascii="宋体" w:hAnsi="宋体" w:eastAsia="宋体" w:cs="宋体"/>
                      <w:color w:val="auto"/>
                      <w:sz w:val="21"/>
                      <w:szCs w:val="21"/>
                      <w:vertAlign w:val="baseline"/>
                      <w:lang w:val="en-US"/>
                    </w:rPr>
                  </w:pPr>
                  <w:r>
                    <w:rPr>
                      <w:rFonts w:hint="eastAsia" w:ascii="宋体" w:hAnsi="宋体" w:eastAsia="宋体" w:cs="宋体"/>
                      <w:color w:val="auto"/>
                      <w:kern w:val="0"/>
                      <w:sz w:val="21"/>
                      <w:szCs w:val="21"/>
                      <w:lang w:val="en-US" w:eastAsia="zh-CN"/>
                    </w:rPr>
                    <w:t>可燃液体—闪点低于 55℃，压力下保持液态，在实际操作条件下（如高温高压）可以引起重大事故的物质。</w:t>
                  </w:r>
                </w:p>
              </w:tc>
            </w:tr>
            <w:tr w14:paraId="2DD3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32" w:type="pct"/>
                  <w:gridSpan w:val="2"/>
                </w:tcPr>
                <w:p w14:paraId="740B25E4">
                  <w:pPr>
                    <w:keepNext w:val="0"/>
                    <w:keepLines w:val="0"/>
                    <w:widowControl/>
                    <w:suppressLineNumbers w:val="0"/>
                    <w:jc w:val="left"/>
                    <w:rPr>
                      <w:rFonts w:hint="default"/>
                      <w:color w:val="auto"/>
                      <w:vertAlign w:val="baseline"/>
                      <w:lang w:val="en-US"/>
                    </w:rPr>
                  </w:pPr>
                  <w:r>
                    <w:rPr>
                      <w:rFonts w:hint="eastAsia" w:ascii="宋体" w:hAnsi="宋体" w:eastAsia="宋体" w:cs="宋体"/>
                      <w:color w:val="auto"/>
                      <w:kern w:val="0"/>
                      <w:sz w:val="21"/>
                      <w:szCs w:val="21"/>
                      <w:lang w:val="en-US" w:eastAsia="zh-CN"/>
                    </w:rPr>
                    <w:t>爆炸性物质</w:t>
                  </w:r>
                </w:p>
              </w:tc>
              <w:tc>
                <w:tcPr>
                  <w:tcW w:w="4167" w:type="pct"/>
                  <w:gridSpan w:val="3"/>
                </w:tcPr>
                <w:p w14:paraId="700AB6C7">
                  <w:pPr>
                    <w:pStyle w:val="21"/>
                    <w:ind w:left="0" w:leftChars="0" w:firstLine="0" w:firstLineChars="0"/>
                    <w:jc w:val="both"/>
                    <w:rPr>
                      <w:rFonts w:hint="default"/>
                      <w:color w:val="auto"/>
                      <w:vertAlign w:val="baseline"/>
                      <w:lang w:val="en-US"/>
                    </w:rPr>
                  </w:pPr>
                  <w:r>
                    <w:rPr>
                      <w:rFonts w:hint="eastAsia" w:ascii="宋体" w:hAnsi="宋体" w:eastAsia="宋体" w:cs="宋体"/>
                      <w:color w:val="auto"/>
                      <w:kern w:val="0"/>
                      <w:sz w:val="21"/>
                      <w:szCs w:val="21"/>
                      <w:lang w:val="en-US" w:eastAsia="zh-CN"/>
                    </w:rPr>
                    <w:t>在火焰影响下可以爆炸，或者对冲击、摩擦比硝基苯更为敏感的物质</w:t>
                  </w:r>
                  <w:r>
                    <w:rPr>
                      <w:rFonts w:hint="eastAsia" w:ascii="宋体" w:hAnsi="宋体" w:cs="宋体"/>
                      <w:color w:val="auto"/>
                      <w:kern w:val="0"/>
                      <w:sz w:val="21"/>
                      <w:szCs w:val="21"/>
                      <w:lang w:val="en-US" w:eastAsia="zh-CN"/>
                    </w:rPr>
                    <w:t>。</w:t>
                  </w:r>
                </w:p>
              </w:tc>
            </w:tr>
          </w:tbl>
          <w:p w14:paraId="1B5B81CE">
            <w:pPr>
              <w:keepNext w:val="0"/>
              <w:keepLines w:val="0"/>
              <w:widowControl/>
              <w:suppressLineNumbers w:val="0"/>
              <w:spacing w:line="360" w:lineRule="auto"/>
              <w:jc w:val="left"/>
              <w:rPr>
                <w:rFonts w:hint="eastAsia" w:ascii="宋体" w:hAnsi="宋体" w:eastAsia="宋体" w:cs="宋体"/>
                <w:color w:val="auto"/>
                <w:sz w:val="24"/>
                <w:szCs w:val="24"/>
              </w:rPr>
            </w:pPr>
          </w:p>
          <w:p w14:paraId="66A66134">
            <w:pPr>
              <w:keepNext w:val="0"/>
              <w:keepLines w:val="0"/>
              <w:widowControl/>
              <w:suppressLineNumbers w:val="0"/>
              <w:spacing w:line="360" w:lineRule="auto"/>
              <w:ind w:firstLine="480" w:firstLineChars="200"/>
              <w:jc w:val="left"/>
              <w:rPr>
                <w:rFonts w:hint="eastAsia" w:ascii="宋体" w:hAnsi="宋体" w:eastAsia="宋体" w:cs="宋体"/>
                <w:b/>
                <w:bCs/>
                <w:color w:val="auto"/>
                <w:kern w:val="0"/>
                <w:sz w:val="24"/>
                <w:szCs w:val="24"/>
                <w:lang w:val="en-US" w:eastAsia="zh-CN"/>
              </w:rPr>
            </w:pPr>
            <w:r>
              <w:rPr>
                <w:rFonts w:hint="eastAsia" w:ascii="宋体" w:hAnsi="宋体" w:eastAsia="宋体" w:cs="宋体"/>
                <w:color w:val="auto"/>
                <w:sz w:val="24"/>
                <w:szCs w:val="24"/>
              </w:rPr>
              <w:t>本项目为</w:t>
            </w:r>
            <w:r>
              <w:rPr>
                <w:rFonts w:hint="eastAsia" w:ascii="宋体" w:hAnsi="宋体" w:cs="宋体"/>
                <w:color w:val="auto"/>
                <w:sz w:val="24"/>
                <w:szCs w:val="24"/>
                <w:lang w:val="en-US" w:eastAsia="zh-CN"/>
              </w:rPr>
              <w:t>煤液化沥青封闭</w:t>
            </w:r>
            <w:r>
              <w:rPr>
                <w:rFonts w:hint="eastAsia" w:ascii="宋体" w:hAnsi="宋体" w:eastAsia="宋体" w:cs="宋体"/>
                <w:color w:val="auto"/>
                <w:sz w:val="24"/>
                <w:szCs w:val="24"/>
              </w:rPr>
              <w:t>项目，</w:t>
            </w:r>
            <w:r>
              <w:rPr>
                <w:rFonts w:hint="eastAsia" w:ascii="宋体" w:hAnsi="宋体" w:eastAsia="宋体" w:cs="宋体"/>
                <w:color w:val="auto"/>
                <w:sz w:val="24"/>
                <w:szCs w:val="24"/>
                <w:highlight w:val="none"/>
              </w:rPr>
              <w:t>不产生副产品，不直接使用燃料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0"/>
                <w:sz w:val="24"/>
                <w:szCs w:val="24"/>
                <w:lang w:val="en-US" w:eastAsia="zh-CN"/>
              </w:rPr>
              <w:t>在贮存及运输过程中均存在一定危险性，其危险特性及健康危害性见表 4-3。</w:t>
            </w:r>
          </w:p>
          <w:p w14:paraId="3EB3E73C">
            <w:pPr>
              <w:keepNext w:val="0"/>
              <w:keepLines w:val="0"/>
              <w:widowControl/>
              <w:suppressLineNumbers w:val="0"/>
              <w:spacing w:line="360" w:lineRule="auto"/>
              <w:jc w:val="center"/>
              <w:rPr>
                <w:rFonts w:hint="eastAsia" w:ascii="宋体" w:hAnsi="宋体" w:eastAsia="宋体" w:cs="宋体"/>
                <w:color w:val="auto"/>
                <w:sz w:val="24"/>
                <w:szCs w:val="24"/>
              </w:rPr>
            </w:pPr>
            <w:r>
              <w:rPr>
                <w:rFonts w:hint="eastAsia" w:ascii="宋体" w:hAnsi="宋体" w:eastAsia="宋体" w:cs="宋体"/>
                <w:b/>
                <w:bCs/>
                <w:color w:val="auto"/>
                <w:kern w:val="0"/>
                <w:sz w:val="24"/>
                <w:szCs w:val="24"/>
                <w:lang w:val="en-US" w:eastAsia="zh-CN"/>
              </w:rPr>
              <w:t>表 4-3项目涉及物质的危险特性及健康危害性</w:t>
            </w:r>
          </w:p>
          <w:tbl>
            <w:tblPr>
              <w:tblStyle w:val="27"/>
              <w:tblpPr w:leftFromText="180" w:rightFromText="180" w:vertAnchor="text" w:horzAnchor="page" w:tblpX="470" w:tblpY="3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887"/>
              <w:gridCol w:w="4663"/>
            </w:tblGrid>
            <w:tr w14:paraId="0342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75" w:type="dxa"/>
                </w:tcPr>
                <w:p w14:paraId="49FBA7A7">
                  <w:pPr>
                    <w:pStyle w:val="72"/>
                    <w:spacing w:line="360" w:lineRule="auto"/>
                    <w:ind w:left="0" w:leftChars="0" w:firstLine="0" w:firstLineChars="0"/>
                    <w:jc w:val="left"/>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物料名称</w:t>
                  </w:r>
                </w:p>
              </w:tc>
              <w:tc>
                <w:tcPr>
                  <w:tcW w:w="1887" w:type="dxa"/>
                </w:tcPr>
                <w:p w14:paraId="48D92D50">
                  <w:pPr>
                    <w:pStyle w:val="72"/>
                    <w:spacing w:line="360" w:lineRule="auto"/>
                    <w:jc w:val="left"/>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危险特性</w:t>
                  </w:r>
                </w:p>
              </w:tc>
              <w:tc>
                <w:tcPr>
                  <w:tcW w:w="4663" w:type="dxa"/>
                </w:tcPr>
                <w:p w14:paraId="03B83041">
                  <w:pPr>
                    <w:pStyle w:val="72"/>
                    <w:spacing w:line="360" w:lineRule="auto"/>
                    <w:jc w:val="left"/>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毒性毒理</w:t>
                  </w:r>
                </w:p>
              </w:tc>
            </w:tr>
            <w:tr w14:paraId="76A5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6" w:hRule="atLeast"/>
              </w:trPr>
              <w:tc>
                <w:tcPr>
                  <w:tcW w:w="1075" w:type="dxa"/>
                </w:tcPr>
                <w:p w14:paraId="4183ACE3">
                  <w:pPr>
                    <w:pStyle w:val="72"/>
                    <w:spacing w:line="360" w:lineRule="auto"/>
                    <w:ind w:left="0" w:leftChars="0" w:firstLine="0" w:firstLineChars="0"/>
                    <w:jc w:val="left"/>
                    <w:rPr>
                      <w:rFonts w:hint="eastAsia" w:ascii="宋体" w:hAnsi="宋体" w:eastAsia="宋体" w:cs="宋体"/>
                      <w:b w:val="0"/>
                      <w:bCs w:val="0"/>
                      <w:color w:val="auto"/>
                      <w:sz w:val="21"/>
                      <w:szCs w:val="21"/>
                      <w:vertAlign w:val="baseline"/>
                      <w:lang w:val="en-US" w:eastAsia="zh-CN"/>
                    </w:rPr>
                  </w:pPr>
                </w:p>
                <w:p w14:paraId="28989436">
                  <w:pPr>
                    <w:pStyle w:val="72"/>
                    <w:spacing w:line="360" w:lineRule="auto"/>
                    <w:ind w:left="0" w:leftChars="0" w:firstLine="0" w:firstLineChars="0"/>
                    <w:jc w:val="left"/>
                    <w:rPr>
                      <w:rFonts w:hint="eastAsia" w:ascii="宋体" w:hAnsi="宋体" w:eastAsia="宋体" w:cs="宋体"/>
                      <w:b w:val="0"/>
                      <w:bCs w:val="0"/>
                      <w:color w:val="auto"/>
                      <w:sz w:val="21"/>
                      <w:szCs w:val="21"/>
                      <w:vertAlign w:val="baseline"/>
                      <w:lang w:val="en-US" w:eastAsia="zh-CN"/>
                    </w:rPr>
                  </w:pPr>
                </w:p>
                <w:p w14:paraId="38EB6C3D">
                  <w:pPr>
                    <w:pStyle w:val="72"/>
                    <w:spacing w:line="360" w:lineRule="auto"/>
                    <w:ind w:left="0" w:leftChars="0" w:firstLine="210" w:firstLineChars="100"/>
                    <w:jc w:val="left"/>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b w:val="0"/>
                      <w:bCs w:val="0"/>
                      <w:color w:val="auto"/>
                      <w:sz w:val="21"/>
                      <w:szCs w:val="21"/>
                      <w:vertAlign w:val="baseline"/>
                      <w:lang w:val="en-US" w:eastAsia="zh-CN"/>
                    </w:rPr>
                    <w:t>沥青</w:t>
                  </w:r>
                </w:p>
              </w:tc>
              <w:tc>
                <w:tcPr>
                  <w:tcW w:w="1887" w:type="dxa"/>
                </w:tcPr>
                <w:p w14:paraId="2C933248">
                  <w:pPr>
                    <w:keepNext w:val="0"/>
                    <w:keepLines w:val="0"/>
                    <w:widowControl/>
                    <w:suppressLineNumbers w:val="0"/>
                    <w:jc w:val="left"/>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color w:val="auto"/>
                      <w:kern w:val="0"/>
                      <w:sz w:val="21"/>
                      <w:szCs w:val="21"/>
                      <w:lang w:val="en-US" w:eastAsia="zh-CN"/>
                    </w:rPr>
                    <w:t>黑色液体，半固体或固体</w:t>
                  </w:r>
                  <w:r>
                    <w:rPr>
                      <w:rFonts w:hint="eastAsia" w:ascii="宋体" w:hAnsi="宋体" w:cs="宋体"/>
                      <w:color w:val="auto"/>
                      <w:kern w:val="0"/>
                      <w:sz w:val="21"/>
                      <w:szCs w:val="21"/>
                      <w:lang w:val="en-US" w:eastAsia="zh-CN"/>
                    </w:rPr>
                    <w:t>。</w:t>
                  </w:r>
                  <w:r>
                    <w:rPr>
                      <w:rFonts w:hint="eastAsia" w:ascii="宋体" w:hAnsi="宋体" w:eastAsia="宋体" w:cs="宋体"/>
                      <w:color w:val="auto"/>
                      <w:kern w:val="0"/>
                      <w:sz w:val="21"/>
                      <w:szCs w:val="21"/>
                      <w:lang w:val="en-US" w:eastAsia="zh-CN"/>
                    </w:rPr>
                    <w:t>引燃温度 485℃，不溶于水，不溶于丙酮、乙醚、稀乙醇，溶于二硫化碳、四氯化碳等。</w:t>
                  </w:r>
                </w:p>
              </w:tc>
              <w:tc>
                <w:tcPr>
                  <w:tcW w:w="4663" w:type="dxa"/>
                </w:tcPr>
                <w:p w14:paraId="5FF4FBF9">
                  <w:pPr>
                    <w:keepNext w:val="0"/>
                    <w:keepLines w:val="0"/>
                    <w:widowControl/>
                    <w:suppressLineNumbers w:val="0"/>
                    <w:jc w:val="left"/>
                    <w:rPr>
                      <w:rFonts w:hint="eastAsia" w:ascii="宋体" w:hAnsi="宋体" w:eastAsia="宋体" w:cs="宋体"/>
                      <w:b w:val="0"/>
                      <w:bCs w:val="0"/>
                      <w:color w:val="auto"/>
                      <w:sz w:val="21"/>
                      <w:szCs w:val="21"/>
                      <w:vertAlign w:val="baseline"/>
                      <w:lang w:val="en-US" w:eastAsia="zh-CN"/>
                    </w:rPr>
                  </w:pPr>
                  <w:r>
                    <w:rPr>
                      <w:rFonts w:hint="eastAsia" w:ascii="宋体" w:hAnsi="宋体" w:eastAsia="宋体" w:cs="宋体"/>
                      <w:color w:val="auto"/>
                      <w:kern w:val="0"/>
                      <w:sz w:val="21"/>
                      <w:szCs w:val="21"/>
                      <w:lang w:val="en-US" w:eastAsia="zh-CN"/>
                    </w:rPr>
                    <w:t>沥青及其烟气对皮肤粘膜具有刺激性，有光毒作用和致肿瘤作用。沥青的主要皮肤损害有：光毒性皮炎，皮损限于面、颈部等暴露部分；黑变病，皮损常对称分布于暴露部位，呈片状，呈褐－深褐－褐黑色；职业性痤疮；疣状赘生物及事故引起的热烧伤。此外，尚有头昏、头胀，头痛、胸闷、乏力、恶心、食欲不振等全身症状和眼、鼻、咽部的刺激症状。LD50：无资料；LC50：无资料。</w:t>
                  </w:r>
                </w:p>
              </w:tc>
            </w:tr>
          </w:tbl>
          <w:p w14:paraId="76ABB038">
            <w:pPr>
              <w:keepNext w:val="0"/>
              <w:keepLines w:val="0"/>
              <w:widowControl/>
              <w:suppressLineNumbers w:val="0"/>
              <w:spacing w:line="360" w:lineRule="auto"/>
              <w:ind w:firstLine="480" w:firstLineChars="200"/>
              <w:jc w:val="left"/>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根据《建设项目环境风险评价技术导则》（HJ/T169－2004）中附录 A.1 物质危险性判定标准，可判定沥青不属于易燃、易爆物质，毒性为低于 3 级的一般物质。</w:t>
            </w:r>
          </w:p>
          <w:p w14:paraId="133A266D">
            <w:pPr>
              <w:adjustRightInd w:val="0"/>
              <w:snapToGrid w:val="0"/>
              <w:spacing w:line="360" w:lineRule="auto"/>
              <w:ind w:firstLine="482" w:firstLineChars="200"/>
              <w:rPr>
                <w:rFonts w:ascii="宋体" w:hAnsi="宋体" w:cs="宋体"/>
                <w:b/>
                <w:bCs/>
                <w:color w:val="auto"/>
                <w:sz w:val="24"/>
                <w:szCs w:val="24"/>
              </w:rPr>
            </w:pPr>
            <w:r>
              <w:rPr>
                <w:rFonts w:ascii="宋体" w:hAnsi="宋体" w:cs="宋体"/>
                <w:b/>
                <w:bCs/>
                <w:color w:val="auto"/>
                <w:sz w:val="24"/>
                <w:szCs w:val="24"/>
              </w:rPr>
              <w:t>（</w:t>
            </w:r>
            <w:r>
              <w:rPr>
                <w:rFonts w:hint="eastAsia" w:ascii="宋体" w:hAnsi="宋体" w:cs="宋体"/>
                <w:b/>
                <w:bCs/>
                <w:color w:val="auto"/>
                <w:sz w:val="24"/>
                <w:szCs w:val="24"/>
                <w:lang w:val="en-US" w:eastAsia="zh-CN"/>
              </w:rPr>
              <w:t>2</w:t>
            </w:r>
            <w:r>
              <w:rPr>
                <w:rFonts w:ascii="宋体" w:hAnsi="宋体" w:cs="宋体"/>
                <w:b/>
                <w:bCs/>
                <w:color w:val="auto"/>
                <w:sz w:val="24"/>
                <w:szCs w:val="24"/>
              </w:rPr>
              <w:t>）环境影响途径</w:t>
            </w:r>
          </w:p>
          <w:p w14:paraId="723D4BBF">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A.储存中的风险事故</w:t>
            </w:r>
          </w:p>
          <w:p w14:paraId="1F90B209">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本贮存过程中可能</w:t>
            </w:r>
            <w:r>
              <w:rPr>
                <w:rFonts w:ascii="宋体" w:hAnsi="宋体" w:cs="宋体"/>
                <w:color w:val="auto"/>
                <w:sz w:val="24"/>
                <w:szCs w:val="24"/>
              </w:rPr>
              <w:t>存在泄漏风险，一旦渗漏会渗入土壤并随雨水渗入地下水，造成土壤和</w:t>
            </w:r>
            <w:r>
              <w:rPr>
                <w:rFonts w:hint="eastAsia" w:ascii="宋体" w:hAnsi="宋体" w:cs="宋体"/>
                <w:color w:val="auto"/>
                <w:sz w:val="24"/>
                <w:szCs w:val="24"/>
              </w:rPr>
              <w:t>地下</w:t>
            </w:r>
            <w:r>
              <w:rPr>
                <w:rFonts w:ascii="宋体" w:hAnsi="宋体" w:cs="宋体"/>
                <w:color w:val="auto"/>
                <w:sz w:val="24"/>
                <w:szCs w:val="24"/>
              </w:rPr>
              <w:t>水污染。</w:t>
            </w:r>
          </w:p>
          <w:p w14:paraId="4D35325D">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B.运输中的风险事故</w:t>
            </w:r>
          </w:p>
          <w:p w14:paraId="413BBD7B">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项目</w:t>
            </w:r>
            <w:r>
              <w:rPr>
                <w:rFonts w:hint="eastAsia" w:ascii="宋体" w:hAnsi="宋体" w:cs="宋体"/>
                <w:color w:val="auto"/>
                <w:sz w:val="24"/>
                <w:szCs w:val="24"/>
                <w:lang w:val="en-US" w:eastAsia="zh-CN"/>
              </w:rPr>
              <w:t>沥青</w:t>
            </w:r>
            <w:r>
              <w:rPr>
                <w:rFonts w:ascii="宋体" w:hAnsi="宋体" w:cs="宋体"/>
                <w:color w:val="auto"/>
                <w:sz w:val="24"/>
                <w:szCs w:val="24"/>
              </w:rPr>
              <w:t>运输靠汽车，运输过程中事故隐患主要是事故性泄漏，其中主要风险因素是运输车因交通事故导致</w:t>
            </w:r>
            <w:r>
              <w:rPr>
                <w:rFonts w:hint="eastAsia" w:ascii="宋体" w:hAnsi="宋体" w:cs="宋体"/>
                <w:color w:val="auto"/>
                <w:sz w:val="24"/>
                <w:szCs w:val="24"/>
                <w:lang w:val="en-US" w:eastAsia="zh-CN"/>
              </w:rPr>
              <w:t>化学</w:t>
            </w:r>
            <w:r>
              <w:rPr>
                <w:rFonts w:ascii="宋体" w:hAnsi="宋体" w:cs="宋体"/>
                <w:color w:val="auto"/>
                <w:sz w:val="24"/>
                <w:szCs w:val="24"/>
              </w:rPr>
              <w:t>物料</w:t>
            </w:r>
            <w:r>
              <w:rPr>
                <w:rFonts w:hint="eastAsia" w:ascii="宋体" w:hAnsi="宋体" w:cs="宋体"/>
                <w:color w:val="auto"/>
                <w:sz w:val="24"/>
                <w:szCs w:val="24"/>
              </w:rPr>
              <w:t>泄漏</w:t>
            </w:r>
            <w:r>
              <w:rPr>
                <w:rFonts w:ascii="宋体" w:hAnsi="宋体" w:cs="宋体"/>
                <w:color w:val="auto"/>
                <w:sz w:val="24"/>
                <w:szCs w:val="24"/>
              </w:rPr>
              <w:t>，物料大量溢出而对环境造成污染或人员伤害。</w:t>
            </w:r>
          </w:p>
          <w:p w14:paraId="261F2F35">
            <w:pPr>
              <w:adjustRightInd w:val="0"/>
              <w:snapToGrid w:val="0"/>
              <w:spacing w:line="360" w:lineRule="auto"/>
              <w:ind w:firstLine="482" w:firstLineChars="200"/>
              <w:rPr>
                <w:rFonts w:ascii="宋体" w:hAnsi="宋体" w:cs="宋体"/>
                <w:b/>
                <w:bCs/>
                <w:color w:val="auto"/>
                <w:sz w:val="24"/>
                <w:szCs w:val="24"/>
              </w:rPr>
            </w:pPr>
            <w:r>
              <w:rPr>
                <w:rFonts w:ascii="宋体" w:hAnsi="宋体" w:cs="宋体"/>
                <w:b/>
                <w:bCs/>
                <w:color w:val="auto"/>
                <w:sz w:val="24"/>
                <w:szCs w:val="24"/>
              </w:rPr>
              <w:t>（</w:t>
            </w:r>
            <w:r>
              <w:rPr>
                <w:rFonts w:hint="eastAsia" w:ascii="宋体" w:hAnsi="宋体" w:cs="宋体"/>
                <w:b/>
                <w:bCs/>
                <w:color w:val="auto"/>
                <w:sz w:val="24"/>
                <w:szCs w:val="24"/>
                <w:lang w:val="en-US" w:eastAsia="zh-CN"/>
              </w:rPr>
              <w:t>3</w:t>
            </w:r>
            <w:r>
              <w:rPr>
                <w:rFonts w:ascii="宋体" w:hAnsi="宋体" w:cs="宋体"/>
                <w:b/>
                <w:bCs/>
                <w:color w:val="auto"/>
                <w:sz w:val="24"/>
                <w:szCs w:val="24"/>
              </w:rPr>
              <w:t>）环境风险</w:t>
            </w:r>
            <w:r>
              <w:rPr>
                <w:rFonts w:hint="eastAsia" w:ascii="宋体" w:hAnsi="宋体" w:cs="宋体"/>
                <w:b/>
                <w:bCs/>
                <w:color w:val="auto"/>
                <w:sz w:val="24"/>
                <w:szCs w:val="24"/>
              </w:rPr>
              <w:t>防范</w:t>
            </w:r>
            <w:r>
              <w:rPr>
                <w:rFonts w:ascii="宋体" w:hAnsi="宋体" w:cs="宋体"/>
                <w:b/>
                <w:bCs/>
                <w:color w:val="auto"/>
                <w:sz w:val="24"/>
                <w:szCs w:val="24"/>
              </w:rPr>
              <w:t>措施及应急要求</w:t>
            </w:r>
          </w:p>
          <w:p w14:paraId="3780DFC8">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①风险防范管理</w:t>
            </w:r>
          </w:p>
          <w:p w14:paraId="29180607">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环境风险</w:t>
            </w:r>
            <w:r>
              <w:rPr>
                <w:rFonts w:hint="eastAsia" w:ascii="宋体" w:hAnsi="宋体" w:cs="宋体"/>
                <w:color w:val="auto"/>
                <w:sz w:val="24"/>
                <w:szCs w:val="24"/>
              </w:rPr>
              <w:t>防范</w:t>
            </w:r>
            <w:r>
              <w:rPr>
                <w:rFonts w:ascii="宋体" w:hAnsi="宋体" w:cs="宋体"/>
                <w:color w:val="auto"/>
                <w:sz w:val="24"/>
                <w:szCs w:val="24"/>
              </w:rPr>
              <w:t>可以从两个方面采取措施，一是降低事故发生概率，二是减轻事故危害强度，此外预先制定好切实可行的事故应急计划，可以大大减轻事故来临时可能受到的损失，针对本项目具体情况提出以下环境风险管理对策。</w:t>
            </w:r>
          </w:p>
          <w:p w14:paraId="519FD2B1">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A.加强安全、消防和环保管理，建立健全环保、安全、消防各项制度，设置环保、安全、消防设施专职管理人员，保证设施正常运行或处于良好的待命状态。</w:t>
            </w:r>
          </w:p>
          <w:p w14:paraId="4B5C6889">
            <w:pPr>
              <w:pStyle w:val="50"/>
              <w:snapToGrid w:val="0"/>
              <w:spacing w:line="360" w:lineRule="auto"/>
              <w:ind w:firstLine="480" w:firstLineChars="200"/>
              <w:jc w:val="both"/>
              <w:rPr>
                <w:color w:val="auto"/>
                <w:kern w:val="2"/>
                <w:sz w:val="24"/>
                <w:szCs w:val="24"/>
              </w:rPr>
            </w:pPr>
            <w:r>
              <w:rPr>
                <w:rFonts w:hint="eastAsia"/>
                <w:color w:val="auto"/>
                <w:kern w:val="2"/>
                <w:sz w:val="24"/>
                <w:szCs w:val="24"/>
              </w:rPr>
              <w:t>B</w:t>
            </w:r>
            <w:r>
              <w:rPr>
                <w:color w:val="auto"/>
                <w:kern w:val="2"/>
                <w:sz w:val="24"/>
                <w:szCs w:val="24"/>
              </w:rPr>
              <w:t>.加强安全教育，企业内全体人员都认识安全、杜绝事故的意义和重要性，了解事故处理程序和要求，了解处理事故的措施和器材的使用方法，特别是明确自己在处理事故中的职责。</w:t>
            </w:r>
          </w:p>
          <w:p w14:paraId="17CF56D8">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C</w:t>
            </w:r>
            <w:r>
              <w:rPr>
                <w:rFonts w:ascii="宋体" w:hAnsi="宋体" w:cs="宋体"/>
                <w:color w:val="auto"/>
                <w:sz w:val="24"/>
                <w:szCs w:val="24"/>
              </w:rPr>
              <w:t>.</w:t>
            </w:r>
            <w:r>
              <w:rPr>
                <w:rFonts w:hint="eastAsia" w:ascii="宋体" w:hAnsi="宋体" w:cs="宋体"/>
                <w:color w:val="auto"/>
                <w:sz w:val="24"/>
                <w:szCs w:val="24"/>
                <w:lang w:val="en-US" w:eastAsia="zh-CN"/>
              </w:rPr>
              <w:t>煤液化沥青封闭项目</w:t>
            </w:r>
            <w:r>
              <w:rPr>
                <w:rFonts w:ascii="宋体" w:hAnsi="宋体" w:cs="宋体"/>
                <w:color w:val="auto"/>
                <w:sz w:val="24"/>
                <w:szCs w:val="24"/>
              </w:rPr>
              <w:t>非操作人员不得随意进出；入口处应有</w:t>
            </w:r>
            <w:r>
              <w:rPr>
                <w:rFonts w:hint="eastAsia" w:ascii="宋体" w:hAnsi="宋体" w:cs="宋体"/>
                <w:color w:val="auto"/>
                <w:sz w:val="24"/>
                <w:szCs w:val="24"/>
                <w:lang w:eastAsia="zh-CN"/>
              </w:rPr>
              <w:t>标识牌</w:t>
            </w:r>
            <w:r>
              <w:rPr>
                <w:rFonts w:ascii="宋体" w:hAnsi="宋体" w:cs="宋体"/>
                <w:color w:val="auto"/>
                <w:sz w:val="24"/>
                <w:szCs w:val="24"/>
              </w:rPr>
              <w:t>、安全使用说明和危废标签。</w:t>
            </w:r>
          </w:p>
          <w:p w14:paraId="37F5671D">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D</w:t>
            </w:r>
            <w:r>
              <w:rPr>
                <w:rFonts w:ascii="宋体" w:hAnsi="宋体" w:cs="宋体"/>
                <w:color w:val="auto"/>
                <w:sz w:val="24"/>
                <w:szCs w:val="24"/>
              </w:rPr>
              <w:t>.加强管理，设有专人管理，制定严格的制度，进、出、存放和使用都必须有严格的记录，防止流失造成危害。</w:t>
            </w:r>
          </w:p>
          <w:p w14:paraId="3EBEDC6A">
            <w:pPr>
              <w:adjustRightInd w:val="0"/>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E</w:t>
            </w:r>
            <w:r>
              <w:rPr>
                <w:rFonts w:ascii="宋体" w:hAnsi="宋体" w:cs="宋体"/>
                <w:color w:val="auto"/>
                <w:sz w:val="24"/>
                <w:szCs w:val="24"/>
              </w:rPr>
              <w:t>必须有专门的运输车辆运输，要求押运人员持有押运证，并携带安全资料表，装卸过程要轻装轻放，避免撞击、重压和摩擦。</w:t>
            </w:r>
          </w:p>
          <w:p w14:paraId="5591025D">
            <w:pPr>
              <w:adjustRightInd w:val="0"/>
              <w:snapToGrid w:val="0"/>
              <w:spacing w:line="360" w:lineRule="auto"/>
              <w:ind w:firstLine="480" w:firstLineChars="200"/>
              <w:rPr>
                <w:rFonts w:ascii="宋体" w:hAnsi="宋体" w:eastAsia="宋体" w:cs="宋体"/>
                <w:color w:val="auto"/>
                <w:sz w:val="24"/>
                <w:szCs w:val="24"/>
              </w:rPr>
            </w:pPr>
            <w:r>
              <w:rPr>
                <w:rFonts w:hint="eastAsia" w:ascii="宋体" w:hAnsi="宋体" w:cs="宋体"/>
                <w:color w:val="auto"/>
                <w:sz w:val="24"/>
                <w:szCs w:val="24"/>
                <w:lang w:val="en-US" w:eastAsia="zh-CN"/>
              </w:rPr>
              <w:t>F</w:t>
            </w:r>
            <w:r>
              <w:rPr>
                <w:rFonts w:ascii="宋体" w:hAnsi="宋体" w:eastAsia="宋体" w:cs="宋体"/>
                <w:color w:val="auto"/>
                <w:sz w:val="24"/>
                <w:szCs w:val="24"/>
              </w:rPr>
              <w:t>.设立急救指挥小组，并和当地事故应急救援部门建立正常联系，一旦出现事故能立刻采取有效救援措施。</w:t>
            </w:r>
          </w:p>
          <w:p w14:paraId="28DE6933">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②风险防范措施</w:t>
            </w:r>
          </w:p>
          <w:p w14:paraId="544792FA">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A.加强</w:t>
            </w:r>
            <w:r>
              <w:rPr>
                <w:rFonts w:hint="eastAsia" w:ascii="宋体" w:hAnsi="宋体" w:cs="宋体"/>
                <w:color w:val="auto"/>
                <w:sz w:val="24"/>
                <w:szCs w:val="24"/>
                <w:lang w:val="en-US" w:eastAsia="zh-CN"/>
              </w:rPr>
              <w:t>煤液化沥青封闭项目</w:t>
            </w:r>
            <w:r>
              <w:rPr>
                <w:rFonts w:ascii="宋体" w:hAnsi="宋体" w:cs="宋体"/>
                <w:color w:val="auto"/>
                <w:sz w:val="24"/>
                <w:szCs w:val="24"/>
              </w:rPr>
              <w:t>巡查，发现问题及时处理。</w:t>
            </w:r>
          </w:p>
          <w:p w14:paraId="4679F3C9">
            <w:pPr>
              <w:adjustRightInd w:val="0"/>
              <w:snapToGrid w:val="0"/>
              <w:spacing w:line="360" w:lineRule="auto"/>
              <w:ind w:firstLine="480" w:firstLineChars="200"/>
              <w:rPr>
                <w:rFonts w:ascii="宋体" w:hAnsi="宋体" w:eastAsia="宋体" w:cs="宋体"/>
                <w:color w:val="auto"/>
                <w:sz w:val="24"/>
                <w:szCs w:val="24"/>
              </w:rPr>
            </w:pPr>
            <w:r>
              <w:rPr>
                <w:rFonts w:ascii="宋体" w:hAnsi="宋体" w:cs="宋体"/>
                <w:color w:val="auto"/>
                <w:sz w:val="24"/>
                <w:szCs w:val="24"/>
              </w:rPr>
              <w:t>B.强化管理，加强搬运人员的业务培训，完善各项规章制度，尽量避免储存</w:t>
            </w:r>
            <w:r>
              <w:rPr>
                <w:rFonts w:hint="eastAsia" w:ascii="宋体" w:hAnsi="宋体" w:cs="宋体"/>
                <w:color w:val="auto"/>
                <w:sz w:val="24"/>
                <w:szCs w:val="24"/>
                <w:lang w:val="en-US" w:eastAsia="zh-CN"/>
              </w:rPr>
              <w:t>和</w:t>
            </w:r>
            <w:r>
              <w:rPr>
                <w:rFonts w:ascii="宋体" w:hAnsi="宋体" w:eastAsia="宋体" w:cs="宋体"/>
                <w:color w:val="auto"/>
                <w:sz w:val="24"/>
                <w:szCs w:val="24"/>
              </w:rPr>
              <w:t>搬运过程中磕碰造成损坏。</w:t>
            </w:r>
          </w:p>
          <w:p w14:paraId="353CCFFD">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③事故应急预案</w:t>
            </w:r>
          </w:p>
          <w:p w14:paraId="72DCCF03">
            <w:pPr>
              <w:adjustRightInd w:val="0"/>
              <w:snapToGrid w:val="0"/>
              <w:spacing w:line="360" w:lineRule="auto"/>
              <w:ind w:firstLine="480" w:firstLineChars="200"/>
              <w:rPr>
                <w:rFonts w:ascii="宋体" w:hAnsi="宋体" w:cs="宋体"/>
                <w:color w:val="auto"/>
                <w:sz w:val="24"/>
                <w:szCs w:val="24"/>
              </w:rPr>
            </w:pPr>
            <w:r>
              <w:rPr>
                <w:rFonts w:ascii="宋体" w:hAnsi="宋体" w:cs="宋体"/>
                <w:color w:val="auto"/>
                <w:sz w:val="24"/>
                <w:szCs w:val="24"/>
              </w:rPr>
              <w:t>A.应急预案主要内容汇总见表</w:t>
            </w:r>
            <w:r>
              <w:rPr>
                <w:rFonts w:hint="eastAsia" w:ascii="宋体" w:hAnsi="宋体" w:cs="宋体"/>
                <w:color w:val="auto"/>
                <w:sz w:val="24"/>
                <w:szCs w:val="24"/>
              </w:rPr>
              <w:t>4-</w:t>
            </w:r>
            <w:r>
              <w:rPr>
                <w:rFonts w:hint="eastAsia" w:ascii="宋体" w:hAnsi="宋体" w:cs="宋体"/>
                <w:color w:val="auto"/>
                <w:sz w:val="24"/>
                <w:szCs w:val="24"/>
                <w:lang w:val="en-US" w:eastAsia="zh-CN"/>
              </w:rPr>
              <w:t>4</w:t>
            </w:r>
            <w:r>
              <w:rPr>
                <w:rFonts w:ascii="宋体" w:hAnsi="宋体" w:cs="宋体"/>
                <w:color w:val="auto"/>
                <w:sz w:val="24"/>
                <w:szCs w:val="24"/>
              </w:rPr>
              <w:t>。</w:t>
            </w:r>
          </w:p>
          <w:p w14:paraId="1A545AB7">
            <w:pPr>
              <w:adjustRightInd w:val="0"/>
              <w:snapToGrid w:val="0"/>
              <w:spacing w:line="360" w:lineRule="auto"/>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表4-</w:t>
            </w:r>
            <w:r>
              <w:rPr>
                <w:rFonts w:hint="eastAsia" w:ascii="宋体" w:hAnsi="宋体" w:cs="宋体"/>
                <w:b/>
                <w:bCs/>
                <w:color w:val="auto"/>
                <w:kern w:val="2"/>
                <w:sz w:val="24"/>
                <w:szCs w:val="24"/>
                <w:lang w:val="en-US" w:eastAsia="zh-CN" w:bidi="ar-SA"/>
              </w:rPr>
              <w:t>4</w:t>
            </w:r>
            <w:r>
              <w:rPr>
                <w:rFonts w:hint="eastAsia" w:ascii="宋体" w:hAnsi="宋体" w:eastAsia="宋体" w:cs="宋体"/>
                <w:b/>
                <w:bCs/>
                <w:color w:val="auto"/>
                <w:kern w:val="2"/>
                <w:sz w:val="24"/>
                <w:szCs w:val="24"/>
                <w:lang w:val="en-US" w:eastAsia="zh-CN" w:bidi="ar-SA"/>
              </w:rPr>
              <w:t>应急预案编写基本内容</w:t>
            </w:r>
          </w:p>
          <w:tbl>
            <w:tblPr>
              <w:tblStyle w:val="26"/>
              <w:tblW w:w="8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2181"/>
              <w:gridCol w:w="5547"/>
            </w:tblGrid>
            <w:tr w14:paraId="36B9A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71" w:type="dxa"/>
                  <w:noWrap w:val="0"/>
                  <w:vAlign w:val="center"/>
                </w:tcPr>
                <w:p w14:paraId="061DA783">
                  <w:pPr>
                    <w:adjustRightInd w:val="0"/>
                    <w:snapToGrid w:val="0"/>
                    <w:spacing w:line="360" w:lineRule="exact"/>
                    <w:jc w:val="center"/>
                    <w:rPr>
                      <w:rFonts w:ascii="宋体" w:hAnsi="宋体" w:cs="宋体"/>
                      <w:color w:val="auto"/>
                      <w:szCs w:val="21"/>
                    </w:rPr>
                  </w:pPr>
                  <w:r>
                    <w:rPr>
                      <w:rFonts w:ascii="宋体" w:hAnsi="宋体" w:cs="宋体"/>
                      <w:color w:val="auto"/>
                      <w:szCs w:val="21"/>
                    </w:rPr>
                    <w:t>序号</w:t>
                  </w:r>
                </w:p>
              </w:tc>
              <w:tc>
                <w:tcPr>
                  <w:tcW w:w="2181" w:type="dxa"/>
                  <w:noWrap w:val="0"/>
                  <w:vAlign w:val="center"/>
                </w:tcPr>
                <w:p w14:paraId="052A40F3">
                  <w:pPr>
                    <w:adjustRightInd w:val="0"/>
                    <w:snapToGrid w:val="0"/>
                    <w:spacing w:line="360" w:lineRule="exact"/>
                    <w:jc w:val="center"/>
                    <w:rPr>
                      <w:rFonts w:ascii="宋体" w:hAnsi="宋体" w:cs="宋体"/>
                      <w:color w:val="auto"/>
                      <w:szCs w:val="21"/>
                    </w:rPr>
                  </w:pPr>
                  <w:r>
                    <w:rPr>
                      <w:rFonts w:ascii="宋体" w:hAnsi="宋体" w:cs="宋体"/>
                      <w:color w:val="auto"/>
                      <w:szCs w:val="21"/>
                    </w:rPr>
                    <w:t>项目</w:t>
                  </w:r>
                </w:p>
              </w:tc>
              <w:tc>
                <w:tcPr>
                  <w:tcW w:w="5547" w:type="dxa"/>
                  <w:noWrap w:val="0"/>
                  <w:vAlign w:val="center"/>
                </w:tcPr>
                <w:p w14:paraId="676B4E50">
                  <w:pPr>
                    <w:adjustRightInd w:val="0"/>
                    <w:snapToGrid w:val="0"/>
                    <w:spacing w:line="360" w:lineRule="exact"/>
                    <w:jc w:val="center"/>
                    <w:rPr>
                      <w:rFonts w:ascii="宋体" w:hAnsi="宋体" w:cs="宋体"/>
                      <w:color w:val="auto"/>
                      <w:szCs w:val="21"/>
                    </w:rPr>
                  </w:pPr>
                  <w:r>
                    <w:rPr>
                      <w:rFonts w:ascii="宋体" w:hAnsi="宋体" w:cs="宋体"/>
                      <w:color w:val="auto"/>
                      <w:szCs w:val="21"/>
                    </w:rPr>
                    <w:t>内容及要求</w:t>
                  </w:r>
                </w:p>
              </w:tc>
            </w:tr>
            <w:tr w14:paraId="3855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71" w:type="dxa"/>
                  <w:noWrap w:val="0"/>
                  <w:vAlign w:val="center"/>
                </w:tcPr>
                <w:p w14:paraId="5EB473C3">
                  <w:pPr>
                    <w:adjustRightInd w:val="0"/>
                    <w:snapToGrid w:val="0"/>
                    <w:spacing w:line="360" w:lineRule="exact"/>
                    <w:jc w:val="center"/>
                    <w:rPr>
                      <w:rFonts w:ascii="宋体" w:hAnsi="宋体" w:cs="宋体"/>
                      <w:color w:val="auto"/>
                      <w:szCs w:val="21"/>
                    </w:rPr>
                  </w:pPr>
                  <w:r>
                    <w:rPr>
                      <w:rFonts w:ascii="宋体" w:hAnsi="宋体" w:cs="宋体"/>
                      <w:color w:val="auto"/>
                      <w:szCs w:val="21"/>
                    </w:rPr>
                    <w:t>1</w:t>
                  </w:r>
                </w:p>
              </w:tc>
              <w:tc>
                <w:tcPr>
                  <w:tcW w:w="2181" w:type="dxa"/>
                  <w:noWrap w:val="0"/>
                  <w:vAlign w:val="center"/>
                </w:tcPr>
                <w:p w14:paraId="0E5D5F7C">
                  <w:pPr>
                    <w:adjustRightInd w:val="0"/>
                    <w:snapToGrid w:val="0"/>
                    <w:spacing w:line="360" w:lineRule="exact"/>
                    <w:jc w:val="center"/>
                    <w:rPr>
                      <w:rFonts w:ascii="宋体" w:hAnsi="宋体" w:cs="宋体"/>
                      <w:color w:val="auto"/>
                      <w:szCs w:val="21"/>
                    </w:rPr>
                  </w:pPr>
                  <w:r>
                    <w:rPr>
                      <w:rFonts w:ascii="宋体" w:hAnsi="宋体" w:cs="宋体"/>
                      <w:color w:val="auto"/>
                      <w:szCs w:val="21"/>
                    </w:rPr>
                    <w:t>应急计划区</w:t>
                  </w:r>
                </w:p>
              </w:tc>
              <w:tc>
                <w:tcPr>
                  <w:tcW w:w="5547" w:type="dxa"/>
                  <w:noWrap w:val="0"/>
                  <w:vAlign w:val="center"/>
                </w:tcPr>
                <w:p w14:paraId="6DA91054">
                  <w:pPr>
                    <w:adjustRightInd w:val="0"/>
                    <w:snapToGrid w:val="0"/>
                    <w:spacing w:line="360" w:lineRule="exact"/>
                    <w:jc w:val="left"/>
                    <w:rPr>
                      <w:rFonts w:hint="eastAsia" w:ascii="宋体" w:hAnsi="宋体" w:eastAsia="宋体" w:cs="宋体"/>
                      <w:color w:val="auto"/>
                      <w:szCs w:val="21"/>
                      <w:lang w:eastAsia="zh-CN"/>
                    </w:rPr>
                  </w:pPr>
                  <w:r>
                    <w:rPr>
                      <w:rFonts w:ascii="宋体" w:hAnsi="宋体" w:cs="宋体"/>
                      <w:color w:val="auto"/>
                      <w:szCs w:val="21"/>
                    </w:rPr>
                    <w:t>危险目标：</w:t>
                  </w:r>
                  <w:r>
                    <w:rPr>
                      <w:rFonts w:hint="eastAsia" w:ascii="宋体" w:hAnsi="宋体" w:cs="宋体"/>
                      <w:color w:val="auto"/>
                      <w:szCs w:val="21"/>
                      <w:lang w:val="en-US" w:eastAsia="zh-CN"/>
                    </w:rPr>
                    <w:t>煤液化沥青封闭项目</w:t>
                  </w:r>
                </w:p>
              </w:tc>
            </w:tr>
            <w:tr w14:paraId="54AE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71" w:type="dxa"/>
                  <w:noWrap w:val="0"/>
                  <w:vAlign w:val="center"/>
                </w:tcPr>
                <w:p w14:paraId="09D2196C">
                  <w:pPr>
                    <w:adjustRightInd w:val="0"/>
                    <w:snapToGrid w:val="0"/>
                    <w:spacing w:line="360" w:lineRule="exact"/>
                    <w:jc w:val="center"/>
                    <w:rPr>
                      <w:rFonts w:ascii="宋体" w:hAnsi="宋体" w:cs="宋体"/>
                      <w:color w:val="auto"/>
                      <w:szCs w:val="21"/>
                    </w:rPr>
                  </w:pPr>
                  <w:r>
                    <w:rPr>
                      <w:rFonts w:ascii="宋体" w:hAnsi="宋体" w:cs="宋体"/>
                      <w:color w:val="auto"/>
                      <w:szCs w:val="21"/>
                    </w:rPr>
                    <w:t>2</w:t>
                  </w:r>
                </w:p>
              </w:tc>
              <w:tc>
                <w:tcPr>
                  <w:tcW w:w="2181" w:type="dxa"/>
                  <w:noWrap w:val="0"/>
                  <w:vAlign w:val="center"/>
                </w:tcPr>
                <w:p w14:paraId="684CC3A8">
                  <w:pPr>
                    <w:adjustRightInd w:val="0"/>
                    <w:snapToGrid w:val="0"/>
                    <w:spacing w:line="360" w:lineRule="exact"/>
                    <w:jc w:val="center"/>
                    <w:rPr>
                      <w:rFonts w:ascii="宋体" w:hAnsi="宋体" w:cs="宋体"/>
                      <w:color w:val="auto"/>
                      <w:szCs w:val="21"/>
                    </w:rPr>
                  </w:pPr>
                  <w:r>
                    <w:rPr>
                      <w:rFonts w:ascii="宋体" w:hAnsi="宋体" w:cs="宋体"/>
                      <w:color w:val="auto"/>
                      <w:szCs w:val="21"/>
                    </w:rPr>
                    <w:t>应急组织机构、人员</w:t>
                  </w:r>
                </w:p>
              </w:tc>
              <w:tc>
                <w:tcPr>
                  <w:tcW w:w="5547" w:type="dxa"/>
                  <w:noWrap w:val="0"/>
                  <w:vAlign w:val="center"/>
                </w:tcPr>
                <w:p w14:paraId="4B4FAE0A">
                  <w:pPr>
                    <w:adjustRightInd w:val="0"/>
                    <w:snapToGrid w:val="0"/>
                    <w:spacing w:line="360" w:lineRule="exact"/>
                    <w:jc w:val="left"/>
                    <w:rPr>
                      <w:rFonts w:ascii="宋体" w:hAnsi="宋体" w:cs="宋体"/>
                      <w:color w:val="auto"/>
                      <w:szCs w:val="21"/>
                    </w:rPr>
                  </w:pPr>
                  <w:r>
                    <w:rPr>
                      <w:rFonts w:ascii="宋体" w:hAnsi="宋体" w:cs="宋体"/>
                      <w:color w:val="auto"/>
                      <w:szCs w:val="21"/>
                    </w:rPr>
                    <w:t>公司应急组织领导小组</w:t>
                  </w:r>
                </w:p>
              </w:tc>
            </w:tr>
            <w:tr w14:paraId="3D5A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71" w:type="dxa"/>
                  <w:noWrap w:val="0"/>
                  <w:vAlign w:val="center"/>
                </w:tcPr>
                <w:p w14:paraId="475EC396">
                  <w:pPr>
                    <w:adjustRightInd w:val="0"/>
                    <w:snapToGrid w:val="0"/>
                    <w:spacing w:line="360" w:lineRule="exact"/>
                    <w:jc w:val="center"/>
                    <w:rPr>
                      <w:rFonts w:ascii="宋体" w:hAnsi="宋体" w:cs="宋体"/>
                      <w:color w:val="auto"/>
                      <w:szCs w:val="21"/>
                    </w:rPr>
                  </w:pPr>
                  <w:r>
                    <w:rPr>
                      <w:rFonts w:ascii="宋体" w:hAnsi="宋体" w:cs="宋体"/>
                      <w:color w:val="auto"/>
                      <w:szCs w:val="21"/>
                    </w:rPr>
                    <w:t>3</w:t>
                  </w:r>
                </w:p>
              </w:tc>
              <w:tc>
                <w:tcPr>
                  <w:tcW w:w="2181" w:type="dxa"/>
                  <w:noWrap w:val="0"/>
                  <w:vAlign w:val="center"/>
                </w:tcPr>
                <w:p w14:paraId="6381A176">
                  <w:pPr>
                    <w:adjustRightInd w:val="0"/>
                    <w:snapToGrid w:val="0"/>
                    <w:spacing w:line="360" w:lineRule="exact"/>
                    <w:jc w:val="center"/>
                    <w:rPr>
                      <w:rFonts w:ascii="宋体" w:hAnsi="宋体" w:cs="宋体"/>
                      <w:color w:val="auto"/>
                      <w:szCs w:val="21"/>
                    </w:rPr>
                  </w:pPr>
                  <w:r>
                    <w:rPr>
                      <w:rFonts w:ascii="宋体" w:hAnsi="宋体" w:cs="宋体"/>
                      <w:color w:val="auto"/>
                      <w:szCs w:val="21"/>
                    </w:rPr>
                    <w:t>预案分级响应条件</w:t>
                  </w:r>
                </w:p>
              </w:tc>
              <w:tc>
                <w:tcPr>
                  <w:tcW w:w="5547" w:type="dxa"/>
                  <w:noWrap w:val="0"/>
                  <w:vAlign w:val="center"/>
                </w:tcPr>
                <w:p w14:paraId="34CA976F">
                  <w:pPr>
                    <w:adjustRightInd w:val="0"/>
                    <w:snapToGrid w:val="0"/>
                    <w:spacing w:line="360" w:lineRule="exact"/>
                    <w:jc w:val="left"/>
                    <w:rPr>
                      <w:rFonts w:ascii="宋体" w:hAnsi="宋体" w:cs="宋体"/>
                      <w:color w:val="auto"/>
                      <w:szCs w:val="21"/>
                    </w:rPr>
                  </w:pPr>
                  <w:r>
                    <w:rPr>
                      <w:rFonts w:ascii="宋体" w:hAnsi="宋体" w:cs="宋体"/>
                      <w:color w:val="auto"/>
                      <w:szCs w:val="21"/>
                    </w:rPr>
                    <w:t>规定预案的级别及分级响应程序</w:t>
                  </w:r>
                </w:p>
              </w:tc>
            </w:tr>
            <w:tr w14:paraId="2C197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71" w:type="dxa"/>
                  <w:noWrap w:val="0"/>
                  <w:vAlign w:val="center"/>
                </w:tcPr>
                <w:p w14:paraId="56A778EA">
                  <w:pPr>
                    <w:adjustRightInd w:val="0"/>
                    <w:snapToGrid w:val="0"/>
                    <w:spacing w:line="360" w:lineRule="exact"/>
                    <w:jc w:val="center"/>
                    <w:rPr>
                      <w:rFonts w:ascii="宋体" w:hAnsi="宋体" w:cs="宋体"/>
                      <w:color w:val="auto"/>
                      <w:szCs w:val="21"/>
                    </w:rPr>
                  </w:pPr>
                  <w:r>
                    <w:rPr>
                      <w:rFonts w:ascii="宋体" w:hAnsi="宋体" w:cs="宋体"/>
                      <w:color w:val="auto"/>
                      <w:szCs w:val="21"/>
                    </w:rPr>
                    <w:t>4</w:t>
                  </w:r>
                </w:p>
              </w:tc>
              <w:tc>
                <w:tcPr>
                  <w:tcW w:w="2181" w:type="dxa"/>
                  <w:noWrap w:val="0"/>
                  <w:vAlign w:val="center"/>
                </w:tcPr>
                <w:p w14:paraId="527B2242">
                  <w:pPr>
                    <w:adjustRightInd w:val="0"/>
                    <w:snapToGrid w:val="0"/>
                    <w:spacing w:line="360" w:lineRule="exact"/>
                    <w:jc w:val="center"/>
                    <w:rPr>
                      <w:rFonts w:ascii="宋体" w:hAnsi="宋体" w:cs="宋体"/>
                      <w:color w:val="auto"/>
                      <w:szCs w:val="21"/>
                    </w:rPr>
                  </w:pPr>
                  <w:r>
                    <w:rPr>
                      <w:rFonts w:ascii="宋体" w:hAnsi="宋体" w:cs="宋体"/>
                      <w:color w:val="auto"/>
                      <w:szCs w:val="21"/>
                    </w:rPr>
                    <w:t>应急救援保障</w:t>
                  </w:r>
                </w:p>
              </w:tc>
              <w:tc>
                <w:tcPr>
                  <w:tcW w:w="5547" w:type="dxa"/>
                  <w:noWrap w:val="0"/>
                  <w:vAlign w:val="center"/>
                </w:tcPr>
                <w:p w14:paraId="4F78E3A2">
                  <w:pPr>
                    <w:adjustRightInd w:val="0"/>
                    <w:snapToGrid w:val="0"/>
                    <w:spacing w:line="360" w:lineRule="exact"/>
                    <w:jc w:val="left"/>
                    <w:rPr>
                      <w:rFonts w:ascii="宋体" w:hAnsi="宋体" w:cs="宋体"/>
                      <w:color w:val="auto"/>
                      <w:szCs w:val="21"/>
                    </w:rPr>
                  </w:pPr>
                  <w:r>
                    <w:rPr>
                      <w:rFonts w:ascii="宋体" w:hAnsi="宋体" w:cs="宋体"/>
                      <w:color w:val="auto"/>
                      <w:szCs w:val="21"/>
                    </w:rPr>
                    <w:t>应急设施，设备与器材等</w:t>
                  </w:r>
                </w:p>
              </w:tc>
            </w:tr>
            <w:tr w14:paraId="2A1C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71" w:type="dxa"/>
                  <w:noWrap w:val="0"/>
                  <w:vAlign w:val="center"/>
                </w:tcPr>
                <w:p w14:paraId="5B189919">
                  <w:pPr>
                    <w:adjustRightInd w:val="0"/>
                    <w:snapToGrid w:val="0"/>
                    <w:spacing w:line="360" w:lineRule="exact"/>
                    <w:jc w:val="center"/>
                    <w:rPr>
                      <w:rFonts w:ascii="宋体" w:hAnsi="宋体" w:cs="宋体"/>
                      <w:color w:val="auto"/>
                      <w:szCs w:val="21"/>
                    </w:rPr>
                  </w:pPr>
                  <w:r>
                    <w:rPr>
                      <w:rFonts w:ascii="宋体" w:hAnsi="宋体" w:cs="宋体"/>
                      <w:color w:val="auto"/>
                      <w:szCs w:val="21"/>
                    </w:rPr>
                    <w:t>5</w:t>
                  </w:r>
                </w:p>
              </w:tc>
              <w:tc>
                <w:tcPr>
                  <w:tcW w:w="2181" w:type="dxa"/>
                  <w:noWrap w:val="0"/>
                  <w:vAlign w:val="center"/>
                </w:tcPr>
                <w:p w14:paraId="72F0BFD7">
                  <w:pPr>
                    <w:adjustRightInd w:val="0"/>
                    <w:snapToGrid w:val="0"/>
                    <w:spacing w:line="360" w:lineRule="exact"/>
                    <w:jc w:val="center"/>
                    <w:rPr>
                      <w:rFonts w:ascii="宋体" w:hAnsi="宋体" w:cs="宋体"/>
                      <w:color w:val="auto"/>
                      <w:szCs w:val="21"/>
                    </w:rPr>
                  </w:pPr>
                  <w:r>
                    <w:rPr>
                      <w:rFonts w:ascii="宋体" w:hAnsi="宋体" w:cs="宋体"/>
                      <w:color w:val="auto"/>
                      <w:szCs w:val="21"/>
                    </w:rPr>
                    <w:t>报警、通信联络方式</w:t>
                  </w:r>
                </w:p>
              </w:tc>
              <w:tc>
                <w:tcPr>
                  <w:tcW w:w="5547" w:type="dxa"/>
                  <w:noWrap w:val="0"/>
                  <w:vAlign w:val="center"/>
                </w:tcPr>
                <w:p w14:paraId="7DAFBCCD">
                  <w:pPr>
                    <w:adjustRightInd w:val="0"/>
                    <w:snapToGrid w:val="0"/>
                    <w:spacing w:line="360" w:lineRule="exact"/>
                    <w:jc w:val="left"/>
                    <w:rPr>
                      <w:rFonts w:ascii="宋体" w:hAnsi="宋体" w:cs="宋体"/>
                      <w:color w:val="auto"/>
                      <w:szCs w:val="21"/>
                    </w:rPr>
                  </w:pPr>
                  <w:r>
                    <w:rPr>
                      <w:rFonts w:ascii="宋体" w:hAnsi="宋体" w:cs="宋体"/>
                      <w:color w:val="auto"/>
                      <w:szCs w:val="21"/>
                    </w:rPr>
                    <w:t>规定应急状态下的报警通讯方式、通知方式和交通保障、管制</w:t>
                  </w:r>
                </w:p>
              </w:tc>
            </w:tr>
            <w:tr w14:paraId="181B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671" w:type="dxa"/>
                  <w:noWrap w:val="0"/>
                  <w:vAlign w:val="center"/>
                </w:tcPr>
                <w:p w14:paraId="59705162">
                  <w:pPr>
                    <w:adjustRightInd w:val="0"/>
                    <w:snapToGrid w:val="0"/>
                    <w:spacing w:line="360" w:lineRule="exact"/>
                    <w:jc w:val="center"/>
                    <w:rPr>
                      <w:rFonts w:ascii="宋体" w:hAnsi="宋体" w:cs="宋体"/>
                      <w:color w:val="auto"/>
                      <w:szCs w:val="21"/>
                    </w:rPr>
                  </w:pPr>
                  <w:r>
                    <w:rPr>
                      <w:rFonts w:ascii="宋体" w:hAnsi="宋体" w:cs="宋体"/>
                      <w:color w:val="auto"/>
                      <w:szCs w:val="21"/>
                    </w:rPr>
                    <w:t>6</w:t>
                  </w:r>
                </w:p>
              </w:tc>
              <w:tc>
                <w:tcPr>
                  <w:tcW w:w="2181" w:type="dxa"/>
                  <w:noWrap w:val="0"/>
                  <w:vAlign w:val="center"/>
                </w:tcPr>
                <w:p w14:paraId="3CCAF0EA">
                  <w:pPr>
                    <w:adjustRightInd w:val="0"/>
                    <w:snapToGrid w:val="0"/>
                    <w:spacing w:line="360" w:lineRule="exact"/>
                    <w:jc w:val="center"/>
                    <w:rPr>
                      <w:rFonts w:ascii="宋体" w:hAnsi="宋体" w:cs="宋体"/>
                      <w:color w:val="auto"/>
                      <w:szCs w:val="21"/>
                    </w:rPr>
                  </w:pPr>
                  <w:r>
                    <w:rPr>
                      <w:rFonts w:ascii="宋体" w:hAnsi="宋体" w:cs="宋体"/>
                      <w:color w:val="auto"/>
                      <w:szCs w:val="21"/>
                    </w:rPr>
                    <w:t>应急环境监测、抢险、救援及控制措施</w:t>
                  </w:r>
                </w:p>
              </w:tc>
              <w:tc>
                <w:tcPr>
                  <w:tcW w:w="5547" w:type="dxa"/>
                  <w:noWrap w:val="0"/>
                  <w:vAlign w:val="center"/>
                </w:tcPr>
                <w:p w14:paraId="2AEFA5A6">
                  <w:pPr>
                    <w:adjustRightInd w:val="0"/>
                    <w:snapToGrid w:val="0"/>
                    <w:spacing w:line="360" w:lineRule="exact"/>
                    <w:jc w:val="left"/>
                    <w:rPr>
                      <w:rFonts w:ascii="宋体" w:hAnsi="宋体" w:cs="宋体"/>
                      <w:color w:val="auto"/>
                      <w:szCs w:val="21"/>
                    </w:rPr>
                  </w:pPr>
                  <w:r>
                    <w:rPr>
                      <w:rFonts w:hint="eastAsia" w:ascii="宋体" w:hAnsi="宋体" w:cs="宋体"/>
                      <w:color w:val="auto"/>
                      <w:szCs w:val="21"/>
                      <w:lang w:val="en-US" w:eastAsia="zh-CN"/>
                    </w:rPr>
                    <w:t>由</w:t>
                  </w:r>
                  <w:r>
                    <w:rPr>
                      <w:rFonts w:ascii="宋体" w:hAnsi="宋体" w:cs="宋体"/>
                      <w:color w:val="auto"/>
                      <w:szCs w:val="21"/>
                    </w:rPr>
                    <w:t>专业队伍负责对事故现场进行侦查监测，对事故现场进行侦查监测，对事故性质、参数与后果进行评估，为指挥部门提供决策依据</w:t>
                  </w:r>
                </w:p>
              </w:tc>
            </w:tr>
            <w:tr w14:paraId="0DB57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671" w:type="dxa"/>
                  <w:noWrap w:val="0"/>
                  <w:vAlign w:val="center"/>
                </w:tcPr>
                <w:p w14:paraId="3BA7397E">
                  <w:pPr>
                    <w:adjustRightInd w:val="0"/>
                    <w:snapToGrid w:val="0"/>
                    <w:spacing w:line="360" w:lineRule="exact"/>
                    <w:jc w:val="center"/>
                    <w:rPr>
                      <w:rFonts w:ascii="宋体" w:hAnsi="宋体" w:cs="宋体"/>
                      <w:color w:val="auto"/>
                      <w:szCs w:val="21"/>
                    </w:rPr>
                  </w:pPr>
                  <w:r>
                    <w:rPr>
                      <w:rFonts w:ascii="宋体" w:hAnsi="宋体" w:cs="宋体"/>
                      <w:color w:val="auto"/>
                      <w:szCs w:val="21"/>
                    </w:rPr>
                    <w:t>7</w:t>
                  </w:r>
                </w:p>
              </w:tc>
              <w:tc>
                <w:tcPr>
                  <w:tcW w:w="2181" w:type="dxa"/>
                  <w:noWrap w:val="0"/>
                  <w:vAlign w:val="center"/>
                </w:tcPr>
                <w:p w14:paraId="4AC7EF84">
                  <w:pPr>
                    <w:adjustRightInd w:val="0"/>
                    <w:snapToGrid w:val="0"/>
                    <w:spacing w:line="360" w:lineRule="exact"/>
                    <w:jc w:val="center"/>
                    <w:rPr>
                      <w:rFonts w:ascii="宋体" w:hAnsi="宋体" w:cs="宋体"/>
                      <w:color w:val="auto"/>
                      <w:szCs w:val="21"/>
                    </w:rPr>
                  </w:pPr>
                  <w:r>
                    <w:rPr>
                      <w:rFonts w:ascii="宋体" w:hAnsi="宋体" w:cs="宋体"/>
                      <w:color w:val="auto"/>
                      <w:szCs w:val="21"/>
                    </w:rPr>
                    <w:t>应急检测、防护措施、清除泄漏措施和器材</w:t>
                  </w:r>
                </w:p>
              </w:tc>
              <w:tc>
                <w:tcPr>
                  <w:tcW w:w="5547" w:type="dxa"/>
                  <w:noWrap w:val="0"/>
                  <w:vAlign w:val="center"/>
                </w:tcPr>
                <w:p w14:paraId="1C21C36E">
                  <w:pPr>
                    <w:adjustRightInd w:val="0"/>
                    <w:snapToGrid w:val="0"/>
                    <w:spacing w:line="360" w:lineRule="exact"/>
                    <w:jc w:val="left"/>
                    <w:rPr>
                      <w:rFonts w:ascii="宋体" w:hAnsi="宋体" w:cs="宋体"/>
                      <w:color w:val="auto"/>
                      <w:szCs w:val="21"/>
                    </w:rPr>
                  </w:pPr>
                  <w:r>
                    <w:rPr>
                      <w:rFonts w:ascii="宋体" w:hAnsi="宋体" w:cs="宋体"/>
                      <w:color w:val="auto"/>
                      <w:szCs w:val="21"/>
                    </w:rPr>
                    <w:t>事故现场、临近区域、控制防火区域，控制和清除污染措施及相应设备</w:t>
                  </w:r>
                </w:p>
              </w:tc>
            </w:tr>
            <w:tr w14:paraId="61682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671" w:type="dxa"/>
                  <w:noWrap w:val="0"/>
                  <w:vAlign w:val="center"/>
                </w:tcPr>
                <w:p w14:paraId="6C182DDF">
                  <w:pPr>
                    <w:adjustRightInd w:val="0"/>
                    <w:snapToGrid w:val="0"/>
                    <w:spacing w:line="360" w:lineRule="exact"/>
                    <w:jc w:val="center"/>
                    <w:rPr>
                      <w:rFonts w:ascii="宋体" w:hAnsi="宋体" w:cs="宋体"/>
                      <w:color w:val="auto"/>
                      <w:szCs w:val="21"/>
                    </w:rPr>
                  </w:pPr>
                  <w:r>
                    <w:rPr>
                      <w:rFonts w:ascii="宋体" w:hAnsi="宋体" w:cs="宋体"/>
                      <w:color w:val="auto"/>
                      <w:szCs w:val="21"/>
                    </w:rPr>
                    <w:t>8</w:t>
                  </w:r>
                </w:p>
              </w:tc>
              <w:tc>
                <w:tcPr>
                  <w:tcW w:w="2181" w:type="dxa"/>
                  <w:noWrap w:val="0"/>
                  <w:vAlign w:val="center"/>
                </w:tcPr>
                <w:p w14:paraId="6DAC3AFF">
                  <w:pPr>
                    <w:adjustRightInd w:val="0"/>
                    <w:snapToGrid w:val="0"/>
                    <w:spacing w:line="360" w:lineRule="exact"/>
                    <w:jc w:val="center"/>
                    <w:rPr>
                      <w:rFonts w:ascii="宋体" w:hAnsi="宋体" w:cs="宋体"/>
                      <w:color w:val="auto"/>
                      <w:szCs w:val="21"/>
                    </w:rPr>
                  </w:pPr>
                  <w:r>
                    <w:rPr>
                      <w:rFonts w:ascii="宋体" w:hAnsi="宋体" w:cs="宋体"/>
                      <w:color w:val="auto"/>
                      <w:szCs w:val="21"/>
                    </w:rPr>
                    <w:t>人员紧急撤离、疏散，应急剂量控制、撤离组织计划</w:t>
                  </w:r>
                </w:p>
              </w:tc>
              <w:tc>
                <w:tcPr>
                  <w:tcW w:w="5547" w:type="dxa"/>
                  <w:noWrap w:val="0"/>
                  <w:vAlign w:val="center"/>
                </w:tcPr>
                <w:p w14:paraId="2B757A19">
                  <w:pPr>
                    <w:adjustRightInd w:val="0"/>
                    <w:snapToGrid w:val="0"/>
                    <w:spacing w:line="360" w:lineRule="exact"/>
                    <w:jc w:val="left"/>
                    <w:rPr>
                      <w:rFonts w:ascii="宋体" w:hAnsi="宋体" w:cs="宋体"/>
                      <w:color w:val="auto"/>
                      <w:szCs w:val="21"/>
                    </w:rPr>
                  </w:pPr>
                  <w:r>
                    <w:rPr>
                      <w:rFonts w:ascii="宋体" w:hAnsi="宋体" w:cs="宋体"/>
                      <w:color w:val="auto"/>
                      <w:szCs w:val="21"/>
                    </w:rPr>
                    <w:t>事故现场、厂区临近区、受事故影响的区域人员及公众对有害物应急剂量控制规定，撤离组织计划及救护，医疗救护与公众健康</w:t>
                  </w:r>
                </w:p>
              </w:tc>
            </w:tr>
            <w:tr w14:paraId="6A44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671" w:type="dxa"/>
                  <w:noWrap w:val="0"/>
                  <w:vAlign w:val="center"/>
                </w:tcPr>
                <w:p w14:paraId="3662234A">
                  <w:pPr>
                    <w:adjustRightInd w:val="0"/>
                    <w:snapToGrid w:val="0"/>
                    <w:spacing w:line="360" w:lineRule="exact"/>
                    <w:jc w:val="center"/>
                    <w:rPr>
                      <w:rFonts w:ascii="宋体" w:hAnsi="宋体" w:cs="宋体"/>
                      <w:color w:val="auto"/>
                      <w:szCs w:val="21"/>
                    </w:rPr>
                  </w:pPr>
                  <w:r>
                    <w:rPr>
                      <w:rFonts w:ascii="宋体" w:hAnsi="宋体" w:cs="宋体"/>
                      <w:color w:val="auto"/>
                      <w:szCs w:val="21"/>
                    </w:rPr>
                    <w:t>9</w:t>
                  </w:r>
                </w:p>
              </w:tc>
              <w:tc>
                <w:tcPr>
                  <w:tcW w:w="2181" w:type="dxa"/>
                  <w:noWrap w:val="0"/>
                  <w:vAlign w:val="center"/>
                </w:tcPr>
                <w:p w14:paraId="355D3FDF">
                  <w:pPr>
                    <w:adjustRightInd w:val="0"/>
                    <w:snapToGrid w:val="0"/>
                    <w:spacing w:line="360" w:lineRule="exact"/>
                    <w:jc w:val="center"/>
                    <w:rPr>
                      <w:rFonts w:ascii="宋体" w:hAnsi="宋体" w:cs="宋体"/>
                      <w:color w:val="auto"/>
                      <w:szCs w:val="21"/>
                    </w:rPr>
                  </w:pPr>
                  <w:r>
                    <w:rPr>
                      <w:rFonts w:ascii="宋体" w:hAnsi="宋体" w:cs="宋体"/>
                      <w:color w:val="auto"/>
                      <w:szCs w:val="21"/>
                    </w:rPr>
                    <w:t>事故应急救援关闭程序与恢复措施</w:t>
                  </w:r>
                </w:p>
              </w:tc>
              <w:tc>
                <w:tcPr>
                  <w:tcW w:w="5547" w:type="dxa"/>
                  <w:noWrap w:val="0"/>
                  <w:vAlign w:val="center"/>
                </w:tcPr>
                <w:p w14:paraId="29977F93">
                  <w:pPr>
                    <w:adjustRightInd w:val="0"/>
                    <w:snapToGrid w:val="0"/>
                    <w:spacing w:line="360" w:lineRule="exact"/>
                    <w:jc w:val="left"/>
                    <w:rPr>
                      <w:rFonts w:ascii="宋体" w:hAnsi="宋体" w:cs="宋体"/>
                      <w:color w:val="auto"/>
                      <w:szCs w:val="21"/>
                    </w:rPr>
                  </w:pPr>
                  <w:r>
                    <w:rPr>
                      <w:rFonts w:ascii="宋体" w:hAnsi="宋体" w:cs="宋体"/>
                      <w:color w:val="auto"/>
                      <w:szCs w:val="21"/>
                    </w:rPr>
                    <w:t>规定应急状态终止程序，事故现场善后处理，恢复措施，临近区域解除事故警戒及善后恢复措施</w:t>
                  </w:r>
                </w:p>
              </w:tc>
            </w:tr>
            <w:tr w14:paraId="2168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671" w:type="dxa"/>
                  <w:noWrap w:val="0"/>
                  <w:vAlign w:val="center"/>
                </w:tcPr>
                <w:p w14:paraId="27254C1A">
                  <w:pPr>
                    <w:adjustRightInd w:val="0"/>
                    <w:snapToGrid w:val="0"/>
                    <w:spacing w:line="360" w:lineRule="exact"/>
                    <w:jc w:val="center"/>
                    <w:rPr>
                      <w:rFonts w:ascii="宋体" w:hAnsi="宋体" w:cs="宋体"/>
                      <w:color w:val="auto"/>
                      <w:szCs w:val="21"/>
                    </w:rPr>
                  </w:pPr>
                  <w:r>
                    <w:rPr>
                      <w:rFonts w:ascii="宋体" w:hAnsi="宋体" w:cs="宋体"/>
                      <w:color w:val="auto"/>
                      <w:szCs w:val="21"/>
                    </w:rPr>
                    <w:t>10</w:t>
                  </w:r>
                </w:p>
              </w:tc>
              <w:tc>
                <w:tcPr>
                  <w:tcW w:w="2181" w:type="dxa"/>
                  <w:noWrap w:val="0"/>
                  <w:vAlign w:val="center"/>
                </w:tcPr>
                <w:p w14:paraId="39E04837">
                  <w:pPr>
                    <w:adjustRightInd w:val="0"/>
                    <w:snapToGrid w:val="0"/>
                    <w:spacing w:line="360" w:lineRule="exact"/>
                    <w:jc w:val="center"/>
                    <w:rPr>
                      <w:rFonts w:ascii="宋体" w:hAnsi="宋体" w:cs="宋体"/>
                      <w:color w:val="auto"/>
                      <w:szCs w:val="21"/>
                    </w:rPr>
                  </w:pPr>
                  <w:r>
                    <w:rPr>
                      <w:rFonts w:ascii="宋体" w:hAnsi="宋体" w:cs="宋体"/>
                      <w:color w:val="auto"/>
                      <w:szCs w:val="21"/>
                    </w:rPr>
                    <w:t>应急培训计划</w:t>
                  </w:r>
                </w:p>
              </w:tc>
              <w:tc>
                <w:tcPr>
                  <w:tcW w:w="5547" w:type="dxa"/>
                  <w:noWrap w:val="0"/>
                  <w:vAlign w:val="center"/>
                </w:tcPr>
                <w:p w14:paraId="0051C4FE">
                  <w:pPr>
                    <w:adjustRightInd w:val="0"/>
                    <w:snapToGrid w:val="0"/>
                    <w:spacing w:line="360" w:lineRule="exact"/>
                    <w:jc w:val="left"/>
                    <w:rPr>
                      <w:rFonts w:ascii="宋体" w:hAnsi="宋体" w:cs="宋体"/>
                      <w:color w:val="auto"/>
                      <w:szCs w:val="21"/>
                    </w:rPr>
                  </w:pPr>
                  <w:r>
                    <w:rPr>
                      <w:rFonts w:ascii="宋体" w:hAnsi="宋体" w:cs="宋体"/>
                      <w:color w:val="auto"/>
                      <w:szCs w:val="21"/>
                    </w:rPr>
                    <w:t>应急计划制定后，平时安排人员培训与演练</w:t>
                  </w:r>
                </w:p>
              </w:tc>
            </w:tr>
            <w:tr w14:paraId="17D0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671" w:type="dxa"/>
                  <w:noWrap w:val="0"/>
                  <w:vAlign w:val="center"/>
                </w:tcPr>
                <w:p w14:paraId="609BC2A3">
                  <w:pPr>
                    <w:adjustRightInd w:val="0"/>
                    <w:snapToGrid w:val="0"/>
                    <w:spacing w:line="360" w:lineRule="exact"/>
                    <w:jc w:val="center"/>
                    <w:rPr>
                      <w:rFonts w:ascii="宋体" w:hAnsi="宋体" w:cs="宋体"/>
                      <w:color w:val="auto"/>
                      <w:szCs w:val="21"/>
                    </w:rPr>
                  </w:pPr>
                  <w:r>
                    <w:rPr>
                      <w:rFonts w:ascii="宋体" w:hAnsi="宋体" w:cs="宋体"/>
                      <w:color w:val="auto"/>
                      <w:szCs w:val="21"/>
                    </w:rPr>
                    <w:t>11</w:t>
                  </w:r>
                </w:p>
              </w:tc>
              <w:tc>
                <w:tcPr>
                  <w:tcW w:w="2181" w:type="dxa"/>
                  <w:noWrap w:val="0"/>
                  <w:vAlign w:val="center"/>
                </w:tcPr>
                <w:p w14:paraId="238F6692">
                  <w:pPr>
                    <w:adjustRightInd w:val="0"/>
                    <w:snapToGrid w:val="0"/>
                    <w:spacing w:line="360" w:lineRule="exact"/>
                    <w:jc w:val="center"/>
                    <w:rPr>
                      <w:rFonts w:ascii="宋体" w:hAnsi="宋体" w:cs="宋体"/>
                      <w:color w:val="auto"/>
                      <w:szCs w:val="21"/>
                    </w:rPr>
                  </w:pPr>
                  <w:r>
                    <w:rPr>
                      <w:rFonts w:ascii="宋体" w:hAnsi="宋体" w:cs="宋体"/>
                      <w:color w:val="auto"/>
                      <w:szCs w:val="21"/>
                    </w:rPr>
                    <w:t>公众教育和信息</w:t>
                  </w:r>
                </w:p>
              </w:tc>
              <w:tc>
                <w:tcPr>
                  <w:tcW w:w="5547" w:type="dxa"/>
                  <w:noWrap w:val="0"/>
                  <w:vAlign w:val="center"/>
                </w:tcPr>
                <w:p w14:paraId="3BAAD33E">
                  <w:pPr>
                    <w:adjustRightInd w:val="0"/>
                    <w:snapToGrid w:val="0"/>
                    <w:spacing w:line="360" w:lineRule="exact"/>
                    <w:jc w:val="left"/>
                    <w:rPr>
                      <w:rFonts w:ascii="宋体" w:hAnsi="宋体" w:cs="宋体"/>
                      <w:color w:val="auto"/>
                      <w:szCs w:val="21"/>
                    </w:rPr>
                  </w:pPr>
                  <w:r>
                    <w:rPr>
                      <w:rFonts w:ascii="宋体" w:hAnsi="宋体" w:cs="宋体"/>
                      <w:color w:val="auto"/>
                      <w:szCs w:val="21"/>
                    </w:rPr>
                    <w:t>对厂区临近地区</w:t>
                  </w:r>
                  <w:r>
                    <w:rPr>
                      <w:rFonts w:hint="eastAsia" w:ascii="宋体" w:hAnsi="宋体" w:cs="宋体"/>
                      <w:color w:val="auto"/>
                      <w:szCs w:val="21"/>
                      <w:lang w:eastAsia="zh-CN"/>
                    </w:rPr>
                    <w:t>开展</w:t>
                  </w:r>
                  <w:r>
                    <w:rPr>
                      <w:rFonts w:ascii="宋体" w:hAnsi="宋体" w:cs="宋体"/>
                      <w:color w:val="auto"/>
                      <w:szCs w:val="21"/>
                    </w:rPr>
                    <w:t>公众教育、培训和发布有关信息</w:t>
                  </w:r>
                </w:p>
              </w:tc>
            </w:tr>
          </w:tbl>
          <w:p w14:paraId="734AFF7F">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B.应急物资储备</w:t>
            </w:r>
          </w:p>
          <w:p w14:paraId="40DB0563">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在事故现场、临近区域，要有控制和消除污染措施及相应设备。</w:t>
            </w:r>
          </w:p>
          <w:p w14:paraId="6FCFD349">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C.应急系统</w:t>
            </w:r>
          </w:p>
          <w:p w14:paraId="18E93B8F">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为防范和应对突发性环境污染事故的发生，要求建立既能对污染隐患进行监控和警告，又能对突发性污染事故实施统一指挥协调、现场快速监测和应急处理的应急系统。应急系统由应急响应、应急监测和应急处理系统三部分组成。</w:t>
            </w:r>
          </w:p>
          <w:p w14:paraId="16E4E48B">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D.事故应急响应</w:t>
            </w:r>
          </w:p>
          <w:p w14:paraId="4835093A">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突发性环境污染事故应急处置刻不容缓，响应速度至关重要，任何人接到污染事故报警，必须马上报告应急办公室。应急组织各环节相互配合，确保响应迅速。</w:t>
            </w:r>
          </w:p>
          <w:p w14:paraId="59F4D009">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突发性环境污染事故应急通讯系统包括事故报警、应急指挥、应急信息发布三部分。事故报警应设立专用电话，电话号码为大众所熟知，同时充分利用社会上现有的110、119、120等救援电话，做到24h畅通。</w:t>
            </w:r>
          </w:p>
          <w:p w14:paraId="2CBAAE32">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E.事故应急监测</w:t>
            </w:r>
          </w:p>
          <w:p w14:paraId="5A666EB4">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要求应急监测人员快速赶赴现场，根据事故现场的具体情况布点采样，利用快速监测手段判断污染物的种类，给出定性、半定量和定量监测结果，确认污染事故的危害程度和污染范围等。</w:t>
            </w:r>
          </w:p>
          <w:p w14:paraId="30A27A76">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（5）分析结论</w:t>
            </w:r>
          </w:p>
          <w:p w14:paraId="347D6E9A">
            <w:pPr>
              <w:adjustRightInd w:val="0"/>
              <w:snapToGrid w:val="0"/>
              <w:spacing w:line="360" w:lineRule="auto"/>
              <w:ind w:firstLine="480" w:firstLineChars="200"/>
              <w:rPr>
                <w:rFonts w:hint="eastAsia"/>
                <w:b/>
                <w:bCs/>
                <w:color w:val="auto"/>
                <w:sz w:val="24"/>
                <w:szCs w:val="24"/>
                <w:highlight w:val="none"/>
              </w:rPr>
            </w:pPr>
            <w:r>
              <w:rPr>
                <w:rFonts w:hint="eastAsia" w:ascii="宋体" w:hAnsi="宋体" w:eastAsia="宋体" w:cs="宋体"/>
                <w:color w:val="auto"/>
                <w:sz w:val="24"/>
                <w:szCs w:val="24"/>
                <w:lang w:val="en-US" w:eastAsia="zh-CN"/>
              </w:rPr>
              <w:t>本</w:t>
            </w:r>
            <w:r>
              <w:rPr>
                <w:rFonts w:hint="eastAsia" w:ascii="宋体" w:hAnsi="宋体" w:eastAsia="宋体" w:cs="宋体"/>
                <w:color w:val="auto"/>
                <w:sz w:val="24"/>
                <w:szCs w:val="24"/>
              </w:rPr>
              <w:t>项目涉及的主要危险物质为</w:t>
            </w:r>
            <w:r>
              <w:rPr>
                <w:rFonts w:hint="eastAsia" w:ascii="宋体" w:hAnsi="宋体" w:eastAsia="宋体" w:cs="宋体"/>
                <w:color w:val="auto"/>
                <w:sz w:val="24"/>
                <w:szCs w:val="24"/>
                <w:lang w:val="en-US" w:eastAsia="zh-CN"/>
              </w:rPr>
              <w:t>沥青</w:t>
            </w:r>
            <w:r>
              <w:rPr>
                <w:rFonts w:hint="eastAsia" w:ascii="宋体" w:hAnsi="宋体" w:eastAsia="宋体" w:cs="宋体"/>
                <w:color w:val="auto"/>
                <w:sz w:val="24"/>
                <w:szCs w:val="24"/>
              </w:rPr>
              <w:t>，项目的环境风险主要表现在危险废物运输和贮存事故、恶劣自然条件等情况下突发的泄漏、火灾、爆炸事故导致的大气、水体及土壤的环境污染。根据分析，建设单位通过采取事故防范措施及采取一定的应急处理措施，可以将本项目的风险降到较低的水平，本项目的环境风险可以接受。</w:t>
            </w:r>
          </w:p>
          <w:p w14:paraId="5F2A0978">
            <w:pPr>
              <w:pStyle w:val="51"/>
              <w:spacing w:line="360" w:lineRule="auto"/>
              <w:ind w:firstLine="48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监测计划</w:t>
            </w:r>
          </w:p>
          <w:p w14:paraId="24DD1E15">
            <w:pPr>
              <w:pStyle w:val="72"/>
              <w:spacing w:line="360" w:lineRule="auto"/>
              <w:ind w:firstLine="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根据《排污单位自行监测技术指南》</w:t>
            </w:r>
            <w:r>
              <w:rPr>
                <w:rFonts w:hint="eastAsia" w:ascii="宋体" w:hAnsi="宋体" w:eastAsia="宋体" w:cs="宋体"/>
                <w:color w:val="auto"/>
                <w:sz w:val="24"/>
                <w:szCs w:val="24"/>
                <w:highlight w:val="none"/>
                <w:lang w:val="en-US" w:eastAsia="zh-CN"/>
              </w:rPr>
              <w:t>及</w:t>
            </w:r>
            <w:r>
              <w:rPr>
                <w:rFonts w:hint="eastAsia" w:ascii="宋体" w:hAnsi="宋体" w:eastAsia="宋体" w:cs="宋体"/>
                <w:color w:val="auto"/>
                <w:sz w:val="24"/>
                <w:szCs w:val="24"/>
                <w:highlight w:val="none"/>
              </w:rPr>
              <w:t>相关要求，项目运营期污染物监测计划如下：</w:t>
            </w:r>
          </w:p>
          <w:p w14:paraId="14BA11CA">
            <w:pPr>
              <w:pStyle w:val="72"/>
              <w:spacing w:line="360" w:lineRule="auto"/>
              <w:ind w:firstLine="420"/>
              <w:rPr>
                <w:rFonts w:hint="eastAsia" w:ascii="宋体" w:hAnsi="宋体" w:eastAsia="宋体" w:cs="宋体"/>
                <w:color w:val="auto"/>
                <w:sz w:val="24"/>
                <w:szCs w:val="24"/>
                <w:highlight w:val="none"/>
                <w:lang w:val="en-US" w:eastAsia="zh-CN"/>
              </w:rPr>
            </w:pPr>
          </w:p>
          <w:p w14:paraId="553229F6">
            <w:pPr>
              <w:widowControl/>
              <w:adjustRightInd w:val="0"/>
              <w:snapToGrid w:val="0"/>
              <w:spacing w:line="360" w:lineRule="auto"/>
              <w:jc w:val="center"/>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表4-</w:t>
            </w:r>
            <w:r>
              <w:rPr>
                <w:rFonts w:hint="eastAsia" w:ascii="宋体" w:hAnsi="宋体" w:cs="宋体"/>
                <w:b/>
                <w:bCs/>
                <w:color w:val="auto"/>
                <w:kern w:val="2"/>
                <w:sz w:val="24"/>
                <w:szCs w:val="24"/>
                <w:lang w:val="en-US" w:eastAsia="zh-CN" w:bidi="ar-SA"/>
              </w:rPr>
              <w:t>5</w:t>
            </w:r>
            <w:r>
              <w:rPr>
                <w:rFonts w:hint="eastAsia" w:ascii="宋体" w:hAnsi="宋体" w:eastAsia="宋体" w:cs="宋体"/>
                <w:b/>
                <w:bCs/>
                <w:color w:val="auto"/>
                <w:kern w:val="2"/>
                <w:sz w:val="24"/>
                <w:szCs w:val="24"/>
                <w:lang w:val="en-US" w:eastAsia="zh-CN" w:bidi="ar-SA"/>
              </w:rPr>
              <w:t>本项目运营期污染源监测计划</w:t>
            </w:r>
          </w:p>
          <w:tbl>
            <w:tblPr>
              <w:tblStyle w:val="26"/>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669"/>
              <w:gridCol w:w="1557"/>
              <w:gridCol w:w="2265"/>
              <w:gridCol w:w="1293"/>
              <w:gridCol w:w="2262"/>
            </w:tblGrid>
            <w:tr w14:paraId="621F4D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669" w:type="dxa"/>
                  <w:noWrap w:val="0"/>
                  <w:vAlign w:val="center"/>
                </w:tcPr>
                <w:p w14:paraId="5211CCBC">
                  <w:pPr>
                    <w:jc w:val="center"/>
                    <w:rPr>
                      <w:rFonts w:hint="eastAsia" w:ascii="宋体" w:hAnsi="宋体" w:eastAsia="宋体" w:cs="宋体"/>
                      <w:color w:val="auto"/>
                    </w:rPr>
                  </w:pPr>
                  <w:r>
                    <w:rPr>
                      <w:rFonts w:hint="eastAsia" w:ascii="宋体" w:hAnsi="宋体" w:eastAsia="宋体" w:cs="宋体"/>
                      <w:color w:val="auto"/>
                    </w:rPr>
                    <w:t>类别</w:t>
                  </w:r>
                </w:p>
              </w:tc>
              <w:tc>
                <w:tcPr>
                  <w:tcW w:w="1557" w:type="dxa"/>
                  <w:noWrap w:val="0"/>
                  <w:vAlign w:val="center"/>
                </w:tcPr>
                <w:p w14:paraId="2B7255BC">
                  <w:pPr>
                    <w:jc w:val="center"/>
                    <w:rPr>
                      <w:rFonts w:hint="eastAsia" w:ascii="宋体" w:hAnsi="宋体" w:eastAsia="宋体" w:cs="宋体"/>
                      <w:color w:val="auto"/>
                    </w:rPr>
                  </w:pPr>
                  <w:r>
                    <w:rPr>
                      <w:rFonts w:hint="eastAsia" w:ascii="宋体" w:hAnsi="宋体" w:eastAsia="宋体" w:cs="宋体"/>
                      <w:color w:val="auto"/>
                    </w:rPr>
                    <w:t>监测位置</w:t>
                  </w:r>
                </w:p>
              </w:tc>
              <w:tc>
                <w:tcPr>
                  <w:tcW w:w="2265" w:type="dxa"/>
                  <w:noWrap w:val="0"/>
                  <w:vAlign w:val="center"/>
                </w:tcPr>
                <w:p w14:paraId="0810D3E8">
                  <w:pPr>
                    <w:jc w:val="center"/>
                    <w:rPr>
                      <w:rFonts w:hint="eastAsia" w:ascii="宋体" w:hAnsi="宋体" w:eastAsia="宋体" w:cs="宋体"/>
                      <w:color w:val="auto"/>
                    </w:rPr>
                  </w:pPr>
                  <w:r>
                    <w:rPr>
                      <w:rFonts w:hint="eastAsia" w:ascii="宋体" w:hAnsi="宋体" w:eastAsia="宋体" w:cs="宋体"/>
                      <w:color w:val="auto"/>
                    </w:rPr>
                    <w:t>监测项目</w:t>
                  </w:r>
                </w:p>
              </w:tc>
              <w:tc>
                <w:tcPr>
                  <w:tcW w:w="1293" w:type="dxa"/>
                  <w:noWrap w:val="0"/>
                  <w:vAlign w:val="center"/>
                </w:tcPr>
                <w:p w14:paraId="2E0E69BC">
                  <w:pPr>
                    <w:jc w:val="center"/>
                    <w:rPr>
                      <w:rFonts w:hint="eastAsia" w:ascii="宋体" w:hAnsi="宋体" w:eastAsia="宋体" w:cs="宋体"/>
                      <w:color w:val="auto"/>
                    </w:rPr>
                  </w:pPr>
                  <w:r>
                    <w:rPr>
                      <w:rFonts w:hint="eastAsia" w:ascii="宋体" w:hAnsi="宋体" w:eastAsia="宋体" w:cs="宋体"/>
                      <w:color w:val="auto"/>
                    </w:rPr>
                    <w:t>监测频次</w:t>
                  </w:r>
                </w:p>
              </w:tc>
              <w:tc>
                <w:tcPr>
                  <w:tcW w:w="2262" w:type="dxa"/>
                  <w:noWrap w:val="0"/>
                  <w:vAlign w:val="center"/>
                </w:tcPr>
                <w:p w14:paraId="2781C0EE">
                  <w:pPr>
                    <w:jc w:val="center"/>
                    <w:rPr>
                      <w:rFonts w:hint="eastAsia" w:ascii="宋体" w:hAnsi="宋体" w:eastAsia="宋体" w:cs="宋体"/>
                      <w:color w:val="auto"/>
                    </w:rPr>
                  </w:pPr>
                  <w:r>
                    <w:rPr>
                      <w:rFonts w:hint="eastAsia" w:ascii="宋体" w:hAnsi="宋体" w:eastAsia="宋体" w:cs="宋体"/>
                      <w:color w:val="auto"/>
                    </w:rPr>
                    <w:t>执行标准</w:t>
                  </w:r>
                </w:p>
              </w:tc>
            </w:tr>
            <w:tr w14:paraId="0A1AF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67" w:hRule="atLeast"/>
                <w:jc w:val="center"/>
              </w:trPr>
              <w:tc>
                <w:tcPr>
                  <w:tcW w:w="669" w:type="dxa"/>
                  <w:noWrap w:val="0"/>
                  <w:vAlign w:val="center"/>
                </w:tcPr>
                <w:p w14:paraId="5902A08C">
                  <w:pPr>
                    <w:jc w:val="center"/>
                    <w:rPr>
                      <w:rFonts w:hint="eastAsia" w:ascii="宋体" w:hAnsi="宋体" w:eastAsia="宋体" w:cs="宋体"/>
                      <w:color w:val="auto"/>
                    </w:rPr>
                  </w:pPr>
                  <w:r>
                    <w:rPr>
                      <w:rFonts w:hint="eastAsia" w:ascii="宋体" w:hAnsi="宋体" w:eastAsia="宋体" w:cs="宋体"/>
                      <w:color w:val="auto"/>
                    </w:rPr>
                    <w:t>噪声</w:t>
                  </w:r>
                </w:p>
              </w:tc>
              <w:tc>
                <w:tcPr>
                  <w:tcW w:w="1557" w:type="dxa"/>
                  <w:noWrap w:val="0"/>
                  <w:vAlign w:val="center"/>
                </w:tcPr>
                <w:p w14:paraId="148C4079">
                  <w:pPr>
                    <w:jc w:val="center"/>
                    <w:rPr>
                      <w:rFonts w:hint="eastAsia" w:ascii="宋体" w:hAnsi="宋体" w:eastAsia="宋体" w:cs="宋体"/>
                      <w:color w:val="auto"/>
                    </w:rPr>
                  </w:pPr>
                  <w:r>
                    <w:rPr>
                      <w:rFonts w:hint="eastAsia" w:ascii="宋体" w:hAnsi="宋体" w:eastAsia="宋体" w:cs="宋体"/>
                      <w:color w:val="auto"/>
                    </w:rPr>
                    <w:t>厂界</w:t>
                  </w:r>
                </w:p>
              </w:tc>
              <w:tc>
                <w:tcPr>
                  <w:tcW w:w="2265" w:type="dxa"/>
                  <w:noWrap w:val="0"/>
                  <w:vAlign w:val="center"/>
                </w:tcPr>
                <w:p w14:paraId="6FB4BB98">
                  <w:pPr>
                    <w:jc w:val="center"/>
                    <w:rPr>
                      <w:rFonts w:hint="eastAsia" w:ascii="宋体" w:hAnsi="宋体" w:eastAsia="宋体" w:cs="宋体"/>
                      <w:color w:val="auto"/>
                    </w:rPr>
                  </w:pPr>
                  <w:r>
                    <w:rPr>
                      <w:rFonts w:hint="eastAsia" w:ascii="宋体" w:hAnsi="宋体" w:eastAsia="宋体" w:cs="宋体"/>
                      <w:color w:val="auto"/>
                    </w:rPr>
                    <w:t>等效连续A声级Leq</w:t>
                  </w:r>
                </w:p>
              </w:tc>
              <w:tc>
                <w:tcPr>
                  <w:tcW w:w="1293" w:type="dxa"/>
                  <w:noWrap w:val="0"/>
                  <w:vAlign w:val="center"/>
                </w:tcPr>
                <w:p w14:paraId="2F2AE78C">
                  <w:pPr>
                    <w:jc w:val="center"/>
                    <w:rPr>
                      <w:rFonts w:hint="eastAsia" w:ascii="宋体" w:hAnsi="宋体" w:eastAsia="宋体" w:cs="宋体"/>
                      <w:color w:val="auto"/>
                    </w:rPr>
                  </w:pPr>
                  <w:r>
                    <w:rPr>
                      <w:rFonts w:hint="eastAsia" w:ascii="宋体" w:hAnsi="宋体" w:cs="宋体"/>
                      <w:color w:val="auto"/>
                      <w:lang w:val="en-US" w:eastAsia="zh-CN"/>
                    </w:rPr>
                    <w:t>1</w:t>
                  </w:r>
                  <w:r>
                    <w:rPr>
                      <w:rFonts w:hint="eastAsia" w:ascii="宋体" w:hAnsi="宋体" w:eastAsia="宋体" w:cs="宋体"/>
                      <w:color w:val="auto"/>
                    </w:rPr>
                    <w:t>次/</w:t>
                  </w:r>
                  <w:r>
                    <w:rPr>
                      <w:rFonts w:hint="eastAsia" w:ascii="宋体" w:hAnsi="宋体" w:cs="宋体"/>
                      <w:color w:val="auto"/>
                      <w:lang w:val="en-US" w:eastAsia="zh-CN"/>
                    </w:rPr>
                    <w:t>季度</w:t>
                  </w:r>
                  <w:r>
                    <w:rPr>
                      <w:rFonts w:hint="eastAsia" w:ascii="宋体" w:hAnsi="宋体" w:eastAsia="宋体" w:cs="宋体"/>
                      <w:color w:val="auto"/>
                    </w:rPr>
                    <w:t>，分昼、夜两个时段</w:t>
                  </w:r>
                </w:p>
              </w:tc>
              <w:tc>
                <w:tcPr>
                  <w:tcW w:w="2262" w:type="dxa"/>
                  <w:noWrap w:val="0"/>
                  <w:vAlign w:val="center"/>
                </w:tcPr>
                <w:p w14:paraId="4DB19ADA">
                  <w:pPr>
                    <w:jc w:val="center"/>
                    <w:rPr>
                      <w:rFonts w:hint="eastAsia" w:ascii="宋体" w:hAnsi="宋体" w:eastAsia="宋体" w:cs="宋体"/>
                      <w:color w:val="auto"/>
                    </w:rPr>
                  </w:pPr>
                  <w:r>
                    <w:rPr>
                      <w:rFonts w:hint="eastAsia" w:ascii="宋体" w:hAnsi="宋体" w:eastAsia="宋体" w:cs="宋体"/>
                      <w:color w:val="auto"/>
                    </w:rPr>
                    <w:t>《工业企业厂界环境噪声排放标准》（GB12348-2008）中的</w:t>
                  </w:r>
                  <w:r>
                    <w:rPr>
                      <w:rFonts w:hint="eastAsia" w:ascii="宋体" w:hAnsi="宋体" w:eastAsia="宋体" w:cs="宋体"/>
                      <w:color w:val="auto"/>
                      <w:lang w:val="en-US" w:eastAsia="zh-CN"/>
                    </w:rPr>
                    <w:t>3</w:t>
                  </w:r>
                  <w:r>
                    <w:rPr>
                      <w:rFonts w:hint="eastAsia" w:ascii="宋体" w:hAnsi="宋体" w:eastAsia="宋体" w:cs="宋体"/>
                      <w:color w:val="auto"/>
                    </w:rPr>
                    <w:t>类标准</w:t>
                  </w:r>
                </w:p>
              </w:tc>
            </w:tr>
            <w:tr w14:paraId="5DE938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1" w:hRule="atLeast"/>
                <w:jc w:val="center"/>
              </w:trPr>
              <w:tc>
                <w:tcPr>
                  <w:tcW w:w="669" w:type="dxa"/>
                  <w:vMerge w:val="restart"/>
                  <w:noWrap w:val="0"/>
                  <w:vAlign w:val="center"/>
                </w:tcPr>
                <w:p w14:paraId="7F23113E">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color w:val="auto"/>
                      <w:lang w:eastAsia="zh-CN"/>
                    </w:rPr>
                  </w:pPr>
                  <w:r>
                    <w:rPr>
                      <w:rFonts w:hint="default" w:ascii="Times New Roman" w:hAnsi="Times New Roman" w:eastAsia="宋体" w:cs="Times New Roman"/>
                      <w:color w:val="auto"/>
                      <w:sz w:val="21"/>
                      <w:szCs w:val="21"/>
                      <w:highlight w:val="none"/>
                    </w:rPr>
                    <w:t>废气</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有组织</w:t>
                  </w:r>
                  <w:r>
                    <w:rPr>
                      <w:rFonts w:hint="eastAsia" w:cs="Times New Roman"/>
                      <w:color w:val="auto"/>
                      <w:sz w:val="21"/>
                      <w:szCs w:val="21"/>
                      <w:highlight w:val="none"/>
                      <w:lang w:eastAsia="zh-CN"/>
                    </w:rPr>
                    <w:t>）</w:t>
                  </w:r>
                </w:p>
              </w:tc>
              <w:tc>
                <w:tcPr>
                  <w:tcW w:w="1557" w:type="dxa"/>
                  <w:vMerge w:val="restart"/>
                  <w:noWrap w:val="0"/>
                  <w:vAlign w:val="center"/>
                </w:tcPr>
                <w:p w14:paraId="50E83785">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eastAsia" w:ascii="宋体" w:hAnsi="宋体" w:eastAsia="宋体" w:cs="宋体"/>
                      <w:color w:val="auto"/>
                      <w:lang w:val="en-US" w:eastAsia="zh-CN"/>
                    </w:rPr>
                  </w:pPr>
                  <w:r>
                    <w:rPr>
                      <w:rFonts w:hint="eastAsia" w:ascii="宋体" w:hAnsi="宋体" w:cs="宋体"/>
                      <w:color w:val="auto"/>
                      <w:lang w:val="en-US" w:eastAsia="zh-CN"/>
                    </w:rPr>
                    <w:t>排气筒</w:t>
                  </w:r>
                </w:p>
              </w:tc>
              <w:tc>
                <w:tcPr>
                  <w:tcW w:w="2265" w:type="dxa"/>
                  <w:shd w:val="clear" w:color="auto" w:fill="auto"/>
                  <w:noWrap w:val="0"/>
                  <w:vAlign w:val="center"/>
                </w:tcPr>
                <w:p w14:paraId="7F4A56E4">
                  <w:pPr>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rPr>
                    <w:t>沥青烟</w:t>
                  </w:r>
                </w:p>
              </w:tc>
              <w:tc>
                <w:tcPr>
                  <w:tcW w:w="1293" w:type="dxa"/>
                  <w:vMerge w:val="restart"/>
                  <w:noWrap w:val="0"/>
                  <w:vAlign w:val="center"/>
                </w:tcPr>
                <w:p w14:paraId="70575BE9">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rPr>
                    <w:t>次/</w:t>
                  </w:r>
                  <w:r>
                    <w:rPr>
                      <w:rFonts w:hint="eastAsia" w:ascii="宋体" w:hAnsi="宋体" w:cs="宋体"/>
                      <w:color w:val="auto"/>
                      <w:lang w:val="en-US" w:eastAsia="zh-CN"/>
                    </w:rPr>
                    <w:t>季度</w:t>
                  </w:r>
                </w:p>
              </w:tc>
              <w:tc>
                <w:tcPr>
                  <w:tcW w:w="2262" w:type="dxa"/>
                  <w:vMerge w:val="restart"/>
                  <w:noWrap w:val="0"/>
                  <w:vAlign w:val="center"/>
                </w:tcPr>
                <w:p w14:paraId="7FE3B127">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r>
                    <w:rPr>
                      <w:rFonts w:hint="default" w:ascii="Times New Roman" w:hAnsi="Times New Roman" w:eastAsia="宋体" w:cs="Times New Roman"/>
                      <w:color w:val="auto"/>
                      <w:sz w:val="21"/>
                      <w:szCs w:val="21"/>
                      <w:highlight w:val="none"/>
                      <w:lang w:val="en-US" w:eastAsia="zh-CN"/>
                    </w:rPr>
                    <w:t>《大气污染物综合排放标准》（GB16297-1996）表2中二级排放限值</w:t>
                  </w:r>
                </w:p>
              </w:tc>
            </w:tr>
            <w:tr w14:paraId="71C49B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1" w:hRule="atLeast"/>
                <w:jc w:val="center"/>
              </w:trPr>
              <w:tc>
                <w:tcPr>
                  <w:tcW w:w="669" w:type="dxa"/>
                  <w:vMerge w:val="continue"/>
                  <w:noWrap w:val="0"/>
                  <w:vAlign w:val="center"/>
                </w:tcPr>
                <w:p w14:paraId="47E7683E">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color w:val="auto"/>
                    </w:rPr>
                  </w:pPr>
                </w:p>
              </w:tc>
              <w:tc>
                <w:tcPr>
                  <w:tcW w:w="1557" w:type="dxa"/>
                  <w:vMerge w:val="continue"/>
                  <w:noWrap w:val="0"/>
                  <w:vAlign w:val="center"/>
                </w:tcPr>
                <w:p w14:paraId="2CA40F2C">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color w:val="auto"/>
                    </w:rPr>
                  </w:pPr>
                </w:p>
              </w:tc>
              <w:tc>
                <w:tcPr>
                  <w:tcW w:w="2265" w:type="dxa"/>
                  <w:shd w:val="clear" w:color="auto" w:fill="auto"/>
                  <w:noWrap w:val="0"/>
                  <w:vAlign w:val="center"/>
                </w:tcPr>
                <w:p w14:paraId="32393735">
                  <w:pPr>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rPr>
                    <w:t>苯并芘</w:t>
                  </w:r>
                </w:p>
              </w:tc>
              <w:tc>
                <w:tcPr>
                  <w:tcW w:w="1293" w:type="dxa"/>
                  <w:vMerge w:val="continue"/>
                  <w:noWrap w:val="0"/>
                  <w:vAlign w:val="center"/>
                </w:tcPr>
                <w:p w14:paraId="7F5E87FD">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c>
                <w:tcPr>
                  <w:tcW w:w="2262" w:type="dxa"/>
                  <w:vMerge w:val="continue"/>
                  <w:noWrap w:val="0"/>
                  <w:vAlign w:val="center"/>
                </w:tcPr>
                <w:p w14:paraId="6A4EF5D8">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r>
            <w:tr w14:paraId="40E7C9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1" w:hRule="atLeast"/>
                <w:jc w:val="center"/>
              </w:trPr>
              <w:tc>
                <w:tcPr>
                  <w:tcW w:w="669" w:type="dxa"/>
                  <w:vMerge w:val="continue"/>
                  <w:noWrap w:val="0"/>
                  <w:vAlign w:val="center"/>
                </w:tcPr>
                <w:p w14:paraId="1AA12AD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c>
                <w:tcPr>
                  <w:tcW w:w="1557" w:type="dxa"/>
                  <w:vMerge w:val="continue"/>
                  <w:noWrap w:val="0"/>
                  <w:vAlign w:val="center"/>
                </w:tcPr>
                <w:p w14:paraId="4D238C23">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c>
                <w:tcPr>
                  <w:tcW w:w="2265" w:type="dxa"/>
                  <w:shd w:val="clear" w:color="auto" w:fill="auto"/>
                  <w:noWrap w:val="0"/>
                  <w:vAlign w:val="center"/>
                </w:tcPr>
                <w:p w14:paraId="5E39C2C8">
                  <w:pPr>
                    <w:jc w:val="center"/>
                    <w:rPr>
                      <w:rFonts w:hint="default" w:ascii="Times New Roman" w:hAnsi="Times New Roman" w:eastAsia="宋体" w:cs="Times New Roman"/>
                      <w:color w:val="auto"/>
                      <w:kern w:val="2"/>
                      <w:sz w:val="21"/>
                      <w:szCs w:val="21"/>
                      <w:lang w:val="en-US" w:eastAsia="zh-CN" w:bidi="ar-SA"/>
                    </w:rPr>
                  </w:pPr>
                  <w:r>
                    <w:rPr>
                      <w:rFonts w:hint="eastAsia"/>
                      <w:color w:val="auto"/>
                      <w:szCs w:val="21"/>
                    </w:rPr>
                    <w:t>非甲烷总烃</w:t>
                  </w:r>
                </w:p>
              </w:tc>
              <w:tc>
                <w:tcPr>
                  <w:tcW w:w="1293" w:type="dxa"/>
                  <w:vMerge w:val="continue"/>
                  <w:noWrap w:val="0"/>
                  <w:vAlign w:val="center"/>
                </w:tcPr>
                <w:p w14:paraId="22FFE92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c>
                <w:tcPr>
                  <w:tcW w:w="2262" w:type="dxa"/>
                  <w:vMerge w:val="continue"/>
                  <w:noWrap w:val="0"/>
                  <w:vAlign w:val="center"/>
                </w:tcPr>
                <w:p w14:paraId="3A13E3B6">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r>
            <w:tr w14:paraId="64F51B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1" w:hRule="atLeast"/>
                <w:jc w:val="center"/>
              </w:trPr>
              <w:tc>
                <w:tcPr>
                  <w:tcW w:w="669" w:type="dxa"/>
                  <w:vMerge w:val="continue"/>
                  <w:noWrap w:val="0"/>
                  <w:vAlign w:val="center"/>
                </w:tcPr>
                <w:p w14:paraId="12802509">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c>
                <w:tcPr>
                  <w:tcW w:w="1557" w:type="dxa"/>
                  <w:vMerge w:val="continue"/>
                  <w:noWrap w:val="0"/>
                  <w:vAlign w:val="center"/>
                </w:tcPr>
                <w:p w14:paraId="45296643">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p>
              </w:tc>
              <w:tc>
                <w:tcPr>
                  <w:tcW w:w="2265" w:type="dxa"/>
                  <w:noWrap w:val="0"/>
                  <w:vAlign w:val="center"/>
                </w:tcPr>
                <w:p w14:paraId="791E26D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宋体" w:hAnsi="宋体" w:eastAsia="宋体" w:cs="宋体"/>
                      <w:color w:val="auto"/>
                      <w:lang w:val="en-US" w:eastAsia="zh-CN"/>
                    </w:rPr>
                  </w:pPr>
                  <w:r>
                    <w:rPr>
                      <w:rFonts w:hint="eastAsia" w:cs="Times New Roman"/>
                      <w:color w:val="auto"/>
                      <w:sz w:val="21"/>
                      <w:szCs w:val="21"/>
                      <w:highlight w:val="none"/>
                      <w:lang w:val="en-US" w:eastAsia="zh-CN"/>
                    </w:rPr>
                    <w:t>颗粒物</w:t>
                  </w:r>
                </w:p>
              </w:tc>
              <w:tc>
                <w:tcPr>
                  <w:tcW w:w="1293" w:type="dxa"/>
                  <w:noWrap w:val="0"/>
                  <w:vAlign w:val="center"/>
                </w:tcPr>
                <w:p w14:paraId="2807A4BD">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r>
                    <w:rPr>
                      <w:rFonts w:hint="eastAsia" w:ascii="宋体" w:hAnsi="宋体" w:cs="宋体"/>
                      <w:color w:val="auto"/>
                      <w:lang w:val="en-US" w:eastAsia="zh-CN"/>
                    </w:rPr>
                    <w:t>1</w:t>
                  </w:r>
                  <w:r>
                    <w:rPr>
                      <w:rFonts w:hint="eastAsia" w:ascii="宋体" w:hAnsi="宋体" w:eastAsia="宋体" w:cs="宋体"/>
                      <w:color w:val="auto"/>
                    </w:rPr>
                    <w:t>次/</w:t>
                  </w:r>
                  <w:r>
                    <w:rPr>
                      <w:rFonts w:hint="eastAsia" w:ascii="宋体" w:hAnsi="宋体" w:cs="宋体"/>
                      <w:color w:val="auto"/>
                      <w:lang w:val="en-US" w:eastAsia="zh-CN"/>
                    </w:rPr>
                    <w:t>季度</w:t>
                  </w:r>
                </w:p>
              </w:tc>
              <w:tc>
                <w:tcPr>
                  <w:tcW w:w="2262" w:type="dxa"/>
                  <w:noWrap w:val="0"/>
                  <w:vAlign w:val="center"/>
                </w:tcPr>
                <w:p w14:paraId="57FECA10">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lang w:val="en-US" w:eastAsia="zh-CN"/>
                    </w:rPr>
                  </w:pPr>
                  <w:r>
                    <w:rPr>
                      <w:rFonts w:hint="default" w:ascii="Times New Roman" w:hAnsi="Times New Roman" w:eastAsia="宋体" w:cs="Times New Roman"/>
                      <w:color w:val="auto"/>
                      <w:sz w:val="21"/>
                      <w:szCs w:val="21"/>
                      <w:highlight w:val="none"/>
                      <w:lang w:val="en-US" w:eastAsia="zh-CN"/>
                    </w:rPr>
                    <w:t>《大气污染物综合排放标准》（GB16297-1996）表2中二级排放限值</w:t>
                  </w:r>
                </w:p>
              </w:tc>
            </w:tr>
            <w:tr w14:paraId="1532C6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0" w:hRule="atLeast"/>
                <w:jc w:val="center"/>
              </w:trPr>
              <w:tc>
                <w:tcPr>
                  <w:tcW w:w="669" w:type="dxa"/>
                  <w:noWrap w:val="0"/>
                  <w:vAlign w:val="center"/>
                </w:tcPr>
                <w:p w14:paraId="3C42FEF1">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color w:val="auto"/>
                    </w:rPr>
                  </w:pPr>
                  <w:r>
                    <w:rPr>
                      <w:rFonts w:hint="default" w:ascii="Times New Roman" w:hAnsi="Times New Roman" w:eastAsia="宋体" w:cs="Times New Roman"/>
                      <w:color w:val="auto"/>
                      <w:sz w:val="21"/>
                      <w:szCs w:val="21"/>
                      <w:highlight w:val="none"/>
                    </w:rPr>
                    <w:t>废气</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无组织</w:t>
                  </w:r>
                  <w:r>
                    <w:rPr>
                      <w:rFonts w:hint="eastAsia" w:cs="Times New Roman"/>
                      <w:color w:val="auto"/>
                      <w:sz w:val="21"/>
                      <w:szCs w:val="21"/>
                      <w:highlight w:val="none"/>
                      <w:lang w:eastAsia="zh-CN"/>
                    </w:rPr>
                    <w:t>）</w:t>
                  </w:r>
                </w:p>
              </w:tc>
              <w:tc>
                <w:tcPr>
                  <w:tcW w:w="1557" w:type="dxa"/>
                  <w:shd w:val="clear" w:color="auto" w:fill="auto"/>
                  <w:noWrap w:val="0"/>
                  <w:vAlign w:val="center"/>
                </w:tcPr>
                <w:p w14:paraId="57A1E3D8">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宋体" w:hAnsi="宋体" w:eastAsia="宋体" w:cs="宋体"/>
                      <w:color w:val="auto"/>
                      <w:kern w:val="2"/>
                      <w:sz w:val="21"/>
                      <w:szCs w:val="24"/>
                      <w:lang w:val="en-US" w:eastAsia="zh-CN" w:bidi="ar-SA"/>
                    </w:rPr>
                  </w:pPr>
                  <w:r>
                    <w:rPr>
                      <w:rFonts w:hint="eastAsia" w:cs="Times New Roman"/>
                      <w:color w:val="auto"/>
                      <w:sz w:val="21"/>
                      <w:szCs w:val="21"/>
                      <w:highlight w:val="none"/>
                      <w:lang w:val="en-US" w:eastAsia="zh-CN"/>
                    </w:rPr>
                    <w:t>厂界上、下风向</w:t>
                  </w:r>
                </w:p>
              </w:tc>
              <w:tc>
                <w:tcPr>
                  <w:tcW w:w="2265" w:type="dxa"/>
                  <w:shd w:val="clear" w:color="auto" w:fill="auto"/>
                  <w:noWrap w:val="0"/>
                  <w:vAlign w:val="center"/>
                </w:tcPr>
                <w:p w14:paraId="2503D793">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宋体" w:hAnsi="宋体" w:eastAsia="宋体" w:cs="宋体"/>
                      <w:color w:val="auto"/>
                      <w:kern w:val="2"/>
                      <w:sz w:val="21"/>
                      <w:szCs w:val="24"/>
                      <w:lang w:val="en-US" w:eastAsia="zh-CN" w:bidi="ar-SA"/>
                    </w:rPr>
                  </w:pPr>
                  <w:r>
                    <w:rPr>
                      <w:rFonts w:hint="eastAsia" w:cs="Times New Roman"/>
                      <w:color w:val="auto"/>
                      <w:sz w:val="21"/>
                      <w:szCs w:val="21"/>
                      <w:highlight w:val="none"/>
                      <w:lang w:val="en-US" w:eastAsia="zh-CN"/>
                    </w:rPr>
                    <w:t>颗粒物、沥青烟、苯并芘、非甲烷总烃</w:t>
                  </w:r>
                </w:p>
              </w:tc>
              <w:tc>
                <w:tcPr>
                  <w:tcW w:w="1293" w:type="dxa"/>
                  <w:shd w:val="clear" w:color="auto" w:fill="auto"/>
                  <w:noWrap w:val="0"/>
                  <w:vAlign w:val="center"/>
                </w:tcPr>
                <w:p w14:paraId="315B1D91">
                  <w:pPr>
                    <w:keepNext w:val="0"/>
                    <w:keepLines w:val="0"/>
                    <w:pageBreakBefore w:val="0"/>
                    <w:widowControl w:val="0"/>
                    <w:kinsoku/>
                    <w:wordWrap/>
                    <w:overflowPunct/>
                    <w:topLinePunct w:val="0"/>
                    <w:autoSpaceDE w:val="0"/>
                    <w:autoSpaceDN w:val="0"/>
                    <w:bidi w:val="0"/>
                    <w:adjustRightInd w:val="0"/>
                    <w:snapToGrid w:val="0"/>
                    <w:spacing w:line="360" w:lineRule="exact"/>
                    <w:jc w:val="center"/>
                    <w:textAlignment w:val="auto"/>
                    <w:rPr>
                      <w:rFonts w:hint="default" w:ascii="宋体" w:hAnsi="宋体" w:eastAsia="宋体" w:cs="宋体"/>
                      <w:color w:val="auto"/>
                      <w:kern w:val="2"/>
                      <w:sz w:val="21"/>
                      <w:szCs w:val="24"/>
                      <w:lang w:val="en-US" w:eastAsia="zh-CN" w:bidi="ar-SA"/>
                    </w:rPr>
                  </w:pPr>
                  <w:r>
                    <w:rPr>
                      <w:rFonts w:hint="eastAsia"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rPr>
                    <w:t>次/年</w:t>
                  </w:r>
                </w:p>
              </w:tc>
              <w:tc>
                <w:tcPr>
                  <w:tcW w:w="2262" w:type="dxa"/>
                  <w:shd w:val="clear" w:color="auto" w:fill="auto"/>
                  <w:noWrap w:val="0"/>
                  <w:vAlign w:val="center"/>
                </w:tcPr>
                <w:p w14:paraId="079B1A1B">
                  <w:pPr>
                    <w:keepNext w:val="0"/>
                    <w:keepLines w:val="0"/>
                    <w:pageBreakBefore w:val="0"/>
                    <w:widowControl w:val="0"/>
                    <w:kinsoku/>
                    <w:wordWrap/>
                    <w:overflowPunct/>
                    <w:topLinePunct w:val="0"/>
                    <w:autoSpaceDE w:val="0"/>
                    <w:autoSpaceDN w:val="0"/>
                    <w:bidi w:val="0"/>
                    <w:adjustRightInd w:val="0"/>
                    <w:snapToGrid w:val="0"/>
                    <w:spacing w:line="360" w:lineRule="exact"/>
                    <w:jc w:val="left"/>
                    <w:textAlignment w:val="auto"/>
                    <w:rPr>
                      <w:rFonts w:hint="default" w:ascii="宋体" w:hAnsi="宋体" w:eastAsia="宋体" w:cs="宋体"/>
                      <w:color w:val="auto"/>
                      <w:kern w:val="2"/>
                      <w:sz w:val="21"/>
                      <w:szCs w:val="24"/>
                      <w:lang w:val="en-US" w:eastAsia="zh-CN" w:bidi="ar-SA"/>
                    </w:rPr>
                  </w:pPr>
                  <w:r>
                    <w:rPr>
                      <w:rFonts w:hint="eastAsia" w:ascii="Times New Roman" w:hAnsi="Times New Roman" w:eastAsia="宋体" w:cs="Times New Roman"/>
                      <w:color w:val="auto"/>
                      <w:sz w:val="21"/>
                      <w:szCs w:val="21"/>
                      <w:highlight w:val="none"/>
                      <w:lang w:val="en-US" w:eastAsia="zh-CN"/>
                    </w:rPr>
                    <w:t>《大气污染物综合排放标准》（GB16297-1996）表2中无组织排放监控浓度限值</w:t>
                  </w:r>
                </w:p>
              </w:tc>
            </w:tr>
          </w:tbl>
          <w:p w14:paraId="590917CF">
            <w:pPr>
              <w:spacing w:line="360" w:lineRule="auto"/>
              <w:ind w:firstLine="480" w:firstLineChars="200"/>
              <w:rPr>
                <w:color w:val="auto"/>
                <w:sz w:val="24"/>
                <w:szCs w:val="32"/>
                <w:highlight w:val="none"/>
              </w:rPr>
            </w:pPr>
          </w:p>
          <w:p w14:paraId="08209310">
            <w:pPr>
              <w:pStyle w:val="51"/>
              <w:spacing w:line="360" w:lineRule="auto"/>
              <w:ind w:firstLine="482"/>
              <w:rPr>
                <w:rFonts w:hint="eastAsia" w:ascii="宋体" w:hAnsi="宋体" w:eastAsia="宋体" w:cs="宋体"/>
                <w:b/>
                <w:bCs/>
                <w:color w:val="auto"/>
                <w:highlight w:val="none"/>
              </w:rPr>
            </w:pPr>
            <w:r>
              <w:rPr>
                <w:rFonts w:hint="eastAsia" w:ascii="宋体" w:hAnsi="宋体" w:eastAsia="宋体" w:cs="宋体"/>
                <w:b/>
                <w:bCs/>
                <w:color w:val="auto"/>
                <w:highlight w:val="none"/>
              </w:rPr>
              <w:t>2.9“三同时”验收清单</w:t>
            </w:r>
          </w:p>
          <w:p w14:paraId="6EC883CB">
            <w:pPr>
              <w:pStyle w:val="72"/>
              <w:spacing w:line="360" w:lineRule="auto"/>
              <w:ind w:firstLine="420"/>
              <w:rPr>
                <w:rFonts w:hint="eastAsia" w:ascii="宋体" w:hAnsi="宋体" w:eastAsia="宋体" w:cs="宋体"/>
                <w:color w:val="auto"/>
              </w:rPr>
            </w:pPr>
            <w:r>
              <w:rPr>
                <w:rFonts w:hint="eastAsia" w:ascii="宋体" w:hAnsi="宋体" w:eastAsia="宋体" w:cs="宋体"/>
                <w:color w:val="auto"/>
              </w:rPr>
              <w:t>本项目必须严格执行“三同时”制度，即环保设施必须与主体工程同时设计、同时施工、同时投入使用。拟建项目环保设施竣工验收内容及要求见下表。</w:t>
            </w:r>
          </w:p>
          <w:p w14:paraId="72AA7744">
            <w:pPr>
              <w:pStyle w:val="7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表4-</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项目环保竣工验收一览表</w:t>
            </w:r>
          </w:p>
          <w:tbl>
            <w:tblPr>
              <w:tblStyle w:val="26"/>
              <w:tblW w:w="499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6"/>
              <w:gridCol w:w="1420"/>
              <w:gridCol w:w="3812"/>
              <w:gridCol w:w="2509"/>
            </w:tblGrid>
            <w:tr w14:paraId="03C4F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49" w:hRule="atLeast"/>
              </w:trPr>
              <w:tc>
                <w:tcPr>
                  <w:tcW w:w="379" w:type="pct"/>
                  <w:noWrap w:val="0"/>
                  <w:vAlign w:val="center"/>
                </w:tcPr>
                <w:p w14:paraId="42EBE425">
                  <w:pPr>
                    <w:rPr>
                      <w:color w:val="auto"/>
                    </w:rPr>
                  </w:pPr>
                  <w:r>
                    <w:rPr>
                      <w:color w:val="auto"/>
                    </w:rPr>
                    <w:t>类别</w:t>
                  </w:r>
                </w:p>
              </w:tc>
              <w:tc>
                <w:tcPr>
                  <w:tcW w:w="848" w:type="pct"/>
                  <w:noWrap w:val="0"/>
                  <w:vAlign w:val="center"/>
                </w:tcPr>
                <w:p w14:paraId="2BE3AB9B">
                  <w:pPr>
                    <w:jc w:val="center"/>
                    <w:rPr>
                      <w:color w:val="auto"/>
                    </w:rPr>
                  </w:pPr>
                  <w:r>
                    <w:rPr>
                      <w:color w:val="auto"/>
                    </w:rPr>
                    <w:t>验收因子</w:t>
                  </w:r>
                </w:p>
              </w:tc>
              <w:tc>
                <w:tcPr>
                  <w:tcW w:w="2275" w:type="pct"/>
                  <w:noWrap w:val="0"/>
                  <w:vAlign w:val="center"/>
                </w:tcPr>
                <w:p w14:paraId="17F8AF62">
                  <w:pPr>
                    <w:jc w:val="center"/>
                    <w:rPr>
                      <w:color w:val="auto"/>
                    </w:rPr>
                  </w:pPr>
                  <w:r>
                    <w:rPr>
                      <w:color w:val="auto"/>
                    </w:rPr>
                    <w:t>污染防治措施</w:t>
                  </w:r>
                </w:p>
              </w:tc>
              <w:tc>
                <w:tcPr>
                  <w:tcW w:w="1496" w:type="pct"/>
                  <w:noWrap w:val="0"/>
                  <w:vAlign w:val="center"/>
                </w:tcPr>
                <w:p w14:paraId="4EFC1C61">
                  <w:pPr>
                    <w:rPr>
                      <w:color w:val="auto"/>
                    </w:rPr>
                  </w:pPr>
                  <w:r>
                    <w:rPr>
                      <w:color w:val="auto"/>
                    </w:rPr>
                    <w:t>验收标准</w:t>
                  </w:r>
                </w:p>
              </w:tc>
            </w:tr>
            <w:tr w14:paraId="3E79C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noWrap w:val="0"/>
                  <w:vAlign w:val="center"/>
                </w:tcPr>
                <w:p w14:paraId="397700D6">
                  <w:pPr>
                    <w:rPr>
                      <w:color w:val="auto"/>
                    </w:rPr>
                  </w:pPr>
                  <w:r>
                    <w:rPr>
                      <w:color w:val="auto"/>
                    </w:rPr>
                    <w:t>噪声</w:t>
                  </w:r>
                </w:p>
              </w:tc>
              <w:tc>
                <w:tcPr>
                  <w:tcW w:w="848" w:type="pct"/>
                  <w:noWrap w:val="0"/>
                  <w:vAlign w:val="center"/>
                </w:tcPr>
                <w:p w14:paraId="410DD694">
                  <w:pPr>
                    <w:jc w:val="center"/>
                    <w:rPr>
                      <w:color w:val="auto"/>
                    </w:rPr>
                  </w:pPr>
                  <w:r>
                    <w:rPr>
                      <w:color w:val="auto"/>
                    </w:rPr>
                    <w:t>噪声</w:t>
                  </w:r>
                </w:p>
              </w:tc>
              <w:tc>
                <w:tcPr>
                  <w:tcW w:w="2275" w:type="pct"/>
                  <w:noWrap w:val="0"/>
                  <w:vAlign w:val="center"/>
                </w:tcPr>
                <w:p w14:paraId="4A1AA992">
                  <w:pPr>
                    <w:jc w:val="left"/>
                    <w:rPr>
                      <w:rFonts w:hint="eastAsia"/>
                      <w:color w:val="auto"/>
                    </w:rPr>
                  </w:pPr>
                  <w:r>
                    <w:rPr>
                      <w:rFonts w:hint="eastAsia"/>
                      <w:color w:val="auto"/>
                    </w:rPr>
                    <w:t>规范搬运作业、运输车辆限速、禁鸣</w:t>
                  </w:r>
                </w:p>
              </w:tc>
              <w:tc>
                <w:tcPr>
                  <w:tcW w:w="1496" w:type="pct"/>
                  <w:noWrap w:val="0"/>
                  <w:vAlign w:val="center"/>
                </w:tcPr>
                <w:p w14:paraId="74E4EACA">
                  <w:pPr>
                    <w:rPr>
                      <w:color w:val="auto"/>
                    </w:rPr>
                  </w:pPr>
                  <w:r>
                    <w:rPr>
                      <w:color w:val="auto"/>
                    </w:rPr>
                    <w:t>《工业企业厂界环境噪声排放标准》（GB12348-2008）</w:t>
                  </w:r>
                  <w:r>
                    <w:rPr>
                      <w:rFonts w:hint="eastAsia"/>
                      <w:color w:val="auto"/>
                      <w:lang w:val="en-US" w:eastAsia="zh-CN"/>
                    </w:rPr>
                    <w:t>3</w:t>
                  </w:r>
                  <w:r>
                    <w:rPr>
                      <w:color w:val="auto"/>
                    </w:rPr>
                    <w:t>类</w:t>
                  </w:r>
                </w:p>
              </w:tc>
            </w:tr>
            <w:tr w14:paraId="57EB9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restart"/>
                  <w:noWrap w:val="0"/>
                  <w:vAlign w:val="center"/>
                </w:tcPr>
                <w:p w14:paraId="5409F561">
                  <w:pPr>
                    <w:rPr>
                      <w:rFonts w:hint="eastAsia" w:eastAsia="宋体"/>
                      <w:color w:val="auto"/>
                      <w:lang w:val="en-US" w:eastAsia="zh-CN"/>
                    </w:rPr>
                  </w:pPr>
                  <w:r>
                    <w:rPr>
                      <w:rFonts w:hint="eastAsia"/>
                      <w:color w:val="auto"/>
                      <w:lang w:val="en-US" w:eastAsia="zh-CN"/>
                    </w:rPr>
                    <w:t>废气（有组织）</w:t>
                  </w:r>
                </w:p>
              </w:tc>
              <w:tc>
                <w:tcPr>
                  <w:tcW w:w="848" w:type="pct"/>
                  <w:noWrap w:val="0"/>
                  <w:vAlign w:val="center"/>
                </w:tcPr>
                <w:p w14:paraId="496AEBAC">
                  <w:pPr>
                    <w:jc w:val="center"/>
                    <w:rPr>
                      <w:rFonts w:hint="eastAsia" w:eastAsia="宋体"/>
                      <w:color w:val="auto"/>
                      <w:lang w:val="en-US" w:eastAsia="zh-CN"/>
                    </w:rPr>
                  </w:pPr>
                  <w:r>
                    <w:rPr>
                      <w:rFonts w:hint="eastAsia"/>
                      <w:color w:val="auto"/>
                      <w:lang w:val="en-US" w:eastAsia="zh-CN"/>
                    </w:rPr>
                    <w:t>颗粒物</w:t>
                  </w:r>
                </w:p>
              </w:tc>
              <w:tc>
                <w:tcPr>
                  <w:tcW w:w="2275" w:type="pct"/>
                  <w:vMerge w:val="restart"/>
                  <w:noWrap w:val="0"/>
                  <w:vAlign w:val="center"/>
                </w:tcPr>
                <w:p w14:paraId="3B014E42">
                  <w:pPr>
                    <w:jc w:val="center"/>
                    <w:rPr>
                      <w:rFonts w:hint="eastAsia"/>
                      <w:color w:val="auto"/>
                      <w:lang w:val="en-US" w:eastAsia="zh-CN"/>
                    </w:rPr>
                  </w:pPr>
                  <w:r>
                    <w:rPr>
                      <w:rFonts w:hint="eastAsia"/>
                      <w:color w:val="auto"/>
                      <w:lang w:val="en-US" w:eastAsia="zh-CN"/>
                    </w:rPr>
                    <w:t>集气罩+布袋除尘器</w:t>
                  </w:r>
                </w:p>
                <w:p w14:paraId="465B0367">
                  <w:pPr>
                    <w:jc w:val="left"/>
                    <w:rPr>
                      <w:rFonts w:hint="eastAsia"/>
                      <w:color w:val="auto"/>
                      <w:lang w:val="en-US" w:eastAsia="zh-CN"/>
                    </w:rPr>
                  </w:pPr>
                </w:p>
              </w:tc>
              <w:tc>
                <w:tcPr>
                  <w:tcW w:w="1496" w:type="pct"/>
                  <w:vMerge w:val="restart"/>
                  <w:noWrap w:val="0"/>
                  <w:vAlign w:val="center"/>
                </w:tcPr>
                <w:p w14:paraId="06FC94E6">
                  <w:pP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《大气污染物综合排放标准》（GB16297-1996）表2中浓度限值</w:t>
                  </w:r>
                </w:p>
                <w:p w14:paraId="05F639A1">
                  <w:pPr>
                    <w:rPr>
                      <w:rFonts w:hint="default" w:ascii="Times New Roman" w:hAnsi="Times New Roman" w:eastAsia="宋体" w:cs="Times New Roman"/>
                      <w:color w:val="auto"/>
                      <w:sz w:val="21"/>
                      <w:szCs w:val="21"/>
                      <w:highlight w:val="none"/>
                      <w:lang w:val="en-US" w:eastAsia="zh-CN"/>
                    </w:rPr>
                  </w:pPr>
                </w:p>
              </w:tc>
            </w:tr>
            <w:tr w14:paraId="46E06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continue"/>
                  <w:noWrap w:val="0"/>
                  <w:vAlign w:val="center"/>
                </w:tcPr>
                <w:p w14:paraId="5C10EFBA">
                  <w:pPr>
                    <w:rPr>
                      <w:rFonts w:hint="eastAsia"/>
                      <w:color w:val="auto"/>
                      <w:lang w:val="en-US" w:eastAsia="zh-CN"/>
                    </w:rPr>
                  </w:pPr>
                </w:p>
              </w:tc>
              <w:tc>
                <w:tcPr>
                  <w:tcW w:w="848" w:type="pct"/>
                  <w:noWrap w:val="0"/>
                  <w:vAlign w:val="center"/>
                </w:tcPr>
                <w:p w14:paraId="6E73C100">
                  <w:pPr>
                    <w:jc w:val="center"/>
                    <w:rPr>
                      <w:rFonts w:hint="default"/>
                      <w:color w:val="auto"/>
                      <w:lang w:val="en-US" w:eastAsia="zh-CN"/>
                    </w:rPr>
                  </w:pPr>
                  <w:r>
                    <w:rPr>
                      <w:rFonts w:hint="eastAsia"/>
                      <w:color w:val="auto"/>
                      <w:lang w:val="en-US" w:eastAsia="zh-CN"/>
                    </w:rPr>
                    <w:t>沥青烟</w:t>
                  </w:r>
                </w:p>
              </w:tc>
              <w:tc>
                <w:tcPr>
                  <w:tcW w:w="2275" w:type="pct"/>
                  <w:vMerge w:val="continue"/>
                  <w:noWrap w:val="0"/>
                  <w:vAlign w:val="center"/>
                </w:tcPr>
                <w:p w14:paraId="0CF4E91F">
                  <w:pPr>
                    <w:jc w:val="left"/>
                    <w:rPr>
                      <w:rFonts w:hint="default"/>
                      <w:color w:val="auto"/>
                      <w:lang w:val="en-US" w:eastAsia="zh-CN"/>
                    </w:rPr>
                  </w:pPr>
                </w:p>
              </w:tc>
              <w:tc>
                <w:tcPr>
                  <w:tcW w:w="1496" w:type="pct"/>
                  <w:vMerge w:val="continue"/>
                  <w:noWrap w:val="0"/>
                  <w:vAlign w:val="center"/>
                </w:tcPr>
                <w:p w14:paraId="2FE761E6">
                  <w:pPr>
                    <w:rPr>
                      <w:rFonts w:hint="eastAsia" w:ascii="Times New Roman" w:hAnsi="Times New Roman" w:eastAsia="宋体" w:cs="Times New Roman"/>
                      <w:color w:val="auto"/>
                      <w:sz w:val="21"/>
                      <w:szCs w:val="21"/>
                      <w:highlight w:val="none"/>
                      <w:lang w:val="en-US" w:eastAsia="zh-CN"/>
                    </w:rPr>
                  </w:pPr>
                </w:p>
              </w:tc>
            </w:tr>
            <w:tr w14:paraId="4CDF6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continue"/>
                  <w:noWrap w:val="0"/>
                  <w:vAlign w:val="center"/>
                </w:tcPr>
                <w:p w14:paraId="7EB517D1">
                  <w:pPr>
                    <w:rPr>
                      <w:rFonts w:hint="eastAsia"/>
                      <w:color w:val="auto"/>
                      <w:lang w:val="en-US" w:eastAsia="zh-CN"/>
                    </w:rPr>
                  </w:pPr>
                </w:p>
              </w:tc>
              <w:tc>
                <w:tcPr>
                  <w:tcW w:w="848" w:type="pct"/>
                  <w:noWrap w:val="0"/>
                  <w:vAlign w:val="center"/>
                </w:tcPr>
                <w:p w14:paraId="1CCE162B">
                  <w:pPr>
                    <w:jc w:val="center"/>
                    <w:rPr>
                      <w:rFonts w:hint="default"/>
                      <w:color w:val="auto"/>
                      <w:lang w:val="en-US" w:eastAsia="zh-CN"/>
                    </w:rPr>
                  </w:pPr>
                  <w:r>
                    <w:rPr>
                      <w:rFonts w:hint="eastAsia"/>
                      <w:color w:val="auto"/>
                      <w:lang w:val="en-US" w:eastAsia="zh-CN"/>
                    </w:rPr>
                    <w:t>苯并芘</w:t>
                  </w:r>
                </w:p>
              </w:tc>
              <w:tc>
                <w:tcPr>
                  <w:tcW w:w="2275" w:type="pct"/>
                  <w:vMerge w:val="continue"/>
                  <w:noWrap w:val="0"/>
                  <w:vAlign w:val="center"/>
                </w:tcPr>
                <w:p w14:paraId="05DFA35B">
                  <w:pPr>
                    <w:jc w:val="left"/>
                    <w:rPr>
                      <w:rFonts w:hint="eastAsia"/>
                      <w:color w:val="auto"/>
                      <w:lang w:val="en-US" w:eastAsia="zh-CN"/>
                    </w:rPr>
                  </w:pPr>
                </w:p>
              </w:tc>
              <w:tc>
                <w:tcPr>
                  <w:tcW w:w="1496" w:type="pct"/>
                  <w:vMerge w:val="continue"/>
                  <w:noWrap w:val="0"/>
                  <w:vAlign w:val="center"/>
                </w:tcPr>
                <w:p w14:paraId="5AF9E75C">
                  <w:pPr>
                    <w:rPr>
                      <w:rFonts w:hint="default" w:ascii="Times New Roman" w:hAnsi="Times New Roman" w:eastAsia="宋体" w:cs="Times New Roman"/>
                      <w:color w:val="auto"/>
                      <w:sz w:val="21"/>
                      <w:szCs w:val="21"/>
                      <w:highlight w:val="none"/>
                      <w:lang w:val="en-US" w:eastAsia="zh-CN"/>
                    </w:rPr>
                  </w:pPr>
                </w:p>
              </w:tc>
            </w:tr>
            <w:tr w14:paraId="73FC1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continue"/>
                  <w:noWrap w:val="0"/>
                  <w:vAlign w:val="center"/>
                </w:tcPr>
                <w:p w14:paraId="3D3CB167">
                  <w:pPr>
                    <w:rPr>
                      <w:rFonts w:hint="eastAsia"/>
                      <w:color w:val="auto"/>
                      <w:lang w:val="en-US" w:eastAsia="zh-CN"/>
                    </w:rPr>
                  </w:pPr>
                </w:p>
              </w:tc>
              <w:tc>
                <w:tcPr>
                  <w:tcW w:w="848" w:type="pct"/>
                  <w:noWrap w:val="0"/>
                  <w:vAlign w:val="center"/>
                </w:tcPr>
                <w:p w14:paraId="65DD5B74">
                  <w:pPr>
                    <w:jc w:val="center"/>
                    <w:rPr>
                      <w:rFonts w:hint="default"/>
                      <w:color w:val="auto"/>
                      <w:lang w:val="en-US" w:eastAsia="zh-CN"/>
                    </w:rPr>
                  </w:pPr>
                  <w:r>
                    <w:rPr>
                      <w:rFonts w:hint="eastAsia"/>
                      <w:color w:val="auto"/>
                      <w:lang w:val="en-US" w:eastAsia="zh-CN"/>
                    </w:rPr>
                    <w:t>非甲烷总烃</w:t>
                  </w:r>
                </w:p>
              </w:tc>
              <w:tc>
                <w:tcPr>
                  <w:tcW w:w="2275" w:type="pct"/>
                  <w:vMerge w:val="continue"/>
                  <w:noWrap w:val="0"/>
                  <w:vAlign w:val="center"/>
                </w:tcPr>
                <w:p w14:paraId="7B48EECA">
                  <w:pPr>
                    <w:jc w:val="left"/>
                    <w:rPr>
                      <w:rFonts w:hint="eastAsia"/>
                      <w:color w:val="auto"/>
                      <w:lang w:val="en-US" w:eastAsia="zh-CN"/>
                    </w:rPr>
                  </w:pPr>
                </w:p>
              </w:tc>
              <w:tc>
                <w:tcPr>
                  <w:tcW w:w="1496" w:type="pct"/>
                  <w:vMerge w:val="continue"/>
                  <w:noWrap w:val="0"/>
                  <w:vAlign w:val="center"/>
                </w:tcPr>
                <w:p w14:paraId="5C03521B">
                  <w:pPr>
                    <w:rPr>
                      <w:rFonts w:hint="default" w:ascii="Times New Roman" w:hAnsi="Times New Roman" w:eastAsia="宋体" w:cs="Times New Roman"/>
                      <w:color w:val="auto"/>
                      <w:sz w:val="21"/>
                      <w:szCs w:val="21"/>
                      <w:highlight w:val="none"/>
                      <w:lang w:val="en-US" w:eastAsia="zh-CN"/>
                    </w:rPr>
                  </w:pPr>
                </w:p>
              </w:tc>
            </w:tr>
            <w:tr w14:paraId="3C202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restart"/>
                  <w:noWrap w:val="0"/>
                  <w:vAlign w:val="center"/>
                </w:tcPr>
                <w:p w14:paraId="030BE5D2">
                  <w:pPr>
                    <w:rPr>
                      <w:rFonts w:hint="default"/>
                      <w:color w:val="auto"/>
                      <w:lang w:val="en-US" w:eastAsia="zh-CN"/>
                    </w:rPr>
                  </w:pPr>
                  <w:r>
                    <w:rPr>
                      <w:rFonts w:hint="eastAsia"/>
                      <w:color w:val="auto"/>
                      <w:lang w:val="en-US" w:eastAsia="zh-CN"/>
                    </w:rPr>
                    <w:t>废气（无组织）</w:t>
                  </w:r>
                </w:p>
              </w:tc>
              <w:tc>
                <w:tcPr>
                  <w:tcW w:w="848" w:type="pct"/>
                  <w:noWrap w:val="0"/>
                  <w:vAlign w:val="center"/>
                </w:tcPr>
                <w:p w14:paraId="417E0724">
                  <w:pPr>
                    <w:jc w:val="center"/>
                    <w:rPr>
                      <w:rFonts w:hint="eastAsia"/>
                      <w:color w:val="auto"/>
                      <w:lang w:val="en-US" w:eastAsia="zh-CN"/>
                    </w:rPr>
                  </w:pPr>
                  <w:r>
                    <w:rPr>
                      <w:rFonts w:hint="eastAsia"/>
                      <w:color w:val="auto"/>
                      <w:lang w:val="en-US" w:eastAsia="zh-CN"/>
                    </w:rPr>
                    <w:t>颗粒物</w:t>
                  </w:r>
                </w:p>
              </w:tc>
              <w:tc>
                <w:tcPr>
                  <w:tcW w:w="2275" w:type="pct"/>
                  <w:vMerge w:val="restart"/>
                  <w:noWrap w:val="0"/>
                  <w:vAlign w:val="center"/>
                </w:tcPr>
                <w:p w14:paraId="56802DE7">
                  <w:pPr>
                    <w:jc w:val="center"/>
                    <w:rPr>
                      <w:rFonts w:hint="default"/>
                      <w:color w:val="auto"/>
                      <w:lang w:val="en-US" w:eastAsia="zh-CN"/>
                    </w:rPr>
                  </w:pPr>
                  <w:r>
                    <w:rPr>
                      <w:rFonts w:hint="eastAsia"/>
                      <w:color w:val="auto"/>
                      <w:lang w:val="en-US" w:eastAsia="zh-CN"/>
                    </w:rPr>
                    <w:t>/</w:t>
                  </w:r>
                </w:p>
              </w:tc>
              <w:tc>
                <w:tcPr>
                  <w:tcW w:w="1496" w:type="pct"/>
                  <w:vMerge w:val="restart"/>
                  <w:noWrap w:val="0"/>
                  <w:vAlign w:val="center"/>
                </w:tcPr>
                <w:p w14:paraId="7A0C580B">
                  <w:pP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《大气污染物综合排放标准》（GB16297-1996）表2中浓度限值</w:t>
                  </w:r>
                </w:p>
              </w:tc>
            </w:tr>
            <w:tr w14:paraId="608A9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continue"/>
                  <w:noWrap w:val="0"/>
                  <w:vAlign w:val="center"/>
                </w:tcPr>
                <w:p w14:paraId="79700E6F">
                  <w:pPr>
                    <w:rPr>
                      <w:rFonts w:hint="eastAsia"/>
                      <w:color w:val="auto"/>
                      <w:lang w:val="en-US" w:eastAsia="zh-CN"/>
                    </w:rPr>
                  </w:pPr>
                </w:p>
              </w:tc>
              <w:tc>
                <w:tcPr>
                  <w:tcW w:w="848" w:type="pct"/>
                  <w:shd w:val="clear" w:color="auto" w:fill="auto"/>
                  <w:noWrap w:val="0"/>
                  <w:vAlign w:val="center"/>
                </w:tcPr>
                <w:p w14:paraId="5A77059B">
                  <w:pPr>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沥青烟</w:t>
                  </w:r>
                </w:p>
              </w:tc>
              <w:tc>
                <w:tcPr>
                  <w:tcW w:w="2275" w:type="pct"/>
                  <w:vMerge w:val="continue"/>
                  <w:noWrap w:val="0"/>
                  <w:vAlign w:val="center"/>
                </w:tcPr>
                <w:p w14:paraId="2DE67AB6">
                  <w:pPr>
                    <w:jc w:val="left"/>
                    <w:rPr>
                      <w:rFonts w:hint="eastAsia"/>
                      <w:color w:val="auto"/>
                      <w:lang w:val="en-US" w:eastAsia="zh-CN"/>
                    </w:rPr>
                  </w:pPr>
                </w:p>
              </w:tc>
              <w:tc>
                <w:tcPr>
                  <w:tcW w:w="1496" w:type="pct"/>
                  <w:vMerge w:val="continue"/>
                  <w:noWrap w:val="0"/>
                  <w:vAlign w:val="center"/>
                </w:tcPr>
                <w:p w14:paraId="6BC61358">
                  <w:pPr>
                    <w:rPr>
                      <w:rFonts w:hint="default" w:ascii="Times New Roman" w:hAnsi="Times New Roman" w:eastAsia="宋体" w:cs="Times New Roman"/>
                      <w:color w:val="auto"/>
                      <w:sz w:val="21"/>
                      <w:szCs w:val="21"/>
                      <w:highlight w:val="none"/>
                      <w:lang w:val="en-US" w:eastAsia="zh-CN"/>
                    </w:rPr>
                  </w:pPr>
                </w:p>
              </w:tc>
            </w:tr>
            <w:tr w14:paraId="0A35D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continue"/>
                  <w:noWrap w:val="0"/>
                  <w:vAlign w:val="center"/>
                </w:tcPr>
                <w:p w14:paraId="0F79C82F">
                  <w:pPr>
                    <w:rPr>
                      <w:rFonts w:hint="eastAsia"/>
                      <w:color w:val="auto"/>
                      <w:lang w:val="en-US" w:eastAsia="zh-CN"/>
                    </w:rPr>
                  </w:pPr>
                </w:p>
              </w:tc>
              <w:tc>
                <w:tcPr>
                  <w:tcW w:w="848" w:type="pct"/>
                  <w:shd w:val="clear" w:color="auto" w:fill="auto"/>
                  <w:noWrap w:val="0"/>
                  <w:vAlign w:val="center"/>
                </w:tcPr>
                <w:p w14:paraId="52773BE5">
                  <w:pPr>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苯并芘</w:t>
                  </w:r>
                </w:p>
              </w:tc>
              <w:tc>
                <w:tcPr>
                  <w:tcW w:w="2275" w:type="pct"/>
                  <w:vMerge w:val="continue"/>
                  <w:noWrap w:val="0"/>
                  <w:vAlign w:val="center"/>
                </w:tcPr>
                <w:p w14:paraId="10FDFB5F">
                  <w:pPr>
                    <w:jc w:val="left"/>
                    <w:rPr>
                      <w:rFonts w:hint="eastAsia"/>
                      <w:color w:val="auto"/>
                      <w:lang w:val="en-US" w:eastAsia="zh-CN"/>
                    </w:rPr>
                  </w:pPr>
                </w:p>
              </w:tc>
              <w:tc>
                <w:tcPr>
                  <w:tcW w:w="1496" w:type="pct"/>
                  <w:vMerge w:val="continue"/>
                  <w:noWrap w:val="0"/>
                  <w:vAlign w:val="center"/>
                </w:tcPr>
                <w:p w14:paraId="60254A7A">
                  <w:pPr>
                    <w:rPr>
                      <w:rFonts w:hint="default" w:ascii="Times New Roman" w:hAnsi="Times New Roman" w:eastAsia="宋体" w:cs="Times New Roman"/>
                      <w:color w:val="auto"/>
                      <w:sz w:val="21"/>
                      <w:szCs w:val="21"/>
                      <w:highlight w:val="none"/>
                      <w:lang w:val="en-US" w:eastAsia="zh-CN"/>
                    </w:rPr>
                  </w:pPr>
                </w:p>
              </w:tc>
            </w:tr>
            <w:tr w14:paraId="19004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trPr>
              <w:tc>
                <w:tcPr>
                  <w:tcW w:w="379" w:type="pct"/>
                  <w:vMerge w:val="continue"/>
                  <w:noWrap w:val="0"/>
                  <w:vAlign w:val="center"/>
                </w:tcPr>
                <w:p w14:paraId="7F80E3A8">
                  <w:pPr>
                    <w:rPr>
                      <w:rFonts w:hint="eastAsia"/>
                      <w:color w:val="auto"/>
                      <w:lang w:val="en-US" w:eastAsia="zh-CN"/>
                    </w:rPr>
                  </w:pPr>
                </w:p>
              </w:tc>
              <w:tc>
                <w:tcPr>
                  <w:tcW w:w="848" w:type="pct"/>
                  <w:shd w:val="clear" w:color="auto" w:fill="auto"/>
                  <w:noWrap w:val="0"/>
                  <w:vAlign w:val="center"/>
                </w:tcPr>
                <w:p w14:paraId="206E9814">
                  <w:pPr>
                    <w:jc w:val="center"/>
                    <w:rPr>
                      <w:rFonts w:hint="eastAsia" w:ascii="Times New Roman" w:hAnsi="Times New Roman" w:eastAsia="宋体" w:cs="Times New Roman"/>
                      <w:color w:val="auto"/>
                      <w:kern w:val="2"/>
                      <w:sz w:val="21"/>
                      <w:szCs w:val="24"/>
                      <w:lang w:val="en-US" w:eastAsia="zh-CN" w:bidi="ar-SA"/>
                    </w:rPr>
                  </w:pPr>
                  <w:r>
                    <w:rPr>
                      <w:rFonts w:hint="eastAsia"/>
                      <w:color w:val="auto"/>
                      <w:lang w:val="en-US" w:eastAsia="zh-CN"/>
                    </w:rPr>
                    <w:t>非甲烷总烃</w:t>
                  </w:r>
                </w:p>
              </w:tc>
              <w:tc>
                <w:tcPr>
                  <w:tcW w:w="2275" w:type="pct"/>
                  <w:vMerge w:val="continue"/>
                  <w:noWrap w:val="0"/>
                  <w:vAlign w:val="center"/>
                </w:tcPr>
                <w:p w14:paraId="54C21F7D">
                  <w:pPr>
                    <w:jc w:val="left"/>
                    <w:rPr>
                      <w:rFonts w:hint="eastAsia"/>
                      <w:color w:val="auto"/>
                      <w:lang w:val="en-US" w:eastAsia="zh-CN"/>
                    </w:rPr>
                  </w:pPr>
                </w:p>
              </w:tc>
              <w:tc>
                <w:tcPr>
                  <w:tcW w:w="1496" w:type="pct"/>
                  <w:vMerge w:val="continue"/>
                  <w:noWrap w:val="0"/>
                  <w:vAlign w:val="center"/>
                </w:tcPr>
                <w:p w14:paraId="6AFC494E">
                  <w:pPr>
                    <w:rPr>
                      <w:rFonts w:hint="default" w:ascii="Times New Roman" w:hAnsi="Times New Roman" w:eastAsia="宋体" w:cs="Times New Roman"/>
                      <w:color w:val="auto"/>
                      <w:sz w:val="21"/>
                      <w:szCs w:val="21"/>
                      <w:highlight w:val="none"/>
                      <w:lang w:val="en-US" w:eastAsia="zh-CN"/>
                    </w:rPr>
                  </w:pPr>
                </w:p>
              </w:tc>
            </w:tr>
            <w:tr w14:paraId="2BE3E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805" w:hRule="atLeast"/>
              </w:trPr>
              <w:tc>
                <w:tcPr>
                  <w:tcW w:w="379" w:type="pct"/>
                  <w:noWrap w:val="0"/>
                  <w:vAlign w:val="center"/>
                </w:tcPr>
                <w:p w14:paraId="7DCEC1C6">
                  <w:pPr>
                    <w:rPr>
                      <w:rFonts w:hint="default" w:eastAsia="宋体"/>
                      <w:color w:val="auto"/>
                      <w:lang w:val="en-US" w:eastAsia="zh-CN"/>
                    </w:rPr>
                  </w:pPr>
                  <w:r>
                    <w:rPr>
                      <w:rFonts w:hint="eastAsia"/>
                      <w:color w:val="auto"/>
                      <w:lang w:val="en-US" w:eastAsia="zh-CN"/>
                    </w:rPr>
                    <w:t>环境风险</w:t>
                  </w:r>
                </w:p>
              </w:tc>
              <w:tc>
                <w:tcPr>
                  <w:tcW w:w="4620" w:type="pct"/>
                  <w:gridSpan w:val="3"/>
                  <w:noWrap w:val="0"/>
                  <w:vAlign w:val="center"/>
                </w:tcPr>
                <w:p w14:paraId="6CFE2E59">
                  <w:pPr>
                    <w:ind w:right="-185" w:rightChars="-88"/>
                    <w:jc w:val="left"/>
                    <w:rPr>
                      <w:rFonts w:hint="eastAsia" w:ascii="Times New Roman" w:hAnsi="Times New Roman" w:eastAsia="宋体" w:cs="Times New Roman"/>
                      <w:color w:val="auto"/>
                      <w:sz w:val="21"/>
                      <w:szCs w:val="21"/>
                      <w:lang w:val="en-US"/>
                    </w:rPr>
                  </w:pPr>
                  <w:r>
                    <w:rPr>
                      <w:rFonts w:hint="eastAsia" w:ascii="Times New Roman" w:hAnsi="Times New Roman" w:eastAsia="宋体" w:cs="Times New Roman"/>
                      <w:color w:val="auto"/>
                      <w:sz w:val="21"/>
                      <w:szCs w:val="21"/>
                      <w:lang w:val="en-US"/>
                    </w:rPr>
                    <w:t>加强中国神华煤制油化工有限公司鄂尔多斯煤制油分公司</w:t>
                  </w:r>
                  <w:r>
                    <w:rPr>
                      <w:rFonts w:hint="eastAsia" w:ascii="Times New Roman" w:hAnsi="Times New Roman" w:eastAsia="宋体" w:cs="Times New Roman"/>
                      <w:color w:val="auto"/>
                      <w:sz w:val="21"/>
                      <w:szCs w:val="21"/>
                      <w:lang w:val="en-US" w:eastAsia="zh-CN"/>
                    </w:rPr>
                    <w:t>道路沥青改性剂开发研究与应用</w:t>
                  </w:r>
                  <w:r>
                    <w:rPr>
                      <w:rFonts w:hint="eastAsia" w:ascii="Times New Roman" w:hAnsi="Times New Roman" w:eastAsia="宋体" w:cs="Times New Roman"/>
                      <w:color w:val="auto"/>
                      <w:sz w:val="21"/>
                      <w:szCs w:val="21"/>
                      <w:lang w:val="en-US"/>
                    </w:rPr>
                    <w:t>项目巡查，发现问题及时处理。</w:t>
                  </w:r>
                </w:p>
                <w:p w14:paraId="0582E21B">
                  <w:pPr>
                    <w:ind w:right="-185" w:rightChars="-88"/>
                    <w:jc w:val="left"/>
                    <w:rPr>
                      <w:rFonts w:hint="eastAsia" w:eastAsia="宋体"/>
                      <w:color w:val="auto"/>
                      <w:lang w:eastAsia="zh-CN"/>
                    </w:rPr>
                  </w:pPr>
                  <w:r>
                    <w:rPr>
                      <w:rFonts w:hint="eastAsia" w:ascii="Times New Roman" w:hAnsi="Times New Roman" w:eastAsia="宋体" w:cs="Times New Roman"/>
                      <w:color w:val="auto"/>
                      <w:sz w:val="21"/>
                      <w:szCs w:val="21"/>
                      <w:lang w:val="en-US"/>
                    </w:rPr>
                    <w:t>强化管理，加强人员的业务培训，完善各项规章制度</w:t>
                  </w:r>
                  <w:r>
                    <w:rPr>
                      <w:rFonts w:hint="eastAsia" w:cs="Times New Roman"/>
                      <w:color w:val="auto"/>
                      <w:sz w:val="21"/>
                      <w:szCs w:val="21"/>
                      <w:lang w:val="en-US" w:eastAsia="zh-CN"/>
                    </w:rPr>
                    <w:t>。</w:t>
                  </w:r>
                </w:p>
              </w:tc>
            </w:tr>
          </w:tbl>
          <w:p w14:paraId="55F39BAC">
            <w:pPr>
              <w:adjustRightInd w:val="0"/>
              <w:snapToGrid w:val="0"/>
              <w:rPr>
                <w:rFonts w:ascii="宋体" w:hAnsi="宋体" w:cs="宋体"/>
                <w:bCs/>
                <w:color w:val="auto"/>
                <w:spacing w:val="-10"/>
                <w:szCs w:val="21"/>
                <w:highlight w:val="none"/>
              </w:rPr>
            </w:pPr>
          </w:p>
        </w:tc>
      </w:tr>
    </w:tbl>
    <w:p w14:paraId="64A6FE26">
      <w:pPr>
        <w:adjustRightInd w:val="0"/>
        <w:snapToGrid w:val="0"/>
        <w:spacing w:line="360" w:lineRule="auto"/>
        <w:rPr>
          <w:rFonts w:ascii="宋体" w:cs="宋体"/>
          <w:b/>
          <w:color w:val="FF0000"/>
          <w:kern w:val="0"/>
          <w:sz w:val="28"/>
          <w:szCs w:val="28"/>
          <w:highlight w:val="none"/>
        </w:rPr>
        <w:sectPr>
          <w:pgSz w:w="11907" w:h="16840"/>
          <w:pgMar w:top="1701" w:right="1531" w:bottom="2127" w:left="1531" w:header="851" w:footer="851" w:gutter="0"/>
          <w:cols w:space="720" w:num="1"/>
          <w:docGrid w:linePitch="312" w:charSpace="0"/>
        </w:sectPr>
      </w:pPr>
    </w:p>
    <w:p w14:paraId="43195F86">
      <w:pPr>
        <w:pStyle w:val="23"/>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五、</w:t>
      </w:r>
      <w:bookmarkStart w:id="6" w:name="_Hlk54167917"/>
      <w:r>
        <w:rPr>
          <w:rFonts w:hint="eastAsia" w:ascii="黑体" w:hAnsi="黑体" w:eastAsia="黑体"/>
          <w:snapToGrid w:val="0"/>
          <w:color w:val="auto"/>
          <w:sz w:val="30"/>
          <w:szCs w:val="30"/>
          <w:highlight w:val="none"/>
        </w:rPr>
        <w:t>环境保护措施监督检查清单</w:t>
      </w:r>
      <w:bookmarkEnd w:id="6"/>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28" w:type="dxa"/>
          <w:left w:w="108" w:type="dxa"/>
          <w:bottom w:w="28" w:type="dxa"/>
          <w:right w:w="108" w:type="dxa"/>
        </w:tblCellMar>
      </w:tblPr>
      <w:tblGrid>
        <w:gridCol w:w="1778"/>
        <w:gridCol w:w="1755"/>
        <w:gridCol w:w="1407"/>
        <w:gridCol w:w="1680"/>
        <w:gridCol w:w="2180"/>
      </w:tblGrid>
      <w:tr w14:paraId="66FB9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425" w:hRule="atLeast"/>
          <w:jc w:val="center"/>
        </w:trPr>
        <w:tc>
          <w:tcPr>
            <w:tcW w:w="1778" w:type="dxa"/>
            <w:tcBorders>
              <w:tl2br w:val="single" w:color="auto" w:sz="4" w:space="0"/>
            </w:tcBorders>
            <w:noWrap w:val="0"/>
          </w:tcPr>
          <w:p w14:paraId="75213ABE">
            <w:pPr>
              <w:adjustRightInd w:val="0"/>
              <w:snapToGrid w:val="0"/>
              <w:spacing w:line="360" w:lineRule="auto"/>
              <w:ind w:firstLine="840"/>
              <w:rPr>
                <w:rFonts w:hint="eastAsia" w:ascii="宋体" w:hAnsi="宋体" w:eastAsia="宋体" w:cs="宋体"/>
                <w:color w:val="auto"/>
                <w:sz w:val="24"/>
                <w:szCs w:val="24"/>
              </w:rPr>
            </w:pPr>
            <w:r>
              <w:rPr>
                <w:rFonts w:hint="eastAsia" w:ascii="宋体" w:hAnsi="宋体" w:eastAsia="宋体" w:cs="宋体"/>
                <w:color w:val="auto"/>
                <w:sz w:val="24"/>
                <w:szCs w:val="24"/>
              </w:rPr>
              <w:t>内容</w:t>
            </w:r>
          </w:p>
          <w:p w14:paraId="5710DED1">
            <w:pPr>
              <w:adjustRightInd w:val="0"/>
              <w:snapToGrid w:val="0"/>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要素</w:t>
            </w:r>
          </w:p>
        </w:tc>
        <w:tc>
          <w:tcPr>
            <w:tcW w:w="1755" w:type="dxa"/>
            <w:noWrap w:val="0"/>
            <w:vAlign w:val="center"/>
          </w:tcPr>
          <w:p w14:paraId="72D0DDEB">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排放口(编号、</w:t>
            </w:r>
          </w:p>
          <w:p w14:paraId="6C2C29B7">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名称)/污染源</w:t>
            </w:r>
          </w:p>
        </w:tc>
        <w:tc>
          <w:tcPr>
            <w:tcW w:w="1407" w:type="dxa"/>
            <w:noWrap w:val="0"/>
            <w:vAlign w:val="center"/>
          </w:tcPr>
          <w:p w14:paraId="3911B1FC">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污染物项目</w:t>
            </w:r>
          </w:p>
        </w:tc>
        <w:tc>
          <w:tcPr>
            <w:tcW w:w="1680" w:type="dxa"/>
            <w:noWrap w:val="0"/>
            <w:vAlign w:val="center"/>
          </w:tcPr>
          <w:p w14:paraId="373C218A">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环境保护措施</w:t>
            </w:r>
          </w:p>
        </w:tc>
        <w:tc>
          <w:tcPr>
            <w:tcW w:w="2180" w:type="dxa"/>
            <w:noWrap w:val="0"/>
            <w:vAlign w:val="center"/>
          </w:tcPr>
          <w:p w14:paraId="6A41DCDA">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执行标准</w:t>
            </w:r>
          </w:p>
        </w:tc>
      </w:tr>
      <w:tr w14:paraId="70E1AF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1423" w:hRule="atLeast"/>
          <w:jc w:val="center"/>
        </w:trPr>
        <w:tc>
          <w:tcPr>
            <w:tcW w:w="1778" w:type="dxa"/>
            <w:vMerge w:val="restart"/>
            <w:noWrap w:val="0"/>
            <w:vAlign w:val="center"/>
          </w:tcPr>
          <w:p w14:paraId="1C86CF7B">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大气环境</w:t>
            </w:r>
          </w:p>
        </w:tc>
        <w:tc>
          <w:tcPr>
            <w:tcW w:w="1755" w:type="dxa"/>
            <w:noWrap w:val="0"/>
            <w:vAlign w:val="center"/>
          </w:tcPr>
          <w:p w14:paraId="4CA89708">
            <w:pPr>
              <w:adjustRightInd w:val="0"/>
              <w:snapToGrid w:val="0"/>
              <w:spacing w:line="360" w:lineRule="auto"/>
              <w:jc w:val="center"/>
              <w:rPr>
                <w:rFonts w:hint="default" w:ascii="宋体" w:hAnsi="宋体" w:eastAsia="宋体" w:cs="宋体"/>
                <w:color w:val="auto"/>
                <w:sz w:val="24"/>
                <w:szCs w:val="24"/>
                <w:highlight w:val="none"/>
                <w:lang w:val="en-US" w:eastAsia="zh-CN"/>
              </w:rPr>
            </w:pPr>
            <w:r>
              <w:rPr>
                <w:rFonts w:hint="eastAsia"/>
                <w:color w:val="auto"/>
                <w:sz w:val="24"/>
                <w:szCs w:val="24"/>
                <w:lang w:val="en-US" w:eastAsia="zh-CN"/>
              </w:rPr>
              <w:t>破碎、包装排口</w:t>
            </w:r>
          </w:p>
        </w:tc>
        <w:tc>
          <w:tcPr>
            <w:tcW w:w="1407" w:type="dxa"/>
            <w:noWrap w:val="0"/>
            <w:vAlign w:val="center"/>
          </w:tcPr>
          <w:p w14:paraId="7B6EADE7">
            <w:pPr>
              <w:adjustRightInd w:val="0"/>
              <w:snapToGrid w:val="0"/>
              <w:spacing w:line="360" w:lineRule="auto"/>
              <w:jc w:val="center"/>
              <w:rPr>
                <w:rFonts w:hint="eastAsia" w:ascii="宋体" w:hAnsi="宋体" w:eastAsia="宋体" w:cs="宋体"/>
                <w:color w:val="auto"/>
                <w:sz w:val="24"/>
                <w:szCs w:val="24"/>
              </w:rPr>
            </w:pPr>
            <w:r>
              <w:rPr>
                <w:rFonts w:hint="eastAsia"/>
                <w:color w:val="auto"/>
                <w:sz w:val="24"/>
                <w:szCs w:val="24"/>
                <w:lang w:val="en-US" w:eastAsia="zh-CN"/>
              </w:rPr>
              <w:t>沥青粉尘</w:t>
            </w:r>
          </w:p>
        </w:tc>
        <w:tc>
          <w:tcPr>
            <w:tcW w:w="1680" w:type="dxa"/>
            <w:noWrap w:val="0"/>
            <w:vAlign w:val="center"/>
          </w:tcPr>
          <w:p w14:paraId="25AFA6E0">
            <w:pPr>
              <w:adjustRightInd w:val="0"/>
              <w:snapToGrid w:val="0"/>
              <w:spacing w:line="360" w:lineRule="auto"/>
              <w:jc w:val="center"/>
              <w:rPr>
                <w:rFonts w:hint="default" w:ascii="宋体" w:hAnsi="宋体" w:eastAsia="宋体" w:cs="宋体"/>
                <w:color w:val="auto"/>
                <w:sz w:val="24"/>
                <w:szCs w:val="24"/>
                <w:lang w:val="en-US"/>
              </w:rPr>
            </w:pPr>
            <w:r>
              <w:rPr>
                <w:rFonts w:hint="eastAsia"/>
                <w:color w:val="auto"/>
                <w:sz w:val="24"/>
                <w:szCs w:val="24"/>
                <w:lang w:val="en-US" w:eastAsia="zh-CN"/>
              </w:rPr>
              <w:t>集气罩（集气效率90%）+布袋除尘器（去除率99%）+15m排气筒</w:t>
            </w:r>
          </w:p>
        </w:tc>
        <w:tc>
          <w:tcPr>
            <w:tcW w:w="2180" w:type="dxa"/>
            <w:vMerge w:val="restart"/>
            <w:noWrap w:val="0"/>
            <w:vAlign w:val="center"/>
          </w:tcPr>
          <w:p w14:paraId="2EDF98C8">
            <w:pPr>
              <w:adjustRightInd w:val="0"/>
              <w:snapToGrid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highlight w:val="none"/>
                <w:lang w:val="en-US" w:eastAsia="zh-CN"/>
              </w:rPr>
              <w:t>《大气污染物综合排放标准》（GB16297-1996）表2中浓度限值</w:t>
            </w:r>
          </w:p>
        </w:tc>
      </w:tr>
      <w:tr w14:paraId="2E8C67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1423" w:hRule="atLeast"/>
          <w:jc w:val="center"/>
        </w:trPr>
        <w:tc>
          <w:tcPr>
            <w:tcW w:w="1778" w:type="dxa"/>
            <w:vMerge w:val="continue"/>
            <w:noWrap w:val="0"/>
            <w:vAlign w:val="center"/>
          </w:tcPr>
          <w:p w14:paraId="2D9AD637">
            <w:pPr>
              <w:adjustRightInd w:val="0"/>
              <w:snapToGrid w:val="0"/>
              <w:spacing w:line="360" w:lineRule="auto"/>
              <w:jc w:val="center"/>
              <w:rPr>
                <w:color w:val="auto"/>
              </w:rPr>
            </w:pPr>
          </w:p>
        </w:tc>
        <w:tc>
          <w:tcPr>
            <w:tcW w:w="1755" w:type="dxa"/>
            <w:vMerge w:val="restart"/>
            <w:noWrap w:val="0"/>
            <w:vAlign w:val="center"/>
          </w:tcPr>
          <w:p w14:paraId="3DCB18E4">
            <w:pPr>
              <w:adjustRightInd w:val="0"/>
              <w:snapToGrid w:val="0"/>
              <w:spacing w:line="360" w:lineRule="auto"/>
              <w:jc w:val="center"/>
              <w:rPr>
                <w:rFonts w:hint="default"/>
                <w:color w:val="auto"/>
                <w:sz w:val="24"/>
                <w:szCs w:val="24"/>
                <w:lang w:val="en-US" w:eastAsia="zh-CN"/>
              </w:rPr>
            </w:pPr>
            <w:r>
              <w:rPr>
                <w:rFonts w:hint="eastAsia"/>
                <w:color w:val="auto"/>
                <w:sz w:val="24"/>
                <w:szCs w:val="24"/>
                <w:lang w:val="en-US" w:eastAsia="zh-CN"/>
              </w:rPr>
              <w:t>混料机</w:t>
            </w:r>
          </w:p>
        </w:tc>
        <w:tc>
          <w:tcPr>
            <w:tcW w:w="1407" w:type="dxa"/>
            <w:noWrap w:val="0"/>
            <w:vAlign w:val="center"/>
          </w:tcPr>
          <w:p w14:paraId="384D7339">
            <w:pPr>
              <w:adjustRightInd w:val="0"/>
              <w:snapToGrid w:val="0"/>
              <w:spacing w:line="360" w:lineRule="auto"/>
              <w:jc w:val="center"/>
              <w:rPr>
                <w:rFonts w:hint="default"/>
                <w:color w:val="auto"/>
                <w:sz w:val="24"/>
                <w:szCs w:val="24"/>
                <w:lang w:val="en-US" w:eastAsia="zh-CN"/>
              </w:rPr>
            </w:pPr>
            <w:r>
              <w:rPr>
                <w:rFonts w:hint="eastAsia"/>
                <w:color w:val="auto"/>
                <w:sz w:val="24"/>
                <w:szCs w:val="24"/>
                <w:lang w:val="en-US" w:eastAsia="zh-CN"/>
              </w:rPr>
              <w:t>沥青烟</w:t>
            </w:r>
          </w:p>
        </w:tc>
        <w:tc>
          <w:tcPr>
            <w:tcW w:w="1680" w:type="dxa"/>
            <w:vMerge w:val="restart"/>
            <w:noWrap w:val="0"/>
            <w:vAlign w:val="center"/>
          </w:tcPr>
          <w:p w14:paraId="528F9707">
            <w:pPr>
              <w:adjustRightInd w:val="0"/>
              <w:snapToGrid w:val="0"/>
              <w:spacing w:line="360" w:lineRule="auto"/>
              <w:jc w:val="center"/>
              <w:rPr>
                <w:rFonts w:hint="eastAsia"/>
                <w:color w:val="auto"/>
                <w:sz w:val="24"/>
                <w:szCs w:val="24"/>
                <w:lang w:val="en-US" w:eastAsia="zh-CN"/>
              </w:rPr>
            </w:pPr>
            <w:r>
              <w:rPr>
                <w:rFonts w:hint="eastAsia"/>
                <w:color w:val="auto"/>
                <w:sz w:val="24"/>
                <w:szCs w:val="24"/>
                <w:lang w:val="en-US" w:eastAsia="zh-CN"/>
              </w:rPr>
              <w:t>集气罩+活性炭吸附+15m排气筒</w:t>
            </w:r>
          </w:p>
          <w:p w14:paraId="25C12B3D">
            <w:pPr>
              <w:adjustRightInd w:val="0"/>
              <w:snapToGrid w:val="0"/>
              <w:spacing w:line="360" w:lineRule="auto"/>
              <w:jc w:val="center"/>
              <w:rPr>
                <w:rFonts w:hint="eastAsia"/>
                <w:color w:val="auto"/>
                <w:sz w:val="24"/>
                <w:szCs w:val="24"/>
                <w:lang w:val="en-US" w:eastAsia="zh-CN"/>
              </w:rPr>
            </w:pPr>
          </w:p>
        </w:tc>
        <w:tc>
          <w:tcPr>
            <w:tcW w:w="2180" w:type="dxa"/>
            <w:vMerge w:val="continue"/>
            <w:noWrap w:val="0"/>
            <w:vAlign w:val="center"/>
          </w:tcPr>
          <w:p w14:paraId="5FD050C3">
            <w:pPr>
              <w:adjustRightInd w:val="0"/>
              <w:snapToGrid w:val="0"/>
              <w:spacing w:line="360" w:lineRule="auto"/>
              <w:jc w:val="center"/>
              <w:rPr>
                <w:rFonts w:hint="eastAsia"/>
                <w:color w:val="auto"/>
                <w:sz w:val="24"/>
                <w:szCs w:val="24"/>
                <w:lang w:val="en-US" w:eastAsia="zh-CN"/>
              </w:rPr>
            </w:pPr>
          </w:p>
        </w:tc>
      </w:tr>
      <w:tr w14:paraId="27AFE8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1423" w:hRule="atLeast"/>
          <w:jc w:val="center"/>
        </w:trPr>
        <w:tc>
          <w:tcPr>
            <w:tcW w:w="1778" w:type="dxa"/>
            <w:vMerge w:val="continue"/>
            <w:noWrap w:val="0"/>
            <w:vAlign w:val="center"/>
          </w:tcPr>
          <w:p w14:paraId="2108FFCC">
            <w:pPr>
              <w:adjustRightInd w:val="0"/>
              <w:snapToGrid w:val="0"/>
              <w:spacing w:line="360" w:lineRule="auto"/>
              <w:jc w:val="center"/>
              <w:rPr>
                <w:color w:val="auto"/>
              </w:rPr>
            </w:pPr>
          </w:p>
        </w:tc>
        <w:tc>
          <w:tcPr>
            <w:tcW w:w="1755" w:type="dxa"/>
            <w:vMerge w:val="continue"/>
            <w:noWrap w:val="0"/>
            <w:vAlign w:val="center"/>
          </w:tcPr>
          <w:p w14:paraId="0209D611">
            <w:pPr>
              <w:adjustRightInd w:val="0"/>
              <w:snapToGrid w:val="0"/>
              <w:spacing w:line="360" w:lineRule="auto"/>
              <w:jc w:val="center"/>
              <w:rPr>
                <w:rFonts w:hint="eastAsia"/>
                <w:color w:val="auto"/>
                <w:sz w:val="24"/>
                <w:szCs w:val="24"/>
                <w:lang w:val="en-US" w:eastAsia="zh-CN"/>
              </w:rPr>
            </w:pPr>
          </w:p>
        </w:tc>
        <w:tc>
          <w:tcPr>
            <w:tcW w:w="1407" w:type="dxa"/>
            <w:noWrap w:val="0"/>
            <w:vAlign w:val="center"/>
          </w:tcPr>
          <w:p w14:paraId="3666471B">
            <w:pPr>
              <w:adjustRightInd w:val="0"/>
              <w:snapToGrid w:val="0"/>
              <w:spacing w:line="360" w:lineRule="auto"/>
              <w:jc w:val="center"/>
              <w:rPr>
                <w:rFonts w:hint="default"/>
                <w:color w:val="auto"/>
                <w:sz w:val="24"/>
                <w:szCs w:val="24"/>
                <w:lang w:val="en-US" w:eastAsia="zh-CN"/>
              </w:rPr>
            </w:pPr>
            <w:r>
              <w:rPr>
                <w:rFonts w:hint="eastAsia"/>
                <w:color w:val="auto"/>
                <w:sz w:val="24"/>
                <w:szCs w:val="24"/>
                <w:lang w:val="en-US" w:eastAsia="zh-CN"/>
              </w:rPr>
              <w:t>苯并芘</w:t>
            </w:r>
          </w:p>
        </w:tc>
        <w:tc>
          <w:tcPr>
            <w:tcW w:w="1680" w:type="dxa"/>
            <w:vMerge w:val="continue"/>
            <w:noWrap w:val="0"/>
            <w:vAlign w:val="center"/>
          </w:tcPr>
          <w:p w14:paraId="108D50DC">
            <w:pPr>
              <w:adjustRightInd w:val="0"/>
              <w:snapToGrid w:val="0"/>
              <w:spacing w:line="360" w:lineRule="auto"/>
              <w:jc w:val="center"/>
              <w:rPr>
                <w:rFonts w:hint="eastAsia"/>
                <w:color w:val="auto"/>
                <w:sz w:val="24"/>
                <w:szCs w:val="24"/>
                <w:lang w:val="en-US" w:eastAsia="zh-CN"/>
              </w:rPr>
            </w:pPr>
          </w:p>
        </w:tc>
        <w:tc>
          <w:tcPr>
            <w:tcW w:w="2180" w:type="dxa"/>
            <w:vMerge w:val="continue"/>
            <w:noWrap w:val="0"/>
            <w:vAlign w:val="center"/>
          </w:tcPr>
          <w:p w14:paraId="13FA1D88">
            <w:pPr>
              <w:adjustRightInd w:val="0"/>
              <w:snapToGrid w:val="0"/>
              <w:spacing w:line="360" w:lineRule="auto"/>
              <w:jc w:val="center"/>
              <w:rPr>
                <w:rFonts w:hint="eastAsia"/>
                <w:color w:val="auto"/>
                <w:sz w:val="24"/>
                <w:szCs w:val="24"/>
                <w:lang w:val="en-US" w:eastAsia="zh-CN"/>
              </w:rPr>
            </w:pPr>
          </w:p>
        </w:tc>
      </w:tr>
      <w:tr w14:paraId="32423C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1423" w:hRule="atLeast"/>
          <w:jc w:val="center"/>
        </w:trPr>
        <w:tc>
          <w:tcPr>
            <w:tcW w:w="1778" w:type="dxa"/>
            <w:vMerge w:val="continue"/>
            <w:noWrap w:val="0"/>
            <w:vAlign w:val="center"/>
          </w:tcPr>
          <w:p w14:paraId="56D5F488">
            <w:pPr>
              <w:adjustRightInd w:val="0"/>
              <w:snapToGrid w:val="0"/>
              <w:spacing w:line="360" w:lineRule="auto"/>
              <w:jc w:val="center"/>
              <w:rPr>
                <w:color w:val="auto"/>
              </w:rPr>
            </w:pPr>
          </w:p>
        </w:tc>
        <w:tc>
          <w:tcPr>
            <w:tcW w:w="1755" w:type="dxa"/>
            <w:vMerge w:val="continue"/>
            <w:noWrap w:val="0"/>
            <w:vAlign w:val="center"/>
          </w:tcPr>
          <w:p w14:paraId="4E33C039">
            <w:pPr>
              <w:adjustRightInd w:val="0"/>
              <w:snapToGrid w:val="0"/>
              <w:spacing w:line="360" w:lineRule="auto"/>
              <w:jc w:val="center"/>
              <w:rPr>
                <w:rFonts w:hint="eastAsia"/>
                <w:color w:val="auto"/>
                <w:sz w:val="24"/>
                <w:szCs w:val="24"/>
                <w:lang w:val="en-US" w:eastAsia="zh-CN"/>
              </w:rPr>
            </w:pPr>
          </w:p>
        </w:tc>
        <w:tc>
          <w:tcPr>
            <w:tcW w:w="1407" w:type="dxa"/>
            <w:noWrap w:val="0"/>
            <w:vAlign w:val="center"/>
          </w:tcPr>
          <w:p w14:paraId="473729D6">
            <w:pPr>
              <w:adjustRightInd w:val="0"/>
              <w:snapToGrid w:val="0"/>
              <w:spacing w:line="360" w:lineRule="auto"/>
              <w:jc w:val="center"/>
              <w:rPr>
                <w:rFonts w:hint="default"/>
                <w:color w:val="auto"/>
                <w:sz w:val="24"/>
                <w:szCs w:val="24"/>
                <w:lang w:val="en-US" w:eastAsia="zh-CN"/>
              </w:rPr>
            </w:pPr>
            <w:r>
              <w:rPr>
                <w:rFonts w:hint="eastAsia"/>
                <w:color w:val="auto"/>
                <w:sz w:val="24"/>
                <w:szCs w:val="24"/>
                <w:lang w:val="en-US" w:eastAsia="zh-CN"/>
              </w:rPr>
              <w:t>非甲烷总烃</w:t>
            </w:r>
          </w:p>
        </w:tc>
        <w:tc>
          <w:tcPr>
            <w:tcW w:w="1680" w:type="dxa"/>
            <w:vMerge w:val="continue"/>
            <w:noWrap w:val="0"/>
            <w:vAlign w:val="center"/>
          </w:tcPr>
          <w:p w14:paraId="57AA0728">
            <w:pPr>
              <w:adjustRightInd w:val="0"/>
              <w:snapToGrid w:val="0"/>
              <w:spacing w:line="360" w:lineRule="auto"/>
              <w:jc w:val="center"/>
              <w:rPr>
                <w:rFonts w:hint="eastAsia"/>
                <w:color w:val="auto"/>
                <w:sz w:val="24"/>
                <w:szCs w:val="24"/>
                <w:lang w:val="en-US" w:eastAsia="zh-CN"/>
              </w:rPr>
            </w:pPr>
          </w:p>
        </w:tc>
        <w:tc>
          <w:tcPr>
            <w:tcW w:w="2180" w:type="dxa"/>
            <w:vMerge w:val="continue"/>
            <w:noWrap w:val="0"/>
            <w:vAlign w:val="center"/>
          </w:tcPr>
          <w:p w14:paraId="04F9B271">
            <w:pPr>
              <w:adjustRightInd w:val="0"/>
              <w:snapToGrid w:val="0"/>
              <w:spacing w:line="360" w:lineRule="auto"/>
              <w:jc w:val="center"/>
              <w:rPr>
                <w:rFonts w:hint="eastAsia"/>
                <w:color w:val="auto"/>
                <w:sz w:val="24"/>
                <w:szCs w:val="24"/>
                <w:lang w:val="en-US" w:eastAsia="zh-CN"/>
              </w:rPr>
            </w:pPr>
          </w:p>
        </w:tc>
      </w:tr>
      <w:tr w14:paraId="26C0F1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425" w:hRule="atLeast"/>
          <w:jc w:val="center"/>
        </w:trPr>
        <w:tc>
          <w:tcPr>
            <w:tcW w:w="1778" w:type="dxa"/>
            <w:noWrap w:val="0"/>
            <w:vAlign w:val="center"/>
          </w:tcPr>
          <w:p w14:paraId="5B227C2F">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地表水环境</w:t>
            </w:r>
          </w:p>
        </w:tc>
        <w:tc>
          <w:tcPr>
            <w:tcW w:w="1755" w:type="dxa"/>
            <w:noWrap w:val="0"/>
            <w:vAlign w:val="center"/>
          </w:tcPr>
          <w:p w14:paraId="538516C9">
            <w:pPr>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水环切造粒</w:t>
            </w:r>
          </w:p>
        </w:tc>
        <w:tc>
          <w:tcPr>
            <w:tcW w:w="1407" w:type="dxa"/>
            <w:noWrap w:val="0"/>
            <w:vAlign w:val="center"/>
          </w:tcPr>
          <w:p w14:paraId="168ACAE4">
            <w:pPr>
              <w:adjustRightInd w:val="0"/>
              <w:snapToGrid w:val="0"/>
              <w:spacing w:line="360" w:lineRule="auto"/>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COD</w:t>
            </w:r>
          </w:p>
        </w:tc>
        <w:tc>
          <w:tcPr>
            <w:tcW w:w="1680" w:type="dxa"/>
            <w:noWrap w:val="0"/>
            <w:vAlign w:val="center"/>
          </w:tcPr>
          <w:p w14:paraId="46131C2C">
            <w:pPr>
              <w:adjustRightInd w:val="0"/>
              <w:snapToGrid w:val="0"/>
              <w:spacing w:line="360" w:lineRule="auto"/>
              <w:jc w:val="center"/>
              <w:rPr>
                <w:rFonts w:hint="eastAsia" w:ascii="宋体" w:hAnsi="宋体" w:eastAsia="宋体" w:cs="宋体"/>
                <w:color w:val="auto"/>
                <w:sz w:val="24"/>
                <w:szCs w:val="24"/>
              </w:rPr>
            </w:pPr>
            <w:r>
              <w:rPr>
                <w:rFonts w:hint="eastAsia" w:ascii="宋体" w:hAnsi="宋体" w:cs="宋体"/>
                <w:color w:val="auto"/>
                <w:sz w:val="24"/>
                <w:szCs w:val="24"/>
                <w:lang w:val="en-US" w:eastAsia="zh-CN"/>
              </w:rPr>
              <w:t>污水进入含油污水井，通过含油污水井进入154单元污水处理厂含油污水处理系统，含油污水处理系统额定负荷204t/h，经过生化AO池、二次沉淀池、深度处理AO池、深度MBR膜池处理后，COD50mg/L，回用至全厂循环水系统。</w:t>
            </w:r>
          </w:p>
        </w:tc>
        <w:tc>
          <w:tcPr>
            <w:tcW w:w="2180" w:type="dxa"/>
            <w:noWrap w:val="0"/>
            <w:vAlign w:val="center"/>
          </w:tcPr>
          <w:p w14:paraId="15ED41ED">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r>
      <w:tr w14:paraId="68DDCB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425" w:hRule="atLeast"/>
          <w:jc w:val="center"/>
        </w:trPr>
        <w:tc>
          <w:tcPr>
            <w:tcW w:w="1778" w:type="dxa"/>
            <w:noWrap w:val="0"/>
            <w:vAlign w:val="center"/>
          </w:tcPr>
          <w:p w14:paraId="1ED3B44B">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声环境</w:t>
            </w:r>
          </w:p>
        </w:tc>
        <w:tc>
          <w:tcPr>
            <w:tcW w:w="1755" w:type="dxa"/>
            <w:noWrap w:val="0"/>
            <w:vAlign w:val="center"/>
          </w:tcPr>
          <w:p w14:paraId="5D7FF4FD">
            <w:pPr>
              <w:adjustRightInd w:val="0"/>
              <w:snapToGrid w:val="0"/>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rPr>
              <w:t>搬运、转运车辆机械噪声</w:t>
            </w:r>
          </w:p>
        </w:tc>
        <w:tc>
          <w:tcPr>
            <w:tcW w:w="1407" w:type="dxa"/>
            <w:noWrap w:val="0"/>
            <w:vAlign w:val="center"/>
          </w:tcPr>
          <w:p w14:paraId="57AD01E0">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机械噪声</w:t>
            </w:r>
          </w:p>
        </w:tc>
        <w:tc>
          <w:tcPr>
            <w:tcW w:w="1680" w:type="dxa"/>
            <w:noWrap w:val="0"/>
            <w:vAlign w:val="center"/>
          </w:tcPr>
          <w:p w14:paraId="4AFA3A78">
            <w:pPr>
              <w:pStyle w:val="10"/>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减速、禁鸣</w:t>
            </w:r>
            <w:r>
              <w:rPr>
                <w:rFonts w:hint="eastAsia" w:ascii="宋体" w:hAnsi="宋体" w:eastAsia="宋体" w:cs="宋体"/>
                <w:color w:val="auto"/>
                <w:sz w:val="24"/>
                <w:szCs w:val="24"/>
                <w:highlight w:val="none"/>
              </w:rPr>
              <w:t>等措施</w:t>
            </w:r>
            <w:r>
              <w:rPr>
                <w:rFonts w:hint="eastAsia" w:ascii="宋体" w:hAnsi="宋体" w:eastAsia="宋体" w:cs="宋体"/>
                <w:color w:val="auto"/>
                <w:sz w:val="24"/>
                <w:szCs w:val="24"/>
                <w:lang w:eastAsia="zh-CN"/>
              </w:rPr>
              <w:t>。</w:t>
            </w:r>
          </w:p>
        </w:tc>
        <w:tc>
          <w:tcPr>
            <w:tcW w:w="2180" w:type="dxa"/>
            <w:noWrap w:val="0"/>
            <w:vAlign w:val="center"/>
          </w:tcPr>
          <w:p w14:paraId="517EB7A0">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《工业企业厂界环境噪声排放标准》（GB12348-2008）中的</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类标准</w:t>
            </w:r>
          </w:p>
        </w:tc>
      </w:tr>
      <w:tr w14:paraId="05286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425" w:hRule="atLeast"/>
          <w:jc w:val="center"/>
        </w:trPr>
        <w:tc>
          <w:tcPr>
            <w:tcW w:w="1778" w:type="dxa"/>
            <w:noWrap w:val="0"/>
            <w:vAlign w:val="center"/>
          </w:tcPr>
          <w:p w14:paraId="584062DC">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电磁辐射</w:t>
            </w:r>
          </w:p>
        </w:tc>
        <w:tc>
          <w:tcPr>
            <w:tcW w:w="1755" w:type="dxa"/>
            <w:noWrap w:val="0"/>
            <w:vAlign w:val="center"/>
          </w:tcPr>
          <w:p w14:paraId="2AE1AB85">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407" w:type="dxa"/>
            <w:noWrap w:val="0"/>
            <w:vAlign w:val="center"/>
          </w:tcPr>
          <w:p w14:paraId="763153EE">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680" w:type="dxa"/>
            <w:noWrap w:val="0"/>
            <w:vAlign w:val="center"/>
          </w:tcPr>
          <w:p w14:paraId="621515BF">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2180" w:type="dxa"/>
            <w:noWrap w:val="0"/>
            <w:vAlign w:val="center"/>
          </w:tcPr>
          <w:p w14:paraId="4B9BDCA3">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r>
      <w:tr w14:paraId="1A520F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440" w:hRule="atLeast"/>
          <w:jc w:val="center"/>
        </w:trPr>
        <w:tc>
          <w:tcPr>
            <w:tcW w:w="1778" w:type="dxa"/>
            <w:vMerge w:val="restart"/>
            <w:noWrap w:val="0"/>
            <w:vAlign w:val="center"/>
          </w:tcPr>
          <w:p w14:paraId="6088A703">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固体废物</w:t>
            </w:r>
          </w:p>
        </w:tc>
        <w:tc>
          <w:tcPr>
            <w:tcW w:w="1755" w:type="dxa"/>
            <w:noWrap w:val="0"/>
            <w:vAlign w:val="center"/>
          </w:tcPr>
          <w:p w14:paraId="111413EF">
            <w:pPr>
              <w:spacing w:line="360" w:lineRule="auto"/>
              <w:jc w:val="center"/>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布袋除尘器</w:t>
            </w:r>
          </w:p>
        </w:tc>
        <w:tc>
          <w:tcPr>
            <w:tcW w:w="1407" w:type="dxa"/>
            <w:noWrap w:val="0"/>
            <w:vAlign w:val="center"/>
          </w:tcPr>
          <w:p w14:paraId="6208E126">
            <w:pPr>
              <w:spacing w:line="360" w:lineRule="auto"/>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沥青粉尘</w:t>
            </w:r>
          </w:p>
        </w:tc>
        <w:tc>
          <w:tcPr>
            <w:tcW w:w="1680" w:type="dxa"/>
            <w:noWrap w:val="0"/>
            <w:vAlign w:val="center"/>
          </w:tcPr>
          <w:p w14:paraId="3CA7C522">
            <w:pPr>
              <w:spacing w:line="360" w:lineRule="auto"/>
              <w:ind w:firstLine="480" w:firstLineChars="20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回用</w:t>
            </w:r>
          </w:p>
        </w:tc>
        <w:tc>
          <w:tcPr>
            <w:tcW w:w="2180" w:type="dxa"/>
            <w:noWrap w:val="0"/>
            <w:vAlign w:val="center"/>
          </w:tcPr>
          <w:p w14:paraId="0D23BD9D">
            <w:pPr>
              <w:spacing w:line="360" w:lineRule="auto"/>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w:t>
            </w:r>
          </w:p>
        </w:tc>
      </w:tr>
      <w:tr w14:paraId="71547B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440" w:hRule="atLeast"/>
          <w:jc w:val="center"/>
        </w:trPr>
        <w:tc>
          <w:tcPr>
            <w:tcW w:w="1778" w:type="dxa"/>
            <w:vMerge w:val="continue"/>
            <w:noWrap w:val="0"/>
            <w:vAlign w:val="center"/>
          </w:tcPr>
          <w:p w14:paraId="57209988">
            <w:pPr>
              <w:spacing w:line="360" w:lineRule="auto"/>
              <w:ind w:firstLine="420" w:firstLineChars="200"/>
              <w:rPr>
                <w:color w:val="auto"/>
              </w:rPr>
            </w:pPr>
          </w:p>
        </w:tc>
        <w:tc>
          <w:tcPr>
            <w:tcW w:w="1755" w:type="dxa"/>
            <w:noWrap w:val="0"/>
            <w:vAlign w:val="center"/>
          </w:tcPr>
          <w:p w14:paraId="7C815310">
            <w:pPr>
              <w:spacing w:line="360" w:lineRule="auto"/>
              <w:jc w:val="center"/>
              <w:rPr>
                <w:rFonts w:hint="default" w:eastAsia="宋体"/>
                <w:color w:val="auto"/>
                <w:lang w:val="en-US" w:eastAsia="zh-CN"/>
              </w:rPr>
            </w:pPr>
            <w:r>
              <w:rPr>
                <w:rFonts w:hint="eastAsia"/>
                <w:color w:val="auto"/>
                <w:lang w:val="en-US" w:eastAsia="zh-CN"/>
              </w:rPr>
              <w:t>活性炭吸附</w:t>
            </w:r>
          </w:p>
        </w:tc>
        <w:tc>
          <w:tcPr>
            <w:tcW w:w="1407" w:type="dxa"/>
            <w:noWrap w:val="0"/>
            <w:vAlign w:val="center"/>
          </w:tcPr>
          <w:p w14:paraId="1EFEE6DF">
            <w:pPr>
              <w:spacing w:line="360" w:lineRule="auto"/>
              <w:jc w:val="center"/>
              <w:rPr>
                <w:rFonts w:hint="eastAsia" w:eastAsia="宋体"/>
                <w:color w:val="auto"/>
                <w:lang w:val="en-US" w:eastAsia="zh-CN"/>
              </w:rPr>
            </w:pPr>
            <w:r>
              <w:rPr>
                <w:rFonts w:hint="eastAsia"/>
                <w:color w:val="auto"/>
                <w:lang w:val="en-US" w:eastAsia="zh-CN"/>
              </w:rPr>
              <w:t>废活性炭</w:t>
            </w:r>
          </w:p>
        </w:tc>
        <w:tc>
          <w:tcPr>
            <w:tcW w:w="1680" w:type="dxa"/>
            <w:noWrap w:val="0"/>
            <w:vAlign w:val="center"/>
          </w:tcPr>
          <w:p w14:paraId="4F0622F7">
            <w:pPr>
              <w:spacing w:line="360" w:lineRule="auto"/>
              <w:jc w:val="center"/>
              <w:rPr>
                <w:color w:val="auto"/>
              </w:rPr>
            </w:pPr>
            <w:r>
              <w:rPr>
                <w:rFonts w:hint="eastAsia" w:ascii="宋体" w:hAnsi="宋体" w:cs="宋体"/>
                <w:color w:val="auto"/>
                <w:sz w:val="24"/>
                <w:szCs w:val="24"/>
                <w:lang w:val="en-US" w:eastAsia="zh-CN"/>
              </w:rPr>
              <w:t>废活性炭暂存于厂区危废库，定期交有资质的单位处置。</w:t>
            </w:r>
          </w:p>
        </w:tc>
        <w:tc>
          <w:tcPr>
            <w:tcW w:w="2180" w:type="dxa"/>
            <w:noWrap w:val="0"/>
            <w:vAlign w:val="center"/>
          </w:tcPr>
          <w:p w14:paraId="0B8D9167">
            <w:pPr>
              <w:spacing w:line="360" w:lineRule="auto"/>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w:t>
            </w:r>
          </w:p>
        </w:tc>
      </w:tr>
      <w:tr w14:paraId="17B0B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959" w:hRule="atLeast"/>
          <w:jc w:val="center"/>
        </w:trPr>
        <w:tc>
          <w:tcPr>
            <w:tcW w:w="1778" w:type="dxa"/>
            <w:noWrap w:val="0"/>
            <w:vAlign w:val="center"/>
          </w:tcPr>
          <w:p w14:paraId="332C66C3">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土壤及地下水</w:t>
            </w:r>
          </w:p>
          <w:p w14:paraId="0B610881">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污染防治措施</w:t>
            </w:r>
          </w:p>
        </w:tc>
        <w:tc>
          <w:tcPr>
            <w:tcW w:w="7022" w:type="dxa"/>
            <w:gridSpan w:val="4"/>
            <w:noWrap w:val="0"/>
            <w:vAlign w:val="center"/>
          </w:tcPr>
          <w:p w14:paraId="53553C16">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本项目为</w:t>
            </w:r>
            <w:r>
              <w:rPr>
                <w:rFonts w:hint="eastAsia" w:ascii="宋体" w:hAnsi="宋体" w:cs="宋体"/>
                <w:color w:val="auto"/>
                <w:sz w:val="24"/>
                <w:szCs w:val="24"/>
                <w:lang w:val="en-US" w:eastAsia="zh-CN"/>
              </w:rPr>
              <w:t>中试项目</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所有设备均置于厂区防渗区域内，</w:t>
            </w:r>
            <w:r>
              <w:rPr>
                <w:rFonts w:hint="eastAsia" w:ascii="宋体" w:hAnsi="宋体" w:eastAsia="宋体" w:cs="宋体"/>
                <w:color w:val="auto"/>
                <w:sz w:val="24"/>
                <w:szCs w:val="24"/>
                <w:lang w:val="en-US" w:eastAsia="zh-CN"/>
              </w:rPr>
              <w:t>项目基本不会对土壤及地下水环境产生污染</w:t>
            </w:r>
          </w:p>
        </w:tc>
      </w:tr>
      <w:tr w14:paraId="27881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1098" w:hRule="atLeast"/>
          <w:jc w:val="center"/>
        </w:trPr>
        <w:tc>
          <w:tcPr>
            <w:tcW w:w="1778" w:type="dxa"/>
            <w:noWrap w:val="0"/>
            <w:vAlign w:val="center"/>
          </w:tcPr>
          <w:p w14:paraId="57160A0B">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生态保护措施</w:t>
            </w:r>
          </w:p>
        </w:tc>
        <w:tc>
          <w:tcPr>
            <w:tcW w:w="7022" w:type="dxa"/>
            <w:gridSpan w:val="4"/>
            <w:noWrap w:val="0"/>
            <w:vAlign w:val="center"/>
          </w:tcPr>
          <w:p w14:paraId="5B03BD73">
            <w:pPr>
              <w:pStyle w:val="72"/>
              <w:spacing w:line="360" w:lineRule="auto"/>
              <w:ind w:firstLine="420"/>
              <w:rPr>
                <w:rFonts w:hint="eastAsia" w:ascii="宋体" w:hAnsi="宋体" w:eastAsia="宋体" w:cs="宋体"/>
                <w:color w:val="auto"/>
                <w:sz w:val="24"/>
                <w:szCs w:val="24"/>
              </w:rPr>
            </w:pPr>
            <w:r>
              <w:rPr>
                <w:rFonts w:hint="eastAsia" w:ascii="宋体" w:hAnsi="宋体" w:eastAsia="宋体" w:cs="宋体"/>
                <w:color w:val="auto"/>
                <w:sz w:val="24"/>
                <w:szCs w:val="24"/>
              </w:rPr>
              <w:t>无</w:t>
            </w:r>
          </w:p>
        </w:tc>
      </w:tr>
      <w:tr w14:paraId="166AA5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918" w:hRule="atLeast"/>
          <w:jc w:val="center"/>
        </w:trPr>
        <w:tc>
          <w:tcPr>
            <w:tcW w:w="1778" w:type="dxa"/>
            <w:noWrap w:val="0"/>
            <w:vAlign w:val="center"/>
          </w:tcPr>
          <w:p w14:paraId="474DEDEE">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环境风险</w:t>
            </w:r>
          </w:p>
          <w:p w14:paraId="551D1720">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防范措施</w:t>
            </w:r>
          </w:p>
        </w:tc>
        <w:tc>
          <w:tcPr>
            <w:tcW w:w="7022" w:type="dxa"/>
            <w:gridSpan w:val="4"/>
            <w:noWrap w:val="0"/>
            <w:vAlign w:val="center"/>
          </w:tcPr>
          <w:p w14:paraId="32D9A875">
            <w:pPr>
              <w:pStyle w:val="10"/>
              <w:spacing w:line="360" w:lineRule="auto"/>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远离火种、热源，工作场所严禁吸烟。搬运时轻装、轻卸，防止破损。配备相应品种和数量的消防器材及泄漏应急处理设备。编制突发环境事件应急预案。</w:t>
            </w:r>
          </w:p>
        </w:tc>
      </w:tr>
      <w:tr w14:paraId="5FEFD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28" w:type="dxa"/>
            <w:left w:w="108" w:type="dxa"/>
            <w:bottom w:w="28" w:type="dxa"/>
            <w:right w:w="108" w:type="dxa"/>
          </w:tblCellMar>
        </w:tblPrEx>
        <w:trPr>
          <w:trHeight w:val="959" w:hRule="atLeast"/>
          <w:jc w:val="center"/>
        </w:trPr>
        <w:tc>
          <w:tcPr>
            <w:tcW w:w="1778" w:type="dxa"/>
            <w:noWrap w:val="0"/>
            <w:vAlign w:val="center"/>
          </w:tcPr>
          <w:p w14:paraId="51729FA3">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其他环境</w:t>
            </w:r>
          </w:p>
          <w:p w14:paraId="549CB5F0">
            <w:pPr>
              <w:adjustRightInd w:val="0"/>
              <w:snapToGrid w:val="0"/>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管理要求</w:t>
            </w:r>
          </w:p>
        </w:tc>
        <w:tc>
          <w:tcPr>
            <w:tcW w:w="7022" w:type="dxa"/>
            <w:gridSpan w:val="4"/>
            <w:noWrap w:val="0"/>
            <w:vAlign w:val="center"/>
          </w:tcPr>
          <w:p w14:paraId="05A474AD">
            <w:pPr>
              <w:pStyle w:val="72"/>
              <w:numPr>
                <w:ilvl w:val="0"/>
                <w:numId w:val="5"/>
              </w:numPr>
              <w:spacing w:line="360" w:lineRule="auto"/>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制定项目区环境保护管理规章、制度和实施办法，并组织或监督实施。</w:t>
            </w:r>
          </w:p>
          <w:p w14:paraId="3E379F21">
            <w:pPr>
              <w:pStyle w:val="72"/>
              <w:numPr>
                <w:ilvl w:val="0"/>
                <w:numId w:val="5"/>
              </w:numPr>
              <w:spacing w:line="360" w:lineRule="auto"/>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制定环境监测计划，并组织实施。</w:t>
            </w:r>
          </w:p>
          <w:p w14:paraId="5E3F2FF1">
            <w:pPr>
              <w:pStyle w:val="72"/>
              <w:numPr>
                <w:ilvl w:val="0"/>
                <w:numId w:val="5"/>
              </w:numPr>
              <w:spacing w:line="360" w:lineRule="auto"/>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制定竣工环保验收计划，并组织实施。</w:t>
            </w:r>
          </w:p>
          <w:p w14:paraId="4DB0D325">
            <w:pPr>
              <w:pStyle w:val="72"/>
              <w:spacing w:line="360" w:lineRule="auto"/>
              <w:ind w:left="0" w:leftChars="0" w:firstLine="0" w:firstLineChars="0"/>
              <w:rPr>
                <w:rFonts w:hint="eastAsia" w:ascii="宋体" w:hAnsi="宋体" w:eastAsia="宋体" w:cs="宋体"/>
                <w:color w:val="auto"/>
                <w:sz w:val="24"/>
                <w:szCs w:val="24"/>
                <w:lang w:eastAsia="zh-CN"/>
              </w:rPr>
            </w:pPr>
          </w:p>
        </w:tc>
      </w:tr>
    </w:tbl>
    <w:p w14:paraId="3233897A">
      <w:pPr>
        <w:pStyle w:val="23"/>
        <w:jc w:val="center"/>
        <w:outlineLvl w:val="0"/>
        <w:rPr>
          <w:rFonts w:ascii="黑体" w:hAnsi="黑体" w:eastAsia="黑体"/>
          <w:snapToGrid w:val="0"/>
          <w:color w:val="auto"/>
          <w:sz w:val="30"/>
          <w:szCs w:val="30"/>
          <w:highlight w:val="none"/>
        </w:rPr>
      </w:pPr>
      <w:r>
        <w:br w:type="page"/>
      </w:r>
      <w:r>
        <w:rPr>
          <w:rFonts w:hint="eastAsia" w:ascii="黑体" w:hAnsi="黑体" w:eastAsia="黑体"/>
          <w:snapToGrid w:val="0"/>
          <w:color w:val="auto"/>
          <w:sz w:val="30"/>
          <w:szCs w:val="30"/>
          <w:highlight w:val="none"/>
        </w:rPr>
        <w:t>六、结论</w:t>
      </w:r>
    </w:p>
    <w:tbl>
      <w:tblPr>
        <w:tblStyle w:val="26"/>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1F1C7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58A2306B">
            <w:pPr>
              <w:pStyle w:val="72"/>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项目符合国家产业政策要求；项目建设选址合理；运营期对周围环境的影响较小。在严格落实各项污染防治措施、各项风险防范对策，有效减缓运营期带来的环境污染，有效降低风险事故发生概率的前提下，从环境保护角度分析，项目建设可行。</w:t>
            </w:r>
          </w:p>
          <w:p w14:paraId="47CD3505">
            <w:pPr>
              <w:pStyle w:val="72"/>
              <w:ind w:firstLine="0" w:firstLineChars="0"/>
              <w:rPr>
                <w:rFonts w:hint="eastAsia" w:ascii="宋体" w:hAnsi="宋体" w:eastAsia="宋体" w:cs="宋体"/>
                <w:sz w:val="24"/>
                <w:szCs w:val="24"/>
              </w:rPr>
            </w:pPr>
          </w:p>
          <w:p w14:paraId="43ABFE04">
            <w:pPr>
              <w:spacing w:line="360" w:lineRule="auto"/>
              <w:ind w:firstLine="480" w:firstLineChars="200"/>
              <w:rPr>
                <w:rFonts w:ascii="宋体" w:cs="宋体"/>
                <w:color w:val="auto"/>
                <w:sz w:val="24"/>
                <w:highlight w:val="none"/>
              </w:rPr>
            </w:pPr>
          </w:p>
        </w:tc>
      </w:tr>
    </w:tbl>
    <w:p w14:paraId="12BCAAC3">
      <w:pPr>
        <w:rPr>
          <w:rFonts w:ascii="宋体"/>
          <w:color w:val="auto"/>
          <w:highlight w:val="none"/>
        </w:rPr>
        <w:sectPr>
          <w:pgSz w:w="11906" w:h="16838"/>
          <w:pgMar w:top="1701" w:right="1531" w:bottom="1701" w:left="1531" w:header="851" w:footer="851" w:gutter="0"/>
          <w:cols w:space="720" w:num="1"/>
          <w:docGrid w:linePitch="312" w:charSpace="0"/>
        </w:sectPr>
      </w:pPr>
    </w:p>
    <w:p w14:paraId="15A7835C">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hint="eastAsia" w:ascii="宋体" w:hAnsi="宋体" w:eastAsia="宋体" w:cs="宋体"/>
          <w:snapToGrid w:val="0"/>
          <w:sz w:val="24"/>
          <w:szCs w:val="24"/>
        </w:rPr>
      </w:pPr>
      <w:r>
        <w:rPr>
          <w:rFonts w:hint="eastAsia" w:ascii="宋体" w:hAnsi="宋体" w:eastAsia="宋体" w:cs="宋体"/>
          <w:snapToGrid w:val="0"/>
          <w:sz w:val="24"/>
          <w:szCs w:val="24"/>
        </w:rPr>
        <w:t>附表</w:t>
      </w:r>
    </w:p>
    <w:p w14:paraId="58099717">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宋体" w:hAnsi="宋体" w:eastAsia="宋体" w:cs="宋体"/>
          <w:snapToGrid w:val="0"/>
          <w:sz w:val="24"/>
          <w:szCs w:val="24"/>
        </w:rPr>
      </w:pPr>
      <w:r>
        <w:rPr>
          <w:rFonts w:hint="eastAsia" w:ascii="宋体" w:hAnsi="宋体" w:eastAsia="宋体" w:cs="宋体"/>
          <w:snapToGrid w:val="0"/>
          <w:sz w:val="24"/>
          <w:szCs w:val="24"/>
        </w:rPr>
        <w:t>建设项目污染物排放量汇总表</w:t>
      </w:r>
    </w:p>
    <w:p w14:paraId="01E25545">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宋体" w:hAnsi="宋体" w:eastAsia="宋体" w:cs="宋体"/>
          <w:snapToGrid w:val="0"/>
          <w:sz w:val="24"/>
          <w:szCs w:val="24"/>
        </w:rPr>
      </w:pPr>
    </w:p>
    <w:tbl>
      <w:tblPr>
        <w:tblStyle w:val="26"/>
        <w:tblW w:w="14049"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756"/>
        <w:gridCol w:w="1290"/>
      </w:tblGrid>
      <w:tr w14:paraId="782E67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588" w:type="dxa"/>
            <w:tcBorders>
              <w:tl2br w:val="single" w:color="auto" w:sz="4" w:space="0"/>
            </w:tcBorders>
            <w:noWrap w:val="0"/>
            <w:tcMar>
              <w:top w:w="0" w:type="dxa"/>
              <w:left w:w="28" w:type="dxa"/>
              <w:bottom w:w="0" w:type="dxa"/>
              <w:right w:w="28" w:type="dxa"/>
            </w:tcMar>
            <w:vAlign w:val="center"/>
          </w:tcPr>
          <w:p w14:paraId="58554DFB">
            <w:pPr>
              <w:pStyle w:val="46"/>
              <w:spacing w:beforeLines="0" w:afterLines="0" w:line="240" w:lineRule="auto"/>
              <w:jc w:val="right"/>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项目</w:t>
            </w:r>
          </w:p>
          <w:p w14:paraId="48454B57">
            <w:pPr>
              <w:pStyle w:val="46"/>
              <w:spacing w:beforeLines="0" w:afterLines="0" w:line="240" w:lineRule="auto"/>
              <w:jc w:val="left"/>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分类</w:t>
            </w:r>
          </w:p>
        </w:tc>
        <w:tc>
          <w:tcPr>
            <w:tcW w:w="1417" w:type="dxa"/>
            <w:noWrap w:val="0"/>
            <w:tcMar>
              <w:top w:w="0" w:type="dxa"/>
              <w:left w:w="28" w:type="dxa"/>
              <w:bottom w:w="0" w:type="dxa"/>
              <w:right w:w="28" w:type="dxa"/>
            </w:tcMar>
            <w:vAlign w:val="center"/>
          </w:tcPr>
          <w:p w14:paraId="2826AE69">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污染物名称</w:t>
            </w:r>
          </w:p>
        </w:tc>
        <w:tc>
          <w:tcPr>
            <w:tcW w:w="1701" w:type="dxa"/>
            <w:noWrap w:val="0"/>
            <w:tcMar>
              <w:top w:w="0" w:type="dxa"/>
              <w:left w:w="28" w:type="dxa"/>
              <w:bottom w:w="0" w:type="dxa"/>
              <w:right w:w="28" w:type="dxa"/>
            </w:tcMar>
            <w:vAlign w:val="center"/>
          </w:tcPr>
          <w:p w14:paraId="4ABDDC33">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现有工程</w:t>
            </w:r>
          </w:p>
          <w:p w14:paraId="40BAD563">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排放量（固体废物产生量）</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1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kern w:val="2"/>
                <w:sz w:val="24"/>
                <w:szCs w:val="24"/>
              </w:rPr>
              <w:t>①</w:t>
            </w:r>
            <w:r>
              <w:rPr>
                <w:rFonts w:hint="eastAsia" w:ascii="宋体" w:hAnsi="宋体" w:eastAsia="宋体" w:cs="宋体"/>
                <w:snapToGrid w:val="0"/>
                <w:spacing w:val="-6"/>
                <w:kern w:val="21"/>
                <w:sz w:val="24"/>
                <w:szCs w:val="24"/>
              </w:rPr>
              <w:fldChar w:fldCharType="end"/>
            </w:r>
          </w:p>
        </w:tc>
        <w:tc>
          <w:tcPr>
            <w:tcW w:w="1276" w:type="dxa"/>
            <w:noWrap w:val="0"/>
            <w:tcMar>
              <w:top w:w="0" w:type="dxa"/>
              <w:left w:w="28" w:type="dxa"/>
              <w:bottom w:w="0" w:type="dxa"/>
              <w:right w:w="28" w:type="dxa"/>
            </w:tcMar>
            <w:vAlign w:val="center"/>
          </w:tcPr>
          <w:p w14:paraId="2A05A94D">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现有工程</w:t>
            </w:r>
          </w:p>
          <w:p w14:paraId="77BCD0D2">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许可排放量</w:t>
            </w:r>
          </w:p>
          <w:p w14:paraId="6D410E8D">
            <w:pPr>
              <w:pStyle w:val="46"/>
              <w:spacing w:beforeLines="0" w:afterLines="0"/>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2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snapToGrid w:val="0"/>
                <w:spacing w:val="-6"/>
                <w:kern w:val="21"/>
                <w:sz w:val="24"/>
                <w:szCs w:val="24"/>
              </w:rPr>
              <w:t>②</w:t>
            </w:r>
            <w:r>
              <w:rPr>
                <w:rFonts w:hint="eastAsia" w:ascii="宋体" w:hAnsi="宋体" w:eastAsia="宋体" w:cs="宋体"/>
                <w:snapToGrid w:val="0"/>
                <w:spacing w:val="-6"/>
                <w:kern w:val="21"/>
                <w:sz w:val="24"/>
                <w:szCs w:val="24"/>
              </w:rPr>
              <w:fldChar w:fldCharType="end"/>
            </w:r>
          </w:p>
        </w:tc>
        <w:tc>
          <w:tcPr>
            <w:tcW w:w="1701" w:type="dxa"/>
            <w:noWrap w:val="0"/>
            <w:tcMar>
              <w:top w:w="0" w:type="dxa"/>
              <w:left w:w="28" w:type="dxa"/>
              <w:bottom w:w="0" w:type="dxa"/>
              <w:right w:w="28" w:type="dxa"/>
            </w:tcMar>
            <w:vAlign w:val="center"/>
          </w:tcPr>
          <w:p w14:paraId="5360242F">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在建工程</w:t>
            </w:r>
          </w:p>
          <w:p w14:paraId="7BEAA6F0">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排放量（固体废物产生量）</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3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kern w:val="2"/>
                <w:sz w:val="24"/>
                <w:szCs w:val="24"/>
              </w:rPr>
              <w:t>③</w:t>
            </w:r>
            <w:r>
              <w:rPr>
                <w:rFonts w:hint="eastAsia" w:ascii="宋体" w:hAnsi="宋体" w:eastAsia="宋体" w:cs="宋体"/>
                <w:snapToGrid w:val="0"/>
                <w:spacing w:val="-6"/>
                <w:kern w:val="21"/>
                <w:sz w:val="24"/>
                <w:szCs w:val="24"/>
              </w:rPr>
              <w:fldChar w:fldCharType="end"/>
            </w:r>
          </w:p>
        </w:tc>
        <w:tc>
          <w:tcPr>
            <w:tcW w:w="1559" w:type="dxa"/>
            <w:noWrap w:val="0"/>
            <w:tcMar>
              <w:top w:w="0" w:type="dxa"/>
              <w:left w:w="28" w:type="dxa"/>
              <w:bottom w:w="0" w:type="dxa"/>
              <w:right w:w="28" w:type="dxa"/>
            </w:tcMar>
            <w:vAlign w:val="center"/>
          </w:tcPr>
          <w:p w14:paraId="41D24074">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本项目</w:t>
            </w:r>
          </w:p>
          <w:p w14:paraId="24C8EBD5">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排放量（固体废物产生量）</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4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kern w:val="2"/>
                <w:sz w:val="24"/>
                <w:szCs w:val="24"/>
              </w:rPr>
              <w:t>④</w:t>
            </w:r>
            <w:r>
              <w:rPr>
                <w:rFonts w:hint="eastAsia" w:ascii="宋体" w:hAnsi="宋体" w:eastAsia="宋体" w:cs="宋体"/>
                <w:snapToGrid w:val="0"/>
                <w:spacing w:val="-6"/>
                <w:kern w:val="21"/>
                <w:sz w:val="24"/>
                <w:szCs w:val="24"/>
              </w:rPr>
              <w:fldChar w:fldCharType="end"/>
            </w:r>
          </w:p>
        </w:tc>
        <w:tc>
          <w:tcPr>
            <w:tcW w:w="1761" w:type="dxa"/>
            <w:noWrap w:val="0"/>
            <w:tcMar>
              <w:top w:w="0" w:type="dxa"/>
              <w:left w:w="28" w:type="dxa"/>
              <w:bottom w:w="0" w:type="dxa"/>
              <w:right w:w="28" w:type="dxa"/>
            </w:tcMar>
            <w:vAlign w:val="center"/>
          </w:tcPr>
          <w:p w14:paraId="39DA8C33">
            <w:pPr>
              <w:pStyle w:val="46"/>
              <w:spacing w:beforeLines="0" w:afterLines="0" w:line="240" w:lineRule="auto"/>
              <w:rPr>
                <w:rFonts w:hint="eastAsia" w:ascii="宋体" w:hAnsi="宋体" w:eastAsia="宋体" w:cs="宋体"/>
                <w:snapToGrid w:val="0"/>
                <w:spacing w:val="-16"/>
                <w:kern w:val="21"/>
                <w:sz w:val="24"/>
                <w:szCs w:val="24"/>
              </w:rPr>
            </w:pPr>
            <w:r>
              <w:rPr>
                <w:rFonts w:hint="eastAsia" w:ascii="宋体" w:hAnsi="宋体" w:eastAsia="宋体" w:cs="宋体"/>
                <w:snapToGrid w:val="0"/>
                <w:spacing w:val="-16"/>
                <w:kern w:val="21"/>
                <w:sz w:val="24"/>
                <w:szCs w:val="24"/>
              </w:rPr>
              <w:t>以新带老削减量</w:t>
            </w:r>
          </w:p>
          <w:p w14:paraId="4A27E2DD">
            <w:pPr>
              <w:pStyle w:val="46"/>
              <w:spacing w:beforeLines="0" w:afterLines="0" w:line="240" w:lineRule="auto"/>
              <w:rPr>
                <w:rFonts w:hint="eastAsia" w:ascii="宋体" w:hAnsi="宋体" w:eastAsia="宋体" w:cs="宋体"/>
                <w:snapToGrid w:val="0"/>
                <w:spacing w:val="-16"/>
                <w:kern w:val="21"/>
                <w:sz w:val="24"/>
                <w:szCs w:val="24"/>
              </w:rPr>
            </w:pPr>
            <w:r>
              <w:rPr>
                <w:rFonts w:hint="eastAsia" w:ascii="宋体" w:hAnsi="宋体" w:eastAsia="宋体" w:cs="宋体"/>
                <w:snapToGrid w:val="0"/>
                <w:spacing w:val="-16"/>
                <w:kern w:val="21"/>
                <w:sz w:val="24"/>
                <w:szCs w:val="24"/>
              </w:rPr>
              <w:t>（新建项目不填）</w:t>
            </w:r>
            <w:r>
              <w:rPr>
                <w:rFonts w:hint="eastAsia" w:ascii="宋体" w:hAnsi="宋体" w:eastAsia="宋体" w:cs="宋体"/>
                <w:snapToGrid w:val="0"/>
                <w:spacing w:val="-16"/>
                <w:kern w:val="21"/>
                <w:sz w:val="24"/>
                <w:szCs w:val="24"/>
              </w:rPr>
              <w:fldChar w:fldCharType="begin"/>
            </w:r>
            <w:r>
              <w:rPr>
                <w:rFonts w:hint="eastAsia" w:ascii="宋体" w:hAnsi="宋体" w:eastAsia="宋体" w:cs="宋体"/>
                <w:snapToGrid w:val="0"/>
                <w:spacing w:val="-16"/>
                <w:kern w:val="21"/>
                <w:sz w:val="24"/>
                <w:szCs w:val="24"/>
              </w:rPr>
              <w:instrText xml:space="preserve"> = 5 \* GB3 \* MERGEFORMAT </w:instrText>
            </w:r>
            <w:r>
              <w:rPr>
                <w:rFonts w:hint="eastAsia" w:ascii="宋体" w:hAnsi="宋体" w:eastAsia="宋体" w:cs="宋体"/>
                <w:snapToGrid w:val="0"/>
                <w:spacing w:val="-16"/>
                <w:kern w:val="21"/>
                <w:sz w:val="24"/>
                <w:szCs w:val="24"/>
              </w:rPr>
              <w:fldChar w:fldCharType="separate"/>
            </w:r>
            <w:r>
              <w:rPr>
                <w:rFonts w:hint="eastAsia" w:ascii="宋体" w:hAnsi="宋体" w:eastAsia="宋体" w:cs="宋体"/>
                <w:kern w:val="2"/>
                <w:sz w:val="24"/>
                <w:szCs w:val="24"/>
              </w:rPr>
              <w:t>⑤</w:t>
            </w:r>
            <w:r>
              <w:rPr>
                <w:rFonts w:hint="eastAsia" w:ascii="宋体" w:hAnsi="宋体" w:eastAsia="宋体" w:cs="宋体"/>
                <w:snapToGrid w:val="0"/>
                <w:spacing w:val="-16"/>
                <w:kern w:val="21"/>
                <w:sz w:val="24"/>
                <w:szCs w:val="24"/>
              </w:rPr>
              <w:fldChar w:fldCharType="end"/>
            </w:r>
          </w:p>
        </w:tc>
        <w:tc>
          <w:tcPr>
            <w:tcW w:w="1756" w:type="dxa"/>
            <w:noWrap w:val="0"/>
            <w:tcMar>
              <w:top w:w="0" w:type="dxa"/>
              <w:left w:w="28" w:type="dxa"/>
              <w:bottom w:w="0" w:type="dxa"/>
              <w:right w:w="28" w:type="dxa"/>
            </w:tcMar>
            <w:vAlign w:val="center"/>
          </w:tcPr>
          <w:p w14:paraId="736519DC">
            <w:pPr>
              <w:pStyle w:val="46"/>
              <w:spacing w:beforeLines="0" w:afterLines="0" w:line="240" w:lineRule="auto"/>
              <w:rPr>
                <w:rFonts w:hint="eastAsia" w:ascii="宋体" w:hAnsi="宋体" w:eastAsia="宋体" w:cs="宋体"/>
                <w:snapToGrid w:val="0"/>
                <w:spacing w:val="-16"/>
                <w:kern w:val="21"/>
                <w:sz w:val="24"/>
                <w:szCs w:val="24"/>
              </w:rPr>
            </w:pPr>
            <w:r>
              <w:rPr>
                <w:rFonts w:hint="eastAsia" w:ascii="宋体" w:hAnsi="宋体" w:eastAsia="宋体" w:cs="宋体"/>
                <w:snapToGrid w:val="0"/>
                <w:spacing w:val="-16"/>
                <w:kern w:val="21"/>
                <w:sz w:val="24"/>
                <w:szCs w:val="24"/>
              </w:rPr>
              <w:t>本项目建成后</w:t>
            </w:r>
          </w:p>
          <w:p w14:paraId="709A85C1">
            <w:pPr>
              <w:pStyle w:val="46"/>
              <w:spacing w:beforeLines="0" w:afterLines="0" w:line="240" w:lineRule="auto"/>
              <w:rPr>
                <w:rFonts w:hint="eastAsia" w:ascii="宋体" w:hAnsi="宋体" w:eastAsia="宋体" w:cs="宋体"/>
                <w:snapToGrid w:val="0"/>
                <w:spacing w:val="-16"/>
                <w:kern w:val="21"/>
                <w:sz w:val="24"/>
                <w:szCs w:val="24"/>
              </w:rPr>
            </w:pPr>
            <w:r>
              <w:rPr>
                <w:rFonts w:hint="eastAsia" w:ascii="宋体" w:hAnsi="宋体" w:eastAsia="宋体" w:cs="宋体"/>
                <w:snapToGrid w:val="0"/>
                <w:spacing w:val="-16"/>
                <w:kern w:val="21"/>
                <w:sz w:val="24"/>
                <w:szCs w:val="24"/>
              </w:rPr>
              <w:t>全厂排放量（固体废物产生量）</w:t>
            </w:r>
            <w:r>
              <w:rPr>
                <w:rFonts w:hint="eastAsia" w:ascii="宋体" w:hAnsi="宋体" w:eastAsia="宋体" w:cs="宋体"/>
                <w:snapToGrid w:val="0"/>
                <w:spacing w:val="-16"/>
                <w:kern w:val="21"/>
                <w:sz w:val="24"/>
                <w:szCs w:val="24"/>
              </w:rPr>
              <w:fldChar w:fldCharType="begin"/>
            </w:r>
            <w:r>
              <w:rPr>
                <w:rFonts w:hint="eastAsia" w:ascii="宋体" w:hAnsi="宋体" w:eastAsia="宋体" w:cs="宋体"/>
                <w:snapToGrid w:val="0"/>
                <w:spacing w:val="-16"/>
                <w:kern w:val="21"/>
                <w:sz w:val="24"/>
                <w:szCs w:val="24"/>
              </w:rPr>
              <w:instrText xml:space="preserve"> = 6 \* GB3 \* MERGEFORMAT </w:instrText>
            </w:r>
            <w:r>
              <w:rPr>
                <w:rFonts w:hint="eastAsia" w:ascii="宋体" w:hAnsi="宋体" w:eastAsia="宋体" w:cs="宋体"/>
                <w:snapToGrid w:val="0"/>
                <w:spacing w:val="-16"/>
                <w:kern w:val="21"/>
                <w:sz w:val="24"/>
                <w:szCs w:val="24"/>
              </w:rPr>
              <w:fldChar w:fldCharType="separate"/>
            </w:r>
            <w:r>
              <w:rPr>
                <w:rFonts w:hint="eastAsia" w:ascii="宋体" w:hAnsi="宋体" w:eastAsia="宋体" w:cs="宋体"/>
                <w:kern w:val="2"/>
                <w:sz w:val="24"/>
                <w:szCs w:val="24"/>
              </w:rPr>
              <w:t>⑥</w:t>
            </w:r>
            <w:r>
              <w:rPr>
                <w:rFonts w:hint="eastAsia" w:ascii="宋体" w:hAnsi="宋体" w:eastAsia="宋体" w:cs="宋体"/>
                <w:snapToGrid w:val="0"/>
                <w:spacing w:val="-16"/>
                <w:kern w:val="21"/>
                <w:sz w:val="24"/>
                <w:szCs w:val="24"/>
              </w:rPr>
              <w:fldChar w:fldCharType="end"/>
            </w:r>
          </w:p>
        </w:tc>
        <w:tc>
          <w:tcPr>
            <w:tcW w:w="1290" w:type="dxa"/>
            <w:noWrap w:val="0"/>
            <w:tcMar>
              <w:top w:w="0" w:type="dxa"/>
              <w:left w:w="28" w:type="dxa"/>
              <w:bottom w:w="0" w:type="dxa"/>
              <w:right w:w="28" w:type="dxa"/>
            </w:tcMar>
            <w:vAlign w:val="center"/>
          </w:tcPr>
          <w:p w14:paraId="02BBB233">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t>变化量</w:t>
            </w:r>
          </w:p>
          <w:p w14:paraId="13E2C3BE">
            <w:pPr>
              <w:pStyle w:val="46"/>
              <w:spacing w:beforeLines="0" w:afterLines="0" w:line="240" w:lineRule="auto"/>
              <w:rPr>
                <w:rFonts w:hint="eastAsia" w:ascii="宋体" w:hAnsi="宋体" w:eastAsia="宋体" w:cs="宋体"/>
                <w:snapToGrid w:val="0"/>
                <w:spacing w:val="-6"/>
                <w:kern w:val="21"/>
                <w:sz w:val="24"/>
                <w:szCs w:val="24"/>
              </w:rPr>
            </w:pP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7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kern w:val="2"/>
                <w:sz w:val="24"/>
                <w:szCs w:val="24"/>
              </w:rPr>
              <w:t>⑦</w:t>
            </w:r>
            <w:r>
              <w:rPr>
                <w:rFonts w:hint="eastAsia" w:ascii="宋体" w:hAnsi="宋体" w:eastAsia="宋体" w:cs="宋体"/>
                <w:snapToGrid w:val="0"/>
                <w:spacing w:val="-6"/>
                <w:kern w:val="21"/>
                <w:sz w:val="24"/>
                <w:szCs w:val="24"/>
              </w:rPr>
              <w:fldChar w:fldCharType="end"/>
            </w:r>
          </w:p>
        </w:tc>
      </w:tr>
      <w:tr w14:paraId="0B824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53D88F4C">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废气</w:t>
            </w:r>
          </w:p>
        </w:tc>
        <w:tc>
          <w:tcPr>
            <w:tcW w:w="1417" w:type="dxa"/>
            <w:noWrap w:val="0"/>
            <w:vAlign w:val="center"/>
          </w:tcPr>
          <w:p w14:paraId="0946E682">
            <w:pPr>
              <w:spacing w:line="260" w:lineRule="exact"/>
              <w:jc w:val="center"/>
              <w:rPr>
                <w:rFonts w:hint="default" w:ascii="宋体" w:hAnsi="宋体" w:eastAsia="宋体" w:cs="宋体"/>
                <w:sz w:val="24"/>
                <w:szCs w:val="24"/>
                <w:lang w:val="en-US" w:eastAsia="zh-CN"/>
              </w:rPr>
            </w:pPr>
            <w:r>
              <w:rPr>
                <w:rFonts w:hint="eastAsia" w:ascii="宋体" w:hAnsi="宋体" w:cs="宋体"/>
                <w:snapToGrid w:val="0"/>
                <w:kern w:val="21"/>
                <w:sz w:val="24"/>
                <w:szCs w:val="24"/>
                <w:lang w:val="en-US" w:eastAsia="zh-CN"/>
              </w:rPr>
              <w:t>沥青粉尘</w:t>
            </w:r>
          </w:p>
        </w:tc>
        <w:tc>
          <w:tcPr>
            <w:tcW w:w="1701" w:type="dxa"/>
            <w:noWrap w:val="0"/>
            <w:vAlign w:val="center"/>
          </w:tcPr>
          <w:p w14:paraId="6C84674E">
            <w:pPr>
              <w:pStyle w:val="46"/>
              <w:spacing w:beforeLines="0" w:afterLines="0" w:line="240" w:lineRule="auto"/>
              <w:rPr>
                <w:rFonts w:hint="eastAsia" w:ascii="宋体" w:hAnsi="宋体" w:eastAsia="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276" w:type="dxa"/>
            <w:noWrap w:val="0"/>
            <w:vAlign w:val="center"/>
          </w:tcPr>
          <w:p w14:paraId="5B2C3AFE">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6B1110C2">
            <w:pPr>
              <w:pStyle w:val="46"/>
              <w:spacing w:beforeLines="0" w:afterLines="0" w:line="240" w:lineRule="auto"/>
              <w:rPr>
                <w:rFonts w:hint="eastAsia" w:ascii="宋体" w:hAnsi="宋体" w:eastAsia="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559" w:type="dxa"/>
            <w:noWrap w:val="0"/>
            <w:vAlign w:val="center"/>
          </w:tcPr>
          <w:p w14:paraId="5EF0E41D">
            <w:pPr>
              <w:spacing w:line="26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4.338t/a</w:t>
            </w:r>
          </w:p>
        </w:tc>
        <w:tc>
          <w:tcPr>
            <w:tcW w:w="1761" w:type="dxa"/>
            <w:noWrap w:val="0"/>
            <w:vAlign w:val="center"/>
          </w:tcPr>
          <w:p w14:paraId="58A6E9A6">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56AF3549">
            <w:pPr>
              <w:spacing w:line="260" w:lineRule="exact"/>
              <w:jc w:val="center"/>
              <w:rPr>
                <w:rFonts w:hint="default" w:ascii="宋体" w:hAnsi="宋体" w:eastAsia="宋体" w:cs="宋体"/>
                <w:sz w:val="24"/>
                <w:szCs w:val="24"/>
                <w:lang w:val="en-US"/>
              </w:rPr>
            </w:pPr>
            <w:r>
              <w:rPr>
                <w:rFonts w:hint="eastAsia" w:ascii="宋体" w:hAnsi="宋体" w:cs="宋体"/>
                <w:sz w:val="24"/>
                <w:szCs w:val="24"/>
                <w:lang w:val="en-US" w:eastAsia="zh-CN"/>
              </w:rPr>
              <w:t>4.338t/a</w:t>
            </w:r>
          </w:p>
        </w:tc>
        <w:tc>
          <w:tcPr>
            <w:tcW w:w="1290" w:type="dxa"/>
            <w:noWrap w:val="0"/>
            <w:vAlign w:val="center"/>
          </w:tcPr>
          <w:p w14:paraId="7B4DDAB3">
            <w:pPr>
              <w:pStyle w:val="46"/>
              <w:spacing w:beforeLines="0" w:afterLines="0" w:line="240" w:lineRule="auto"/>
              <w:rPr>
                <w:rFonts w:hint="default" w:ascii="宋体" w:hAnsi="宋体" w:eastAsia="宋体" w:cs="宋体"/>
                <w:snapToGrid w:val="0"/>
                <w:kern w:val="21"/>
                <w:sz w:val="24"/>
                <w:szCs w:val="24"/>
                <w:lang w:val="en-US"/>
              </w:rPr>
            </w:pPr>
            <w:r>
              <w:rPr>
                <w:rFonts w:hint="eastAsia" w:ascii="宋体" w:hAnsi="宋体" w:cs="宋体"/>
                <w:sz w:val="24"/>
                <w:szCs w:val="24"/>
                <w:lang w:val="en-US" w:eastAsia="zh-CN"/>
              </w:rPr>
              <w:t>4.</w:t>
            </w:r>
            <w:r>
              <w:rPr>
                <w:rFonts w:hint="eastAsia" w:hAnsi="宋体" w:cs="宋体"/>
                <w:sz w:val="24"/>
                <w:szCs w:val="24"/>
                <w:lang w:val="en-US" w:eastAsia="zh-CN"/>
              </w:rPr>
              <w:t>33</w:t>
            </w:r>
            <w:r>
              <w:rPr>
                <w:rFonts w:hint="eastAsia" w:ascii="宋体" w:hAnsi="宋体" w:cs="宋体"/>
                <w:sz w:val="24"/>
                <w:szCs w:val="24"/>
                <w:lang w:val="en-US" w:eastAsia="zh-CN"/>
              </w:rPr>
              <w:t>8t/a</w:t>
            </w:r>
          </w:p>
        </w:tc>
      </w:tr>
      <w:tr w14:paraId="74DE2B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0AD626EA">
            <w:pPr>
              <w:pStyle w:val="46"/>
              <w:spacing w:beforeLines="0" w:afterLines="0" w:line="240" w:lineRule="auto"/>
              <w:rPr>
                <w:rFonts w:hint="eastAsia" w:ascii="宋体" w:hAnsi="宋体" w:eastAsia="宋体" w:cs="宋体"/>
                <w:snapToGrid w:val="0"/>
                <w:kern w:val="21"/>
                <w:sz w:val="24"/>
                <w:szCs w:val="24"/>
              </w:rPr>
            </w:pPr>
          </w:p>
        </w:tc>
        <w:tc>
          <w:tcPr>
            <w:tcW w:w="1417" w:type="dxa"/>
            <w:noWrap w:val="0"/>
            <w:vAlign w:val="center"/>
          </w:tcPr>
          <w:p w14:paraId="5B5222F2">
            <w:pPr>
              <w:spacing w:line="26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沥青烟</w:t>
            </w:r>
          </w:p>
        </w:tc>
        <w:tc>
          <w:tcPr>
            <w:tcW w:w="1701" w:type="dxa"/>
            <w:noWrap w:val="0"/>
            <w:vAlign w:val="center"/>
          </w:tcPr>
          <w:p w14:paraId="7502BFBC">
            <w:pPr>
              <w:pStyle w:val="46"/>
              <w:spacing w:beforeLines="0" w:afterLines="0" w:line="240" w:lineRule="auto"/>
              <w:rPr>
                <w:rFonts w:hint="eastAsia" w:ascii="宋体" w:hAnsi="宋体" w:eastAsia="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276" w:type="dxa"/>
            <w:noWrap w:val="0"/>
            <w:vAlign w:val="center"/>
          </w:tcPr>
          <w:p w14:paraId="10D76D07">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00FCB086">
            <w:pPr>
              <w:pStyle w:val="46"/>
              <w:spacing w:beforeLines="0" w:afterLines="0" w:line="240" w:lineRule="auto"/>
              <w:rPr>
                <w:rFonts w:hint="eastAsia" w:ascii="宋体" w:hAnsi="宋体" w:eastAsia="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559" w:type="dxa"/>
            <w:noWrap w:val="0"/>
            <w:vAlign w:val="center"/>
          </w:tcPr>
          <w:p w14:paraId="68FB1712">
            <w:pPr>
              <w:spacing w:line="260" w:lineRule="exact"/>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0.184t/a</w:t>
            </w:r>
          </w:p>
        </w:tc>
        <w:tc>
          <w:tcPr>
            <w:tcW w:w="1761" w:type="dxa"/>
            <w:noWrap w:val="0"/>
            <w:vAlign w:val="center"/>
          </w:tcPr>
          <w:p w14:paraId="569D0ED0">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6A3A0960">
            <w:pPr>
              <w:spacing w:line="260" w:lineRule="exact"/>
              <w:jc w:val="center"/>
              <w:rPr>
                <w:rFonts w:hint="default" w:ascii="宋体" w:hAnsi="宋体" w:eastAsia="宋体" w:cs="宋体"/>
                <w:sz w:val="24"/>
                <w:szCs w:val="24"/>
                <w:lang w:val="en-US"/>
              </w:rPr>
            </w:pPr>
            <w:r>
              <w:rPr>
                <w:rFonts w:hint="eastAsia" w:ascii="宋体" w:hAnsi="宋体" w:cs="宋体"/>
                <w:sz w:val="24"/>
                <w:szCs w:val="24"/>
                <w:lang w:val="en-US" w:eastAsia="zh-CN"/>
              </w:rPr>
              <w:t>0.184t/a</w:t>
            </w:r>
          </w:p>
        </w:tc>
        <w:tc>
          <w:tcPr>
            <w:tcW w:w="1290" w:type="dxa"/>
            <w:noWrap w:val="0"/>
            <w:vAlign w:val="center"/>
          </w:tcPr>
          <w:p w14:paraId="105B74A7">
            <w:pPr>
              <w:pStyle w:val="46"/>
              <w:spacing w:beforeLines="0" w:afterLines="0" w:line="240" w:lineRule="auto"/>
              <w:rPr>
                <w:rFonts w:hint="default" w:ascii="宋体" w:hAnsi="宋体" w:eastAsia="宋体" w:cs="宋体"/>
                <w:snapToGrid w:val="0"/>
                <w:kern w:val="21"/>
                <w:sz w:val="24"/>
                <w:szCs w:val="24"/>
                <w:lang w:val="en-US"/>
              </w:rPr>
            </w:pPr>
            <w:r>
              <w:rPr>
                <w:rFonts w:hint="eastAsia" w:ascii="宋体" w:hAnsi="宋体" w:cs="宋体"/>
                <w:sz w:val="24"/>
                <w:szCs w:val="24"/>
                <w:lang w:val="en-US" w:eastAsia="zh-CN"/>
              </w:rPr>
              <w:t>0.184t/a</w:t>
            </w:r>
          </w:p>
        </w:tc>
      </w:tr>
      <w:tr w14:paraId="4EF8D0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62F784B3">
            <w:pPr>
              <w:pStyle w:val="46"/>
              <w:spacing w:beforeLines="0" w:afterLines="0" w:line="240" w:lineRule="auto"/>
              <w:rPr>
                <w:rFonts w:hint="eastAsia" w:ascii="宋体" w:hAnsi="宋体" w:eastAsia="宋体" w:cs="宋体"/>
                <w:snapToGrid w:val="0"/>
                <w:kern w:val="21"/>
                <w:sz w:val="24"/>
                <w:szCs w:val="24"/>
              </w:rPr>
            </w:pPr>
          </w:p>
        </w:tc>
        <w:tc>
          <w:tcPr>
            <w:tcW w:w="1417" w:type="dxa"/>
            <w:noWrap w:val="0"/>
            <w:vAlign w:val="center"/>
          </w:tcPr>
          <w:p w14:paraId="4A8900DD">
            <w:pPr>
              <w:spacing w:line="26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苯并芘</w:t>
            </w:r>
          </w:p>
        </w:tc>
        <w:tc>
          <w:tcPr>
            <w:tcW w:w="1701" w:type="dxa"/>
            <w:noWrap w:val="0"/>
            <w:vAlign w:val="center"/>
          </w:tcPr>
          <w:p w14:paraId="64E2B9C1">
            <w:pPr>
              <w:pStyle w:val="46"/>
              <w:spacing w:beforeLines="0" w:afterLines="0" w:line="240" w:lineRule="auto"/>
              <w:rPr>
                <w:rFonts w:hint="default" w:hAnsi="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276" w:type="dxa"/>
            <w:noWrap w:val="0"/>
            <w:vAlign w:val="center"/>
          </w:tcPr>
          <w:p w14:paraId="26CD8388">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0A7E01D7">
            <w:pPr>
              <w:pStyle w:val="46"/>
              <w:spacing w:beforeLines="0" w:afterLines="0" w:line="240" w:lineRule="auto"/>
              <w:rPr>
                <w:rFonts w:hint="default" w:hAnsi="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559" w:type="dxa"/>
            <w:noWrap w:val="0"/>
            <w:vAlign w:val="center"/>
          </w:tcPr>
          <w:p w14:paraId="4056CCCD">
            <w:pPr>
              <w:spacing w:line="26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2.76×10</w:t>
            </w:r>
            <w:r>
              <w:rPr>
                <w:rFonts w:hint="eastAsia" w:ascii="宋体" w:hAnsi="宋体" w:cs="宋体"/>
                <w:sz w:val="24"/>
                <w:szCs w:val="24"/>
                <w:vertAlign w:val="superscript"/>
                <w:lang w:val="en-US" w:eastAsia="zh-CN"/>
              </w:rPr>
              <w:t>-6</w:t>
            </w:r>
            <w:r>
              <w:rPr>
                <w:rFonts w:hint="eastAsia" w:ascii="宋体" w:hAnsi="宋体" w:cs="宋体"/>
                <w:sz w:val="24"/>
                <w:szCs w:val="24"/>
                <w:lang w:val="en-US" w:eastAsia="zh-CN"/>
              </w:rPr>
              <w:t>t/a</w:t>
            </w:r>
          </w:p>
        </w:tc>
        <w:tc>
          <w:tcPr>
            <w:tcW w:w="1761" w:type="dxa"/>
            <w:noWrap w:val="0"/>
            <w:vAlign w:val="center"/>
          </w:tcPr>
          <w:p w14:paraId="2A220598">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5AD269BD">
            <w:pPr>
              <w:spacing w:line="260" w:lineRule="exact"/>
              <w:jc w:val="center"/>
              <w:rPr>
                <w:rFonts w:hint="eastAsia" w:ascii="宋体" w:hAnsi="宋体" w:cs="宋体"/>
                <w:sz w:val="24"/>
                <w:szCs w:val="24"/>
                <w:lang w:val="en-US" w:eastAsia="zh-CN"/>
              </w:rPr>
            </w:pPr>
            <w:r>
              <w:rPr>
                <w:rFonts w:hint="eastAsia" w:ascii="宋体" w:hAnsi="宋体" w:cs="宋体"/>
                <w:sz w:val="24"/>
                <w:szCs w:val="24"/>
                <w:lang w:val="en-US" w:eastAsia="zh-CN"/>
              </w:rPr>
              <w:t>2.76×10</w:t>
            </w:r>
            <w:r>
              <w:rPr>
                <w:rFonts w:hint="eastAsia" w:ascii="宋体" w:hAnsi="宋体" w:cs="宋体"/>
                <w:sz w:val="24"/>
                <w:szCs w:val="24"/>
                <w:vertAlign w:val="superscript"/>
                <w:lang w:val="en-US" w:eastAsia="zh-CN"/>
              </w:rPr>
              <w:t>-6</w:t>
            </w:r>
            <w:r>
              <w:rPr>
                <w:rFonts w:hint="eastAsia" w:ascii="宋体" w:hAnsi="宋体" w:cs="宋体"/>
                <w:sz w:val="24"/>
                <w:szCs w:val="24"/>
                <w:lang w:val="en-US" w:eastAsia="zh-CN"/>
              </w:rPr>
              <w:t>t/a</w:t>
            </w:r>
          </w:p>
        </w:tc>
        <w:tc>
          <w:tcPr>
            <w:tcW w:w="1290" w:type="dxa"/>
            <w:noWrap w:val="0"/>
            <w:vAlign w:val="center"/>
          </w:tcPr>
          <w:p w14:paraId="65BC9A23">
            <w:pPr>
              <w:pStyle w:val="46"/>
              <w:spacing w:beforeLines="0" w:afterLines="0" w:line="240" w:lineRule="auto"/>
              <w:rPr>
                <w:rFonts w:hint="eastAsia" w:hAnsi="宋体" w:cs="宋体"/>
                <w:sz w:val="24"/>
                <w:szCs w:val="24"/>
                <w:lang w:val="en-US" w:eastAsia="zh-CN"/>
              </w:rPr>
            </w:pPr>
            <w:r>
              <w:rPr>
                <w:rFonts w:hint="eastAsia" w:hAnsi="宋体" w:cs="宋体"/>
                <w:sz w:val="24"/>
                <w:szCs w:val="24"/>
                <w:lang w:val="en-US" w:eastAsia="zh-CN"/>
              </w:rPr>
              <w:t>2.76</w:t>
            </w:r>
            <w:r>
              <w:rPr>
                <w:rFonts w:hint="eastAsia" w:ascii="宋体" w:hAnsi="宋体" w:cs="宋体"/>
                <w:sz w:val="24"/>
                <w:szCs w:val="24"/>
                <w:lang w:val="en-US" w:eastAsia="zh-CN"/>
              </w:rPr>
              <w:t>×10</w:t>
            </w:r>
            <w:r>
              <w:rPr>
                <w:rFonts w:hint="eastAsia" w:ascii="宋体" w:hAnsi="宋体" w:cs="宋体"/>
                <w:sz w:val="24"/>
                <w:szCs w:val="24"/>
                <w:vertAlign w:val="superscript"/>
                <w:lang w:val="en-US" w:eastAsia="zh-CN"/>
              </w:rPr>
              <w:t>-</w:t>
            </w:r>
            <w:r>
              <w:rPr>
                <w:rFonts w:hint="eastAsia" w:hAnsi="宋体" w:cs="宋体"/>
                <w:sz w:val="24"/>
                <w:szCs w:val="24"/>
                <w:vertAlign w:val="superscript"/>
                <w:lang w:val="en-US" w:eastAsia="zh-CN"/>
              </w:rPr>
              <w:t>6</w:t>
            </w:r>
            <w:r>
              <w:rPr>
                <w:rFonts w:hint="eastAsia" w:ascii="宋体" w:hAnsi="宋体" w:cs="宋体"/>
                <w:sz w:val="24"/>
                <w:szCs w:val="24"/>
                <w:lang w:val="en-US" w:eastAsia="zh-CN"/>
              </w:rPr>
              <w:t>t/a</w:t>
            </w:r>
          </w:p>
        </w:tc>
      </w:tr>
      <w:tr w14:paraId="373868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12B50BE2">
            <w:pPr>
              <w:pStyle w:val="46"/>
              <w:spacing w:beforeLines="0" w:afterLines="0" w:line="240" w:lineRule="auto"/>
              <w:rPr>
                <w:rFonts w:hint="eastAsia" w:ascii="宋体" w:hAnsi="宋体" w:eastAsia="宋体" w:cs="宋体"/>
                <w:snapToGrid w:val="0"/>
                <w:kern w:val="21"/>
                <w:sz w:val="24"/>
                <w:szCs w:val="24"/>
              </w:rPr>
            </w:pPr>
          </w:p>
        </w:tc>
        <w:tc>
          <w:tcPr>
            <w:tcW w:w="1417" w:type="dxa"/>
            <w:noWrap w:val="0"/>
            <w:vAlign w:val="center"/>
          </w:tcPr>
          <w:p w14:paraId="0C7D0643">
            <w:pPr>
              <w:spacing w:line="26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非甲烷总烃</w:t>
            </w:r>
          </w:p>
        </w:tc>
        <w:tc>
          <w:tcPr>
            <w:tcW w:w="1701" w:type="dxa"/>
            <w:noWrap w:val="0"/>
            <w:vAlign w:val="center"/>
          </w:tcPr>
          <w:p w14:paraId="109F5D4D">
            <w:pPr>
              <w:pStyle w:val="46"/>
              <w:spacing w:beforeLines="0" w:afterLines="0" w:line="240" w:lineRule="auto"/>
              <w:rPr>
                <w:rFonts w:hint="default" w:hAnsi="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276" w:type="dxa"/>
            <w:noWrap w:val="0"/>
            <w:vAlign w:val="center"/>
          </w:tcPr>
          <w:p w14:paraId="4CC80D1E">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46A30180">
            <w:pPr>
              <w:pStyle w:val="46"/>
              <w:spacing w:beforeLines="0" w:afterLines="0" w:line="240" w:lineRule="auto"/>
              <w:rPr>
                <w:rFonts w:hint="default" w:hAnsi="宋体" w:cs="宋体"/>
                <w:snapToGrid w:val="0"/>
                <w:kern w:val="21"/>
                <w:sz w:val="24"/>
                <w:szCs w:val="24"/>
                <w:lang w:val="en-US" w:eastAsia="zh-CN"/>
              </w:rPr>
            </w:pPr>
            <w:r>
              <w:rPr>
                <w:rFonts w:hint="eastAsia" w:hAnsi="宋体" w:cs="宋体"/>
                <w:snapToGrid w:val="0"/>
                <w:kern w:val="21"/>
                <w:sz w:val="24"/>
                <w:szCs w:val="24"/>
                <w:lang w:val="en-US" w:eastAsia="zh-CN"/>
              </w:rPr>
              <w:t>0</w:t>
            </w:r>
          </w:p>
        </w:tc>
        <w:tc>
          <w:tcPr>
            <w:tcW w:w="1559" w:type="dxa"/>
            <w:noWrap w:val="0"/>
            <w:vAlign w:val="center"/>
          </w:tcPr>
          <w:p w14:paraId="073E9C9D">
            <w:pPr>
              <w:spacing w:line="260" w:lineRule="exact"/>
              <w:jc w:val="center"/>
              <w:rPr>
                <w:rFonts w:hint="default" w:ascii="宋体" w:hAnsi="宋体" w:cs="宋体"/>
                <w:sz w:val="24"/>
                <w:szCs w:val="24"/>
                <w:lang w:val="en-US" w:eastAsia="zh-CN"/>
              </w:rPr>
            </w:pPr>
            <w:r>
              <w:rPr>
                <w:rFonts w:hint="eastAsia" w:ascii="宋体" w:hAnsi="宋体" w:cs="宋体"/>
                <w:sz w:val="24"/>
                <w:szCs w:val="24"/>
                <w:lang w:val="en-US" w:eastAsia="zh-CN"/>
              </w:rPr>
              <w:t>1.84×10</w:t>
            </w:r>
            <w:r>
              <w:rPr>
                <w:rFonts w:hint="eastAsia" w:ascii="宋体" w:hAnsi="宋体" w:cs="宋体"/>
                <w:sz w:val="24"/>
                <w:szCs w:val="24"/>
                <w:vertAlign w:val="superscript"/>
                <w:lang w:val="en-US" w:eastAsia="zh-CN"/>
              </w:rPr>
              <w:t>-3</w:t>
            </w:r>
            <w:r>
              <w:rPr>
                <w:rFonts w:hint="eastAsia" w:ascii="宋体" w:hAnsi="宋体" w:cs="宋体"/>
                <w:sz w:val="24"/>
                <w:szCs w:val="24"/>
                <w:lang w:val="en-US" w:eastAsia="zh-CN"/>
              </w:rPr>
              <w:t>t/a</w:t>
            </w:r>
          </w:p>
        </w:tc>
        <w:tc>
          <w:tcPr>
            <w:tcW w:w="1761" w:type="dxa"/>
            <w:noWrap w:val="0"/>
            <w:vAlign w:val="center"/>
          </w:tcPr>
          <w:p w14:paraId="46D4F97B">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4C37BD75">
            <w:pPr>
              <w:spacing w:line="260" w:lineRule="exact"/>
              <w:jc w:val="center"/>
              <w:rPr>
                <w:rFonts w:hint="eastAsia" w:ascii="宋体" w:hAnsi="宋体" w:cs="宋体"/>
                <w:sz w:val="24"/>
                <w:szCs w:val="24"/>
                <w:lang w:val="en-US" w:eastAsia="zh-CN"/>
              </w:rPr>
            </w:pPr>
            <w:r>
              <w:rPr>
                <w:rFonts w:hint="eastAsia" w:ascii="宋体" w:hAnsi="宋体" w:cs="宋体"/>
                <w:sz w:val="24"/>
                <w:szCs w:val="24"/>
                <w:lang w:val="en-US" w:eastAsia="zh-CN"/>
              </w:rPr>
              <w:t>1.84×10</w:t>
            </w:r>
            <w:r>
              <w:rPr>
                <w:rFonts w:hint="eastAsia" w:ascii="宋体" w:hAnsi="宋体" w:cs="宋体"/>
                <w:sz w:val="24"/>
                <w:szCs w:val="24"/>
                <w:vertAlign w:val="superscript"/>
                <w:lang w:val="en-US" w:eastAsia="zh-CN"/>
              </w:rPr>
              <w:t>-3</w:t>
            </w:r>
            <w:r>
              <w:rPr>
                <w:rFonts w:hint="eastAsia" w:ascii="宋体" w:hAnsi="宋体" w:cs="宋体"/>
                <w:sz w:val="24"/>
                <w:szCs w:val="24"/>
                <w:lang w:val="en-US" w:eastAsia="zh-CN"/>
              </w:rPr>
              <w:t>t/a</w:t>
            </w:r>
          </w:p>
        </w:tc>
        <w:tc>
          <w:tcPr>
            <w:tcW w:w="1290" w:type="dxa"/>
            <w:noWrap w:val="0"/>
            <w:vAlign w:val="center"/>
          </w:tcPr>
          <w:p w14:paraId="2154D8E6">
            <w:pPr>
              <w:pStyle w:val="46"/>
              <w:spacing w:beforeLines="0" w:afterLines="0" w:line="240" w:lineRule="auto"/>
              <w:rPr>
                <w:rFonts w:hint="eastAsia" w:hAnsi="宋体" w:cs="宋体"/>
                <w:sz w:val="24"/>
                <w:szCs w:val="24"/>
                <w:lang w:val="en-US" w:eastAsia="zh-CN"/>
              </w:rPr>
            </w:pPr>
            <w:r>
              <w:rPr>
                <w:rFonts w:hint="eastAsia" w:ascii="宋体" w:hAnsi="宋体" w:cs="宋体"/>
                <w:sz w:val="24"/>
                <w:szCs w:val="24"/>
                <w:lang w:val="en-US" w:eastAsia="zh-CN"/>
              </w:rPr>
              <w:t>1.84×10</w:t>
            </w:r>
            <w:r>
              <w:rPr>
                <w:rFonts w:hint="eastAsia" w:ascii="宋体" w:hAnsi="宋体" w:cs="宋体"/>
                <w:sz w:val="24"/>
                <w:szCs w:val="24"/>
                <w:vertAlign w:val="superscript"/>
                <w:lang w:val="en-US" w:eastAsia="zh-CN"/>
              </w:rPr>
              <w:t>-3</w:t>
            </w:r>
            <w:r>
              <w:rPr>
                <w:rFonts w:hint="eastAsia" w:ascii="宋体" w:hAnsi="宋体" w:cs="宋体"/>
                <w:sz w:val="24"/>
                <w:szCs w:val="24"/>
                <w:lang w:val="en-US" w:eastAsia="zh-CN"/>
              </w:rPr>
              <w:t>t/a</w:t>
            </w:r>
          </w:p>
        </w:tc>
      </w:tr>
      <w:tr w14:paraId="44D3C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72082806">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废水</w:t>
            </w:r>
          </w:p>
        </w:tc>
        <w:tc>
          <w:tcPr>
            <w:tcW w:w="1417" w:type="dxa"/>
            <w:noWrap w:val="0"/>
            <w:vAlign w:val="center"/>
          </w:tcPr>
          <w:p w14:paraId="462C0C6D">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w:t>
            </w:r>
          </w:p>
        </w:tc>
        <w:tc>
          <w:tcPr>
            <w:tcW w:w="1701" w:type="dxa"/>
            <w:noWrap w:val="0"/>
            <w:vAlign w:val="center"/>
          </w:tcPr>
          <w:p w14:paraId="40C6D04F">
            <w:pPr>
              <w:pStyle w:val="46"/>
              <w:spacing w:beforeLines="0" w:afterLines="0" w:line="240" w:lineRule="auto"/>
              <w:rPr>
                <w:rFonts w:hint="eastAsia" w:ascii="宋体" w:hAnsi="宋体" w:eastAsia="宋体" w:cs="宋体"/>
                <w:snapToGrid w:val="0"/>
                <w:kern w:val="21"/>
                <w:sz w:val="24"/>
                <w:szCs w:val="24"/>
              </w:rPr>
            </w:pPr>
          </w:p>
        </w:tc>
        <w:tc>
          <w:tcPr>
            <w:tcW w:w="1276" w:type="dxa"/>
            <w:noWrap w:val="0"/>
            <w:vAlign w:val="center"/>
          </w:tcPr>
          <w:p w14:paraId="6C48C04F">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03BADF3B">
            <w:pPr>
              <w:pStyle w:val="46"/>
              <w:spacing w:beforeLines="0" w:afterLines="0" w:line="240" w:lineRule="auto"/>
              <w:rPr>
                <w:rFonts w:hint="eastAsia" w:ascii="宋体" w:hAnsi="宋体" w:eastAsia="宋体" w:cs="宋体"/>
                <w:snapToGrid w:val="0"/>
                <w:kern w:val="21"/>
                <w:sz w:val="24"/>
                <w:szCs w:val="24"/>
              </w:rPr>
            </w:pPr>
          </w:p>
        </w:tc>
        <w:tc>
          <w:tcPr>
            <w:tcW w:w="1559" w:type="dxa"/>
            <w:noWrap w:val="0"/>
            <w:vAlign w:val="center"/>
          </w:tcPr>
          <w:p w14:paraId="6B45F78F">
            <w:pPr>
              <w:pStyle w:val="46"/>
              <w:spacing w:beforeLines="0" w:afterLines="0" w:line="240" w:lineRule="auto"/>
              <w:rPr>
                <w:rFonts w:hint="eastAsia" w:ascii="宋体" w:hAnsi="宋体" w:eastAsia="宋体" w:cs="宋体"/>
                <w:snapToGrid w:val="0"/>
                <w:kern w:val="21"/>
                <w:sz w:val="24"/>
                <w:szCs w:val="24"/>
              </w:rPr>
            </w:pPr>
          </w:p>
        </w:tc>
        <w:tc>
          <w:tcPr>
            <w:tcW w:w="1761" w:type="dxa"/>
            <w:noWrap w:val="0"/>
            <w:vAlign w:val="center"/>
          </w:tcPr>
          <w:p w14:paraId="0AF35D59">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3AD0DD68">
            <w:pPr>
              <w:pStyle w:val="46"/>
              <w:spacing w:beforeLines="0" w:afterLines="0" w:line="240" w:lineRule="auto"/>
              <w:rPr>
                <w:rFonts w:hint="eastAsia" w:ascii="宋体" w:hAnsi="宋体" w:eastAsia="宋体" w:cs="宋体"/>
                <w:snapToGrid w:val="0"/>
                <w:kern w:val="21"/>
                <w:sz w:val="24"/>
                <w:szCs w:val="24"/>
              </w:rPr>
            </w:pPr>
          </w:p>
        </w:tc>
        <w:tc>
          <w:tcPr>
            <w:tcW w:w="1290" w:type="dxa"/>
            <w:noWrap w:val="0"/>
            <w:vAlign w:val="center"/>
          </w:tcPr>
          <w:p w14:paraId="4262CF77">
            <w:pPr>
              <w:pStyle w:val="46"/>
              <w:spacing w:beforeLines="0" w:afterLines="0" w:line="240" w:lineRule="auto"/>
              <w:rPr>
                <w:rFonts w:hint="eastAsia" w:ascii="宋体" w:hAnsi="宋体" w:eastAsia="宋体" w:cs="宋体"/>
                <w:snapToGrid w:val="0"/>
                <w:kern w:val="21"/>
                <w:sz w:val="24"/>
                <w:szCs w:val="24"/>
              </w:rPr>
            </w:pPr>
          </w:p>
        </w:tc>
      </w:tr>
      <w:tr w14:paraId="00E2E6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6B63D514">
            <w:pPr>
              <w:pStyle w:val="46"/>
              <w:spacing w:beforeLines="0" w:afterLines="0" w:line="240" w:lineRule="auto"/>
              <w:rPr>
                <w:rFonts w:hint="eastAsia" w:ascii="宋体" w:hAnsi="宋体" w:eastAsia="宋体" w:cs="宋体"/>
                <w:snapToGrid w:val="0"/>
                <w:kern w:val="21"/>
                <w:sz w:val="24"/>
                <w:szCs w:val="24"/>
              </w:rPr>
            </w:pPr>
          </w:p>
        </w:tc>
        <w:tc>
          <w:tcPr>
            <w:tcW w:w="1417" w:type="dxa"/>
            <w:noWrap w:val="0"/>
            <w:vAlign w:val="center"/>
          </w:tcPr>
          <w:p w14:paraId="73114088">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4CD7D43B">
            <w:pPr>
              <w:pStyle w:val="46"/>
              <w:spacing w:beforeLines="0" w:afterLines="0" w:line="240" w:lineRule="auto"/>
              <w:rPr>
                <w:rFonts w:hint="eastAsia" w:ascii="宋体" w:hAnsi="宋体" w:eastAsia="宋体" w:cs="宋体"/>
                <w:snapToGrid w:val="0"/>
                <w:kern w:val="21"/>
                <w:sz w:val="24"/>
                <w:szCs w:val="24"/>
              </w:rPr>
            </w:pPr>
          </w:p>
        </w:tc>
        <w:tc>
          <w:tcPr>
            <w:tcW w:w="1276" w:type="dxa"/>
            <w:noWrap w:val="0"/>
            <w:vAlign w:val="center"/>
          </w:tcPr>
          <w:p w14:paraId="3EDD86EE">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5FBDDF1B">
            <w:pPr>
              <w:pStyle w:val="46"/>
              <w:spacing w:beforeLines="0" w:afterLines="0" w:line="240" w:lineRule="auto"/>
              <w:rPr>
                <w:rFonts w:hint="eastAsia" w:ascii="宋体" w:hAnsi="宋体" w:eastAsia="宋体" w:cs="宋体"/>
                <w:snapToGrid w:val="0"/>
                <w:kern w:val="21"/>
                <w:sz w:val="24"/>
                <w:szCs w:val="24"/>
              </w:rPr>
            </w:pPr>
          </w:p>
        </w:tc>
        <w:tc>
          <w:tcPr>
            <w:tcW w:w="1559" w:type="dxa"/>
            <w:noWrap w:val="0"/>
            <w:vAlign w:val="center"/>
          </w:tcPr>
          <w:p w14:paraId="40DBB34A">
            <w:pPr>
              <w:pStyle w:val="46"/>
              <w:spacing w:beforeLines="0" w:afterLines="0" w:line="240" w:lineRule="auto"/>
              <w:rPr>
                <w:rFonts w:hint="eastAsia" w:ascii="宋体" w:hAnsi="宋体" w:eastAsia="宋体" w:cs="宋体"/>
                <w:snapToGrid w:val="0"/>
                <w:kern w:val="21"/>
                <w:sz w:val="24"/>
                <w:szCs w:val="24"/>
              </w:rPr>
            </w:pPr>
          </w:p>
        </w:tc>
        <w:tc>
          <w:tcPr>
            <w:tcW w:w="1761" w:type="dxa"/>
            <w:noWrap w:val="0"/>
            <w:vAlign w:val="center"/>
          </w:tcPr>
          <w:p w14:paraId="11DCA259">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5BE22943">
            <w:pPr>
              <w:pStyle w:val="46"/>
              <w:spacing w:beforeLines="0" w:afterLines="0" w:line="240" w:lineRule="auto"/>
              <w:rPr>
                <w:rFonts w:hint="eastAsia" w:ascii="宋体" w:hAnsi="宋体" w:eastAsia="宋体" w:cs="宋体"/>
                <w:snapToGrid w:val="0"/>
                <w:kern w:val="21"/>
                <w:sz w:val="24"/>
                <w:szCs w:val="24"/>
              </w:rPr>
            </w:pPr>
          </w:p>
        </w:tc>
        <w:tc>
          <w:tcPr>
            <w:tcW w:w="1290" w:type="dxa"/>
            <w:noWrap w:val="0"/>
            <w:vAlign w:val="center"/>
          </w:tcPr>
          <w:p w14:paraId="333FB2DE">
            <w:pPr>
              <w:pStyle w:val="46"/>
              <w:spacing w:beforeLines="0" w:afterLines="0" w:line="240" w:lineRule="auto"/>
              <w:rPr>
                <w:rFonts w:hint="eastAsia" w:ascii="宋体" w:hAnsi="宋体" w:eastAsia="宋体" w:cs="宋体"/>
                <w:snapToGrid w:val="0"/>
                <w:kern w:val="21"/>
                <w:sz w:val="24"/>
                <w:szCs w:val="24"/>
              </w:rPr>
            </w:pPr>
          </w:p>
        </w:tc>
      </w:tr>
      <w:tr w14:paraId="4BEE06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521D4EBC">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一般工业</w:t>
            </w:r>
          </w:p>
          <w:p w14:paraId="64324F4F">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固体废物</w:t>
            </w:r>
          </w:p>
        </w:tc>
        <w:tc>
          <w:tcPr>
            <w:tcW w:w="1417" w:type="dxa"/>
            <w:noWrap w:val="0"/>
            <w:vAlign w:val="center"/>
          </w:tcPr>
          <w:p w14:paraId="21646AEF">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w:t>
            </w:r>
          </w:p>
        </w:tc>
        <w:tc>
          <w:tcPr>
            <w:tcW w:w="1701" w:type="dxa"/>
            <w:noWrap w:val="0"/>
            <w:vAlign w:val="center"/>
          </w:tcPr>
          <w:p w14:paraId="27A669AD">
            <w:pPr>
              <w:pStyle w:val="46"/>
              <w:spacing w:beforeLines="0" w:afterLines="0" w:line="240" w:lineRule="auto"/>
              <w:rPr>
                <w:rFonts w:hint="eastAsia" w:ascii="宋体" w:hAnsi="宋体" w:eastAsia="宋体" w:cs="宋体"/>
                <w:snapToGrid w:val="0"/>
                <w:kern w:val="21"/>
                <w:sz w:val="24"/>
                <w:szCs w:val="24"/>
              </w:rPr>
            </w:pPr>
          </w:p>
        </w:tc>
        <w:tc>
          <w:tcPr>
            <w:tcW w:w="1276" w:type="dxa"/>
            <w:noWrap w:val="0"/>
            <w:vAlign w:val="center"/>
          </w:tcPr>
          <w:p w14:paraId="1EBE25FD">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25F00C64">
            <w:pPr>
              <w:pStyle w:val="46"/>
              <w:spacing w:beforeLines="0" w:afterLines="0" w:line="240" w:lineRule="auto"/>
              <w:rPr>
                <w:rFonts w:hint="eastAsia" w:ascii="宋体" w:hAnsi="宋体" w:eastAsia="宋体" w:cs="宋体"/>
                <w:snapToGrid w:val="0"/>
                <w:kern w:val="21"/>
                <w:sz w:val="24"/>
                <w:szCs w:val="24"/>
              </w:rPr>
            </w:pPr>
          </w:p>
        </w:tc>
        <w:tc>
          <w:tcPr>
            <w:tcW w:w="1559" w:type="dxa"/>
            <w:noWrap w:val="0"/>
            <w:vAlign w:val="center"/>
          </w:tcPr>
          <w:p w14:paraId="0D726ABB">
            <w:pPr>
              <w:pStyle w:val="46"/>
              <w:spacing w:beforeLines="0" w:afterLines="0" w:line="240" w:lineRule="auto"/>
              <w:rPr>
                <w:rFonts w:hint="eastAsia" w:ascii="宋体" w:hAnsi="宋体" w:eastAsia="宋体" w:cs="宋体"/>
                <w:snapToGrid w:val="0"/>
                <w:kern w:val="21"/>
                <w:sz w:val="24"/>
                <w:szCs w:val="24"/>
              </w:rPr>
            </w:pPr>
          </w:p>
        </w:tc>
        <w:tc>
          <w:tcPr>
            <w:tcW w:w="1761" w:type="dxa"/>
            <w:noWrap w:val="0"/>
            <w:vAlign w:val="center"/>
          </w:tcPr>
          <w:p w14:paraId="253DCF33">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7810A263">
            <w:pPr>
              <w:pStyle w:val="46"/>
              <w:spacing w:beforeLines="0" w:afterLines="0" w:line="240" w:lineRule="auto"/>
              <w:rPr>
                <w:rFonts w:hint="eastAsia" w:ascii="宋体" w:hAnsi="宋体" w:eastAsia="宋体" w:cs="宋体"/>
                <w:snapToGrid w:val="0"/>
                <w:kern w:val="21"/>
                <w:sz w:val="24"/>
                <w:szCs w:val="24"/>
              </w:rPr>
            </w:pPr>
          </w:p>
        </w:tc>
        <w:tc>
          <w:tcPr>
            <w:tcW w:w="1290" w:type="dxa"/>
            <w:noWrap w:val="0"/>
            <w:vAlign w:val="center"/>
          </w:tcPr>
          <w:p w14:paraId="6E96CC19">
            <w:pPr>
              <w:pStyle w:val="46"/>
              <w:spacing w:beforeLines="0" w:afterLines="0" w:line="240" w:lineRule="auto"/>
              <w:rPr>
                <w:rFonts w:hint="eastAsia" w:ascii="宋体" w:hAnsi="宋体" w:eastAsia="宋体" w:cs="宋体"/>
                <w:snapToGrid w:val="0"/>
                <w:kern w:val="21"/>
                <w:sz w:val="24"/>
                <w:szCs w:val="24"/>
              </w:rPr>
            </w:pPr>
          </w:p>
        </w:tc>
      </w:tr>
      <w:tr w14:paraId="42311E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66269BCC">
            <w:pPr>
              <w:pStyle w:val="46"/>
              <w:spacing w:beforeLines="0" w:afterLines="0" w:line="240" w:lineRule="auto"/>
              <w:rPr>
                <w:rFonts w:hint="eastAsia" w:ascii="宋体" w:hAnsi="宋体" w:eastAsia="宋体" w:cs="宋体"/>
                <w:snapToGrid w:val="0"/>
                <w:kern w:val="21"/>
                <w:sz w:val="24"/>
                <w:szCs w:val="24"/>
              </w:rPr>
            </w:pPr>
          </w:p>
        </w:tc>
        <w:tc>
          <w:tcPr>
            <w:tcW w:w="1417" w:type="dxa"/>
            <w:noWrap w:val="0"/>
            <w:vAlign w:val="center"/>
          </w:tcPr>
          <w:p w14:paraId="450A4BAF">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6456FBE8">
            <w:pPr>
              <w:pStyle w:val="46"/>
              <w:spacing w:beforeLines="0" w:afterLines="0" w:line="240" w:lineRule="auto"/>
              <w:rPr>
                <w:rFonts w:hint="eastAsia" w:ascii="宋体" w:hAnsi="宋体" w:eastAsia="宋体" w:cs="宋体"/>
                <w:snapToGrid w:val="0"/>
                <w:kern w:val="21"/>
                <w:sz w:val="24"/>
                <w:szCs w:val="24"/>
              </w:rPr>
            </w:pPr>
          </w:p>
        </w:tc>
        <w:tc>
          <w:tcPr>
            <w:tcW w:w="1276" w:type="dxa"/>
            <w:noWrap w:val="0"/>
            <w:vAlign w:val="center"/>
          </w:tcPr>
          <w:p w14:paraId="7F73BC06">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6F468003">
            <w:pPr>
              <w:pStyle w:val="46"/>
              <w:spacing w:beforeLines="0" w:afterLines="0" w:line="240" w:lineRule="auto"/>
              <w:rPr>
                <w:rFonts w:hint="eastAsia" w:ascii="宋体" w:hAnsi="宋体" w:eastAsia="宋体" w:cs="宋体"/>
                <w:snapToGrid w:val="0"/>
                <w:kern w:val="21"/>
                <w:sz w:val="24"/>
                <w:szCs w:val="24"/>
              </w:rPr>
            </w:pPr>
          </w:p>
        </w:tc>
        <w:tc>
          <w:tcPr>
            <w:tcW w:w="1559" w:type="dxa"/>
            <w:noWrap w:val="0"/>
            <w:vAlign w:val="center"/>
          </w:tcPr>
          <w:p w14:paraId="4BD9EBB3">
            <w:pPr>
              <w:pStyle w:val="46"/>
              <w:spacing w:beforeLines="0" w:afterLines="0" w:line="240" w:lineRule="auto"/>
              <w:rPr>
                <w:rFonts w:hint="eastAsia" w:ascii="宋体" w:hAnsi="宋体" w:eastAsia="宋体" w:cs="宋体"/>
                <w:snapToGrid w:val="0"/>
                <w:kern w:val="21"/>
                <w:sz w:val="24"/>
                <w:szCs w:val="24"/>
              </w:rPr>
            </w:pPr>
          </w:p>
        </w:tc>
        <w:tc>
          <w:tcPr>
            <w:tcW w:w="1761" w:type="dxa"/>
            <w:noWrap w:val="0"/>
            <w:vAlign w:val="center"/>
          </w:tcPr>
          <w:p w14:paraId="6813FEED">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450260E2">
            <w:pPr>
              <w:pStyle w:val="46"/>
              <w:spacing w:beforeLines="0" w:afterLines="0" w:line="240" w:lineRule="auto"/>
              <w:rPr>
                <w:rFonts w:hint="eastAsia" w:ascii="宋体" w:hAnsi="宋体" w:eastAsia="宋体" w:cs="宋体"/>
                <w:snapToGrid w:val="0"/>
                <w:kern w:val="21"/>
                <w:sz w:val="24"/>
                <w:szCs w:val="24"/>
              </w:rPr>
            </w:pPr>
          </w:p>
        </w:tc>
        <w:tc>
          <w:tcPr>
            <w:tcW w:w="1290" w:type="dxa"/>
            <w:noWrap w:val="0"/>
            <w:vAlign w:val="center"/>
          </w:tcPr>
          <w:p w14:paraId="0567E0EE">
            <w:pPr>
              <w:pStyle w:val="46"/>
              <w:spacing w:beforeLines="0" w:afterLines="0" w:line="240" w:lineRule="auto"/>
              <w:rPr>
                <w:rFonts w:hint="eastAsia" w:ascii="宋体" w:hAnsi="宋体" w:eastAsia="宋体" w:cs="宋体"/>
                <w:snapToGrid w:val="0"/>
                <w:kern w:val="21"/>
                <w:sz w:val="24"/>
                <w:szCs w:val="24"/>
              </w:rPr>
            </w:pPr>
          </w:p>
        </w:tc>
      </w:tr>
      <w:tr w14:paraId="7D9B1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restart"/>
            <w:noWrap w:val="0"/>
            <w:vAlign w:val="center"/>
          </w:tcPr>
          <w:p w14:paraId="12E679C8">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危险废物</w:t>
            </w:r>
          </w:p>
        </w:tc>
        <w:tc>
          <w:tcPr>
            <w:tcW w:w="1417" w:type="dxa"/>
            <w:noWrap w:val="0"/>
            <w:vAlign w:val="center"/>
          </w:tcPr>
          <w:p w14:paraId="6E27A730">
            <w:pPr>
              <w:pStyle w:val="46"/>
              <w:spacing w:beforeLines="0" w:afterLines="0" w:line="240" w:lineRule="auto"/>
              <w:rPr>
                <w:rFonts w:hint="eastAsia" w:ascii="宋体" w:hAnsi="宋体" w:eastAsia="宋体" w:cs="宋体"/>
                <w:snapToGrid w:val="0"/>
                <w:kern w:val="21"/>
                <w:sz w:val="24"/>
                <w:szCs w:val="24"/>
              </w:rPr>
            </w:pPr>
            <w:r>
              <w:rPr>
                <w:rFonts w:hint="eastAsia" w:ascii="宋体" w:hAnsi="宋体" w:eastAsia="宋体" w:cs="宋体"/>
                <w:snapToGrid w:val="0"/>
                <w:kern w:val="21"/>
                <w:sz w:val="24"/>
                <w:szCs w:val="24"/>
              </w:rPr>
              <w:t>/</w:t>
            </w:r>
          </w:p>
        </w:tc>
        <w:tc>
          <w:tcPr>
            <w:tcW w:w="1701" w:type="dxa"/>
            <w:noWrap w:val="0"/>
            <w:vAlign w:val="center"/>
          </w:tcPr>
          <w:p w14:paraId="2C01F29B">
            <w:pPr>
              <w:pStyle w:val="46"/>
              <w:spacing w:beforeLines="0" w:afterLines="0" w:line="240" w:lineRule="auto"/>
              <w:rPr>
                <w:rFonts w:hint="eastAsia" w:ascii="宋体" w:hAnsi="宋体" w:eastAsia="宋体" w:cs="宋体"/>
                <w:snapToGrid w:val="0"/>
                <w:kern w:val="21"/>
                <w:sz w:val="24"/>
                <w:szCs w:val="24"/>
              </w:rPr>
            </w:pPr>
          </w:p>
        </w:tc>
        <w:tc>
          <w:tcPr>
            <w:tcW w:w="1276" w:type="dxa"/>
            <w:noWrap w:val="0"/>
            <w:vAlign w:val="center"/>
          </w:tcPr>
          <w:p w14:paraId="606C272B">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21B5BCB9">
            <w:pPr>
              <w:pStyle w:val="46"/>
              <w:spacing w:beforeLines="0" w:afterLines="0" w:line="240" w:lineRule="auto"/>
              <w:rPr>
                <w:rFonts w:hint="eastAsia" w:ascii="宋体" w:hAnsi="宋体" w:eastAsia="宋体" w:cs="宋体"/>
                <w:snapToGrid w:val="0"/>
                <w:kern w:val="21"/>
                <w:sz w:val="24"/>
                <w:szCs w:val="24"/>
              </w:rPr>
            </w:pPr>
          </w:p>
        </w:tc>
        <w:tc>
          <w:tcPr>
            <w:tcW w:w="1559" w:type="dxa"/>
            <w:noWrap w:val="0"/>
            <w:vAlign w:val="center"/>
          </w:tcPr>
          <w:p w14:paraId="78E7385E">
            <w:pPr>
              <w:pStyle w:val="46"/>
              <w:spacing w:beforeLines="0" w:afterLines="0" w:line="240" w:lineRule="auto"/>
              <w:rPr>
                <w:rFonts w:hint="eastAsia" w:ascii="宋体" w:hAnsi="宋体" w:eastAsia="宋体" w:cs="宋体"/>
                <w:snapToGrid w:val="0"/>
                <w:kern w:val="21"/>
                <w:sz w:val="24"/>
                <w:szCs w:val="24"/>
              </w:rPr>
            </w:pPr>
          </w:p>
        </w:tc>
        <w:tc>
          <w:tcPr>
            <w:tcW w:w="1761" w:type="dxa"/>
            <w:noWrap w:val="0"/>
            <w:vAlign w:val="center"/>
          </w:tcPr>
          <w:p w14:paraId="5A183EA5">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1BE0FFD3">
            <w:pPr>
              <w:pStyle w:val="46"/>
              <w:spacing w:beforeLines="0" w:afterLines="0" w:line="240" w:lineRule="auto"/>
              <w:rPr>
                <w:rFonts w:hint="eastAsia" w:ascii="宋体" w:hAnsi="宋体" w:eastAsia="宋体" w:cs="宋体"/>
                <w:snapToGrid w:val="0"/>
                <w:kern w:val="21"/>
                <w:sz w:val="24"/>
                <w:szCs w:val="24"/>
              </w:rPr>
            </w:pPr>
          </w:p>
        </w:tc>
        <w:tc>
          <w:tcPr>
            <w:tcW w:w="1290" w:type="dxa"/>
            <w:noWrap w:val="0"/>
            <w:vAlign w:val="center"/>
          </w:tcPr>
          <w:p w14:paraId="59281C8D">
            <w:pPr>
              <w:pStyle w:val="46"/>
              <w:spacing w:beforeLines="0" w:afterLines="0" w:line="240" w:lineRule="auto"/>
              <w:rPr>
                <w:rFonts w:hint="eastAsia" w:ascii="宋体" w:hAnsi="宋体" w:eastAsia="宋体" w:cs="宋体"/>
                <w:snapToGrid w:val="0"/>
                <w:kern w:val="21"/>
                <w:sz w:val="24"/>
                <w:szCs w:val="24"/>
              </w:rPr>
            </w:pPr>
          </w:p>
        </w:tc>
      </w:tr>
      <w:tr w14:paraId="78397B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588" w:type="dxa"/>
            <w:vMerge w:val="continue"/>
            <w:noWrap w:val="0"/>
            <w:vAlign w:val="center"/>
          </w:tcPr>
          <w:p w14:paraId="3955C64F">
            <w:pPr>
              <w:pStyle w:val="46"/>
              <w:spacing w:beforeLines="0" w:afterLines="0" w:line="240" w:lineRule="auto"/>
              <w:rPr>
                <w:rFonts w:hint="eastAsia" w:ascii="宋体" w:hAnsi="宋体" w:eastAsia="宋体" w:cs="宋体"/>
                <w:snapToGrid w:val="0"/>
                <w:kern w:val="21"/>
                <w:sz w:val="24"/>
                <w:szCs w:val="24"/>
              </w:rPr>
            </w:pPr>
          </w:p>
        </w:tc>
        <w:tc>
          <w:tcPr>
            <w:tcW w:w="1417" w:type="dxa"/>
            <w:noWrap w:val="0"/>
            <w:vAlign w:val="center"/>
          </w:tcPr>
          <w:p w14:paraId="650B1DA6">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2CCEDFAD">
            <w:pPr>
              <w:pStyle w:val="46"/>
              <w:spacing w:beforeLines="0" w:afterLines="0" w:line="240" w:lineRule="auto"/>
              <w:rPr>
                <w:rFonts w:hint="eastAsia" w:ascii="宋体" w:hAnsi="宋体" w:eastAsia="宋体" w:cs="宋体"/>
                <w:snapToGrid w:val="0"/>
                <w:kern w:val="21"/>
                <w:sz w:val="24"/>
                <w:szCs w:val="24"/>
              </w:rPr>
            </w:pPr>
          </w:p>
        </w:tc>
        <w:tc>
          <w:tcPr>
            <w:tcW w:w="1276" w:type="dxa"/>
            <w:noWrap w:val="0"/>
            <w:vAlign w:val="center"/>
          </w:tcPr>
          <w:p w14:paraId="35770307">
            <w:pPr>
              <w:pStyle w:val="46"/>
              <w:spacing w:beforeLines="0" w:afterLines="0" w:line="240" w:lineRule="auto"/>
              <w:rPr>
                <w:rFonts w:hint="eastAsia" w:ascii="宋体" w:hAnsi="宋体" w:eastAsia="宋体" w:cs="宋体"/>
                <w:snapToGrid w:val="0"/>
                <w:kern w:val="21"/>
                <w:sz w:val="24"/>
                <w:szCs w:val="24"/>
              </w:rPr>
            </w:pPr>
          </w:p>
        </w:tc>
        <w:tc>
          <w:tcPr>
            <w:tcW w:w="1701" w:type="dxa"/>
            <w:noWrap w:val="0"/>
            <w:vAlign w:val="center"/>
          </w:tcPr>
          <w:p w14:paraId="2476BB2F">
            <w:pPr>
              <w:pStyle w:val="46"/>
              <w:spacing w:beforeLines="0" w:afterLines="0" w:line="240" w:lineRule="auto"/>
              <w:rPr>
                <w:rFonts w:hint="eastAsia" w:ascii="宋体" w:hAnsi="宋体" w:eastAsia="宋体" w:cs="宋体"/>
                <w:snapToGrid w:val="0"/>
                <w:kern w:val="21"/>
                <w:sz w:val="24"/>
                <w:szCs w:val="24"/>
              </w:rPr>
            </w:pPr>
          </w:p>
        </w:tc>
        <w:tc>
          <w:tcPr>
            <w:tcW w:w="1559" w:type="dxa"/>
            <w:noWrap w:val="0"/>
            <w:vAlign w:val="center"/>
          </w:tcPr>
          <w:p w14:paraId="468C6183">
            <w:pPr>
              <w:pStyle w:val="46"/>
              <w:spacing w:beforeLines="0" w:afterLines="0" w:line="240" w:lineRule="auto"/>
              <w:rPr>
                <w:rFonts w:hint="eastAsia" w:ascii="宋体" w:hAnsi="宋体" w:eastAsia="宋体" w:cs="宋体"/>
                <w:snapToGrid w:val="0"/>
                <w:kern w:val="21"/>
                <w:sz w:val="24"/>
                <w:szCs w:val="24"/>
              </w:rPr>
            </w:pPr>
          </w:p>
        </w:tc>
        <w:tc>
          <w:tcPr>
            <w:tcW w:w="1761" w:type="dxa"/>
            <w:noWrap w:val="0"/>
            <w:vAlign w:val="center"/>
          </w:tcPr>
          <w:p w14:paraId="377699D0">
            <w:pPr>
              <w:pStyle w:val="46"/>
              <w:spacing w:beforeLines="0" w:afterLines="0" w:line="240" w:lineRule="auto"/>
              <w:rPr>
                <w:rFonts w:hint="eastAsia" w:ascii="宋体" w:hAnsi="宋体" w:eastAsia="宋体" w:cs="宋体"/>
                <w:snapToGrid w:val="0"/>
                <w:kern w:val="21"/>
                <w:sz w:val="24"/>
                <w:szCs w:val="24"/>
              </w:rPr>
            </w:pPr>
          </w:p>
        </w:tc>
        <w:tc>
          <w:tcPr>
            <w:tcW w:w="1756" w:type="dxa"/>
            <w:noWrap w:val="0"/>
            <w:vAlign w:val="center"/>
          </w:tcPr>
          <w:p w14:paraId="67078C84">
            <w:pPr>
              <w:pStyle w:val="46"/>
              <w:spacing w:beforeLines="0" w:afterLines="0" w:line="240" w:lineRule="auto"/>
              <w:rPr>
                <w:rFonts w:hint="eastAsia" w:ascii="宋体" w:hAnsi="宋体" w:eastAsia="宋体" w:cs="宋体"/>
                <w:snapToGrid w:val="0"/>
                <w:kern w:val="21"/>
                <w:sz w:val="24"/>
                <w:szCs w:val="24"/>
              </w:rPr>
            </w:pPr>
          </w:p>
        </w:tc>
        <w:tc>
          <w:tcPr>
            <w:tcW w:w="1290" w:type="dxa"/>
            <w:noWrap w:val="0"/>
            <w:vAlign w:val="center"/>
          </w:tcPr>
          <w:p w14:paraId="523661EE">
            <w:pPr>
              <w:pStyle w:val="46"/>
              <w:spacing w:beforeLines="0" w:afterLines="0" w:line="240" w:lineRule="auto"/>
              <w:rPr>
                <w:rFonts w:hint="eastAsia" w:ascii="宋体" w:hAnsi="宋体" w:eastAsia="宋体" w:cs="宋体"/>
                <w:snapToGrid w:val="0"/>
                <w:kern w:val="21"/>
                <w:sz w:val="24"/>
                <w:szCs w:val="24"/>
              </w:rPr>
            </w:pPr>
          </w:p>
        </w:tc>
      </w:tr>
    </w:tbl>
    <w:p w14:paraId="7D4E9FDA">
      <w:pPr>
        <w:pStyle w:val="46"/>
        <w:spacing w:before="192" w:beforeLines="80" w:after="24"/>
        <w:jc w:val="left"/>
        <w:rPr>
          <w:rFonts w:hint="eastAsia" w:ascii="宋体" w:hAnsi="宋体" w:eastAsia="宋体" w:cs="宋体"/>
          <w:snapToGrid w:val="0"/>
          <w:spacing w:val="-6"/>
          <w:kern w:val="21"/>
          <w:sz w:val="24"/>
          <w:szCs w:val="24"/>
        </w:rPr>
      </w:pPr>
      <w:r>
        <w:rPr>
          <w:rFonts w:hint="eastAsia" w:ascii="宋体" w:hAnsi="宋体" w:eastAsia="宋体" w:cs="宋体"/>
          <w:snapToGrid w:val="0"/>
          <w:kern w:val="21"/>
          <w:sz w:val="24"/>
          <w:szCs w:val="24"/>
        </w:rPr>
        <w:t>注：</w:t>
      </w:r>
      <w:r>
        <w:rPr>
          <w:rFonts w:hint="eastAsia" w:ascii="宋体" w:hAnsi="宋体" w:eastAsia="宋体" w:cs="宋体"/>
          <w:snapToGrid w:val="0"/>
          <w:spacing w:val="-16"/>
          <w:kern w:val="21"/>
          <w:sz w:val="24"/>
          <w:szCs w:val="24"/>
        </w:rPr>
        <w:fldChar w:fldCharType="begin"/>
      </w:r>
      <w:r>
        <w:rPr>
          <w:rFonts w:hint="eastAsia" w:ascii="宋体" w:hAnsi="宋体" w:eastAsia="宋体" w:cs="宋体"/>
          <w:snapToGrid w:val="0"/>
          <w:spacing w:val="-16"/>
          <w:kern w:val="21"/>
          <w:sz w:val="24"/>
          <w:szCs w:val="24"/>
        </w:rPr>
        <w:instrText xml:space="preserve"> = 6 \* GB3 \* MERGEFORMAT </w:instrText>
      </w:r>
      <w:r>
        <w:rPr>
          <w:rFonts w:hint="eastAsia" w:ascii="宋体" w:hAnsi="宋体" w:eastAsia="宋体" w:cs="宋体"/>
          <w:snapToGrid w:val="0"/>
          <w:spacing w:val="-16"/>
          <w:kern w:val="21"/>
          <w:sz w:val="24"/>
          <w:szCs w:val="24"/>
        </w:rPr>
        <w:fldChar w:fldCharType="separate"/>
      </w:r>
      <w:r>
        <w:rPr>
          <w:rFonts w:hint="eastAsia" w:ascii="宋体" w:hAnsi="宋体" w:eastAsia="宋体" w:cs="宋体"/>
          <w:sz w:val="24"/>
          <w:szCs w:val="24"/>
        </w:rPr>
        <w:t>⑥</w:t>
      </w:r>
      <w:r>
        <w:rPr>
          <w:rFonts w:hint="eastAsia" w:ascii="宋体" w:hAnsi="宋体" w:eastAsia="宋体" w:cs="宋体"/>
          <w:snapToGrid w:val="0"/>
          <w:spacing w:val="-16"/>
          <w:kern w:val="21"/>
          <w:sz w:val="24"/>
          <w:szCs w:val="24"/>
        </w:rPr>
        <w:fldChar w:fldCharType="end"/>
      </w:r>
      <w:r>
        <w:rPr>
          <w:rFonts w:hint="eastAsia" w:ascii="宋体" w:hAnsi="宋体" w:eastAsia="宋体" w:cs="宋体"/>
          <w:snapToGrid w:val="0"/>
          <w:spacing w:val="-16"/>
          <w:kern w:val="21"/>
          <w:sz w:val="24"/>
          <w:szCs w:val="24"/>
        </w:rPr>
        <w:t>=</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1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sz w:val="24"/>
          <w:szCs w:val="24"/>
        </w:rPr>
        <w:t>①</w:t>
      </w:r>
      <w:r>
        <w:rPr>
          <w:rFonts w:hint="eastAsia" w:ascii="宋体" w:hAnsi="宋体" w:eastAsia="宋体" w:cs="宋体"/>
          <w:snapToGrid w:val="0"/>
          <w:spacing w:val="-6"/>
          <w:kern w:val="21"/>
          <w:sz w:val="24"/>
          <w:szCs w:val="24"/>
        </w:rPr>
        <w:fldChar w:fldCharType="end"/>
      </w:r>
      <w:r>
        <w:rPr>
          <w:rFonts w:hint="eastAsia" w:ascii="宋体" w:hAnsi="宋体" w:eastAsia="宋体" w:cs="宋体"/>
          <w:snapToGrid w:val="0"/>
          <w:spacing w:val="-6"/>
          <w:kern w:val="21"/>
          <w:sz w:val="24"/>
          <w:szCs w:val="24"/>
        </w:rPr>
        <w:t>+</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3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sz w:val="24"/>
          <w:szCs w:val="24"/>
        </w:rPr>
        <w:t>③</w:t>
      </w:r>
      <w:r>
        <w:rPr>
          <w:rFonts w:hint="eastAsia" w:ascii="宋体" w:hAnsi="宋体" w:eastAsia="宋体" w:cs="宋体"/>
          <w:snapToGrid w:val="0"/>
          <w:spacing w:val="-6"/>
          <w:kern w:val="21"/>
          <w:sz w:val="24"/>
          <w:szCs w:val="24"/>
        </w:rPr>
        <w:fldChar w:fldCharType="end"/>
      </w:r>
      <w:r>
        <w:rPr>
          <w:rFonts w:hint="eastAsia" w:ascii="宋体" w:hAnsi="宋体" w:eastAsia="宋体" w:cs="宋体"/>
          <w:snapToGrid w:val="0"/>
          <w:spacing w:val="-6"/>
          <w:kern w:val="21"/>
          <w:sz w:val="24"/>
          <w:szCs w:val="24"/>
        </w:rPr>
        <w:t>+</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4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sz w:val="24"/>
          <w:szCs w:val="24"/>
        </w:rPr>
        <w:t>④</w:t>
      </w:r>
      <w:r>
        <w:rPr>
          <w:rFonts w:hint="eastAsia" w:ascii="宋体" w:hAnsi="宋体" w:eastAsia="宋体" w:cs="宋体"/>
          <w:snapToGrid w:val="0"/>
          <w:spacing w:val="-6"/>
          <w:kern w:val="21"/>
          <w:sz w:val="24"/>
          <w:szCs w:val="24"/>
        </w:rPr>
        <w:fldChar w:fldCharType="end"/>
      </w:r>
      <w:r>
        <w:rPr>
          <w:rFonts w:hint="eastAsia" w:ascii="宋体" w:hAnsi="宋体" w:eastAsia="宋体" w:cs="宋体"/>
          <w:snapToGrid w:val="0"/>
          <w:spacing w:val="-6"/>
          <w:kern w:val="21"/>
          <w:sz w:val="24"/>
          <w:szCs w:val="24"/>
        </w:rPr>
        <w:t>-</w:t>
      </w:r>
      <w:r>
        <w:rPr>
          <w:rFonts w:hint="eastAsia" w:ascii="宋体" w:hAnsi="宋体" w:eastAsia="宋体" w:cs="宋体"/>
          <w:snapToGrid w:val="0"/>
          <w:spacing w:val="-16"/>
          <w:kern w:val="21"/>
          <w:sz w:val="24"/>
          <w:szCs w:val="24"/>
        </w:rPr>
        <w:fldChar w:fldCharType="begin"/>
      </w:r>
      <w:r>
        <w:rPr>
          <w:rFonts w:hint="eastAsia" w:ascii="宋体" w:hAnsi="宋体" w:eastAsia="宋体" w:cs="宋体"/>
          <w:snapToGrid w:val="0"/>
          <w:spacing w:val="-16"/>
          <w:kern w:val="21"/>
          <w:sz w:val="24"/>
          <w:szCs w:val="24"/>
        </w:rPr>
        <w:instrText xml:space="preserve"> = 5 \* GB3 \* MERGEFORMAT </w:instrText>
      </w:r>
      <w:r>
        <w:rPr>
          <w:rFonts w:hint="eastAsia" w:ascii="宋体" w:hAnsi="宋体" w:eastAsia="宋体" w:cs="宋体"/>
          <w:snapToGrid w:val="0"/>
          <w:spacing w:val="-16"/>
          <w:kern w:val="21"/>
          <w:sz w:val="24"/>
          <w:szCs w:val="24"/>
        </w:rPr>
        <w:fldChar w:fldCharType="separate"/>
      </w:r>
      <w:r>
        <w:rPr>
          <w:rFonts w:hint="eastAsia" w:ascii="宋体" w:hAnsi="宋体" w:eastAsia="宋体" w:cs="宋体"/>
          <w:sz w:val="24"/>
          <w:szCs w:val="24"/>
        </w:rPr>
        <w:t>⑤</w:t>
      </w:r>
      <w:r>
        <w:rPr>
          <w:rFonts w:hint="eastAsia" w:ascii="宋体" w:hAnsi="宋体" w:eastAsia="宋体" w:cs="宋体"/>
          <w:snapToGrid w:val="0"/>
          <w:spacing w:val="-16"/>
          <w:kern w:val="21"/>
          <w:sz w:val="24"/>
          <w:szCs w:val="24"/>
        </w:rPr>
        <w:fldChar w:fldCharType="end"/>
      </w:r>
      <w:r>
        <w:rPr>
          <w:rFonts w:hint="eastAsia" w:ascii="宋体" w:hAnsi="宋体" w:eastAsia="宋体" w:cs="宋体"/>
          <w:snapToGrid w:val="0"/>
          <w:spacing w:val="-16"/>
          <w:kern w:val="21"/>
          <w:sz w:val="24"/>
          <w:szCs w:val="24"/>
        </w:rPr>
        <w:t>；</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7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sz w:val="24"/>
          <w:szCs w:val="24"/>
        </w:rPr>
        <w:t>⑦</w:t>
      </w:r>
      <w:r>
        <w:rPr>
          <w:rFonts w:hint="eastAsia" w:ascii="宋体" w:hAnsi="宋体" w:eastAsia="宋体" w:cs="宋体"/>
          <w:snapToGrid w:val="0"/>
          <w:spacing w:val="-6"/>
          <w:kern w:val="21"/>
          <w:sz w:val="24"/>
          <w:szCs w:val="24"/>
        </w:rPr>
        <w:fldChar w:fldCharType="end"/>
      </w:r>
      <w:r>
        <w:rPr>
          <w:rFonts w:hint="eastAsia" w:ascii="宋体" w:hAnsi="宋体" w:eastAsia="宋体" w:cs="宋体"/>
          <w:snapToGrid w:val="0"/>
          <w:spacing w:val="-6"/>
          <w:kern w:val="21"/>
          <w:sz w:val="24"/>
          <w:szCs w:val="24"/>
        </w:rPr>
        <w:t>=</w:t>
      </w:r>
      <w:r>
        <w:rPr>
          <w:rFonts w:hint="eastAsia" w:ascii="宋体" w:hAnsi="宋体" w:eastAsia="宋体" w:cs="宋体"/>
          <w:snapToGrid w:val="0"/>
          <w:spacing w:val="-16"/>
          <w:kern w:val="21"/>
          <w:sz w:val="24"/>
          <w:szCs w:val="24"/>
        </w:rPr>
        <w:fldChar w:fldCharType="begin"/>
      </w:r>
      <w:r>
        <w:rPr>
          <w:rFonts w:hint="eastAsia" w:ascii="宋体" w:hAnsi="宋体" w:eastAsia="宋体" w:cs="宋体"/>
          <w:snapToGrid w:val="0"/>
          <w:spacing w:val="-16"/>
          <w:kern w:val="21"/>
          <w:sz w:val="24"/>
          <w:szCs w:val="24"/>
        </w:rPr>
        <w:instrText xml:space="preserve"> = 6 \* GB3 \* MERGEFORMAT </w:instrText>
      </w:r>
      <w:r>
        <w:rPr>
          <w:rFonts w:hint="eastAsia" w:ascii="宋体" w:hAnsi="宋体" w:eastAsia="宋体" w:cs="宋体"/>
          <w:snapToGrid w:val="0"/>
          <w:spacing w:val="-16"/>
          <w:kern w:val="21"/>
          <w:sz w:val="24"/>
          <w:szCs w:val="24"/>
        </w:rPr>
        <w:fldChar w:fldCharType="separate"/>
      </w:r>
      <w:r>
        <w:rPr>
          <w:rFonts w:hint="eastAsia" w:ascii="宋体" w:hAnsi="宋体" w:eastAsia="宋体" w:cs="宋体"/>
          <w:sz w:val="24"/>
          <w:szCs w:val="24"/>
        </w:rPr>
        <w:t>⑥</w:t>
      </w:r>
      <w:r>
        <w:rPr>
          <w:rFonts w:hint="eastAsia" w:ascii="宋体" w:hAnsi="宋体" w:eastAsia="宋体" w:cs="宋体"/>
          <w:snapToGrid w:val="0"/>
          <w:spacing w:val="-16"/>
          <w:kern w:val="21"/>
          <w:sz w:val="24"/>
          <w:szCs w:val="24"/>
        </w:rPr>
        <w:fldChar w:fldCharType="end"/>
      </w:r>
      <w:r>
        <w:rPr>
          <w:rFonts w:hint="eastAsia" w:ascii="宋体" w:hAnsi="宋体" w:eastAsia="宋体" w:cs="宋体"/>
          <w:snapToGrid w:val="0"/>
          <w:spacing w:val="-16"/>
          <w:kern w:val="21"/>
          <w:sz w:val="24"/>
          <w:szCs w:val="24"/>
        </w:rPr>
        <w:t>-</w:t>
      </w:r>
      <w:r>
        <w:rPr>
          <w:rFonts w:hint="eastAsia" w:ascii="宋体" w:hAnsi="宋体" w:eastAsia="宋体" w:cs="宋体"/>
          <w:snapToGrid w:val="0"/>
          <w:spacing w:val="-6"/>
          <w:kern w:val="21"/>
          <w:sz w:val="24"/>
          <w:szCs w:val="24"/>
        </w:rPr>
        <w:fldChar w:fldCharType="begin"/>
      </w:r>
      <w:r>
        <w:rPr>
          <w:rFonts w:hint="eastAsia" w:ascii="宋体" w:hAnsi="宋体" w:eastAsia="宋体" w:cs="宋体"/>
          <w:snapToGrid w:val="0"/>
          <w:spacing w:val="-6"/>
          <w:kern w:val="21"/>
          <w:sz w:val="24"/>
          <w:szCs w:val="24"/>
        </w:rPr>
        <w:instrText xml:space="preserve"> = 1 \* GB3 \* MERGEFORMAT </w:instrText>
      </w:r>
      <w:r>
        <w:rPr>
          <w:rFonts w:hint="eastAsia" w:ascii="宋体" w:hAnsi="宋体" w:eastAsia="宋体" w:cs="宋体"/>
          <w:snapToGrid w:val="0"/>
          <w:spacing w:val="-6"/>
          <w:kern w:val="21"/>
          <w:sz w:val="24"/>
          <w:szCs w:val="24"/>
        </w:rPr>
        <w:fldChar w:fldCharType="separate"/>
      </w:r>
      <w:r>
        <w:rPr>
          <w:rFonts w:hint="eastAsia" w:ascii="宋体" w:hAnsi="宋体" w:eastAsia="宋体" w:cs="宋体"/>
          <w:sz w:val="24"/>
          <w:szCs w:val="24"/>
        </w:rPr>
        <w:t>①</w:t>
      </w:r>
      <w:r>
        <w:rPr>
          <w:rFonts w:hint="eastAsia" w:ascii="宋体" w:hAnsi="宋体" w:eastAsia="宋体" w:cs="宋体"/>
          <w:snapToGrid w:val="0"/>
          <w:spacing w:val="-6"/>
          <w:kern w:val="21"/>
          <w:sz w:val="24"/>
          <w:szCs w:val="24"/>
        </w:rPr>
        <w:fldChar w:fldCharType="end"/>
      </w:r>
    </w:p>
    <w:p w14:paraId="4E578AD5">
      <w:pPr>
        <w:rPr>
          <w:rFonts w:hint="eastAsia" w:ascii="宋体" w:hAnsi="宋体" w:eastAsia="宋体" w:cs="宋体"/>
          <w:snapToGrid w:val="0"/>
          <w:spacing w:val="-6"/>
          <w:kern w:val="21"/>
          <w:sz w:val="24"/>
          <w:szCs w:val="24"/>
        </w:rPr>
      </w:pPr>
    </w:p>
    <w:p w14:paraId="7A4152C5">
      <w:pPr>
        <w:pStyle w:val="8"/>
        <w:rPr>
          <w:rFonts w:hint="eastAsia" w:ascii="宋体" w:hAnsi="宋体" w:eastAsia="宋体" w:cs="宋体"/>
          <w:snapToGrid w:val="0"/>
          <w:spacing w:val="-6"/>
          <w:kern w:val="21"/>
          <w:sz w:val="24"/>
          <w:szCs w:val="24"/>
        </w:rPr>
      </w:pPr>
    </w:p>
    <w:p w14:paraId="6FE05294">
      <w:pPr>
        <w:pStyle w:val="2"/>
        <w:rPr>
          <w:rFonts w:hint="eastAsia" w:ascii="宋体" w:hAnsi="宋体" w:eastAsia="宋体" w:cs="宋体"/>
          <w:snapToGrid w:val="0"/>
          <w:spacing w:val="-6"/>
          <w:kern w:val="21"/>
          <w:sz w:val="24"/>
          <w:szCs w:val="24"/>
        </w:rPr>
      </w:pPr>
    </w:p>
    <w:p w14:paraId="771D387E">
      <w:pPr>
        <w:rPr>
          <w:rFonts w:hint="eastAsia" w:ascii="宋体" w:hAnsi="宋体" w:eastAsia="宋体" w:cs="宋体"/>
          <w:snapToGrid w:val="0"/>
          <w:spacing w:val="-6"/>
          <w:kern w:val="21"/>
          <w:sz w:val="24"/>
          <w:szCs w:val="24"/>
        </w:rPr>
        <w:sectPr>
          <w:footerReference r:id="rId4" w:type="default"/>
          <w:pgSz w:w="16838" w:h="11906" w:orient="landscape"/>
          <w:pgMar w:top="1531" w:right="1701" w:bottom="1531" w:left="1361" w:header="851" w:footer="851" w:gutter="0"/>
          <w:cols w:space="720" w:num="1"/>
          <w:docGrid w:linePitch="312" w:charSpace="0"/>
        </w:sectPr>
      </w:pPr>
    </w:p>
    <w:p w14:paraId="5B176879">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附图1  项目地理位置图</w:t>
      </w:r>
    </w:p>
    <w:p w14:paraId="43E37C70">
      <w:pPr>
        <w:pStyle w:val="2"/>
        <w:rPr>
          <w:color w:val="auto"/>
          <w:highlight w:val="none"/>
        </w:rPr>
      </w:pPr>
      <w:r>
        <w:rPr>
          <w:color w:val="auto"/>
          <w:highlight w:val="none"/>
        </w:rPr>
        <mc:AlternateContent>
          <mc:Choice Requires="wps">
            <w:drawing>
              <wp:anchor distT="0" distB="0" distL="114300" distR="114300" simplePos="0" relativeHeight="251663360" behindDoc="0" locked="0" layoutInCell="1" allowOverlap="1">
                <wp:simplePos x="0" y="0"/>
                <wp:positionH relativeFrom="column">
                  <wp:posOffset>5055870</wp:posOffset>
                </wp:positionH>
                <wp:positionV relativeFrom="paragraph">
                  <wp:posOffset>2145030</wp:posOffset>
                </wp:positionV>
                <wp:extent cx="896620" cy="394335"/>
                <wp:effectExtent l="6350" t="6350" r="373380" b="94615"/>
                <wp:wrapNone/>
                <wp:docPr id="124" name="_x0000_s1181"/>
                <wp:cNvGraphicFramePr/>
                <a:graphic xmlns:a="http://schemas.openxmlformats.org/drawingml/2006/main">
                  <a:graphicData uri="http://schemas.microsoft.com/office/word/2010/wordprocessingShape">
                    <wps:wsp>
                      <wps:cNvSpPr/>
                      <wps:spPr>
                        <a:xfrm>
                          <a:off x="0" y="0"/>
                          <a:ext cx="896620" cy="394335"/>
                        </a:xfrm>
                        <a:prstGeom prst="wedgeRectCallout">
                          <a:avLst>
                            <a:gd name="adj1" fmla="val 90402"/>
                            <a:gd name="adj2" fmla="val 71578"/>
                          </a:avLst>
                        </a:prstGeom>
                        <a:solidFill>
                          <a:schemeClr val="tx2">
                            <a:lumMod val="40000"/>
                            <a:lumOff val="60000"/>
                          </a:schemeClr>
                        </a:solidFill>
                        <a:ln w="12700" cmpd="sng">
                          <a:solidFill>
                            <a:schemeClr val="tx1"/>
                          </a:solidFill>
                          <a:prstDash val="solid"/>
                          <a:round/>
                        </a:ln>
                      </wps:spPr>
                      <wps:style>
                        <a:lnRef idx="2">
                          <a:schemeClr val="tx1"/>
                        </a:lnRef>
                        <a:fillRef idx="1">
                          <a:schemeClr val="tx2">
                            <a:lumMod val="40000"/>
                            <a:lumOff val="60000"/>
                          </a:schemeClr>
                        </a:fillRef>
                        <a:effectRef idx="0">
                          <a:schemeClr val="accent1"/>
                        </a:effectRef>
                        <a:fontRef idx="minor">
                          <a:schemeClr val="lt1"/>
                        </a:fontRef>
                      </wps:style>
                      <wps:txbx>
                        <w:txbxContent>
                          <w:p w14:paraId="17F2CF40">
                            <w:pPr>
                              <w:jc w:val="center"/>
                            </w:pPr>
                            <w:r>
                              <w:rPr>
                                <w:rFonts w:hint="eastAsia"/>
                              </w:rPr>
                              <w:t>本项目位置</w:t>
                            </w:r>
                          </w:p>
                        </w:txbxContent>
                      </wps:txbx>
                      <wps:bodyPr rot="0" spcFirstLastPara="0" vertOverflow="overflow" horzOverflow="overflow" vert="horz" wrap="square" lIns="91440" tIns="45720" rIns="91440" bIns="45720" numCol="1" rtlCol="0" anchor="ctr" upright="1">
                        <a:noAutofit/>
                      </wps:bodyPr>
                    </wps:wsp>
                  </a:graphicData>
                </a:graphic>
              </wp:anchor>
            </w:drawing>
          </mc:Choice>
          <mc:Fallback>
            <w:pict>
              <v:shape id="_x0000_s1181" o:spid="_x0000_s1026" o:spt="61" type="#_x0000_t61" style="position:absolute;left:0pt;margin-left:398.1pt;margin-top:168.9pt;height:31.05pt;width:70.6pt;z-index:251663360;v-text-anchor:middle;mso-width-relative:page;mso-height-relative:page;" fillcolor="#8EB4E3 [1311]" filled="t" stroked="t" coordsize="21600,21600" o:gfxdata="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AGuNtoAAAALAQAADwAAAAAAAAABACAAAAAiAAAAZHJzL2Rvd25yZXYueG1sUEsBAhQAFAAAAAgA&#10;h07iQJdv1jaVAgAAVAUAAA4AAAAAAAAAAQAgAAAAKQEAAGRycy9lMm9Eb2MueG1sUEsFBgAAAAAG&#10;AAYAWQEAADAGAAAAAA==&#10;" adj="30327,26261">
                <v:fill on="t" focussize="0,0"/>
                <v:stroke weight="1pt" color="#000000 [3213]" joinstyle="round"/>
                <v:imagedata o:title=""/>
                <o:lock v:ext="edit" aspectratio="f"/>
                <v:textbox>
                  <w:txbxContent>
                    <w:p w14:paraId="17F2CF40">
                      <w:pPr>
                        <w:jc w:val="center"/>
                      </w:pPr>
                      <w:r>
                        <w:rPr>
                          <w:rFonts w:hint="eastAsia"/>
                        </w:rPr>
                        <w:t>本项目位置</w:t>
                      </w:r>
                    </w:p>
                  </w:txbxContent>
                </v:textbox>
              </v:shape>
            </w:pict>
          </mc:Fallback>
        </mc:AlternateContent>
      </w:r>
      <w:r>
        <w:rPr>
          <w:color w:val="auto"/>
          <w:highlight w:val="none"/>
        </w:rPr>
        <w:drawing>
          <wp:inline distT="0" distB="0" distL="114300" distR="114300">
            <wp:extent cx="7896860" cy="5348605"/>
            <wp:effectExtent l="0" t="0" r="8890" b="4445"/>
            <wp:docPr id="125" name="_x0000_i1182" descr="伊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_x0000_i1182" descr="伊旗"/>
                    <pic:cNvPicPr>
                      <a:picLocks noChangeAspect="1"/>
                    </pic:cNvPicPr>
                  </pic:nvPicPr>
                  <pic:blipFill>
                    <a:blip r:embed="rId9"/>
                    <a:srcRect l="3146" t="7188" r="3770" b="3656"/>
                    <a:stretch>
                      <a:fillRect/>
                    </a:stretch>
                  </pic:blipFill>
                  <pic:spPr>
                    <a:xfrm>
                      <a:off x="0" y="0"/>
                      <a:ext cx="7896860" cy="5348605"/>
                    </a:xfrm>
                    <a:prstGeom prst="rect">
                      <a:avLst/>
                    </a:prstGeom>
                  </pic:spPr>
                </pic:pic>
              </a:graphicData>
            </a:graphic>
          </wp:inline>
        </w:drawing>
      </w:r>
    </w:p>
    <w:p w14:paraId="40A82D3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附图1  项目</w:t>
      </w:r>
      <w:r>
        <w:rPr>
          <w:rFonts w:hint="eastAsia" w:ascii="宋体" w:hAnsi="宋体" w:cs="宋体"/>
          <w:color w:val="auto"/>
          <w:sz w:val="24"/>
          <w:szCs w:val="24"/>
          <w:highlight w:val="none"/>
          <w:lang w:val="en-US" w:eastAsia="zh-CN"/>
        </w:rPr>
        <w:t>平面布置</w:t>
      </w:r>
      <w:r>
        <w:rPr>
          <w:rFonts w:hint="eastAsia" w:ascii="宋体" w:hAnsi="宋体" w:eastAsia="宋体" w:cs="宋体"/>
          <w:color w:val="auto"/>
          <w:sz w:val="24"/>
          <w:szCs w:val="24"/>
          <w:highlight w:val="none"/>
        </w:rPr>
        <w:t>图</w:t>
      </w:r>
    </w:p>
    <w:p w14:paraId="6E788120">
      <w:pPr>
        <w:rPr>
          <w:rFonts w:hint="eastAsia" w:ascii="宋体" w:hAnsi="宋体" w:eastAsia="宋体" w:cs="宋体"/>
          <w:color w:val="auto"/>
          <w:sz w:val="24"/>
          <w:szCs w:val="24"/>
          <w:highlight w:val="none"/>
        </w:rPr>
      </w:pPr>
      <w:r>
        <w:drawing>
          <wp:inline distT="0" distB="0" distL="114300" distR="114300">
            <wp:extent cx="8745855" cy="3997960"/>
            <wp:effectExtent l="0" t="0" r="8890" b="6985"/>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0"/>
                    <a:stretch>
                      <a:fillRect/>
                    </a:stretch>
                  </pic:blipFill>
                  <pic:spPr>
                    <a:xfrm>
                      <a:off x="0" y="0"/>
                      <a:ext cx="8745855" cy="3997960"/>
                    </a:xfrm>
                    <a:prstGeom prst="rect">
                      <a:avLst/>
                    </a:prstGeom>
                    <a:noFill/>
                    <a:ln>
                      <a:noFill/>
                    </a:ln>
                  </pic:spPr>
                </pic:pic>
              </a:graphicData>
            </a:graphic>
          </wp:inline>
        </w:drawing>
      </w:r>
    </w:p>
    <w:p w14:paraId="0BE74F20">
      <w:pPr>
        <w:rPr>
          <w:rFonts w:hint="eastAsia"/>
        </w:rPr>
      </w:pPr>
    </w:p>
    <w:p w14:paraId="505FF42F">
      <w:pPr>
        <w:pStyle w:val="2"/>
        <w:ind w:left="0" w:leftChars="0" w:firstLine="0" w:firstLineChars="0"/>
        <w:rPr>
          <w:color w:val="auto"/>
          <w:highlight w:val="none"/>
        </w:rPr>
        <w:sectPr>
          <w:pgSz w:w="16838" w:h="11906" w:orient="landscape"/>
          <w:pgMar w:top="1531" w:right="1701" w:bottom="1531" w:left="1361" w:header="851" w:footer="851" w:gutter="0"/>
          <w:cols w:space="720" w:num="1"/>
          <w:docGrid w:linePitch="312" w:charSpace="0"/>
        </w:sectPr>
      </w:pPr>
    </w:p>
    <w:p w14:paraId="40611C6A">
      <w:pPr>
        <w:rPr>
          <w:rFonts w:hint="eastAsia" w:eastAsia="宋体"/>
          <w:lang w:val="en-US" w:eastAsia="zh-CN"/>
        </w:rPr>
      </w:pPr>
      <w:r>
        <w:rPr>
          <w:rFonts w:hint="eastAsia" w:ascii="宋体" w:hAnsi="宋体" w:eastAsia="宋体" w:cs="宋体"/>
          <w:b w:val="0"/>
          <w:bCs w:val="0"/>
          <w:color w:val="auto"/>
          <w:sz w:val="24"/>
          <w:szCs w:val="24"/>
          <w:highlight w:val="none"/>
        </w:rPr>
        <w:t>附件</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环境影响评价报告书的批复</w:t>
      </w:r>
    </w:p>
    <w:p w14:paraId="38DEAE17">
      <w:pPr>
        <w:pStyle w:val="2"/>
        <w:jc w:val="left"/>
        <w:rPr>
          <w:rFonts w:hint="eastAsia" w:eastAsia="宋体"/>
          <w:lang w:val="en-US" w:eastAsia="zh-CN"/>
        </w:rPr>
      </w:pPr>
      <w:r>
        <w:rPr>
          <w:rFonts w:hint="eastAsia" w:eastAsia="宋体"/>
          <w:lang w:val="en-US" w:eastAsia="zh-CN"/>
        </w:rPr>
        <w:drawing>
          <wp:inline distT="0" distB="0" distL="114300" distR="114300">
            <wp:extent cx="5609590" cy="7918450"/>
            <wp:effectExtent l="0" t="0" r="10160" b="6350"/>
            <wp:docPr id="32" name="图片 3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1"/>
                    <pic:cNvPicPr>
                      <a:picLocks noChangeAspect="1"/>
                    </pic:cNvPicPr>
                  </pic:nvPicPr>
                  <pic:blipFill>
                    <a:blip r:embed="rId11"/>
                    <a:stretch>
                      <a:fillRect/>
                    </a:stretch>
                  </pic:blipFill>
                  <pic:spPr>
                    <a:xfrm>
                      <a:off x="0" y="0"/>
                      <a:ext cx="5609590" cy="7918450"/>
                    </a:xfrm>
                    <a:prstGeom prst="rect">
                      <a:avLst/>
                    </a:prstGeom>
                  </pic:spPr>
                </pic:pic>
              </a:graphicData>
            </a:graphic>
          </wp:inline>
        </w:drawing>
      </w:r>
      <w:r>
        <w:rPr>
          <w:rFonts w:hint="eastAsia" w:eastAsia="宋体"/>
          <w:lang w:val="en-US" w:eastAsia="zh-CN"/>
        </w:rPr>
        <w:drawing>
          <wp:inline distT="0" distB="0" distL="114300" distR="114300">
            <wp:extent cx="5609590" cy="7918450"/>
            <wp:effectExtent l="0" t="0" r="10160" b="6350"/>
            <wp:docPr id="16" name="图片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
                    <pic:cNvPicPr>
                      <a:picLocks noChangeAspect="1"/>
                    </pic:cNvPicPr>
                  </pic:nvPicPr>
                  <pic:blipFill>
                    <a:blip r:embed="rId12"/>
                    <a:stretch>
                      <a:fillRect/>
                    </a:stretch>
                  </pic:blipFill>
                  <pic:spPr>
                    <a:xfrm>
                      <a:off x="0" y="0"/>
                      <a:ext cx="5609590" cy="7918450"/>
                    </a:xfrm>
                    <a:prstGeom prst="rect">
                      <a:avLst/>
                    </a:prstGeom>
                  </pic:spPr>
                </pic:pic>
              </a:graphicData>
            </a:graphic>
          </wp:inline>
        </w:drawing>
      </w:r>
      <w:r>
        <w:rPr>
          <w:rFonts w:hint="eastAsia" w:eastAsia="宋体"/>
          <w:lang w:val="en-US" w:eastAsia="zh-CN"/>
        </w:rPr>
        <w:drawing>
          <wp:inline distT="0" distB="0" distL="114300" distR="114300">
            <wp:extent cx="5609590" cy="7918450"/>
            <wp:effectExtent l="0" t="0" r="10160" b="6350"/>
            <wp:docPr id="14" name="图片 1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
                    <pic:cNvPicPr>
                      <a:picLocks noChangeAspect="1"/>
                    </pic:cNvPicPr>
                  </pic:nvPicPr>
                  <pic:blipFill>
                    <a:blip r:embed="rId13"/>
                    <a:stretch>
                      <a:fillRect/>
                    </a:stretch>
                  </pic:blipFill>
                  <pic:spPr>
                    <a:xfrm>
                      <a:off x="0" y="0"/>
                      <a:ext cx="5609590" cy="7918450"/>
                    </a:xfrm>
                    <a:prstGeom prst="rect">
                      <a:avLst/>
                    </a:prstGeom>
                  </pic:spPr>
                </pic:pic>
              </a:graphicData>
            </a:graphic>
          </wp:inline>
        </w:drawing>
      </w:r>
      <w:r>
        <w:rPr>
          <w:rFonts w:hint="eastAsia" w:eastAsia="宋体"/>
          <w:lang w:val="en-US" w:eastAsia="zh-CN"/>
        </w:rPr>
        <w:drawing>
          <wp:inline distT="0" distB="0" distL="114300" distR="114300">
            <wp:extent cx="5609590" cy="7918450"/>
            <wp:effectExtent l="0" t="0" r="10160" b="6350"/>
            <wp:docPr id="1"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
                    <pic:cNvPicPr>
                      <a:picLocks noChangeAspect="1"/>
                    </pic:cNvPicPr>
                  </pic:nvPicPr>
                  <pic:blipFill>
                    <a:blip r:embed="rId14"/>
                    <a:stretch>
                      <a:fillRect/>
                    </a:stretch>
                  </pic:blipFill>
                  <pic:spPr>
                    <a:xfrm>
                      <a:off x="0" y="0"/>
                      <a:ext cx="5609590" cy="7918450"/>
                    </a:xfrm>
                    <a:prstGeom prst="rect">
                      <a:avLst/>
                    </a:prstGeom>
                  </pic:spPr>
                </pic:pic>
              </a:graphicData>
            </a:graphic>
          </wp:inline>
        </w:drawing>
      </w:r>
    </w:p>
    <w:p w14:paraId="01806AAA">
      <w:pPr>
        <w:pStyle w:val="25"/>
        <w:rPr>
          <w:rFonts w:hint="eastAsia" w:eastAsia="宋体"/>
          <w:lang w:val="en-US" w:eastAsia="zh-CN"/>
        </w:rPr>
      </w:pPr>
    </w:p>
    <w:p w14:paraId="0D5FB564">
      <w:pPr>
        <w:rPr>
          <w:rFonts w:hint="eastAsia" w:eastAsia="宋体"/>
          <w:lang w:val="en-US" w:eastAsia="zh-CN"/>
        </w:rPr>
      </w:pPr>
    </w:p>
    <w:p w14:paraId="30CA79F0">
      <w:pPr>
        <w:rPr>
          <w:rFonts w:hint="eastAsia"/>
          <w:lang w:val="en-US" w:eastAsia="zh-CN"/>
        </w:rPr>
      </w:pPr>
    </w:p>
    <w:p w14:paraId="14262B78">
      <w:pPr>
        <w:pStyle w:val="2"/>
        <w:rPr>
          <w:rFonts w:hint="eastAsia"/>
          <w:lang w:val="en-US" w:eastAsia="zh-CN"/>
        </w:rPr>
      </w:pPr>
    </w:p>
    <w:p w14:paraId="5D93F9C1">
      <w:pPr>
        <w:pStyle w:val="22"/>
        <w:jc w:val="both"/>
        <w:rPr>
          <w:rFonts w:hint="eastAsia" w:ascii="宋体" w:hAnsi="宋体" w:cs="宋体"/>
          <w:kern w:val="0"/>
          <w:sz w:val="24"/>
          <w:szCs w:val="24"/>
          <w:lang w:val="en-US" w:eastAsia="zh-CN" w:bidi="ar-SA"/>
        </w:rPr>
      </w:pPr>
      <w:r>
        <w:rPr>
          <w:rFonts w:hint="eastAsia" w:ascii="宋体" w:hAnsi="宋体" w:eastAsia="宋体" w:cs="宋体"/>
          <w:kern w:val="0"/>
          <w:sz w:val="24"/>
          <w:szCs w:val="24"/>
          <w:lang w:val="en-US" w:eastAsia="zh-CN" w:bidi="ar-SA"/>
        </w:rPr>
        <w:t>附件</w:t>
      </w:r>
      <w:r>
        <w:rPr>
          <w:rFonts w:hint="eastAsia" w:ascii="宋体" w:hAnsi="宋体" w:cs="宋体"/>
          <w:kern w:val="0"/>
          <w:sz w:val="24"/>
          <w:szCs w:val="24"/>
          <w:lang w:val="en-US" w:eastAsia="zh-CN" w:bidi="ar-SA"/>
        </w:rPr>
        <w:t>2  验收批复</w:t>
      </w:r>
    </w:p>
    <w:p w14:paraId="1A3BAC6F">
      <w:pPr>
        <w:pStyle w:val="22"/>
        <w:jc w:val="both"/>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drawing>
          <wp:inline distT="0" distB="0" distL="114300" distR="114300">
            <wp:extent cx="5615305" cy="8046085"/>
            <wp:effectExtent l="0" t="0" r="4445" b="12065"/>
            <wp:docPr id="40" name="图片 40" descr="验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验收1"/>
                    <pic:cNvPicPr>
                      <a:picLocks noChangeAspect="1"/>
                    </pic:cNvPicPr>
                  </pic:nvPicPr>
                  <pic:blipFill>
                    <a:blip r:embed="rId15"/>
                    <a:stretch>
                      <a:fillRect/>
                    </a:stretch>
                  </pic:blipFill>
                  <pic:spPr>
                    <a:xfrm>
                      <a:off x="0" y="0"/>
                      <a:ext cx="5615305" cy="8046085"/>
                    </a:xfrm>
                    <a:prstGeom prst="rect">
                      <a:avLst/>
                    </a:prstGeom>
                  </pic:spPr>
                </pic:pic>
              </a:graphicData>
            </a:graphic>
          </wp:inline>
        </w:drawing>
      </w:r>
    </w:p>
    <w:p w14:paraId="54FB466B">
      <w:pPr>
        <w:pStyle w:val="22"/>
        <w:jc w:val="both"/>
        <w:rPr>
          <w:rFonts w:hint="eastAsia" w:ascii="宋体" w:hAnsi="宋体" w:cs="宋体"/>
          <w:kern w:val="0"/>
          <w:sz w:val="24"/>
          <w:szCs w:val="24"/>
          <w:lang w:val="en-US" w:eastAsia="zh-CN" w:bidi="ar-SA"/>
        </w:rPr>
      </w:pPr>
    </w:p>
    <w:p w14:paraId="0C62D938">
      <w:pPr>
        <w:pStyle w:val="22"/>
        <w:jc w:val="both"/>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drawing>
          <wp:inline distT="0" distB="0" distL="114300" distR="114300">
            <wp:extent cx="5605780" cy="8055610"/>
            <wp:effectExtent l="0" t="0" r="13970" b="2540"/>
            <wp:docPr id="37" name="图片 37" descr="验收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验收4"/>
                    <pic:cNvPicPr>
                      <a:picLocks noChangeAspect="1"/>
                    </pic:cNvPicPr>
                  </pic:nvPicPr>
                  <pic:blipFill>
                    <a:blip r:embed="rId16"/>
                    <a:stretch>
                      <a:fillRect/>
                    </a:stretch>
                  </pic:blipFill>
                  <pic:spPr>
                    <a:xfrm>
                      <a:off x="0" y="0"/>
                      <a:ext cx="5605780" cy="8055610"/>
                    </a:xfrm>
                    <a:prstGeom prst="rect">
                      <a:avLst/>
                    </a:prstGeom>
                  </pic:spPr>
                </pic:pic>
              </a:graphicData>
            </a:graphic>
          </wp:inline>
        </w:drawing>
      </w:r>
      <w:r>
        <w:rPr>
          <w:rFonts w:hint="eastAsia" w:ascii="宋体" w:hAnsi="宋体" w:cs="宋体"/>
          <w:kern w:val="0"/>
          <w:sz w:val="24"/>
          <w:szCs w:val="24"/>
          <w:lang w:val="en-US" w:eastAsia="zh-CN" w:bidi="ar-SA"/>
        </w:rPr>
        <w:drawing>
          <wp:inline distT="0" distB="0" distL="114300" distR="114300">
            <wp:extent cx="5615305" cy="8046085"/>
            <wp:effectExtent l="0" t="0" r="4445" b="12065"/>
            <wp:docPr id="38" name="图片 38" descr="验收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验收3"/>
                    <pic:cNvPicPr>
                      <a:picLocks noChangeAspect="1"/>
                    </pic:cNvPicPr>
                  </pic:nvPicPr>
                  <pic:blipFill>
                    <a:blip r:embed="rId17"/>
                    <a:stretch>
                      <a:fillRect/>
                    </a:stretch>
                  </pic:blipFill>
                  <pic:spPr>
                    <a:xfrm>
                      <a:off x="0" y="0"/>
                      <a:ext cx="5615305" cy="8046085"/>
                    </a:xfrm>
                    <a:prstGeom prst="rect">
                      <a:avLst/>
                    </a:prstGeom>
                  </pic:spPr>
                </pic:pic>
              </a:graphicData>
            </a:graphic>
          </wp:inline>
        </w:drawing>
      </w:r>
      <w:r>
        <w:rPr>
          <w:rFonts w:hint="eastAsia" w:ascii="宋体" w:hAnsi="宋体" w:cs="宋体"/>
          <w:kern w:val="0"/>
          <w:sz w:val="24"/>
          <w:szCs w:val="24"/>
          <w:lang w:val="en-US" w:eastAsia="zh-CN" w:bidi="ar-SA"/>
        </w:rPr>
        <w:drawing>
          <wp:inline distT="0" distB="0" distL="114300" distR="114300">
            <wp:extent cx="5605780" cy="8055610"/>
            <wp:effectExtent l="0" t="0" r="13970" b="2540"/>
            <wp:docPr id="36" name="图片 36" descr="验收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验收5"/>
                    <pic:cNvPicPr>
                      <a:picLocks noChangeAspect="1"/>
                    </pic:cNvPicPr>
                  </pic:nvPicPr>
                  <pic:blipFill>
                    <a:blip r:embed="rId18"/>
                    <a:stretch>
                      <a:fillRect/>
                    </a:stretch>
                  </pic:blipFill>
                  <pic:spPr>
                    <a:xfrm>
                      <a:off x="0" y="0"/>
                      <a:ext cx="5605780" cy="8055610"/>
                    </a:xfrm>
                    <a:prstGeom prst="rect">
                      <a:avLst/>
                    </a:prstGeom>
                  </pic:spPr>
                </pic:pic>
              </a:graphicData>
            </a:graphic>
          </wp:inline>
        </w:drawing>
      </w:r>
    </w:p>
    <w:p w14:paraId="1FE0A3C4">
      <w:pPr>
        <w:pStyle w:val="22"/>
        <w:jc w:val="both"/>
        <w:rPr>
          <w:rFonts w:hint="eastAsia" w:ascii="宋体" w:hAnsi="宋体" w:cs="宋体"/>
          <w:kern w:val="0"/>
          <w:sz w:val="24"/>
          <w:szCs w:val="24"/>
          <w:lang w:val="en-US" w:eastAsia="zh-CN" w:bidi="ar-SA"/>
        </w:rPr>
      </w:pPr>
    </w:p>
    <w:p w14:paraId="2ED4AFEC">
      <w:pPr>
        <w:pStyle w:val="22"/>
        <w:jc w:val="both"/>
        <w:rPr>
          <w:rFonts w:hint="eastAsia" w:ascii="宋体" w:hAnsi="宋体" w:cs="宋体"/>
          <w:kern w:val="0"/>
          <w:sz w:val="24"/>
          <w:szCs w:val="24"/>
          <w:lang w:val="en-US" w:eastAsia="zh-CN" w:bidi="ar-SA"/>
        </w:rPr>
      </w:pPr>
    </w:p>
    <w:p w14:paraId="2AF303FF">
      <w:pPr>
        <w:pStyle w:val="22"/>
        <w:jc w:val="both"/>
        <w:rPr>
          <w:rFonts w:hint="eastAsia" w:ascii="宋体" w:hAnsi="宋体" w:cs="宋体"/>
          <w:kern w:val="0"/>
          <w:sz w:val="24"/>
          <w:szCs w:val="24"/>
          <w:lang w:val="en-US" w:eastAsia="zh-CN" w:bidi="ar-SA"/>
        </w:rPr>
      </w:pPr>
    </w:p>
    <w:p w14:paraId="08D3AE14">
      <w:pPr>
        <w:pStyle w:val="22"/>
        <w:jc w:val="both"/>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drawing>
          <wp:inline distT="0" distB="0" distL="114300" distR="114300">
            <wp:extent cx="5615305" cy="8046085"/>
            <wp:effectExtent l="0" t="0" r="4445" b="12065"/>
            <wp:docPr id="34" name="图片 34" descr="验收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验收7"/>
                    <pic:cNvPicPr>
                      <a:picLocks noChangeAspect="1"/>
                    </pic:cNvPicPr>
                  </pic:nvPicPr>
                  <pic:blipFill>
                    <a:blip r:embed="rId19"/>
                    <a:stretch>
                      <a:fillRect/>
                    </a:stretch>
                  </pic:blipFill>
                  <pic:spPr>
                    <a:xfrm>
                      <a:off x="0" y="0"/>
                      <a:ext cx="5615305" cy="8046085"/>
                    </a:xfrm>
                    <a:prstGeom prst="rect">
                      <a:avLst/>
                    </a:prstGeom>
                  </pic:spPr>
                </pic:pic>
              </a:graphicData>
            </a:graphic>
          </wp:inline>
        </w:drawing>
      </w:r>
    </w:p>
    <w:p w14:paraId="7703BD94">
      <w:pPr>
        <w:pStyle w:val="22"/>
        <w:jc w:val="both"/>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drawing>
          <wp:inline distT="0" distB="0" distL="114300" distR="114300">
            <wp:extent cx="5615305" cy="8046085"/>
            <wp:effectExtent l="0" t="0" r="4445" b="12065"/>
            <wp:docPr id="39" name="图片 39" descr="验收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验收2"/>
                    <pic:cNvPicPr>
                      <a:picLocks noChangeAspect="1"/>
                    </pic:cNvPicPr>
                  </pic:nvPicPr>
                  <pic:blipFill>
                    <a:blip r:embed="rId20"/>
                    <a:stretch>
                      <a:fillRect/>
                    </a:stretch>
                  </pic:blipFill>
                  <pic:spPr>
                    <a:xfrm>
                      <a:off x="0" y="0"/>
                      <a:ext cx="5615305" cy="8046085"/>
                    </a:xfrm>
                    <a:prstGeom prst="rect">
                      <a:avLst/>
                    </a:prstGeom>
                  </pic:spPr>
                </pic:pic>
              </a:graphicData>
            </a:graphic>
          </wp:inline>
        </w:drawing>
      </w:r>
      <w:r>
        <w:rPr>
          <w:rFonts w:hint="eastAsia" w:ascii="宋体" w:hAnsi="宋体" w:cs="宋体"/>
          <w:kern w:val="0"/>
          <w:sz w:val="24"/>
          <w:szCs w:val="24"/>
          <w:lang w:val="en-US" w:eastAsia="zh-CN" w:bidi="ar-SA"/>
        </w:rPr>
        <w:drawing>
          <wp:inline distT="0" distB="0" distL="114300" distR="114300">
            <wp:extent cx="5607685" cy="8040370"/>
            <wp:effectExtent l="0" t="0" r="12065" b="17780"/>
            <wp:docPr id="35" name="图片 35" descr="验收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验收6"/>
                    <pic:cNvPicPr>
                      <a:picLocks noChangeAspect="1"/>
                    </pic:cNvPicPr>
                  </pic:nvPicPr>
                  <pic:blipFill>
                    <a:blip r:embed="rId21"/>
                    <a:stretch>
                      <a:fillRect/>
                    </a:stretch>
                  </pic:blipFill>
                  <pic:spPr>
                    <a:xfrm>
                      <a:off x="0" y="0"/>
                      <a:ext cx="5607685" cy="8040370"/>
                    </a:xfrm>
                    <a:prstGeom prst="rect">
                      <a:avLst/>
                    </a:prstGeom>
                  </pic:spPr>
                </pic:pic>
              </a:graphicData>
            </a:graphic>
          </wp:inline>
        </w:drawing>
      </w:r>
      <w:r>
        <w:rPr>
          <w:rFonts w:hint="eastAsia" w:ascii="宋体" w:hAnsi="宋体" w:cs="宋体"/>
          <w:kern w:val="0"/>
          <w:sz w:val="24"/>
          <w:szCs w:val="24"/>
          <w:lang w:val="en-US" w:eastAsia="zh-CN" w:bidi="ar-SA"/>
        </w:rPr>
        <w:drawing>
          <wp:inline distT="0" distB="0" distL="114300" distR="114300">
            <wp:extent cx="5607685" cy="8040370"/>
            <wp:effectExtent l="0" t="0" r="12065" b="17780"/>
            <wp:docPr id="33" name="图片 33" descr="验收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验收8"/>
                    <pic:cNvPicPr>
                      <a:picLocks noChangeAspect="1"/>
                    </pic:cNvPicPr>
                  </pic:nvPicPr>
                  <pic:blipFill>
                    <a:blip r:embed="rId22"/>
                    <a:stretch>
                      <a:fillRect/>
                    </a:stretch>
                  </pic:blipFill>
                  <pic:spPr>
                    <a:xfrm>
                      <a:off x="0" y="0"/>
                      <a:ext cx="5607685" cy="8040370"/>
                    </a:xfrm>
                    <a:prstGeom prst="rect">
                      <a:avLst/>
                    </a:prstGeom>
                  </pic:spPr>
                </pic:pic>
              </a:graphicData>
            </a:graphic>
          </wp:inline>
        </w:drawing>
      </w:r>
    </w:p>
    <w:p w14:paraId="2E6E56A4">
      <w:pPr>
        <w:pStyle w:val="22"/>
        <w:jc w:val="both"/>
        <w:rPr>
          <w:rFonts w:hint="default" w:ascii="宋体" w:hAnsi="宋体" w:cs="宋体"/>
          <w:kern w:val="0"/>
          <w:sz w:val="24"/>
          <w:szCs w:val="24"/>
          <w:lang w:val="en-US" w:eastAsia="zh-CN" w:bidi="ar-SA"/>
        </w:rPr>
      </w:pPr>
    </w:p>
    <w:p w14:paraId="7B1D9CC9">
      <w:pPr>
        <w:pStyle w:val="22"/>
        <w:jc w:val="both"/>
        <w:rPr>
          <w:rFonts w:hint="eastAsia" w:ascii="宋体" w:hAnsi="宋体" w:cs="宋体"/>
          <w:kern w:val="0"/>
          <w:sz w:val="24"/>
          <w:szCs w:val="24"/>
          <w:lang w:val="en-US" w:eastAsia="zh-CN" w:bidi="ar-SA"/>
        </w:rPr>
      </w:pPr>
    </w:p>
    <w:p w14:paraId="6F741766">
      <w:pPr>
        <w:pStyle w:val="22"/>
        <w:jc w:val="both"/>
        <w:rPr>
          <w:rFonts w:hint="eastAsia" w:ascii="宋体" w:hAnsi="宋体" w:cs="宋体"/>
          <w:kern w:val="0"/>
          <w:sz w:val="24"/>
          <w:szCs w:val="24"/>
          <w:lang w:val="en-US" w:eastAsia="zh-CN" w:bidi="ar-SA"/>
        </w:rPr>
      </w:pPr>
    </w:p>
    <w:p w14:paraId="37247671">
      <w:pPr>
        <w:pStyle w:val="22"/>
        <w:jc w:val="both"/>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附件3</w:t>
      </w:r>
      <w:r>
        <w:rPr>
          <w:rFonts w:hint="eastAsia" w:ascii="宋体" w:hAnsi="宋体" w:eastAsia="宋体" w:cs="宋体"/>
          <w:kern w:val="0"/>
          <w:sz w:val="24"/>
          <w:szCs w:val="24"/>
          <w:lang w:val="en-US" w:eastAsia="zh-CN" w:bidi="ar-SA"/>
        </w:rPr>
        <w:t xml:space="preserve"> </w:t>
      </w:r>
      <w:r>
        <w:rPr>
          <w:rFonts w:hint="eastAsia" w:ascii="宋体" w:hAnsi="宋体" w:cs="宋体"/>
          <w:kern w:val="0"/>
          <w:sz w:val="24"/>
          <w:szCs w:val="24"/>
          <w:lang w:val="en-US" w:eastAsia="zh-CN" w:bidi="ar-SA"/>
        </w:rPr>
        <w:t>立项文件</w:t>
      </w:r>
    </w:p>
    <w:p w14:paraId="11FE3026">
      <w:pPr>
        <w:pStyle w:val="22"/>
        <w:jc w:val="both"/>
        <w:rPr>
          <w:rFonts w:hint="eastAsia" w:ascii="宋体" w:hAnsi="宋体" w:cs="宋体"/>
          <w:kern w:val="0"/>
          <w:sz w:val="24"/>
          <w:szCs w:val="24"/>
          <w:lang w:val="en-US" w:eastAsia="zh-CN" w:bidi="ar-SA"/>
        </w:rPr>
      </w:pPr>
      <w:r>
        <w:rPr>
          <w:rFonts w:hint="eastAsia" w:ascii="宋体" w:hAnsi="宋体" w:cs="宋体"/>
          <w:kern w:val="0"/>
          <w:sz w:val="24"/>
          <w:szCs w:val="24"/>
          <w:lang w:val="en-US" w:eastAsia="zh-CN" w:bidi="ar-SA"/>
        </w:rPr>
        <w:drawing>
          <wp:inline distT="0" distB="0" distL="114300" distR="114300">
            <wp:extent cx="5794375" cy="8214995"/>
            <wp:effectExtent l="0" t="0" r="2540" b="0"/>
            <wp:docPr id="4" name="图片 4" descr="173589325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35893251901"/>
                    <pic:cNvPicPr>
                      <a:picLocks noChangeAspect="1"/>
                    </pic:cNvPicPr>
                  </pic:nvPicPr>
                  <pic:blipFill>
                    <a:blip r:embed="rId23"/>
                    <a:stretch>
                      <a:fillRect/>
                    </a:stretch>
                  </pic:blipFill>
                  <pic:spPr>
                    <a:xfrm>
                      <a:off x="0" y="0"/>
                      <a:ext cx="5794375" cy="8214995"/>
                    </a:xfrm>
                    <a:prstGeom prst="rect">
                      <a:avLst/>
                    </a:prstGeom>
                  </pic:spPr>
                </pic:pic>
              </a:graphicData>
            </a:graphic>
          </wp:inline>
        </w:drawing>
      </w:r>
    </w:p>
    <w:p w14:paraId="0600FA5F">
      <w:pPr>
        <w:pStyle w:val="22"/>
        <w:jc w:val="both"/>
        <w:rPr>
          <w:rFonts w:hint="eastAsia" w:ascii="宋体" w:hAnsi="宋体" w:cs="宋体"/>
          <w:kern w:val="0"/>
          <w:sz w:val="24"/>
          <w:szCs w:val="24"/>
          <w:lang w:val="en-US" w:eastAsia="zh-CN" w:bidi="ar-SA"/>
        </w:rPr>
      </w:pPr>
      <w:r>
        <w:drawing>
          <wp:inline distT="0" distB="0" distL="114300" distR="114300">
            <wp:extent cx="5835015" cy="8222615"/>
            <wp:effectExtent l="0" t="0" r="5080" b="317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4"/>
                    <a:stretch>
                      <a:fillRect/>
                    </a:stretch>
                  </pic:blipFill>
                  <pic:spPr>
                    <a:xfrm>
                      <a:off x="0" y="0"/>
                      <a:ext cx="5835015" cy="8222615"/>
                    </a:xfrm>
                    <a:prstGeom prst="rect">
                      <a:avLst/>
                    </a:prstGeom>
                    <a:noFill/>
                    <a:ln>
                      <a:noFill/>
                    </a:ln>
                  </pic:spPr>
                </pic:pic>
              </a:graphicData>
            </a:graphic>
          </wp:inline>
        </w:drawing>
      </w:r>
    </w:p>
    <w:p w14:paraId="72365030">
      <w:pPr>
        <w:pStyle w:val="22"/>
        <w:jc w:val="both"/>
      </w:pPr>
      <w:r>
        <w:drawing>
          <wp:inline distT="0" distB="0" distL="114300" distR="114300">
            <wp:extent cx="6009640" cy="8502650"/>
            <wp:effectExtent l="0" t="0" r="3175" b="381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25"/>
                    <a:stretch>
                      <a:fillRect/>
                    </a:stretch>
                  </pic:blipFill>
                  <pic:spPr>
                    <a:xfrm>
                      <a:off x="0" y="0"/>
                      <a:ext cx="6009640" cy="8502650"/>
                    </a:xfrm>
                    <a:prstGeom prst="rect">
                      <a:avLst/>
                    </a:prstGeom>
                    <a:noFill/>
                    <a:ln>
                      <a:noFill/>
                    </a:ln>
                  </pic:spPr>
                </pic:pic>
              </a:graphicData>
            </a:graphic>
          </wp:inline>
        </w:drawing>
      </w:r>
    </w:p>
    <w:p w14:paraId="16B77B7D">
      <w:pPr>
        <w:pStyle w:val="22"/>
        <w:jc w:val="both"/>
      </w:pPr>
    </w:p>
    <w:p w14:paraId="7E677C76">
      <w:pPr>
        <w:pStyle w:val="22"/>
        <w:jc w:val="both"/>
        <w:rPr>
          <w:rFonts w:hint="eastAsia" w:ascii="宋体" w:hAnsi="宋体" w:eastAsia="宋体" w:cs="宋体"/>
          <w:kern w:val="0"/>
          <w:sz w:val="24"/>
          <w:szCs w:val="24"/>
          <w:lang w:val="en-US" w:eastAsia="zh-CN" w:bidi="ar-SA"/>
        </w:rPr>
      </w:pPr>
      <w:r>
        <w:rPr>
          <w:rFonts w:hint="eastAsia" w:ascii="宋体" w:hAnsi="宋体" w:cs="宋体"/>
          <w:kern w:val="0"/>
          <w:sz w:val="24"/>
          <w:szCs w:val="24"/>
          <w:lang w:val="en-US" w:eastAsia="zh-CN" w:bidi="ar-SA"/>
        </w:rPr>
        <w:t>附件4</w:t>
      </w:r>
      <w:r>
        <w:rPr>
          <w:rFonts w:hint="eastAsia" w:ascii="宋体" w:hAnsi="宋体" w:eastAsia="宋体" w:cs="宋体"/>
          <w:kern w:val="0"/>
          <w:sz w:val="24"/>
          <w:szCs w:val="24"/>
          <w:lang w:val="en-US" w:eastAsia="zh-CN" w:bidi="ar-SA"/>
        </w:rPr>
        <w:t xml:space="preserve"> 编制人员证书</w:t>
      </w:r>
    </w:p>
    <w:p w14:paraId="15439BE6">
      <w:pPr>
        <w:pStyle w:val="22"/>
        <w:jc w:val="both"/>
        <w:rPr>
          <w:rFonts w:hint="default"/>
          <w:lang w:val="en-US" w:eastAsia="zh-CN"/>
        </w:rPr>
      </w:pPr>
      <w:r>
        <w:rPr>
          <w:rFonts w:hint="default"/>
          <w:lang w:val="en-US" w:eastAsia="zh-CN"/>
        </w:rPr>
        <w:drawing>
          <wp:inline distT="0" distB="0" distL="114300" distR="114300">
            <wp:extent cx="5608955" cy="7931785"/>
            <wp:effectExtent l="0" t="0" r="10795" b="12065"/>
            <wp:docPr id="2" name="图片 2" descr="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证书"/>
                    <pic:cNvPicPr>
                      <a:picLocks noChangeAspect="1"/>
                    </pic:cNvPicPr>
                  </pic:nvPicPr>
                  <pic:blipFill>
                    <a:blip r:embed="rId26"/>
                    <a:stretch>
                      <a:fillRect/>
                    </a:stretch>
                  </pic:blipFill>
                  <pic:spPr>
                    <a:xfrm>
                      <a:off x="0" y="0"/>
                      <a:ext cx="5608955" cy="7931785"/>
                    </a:xfrm>
                    <a:prstGeom prst="rect">
                      <a:avLst/>
                    </a:prstGeom>
                  </pic:spPr>
                </pic:pic>
              </a:graphicData>
            </a:graphic>
          </wp:inline>
        </w:drawing>
      </w:r>
    </w:p>
    <w:p w14:paraId="19518E21">
      <w:pPr>
        <w:pStyle w:val="22"/>
        <w:jc w:val="both"/>
        <w:rPr>
          <w:rFonts w:hint="default"/>
          <w:lang w:val="en-US" w:eastAsia="zh-CN"/>
        </w:rPr>
      </w:pPr>
    </w:p>
    <w:p w14:paraId="082DBC2F">
      <w:pPr>
        <w:pStyle w:val="22"/>
        <w:jc w:val="both"/>
        <w:rPr>
          <w:rFonts w:hint="eastAsia" w:ascii="宋体" w:hAnsi="宋体" w:eastAsia="宋体" w:cs="宋体"/>
          <w:sz w:val="24"/>
          <w:szCs w:val="24"/>
          <w:lang w:val="en-US" w:eastAsia="zh-CN"/>
        </w:rPr>
      </w:pPr>
    </w:p>
    <w:p w14:paraId="0BFE2BE3">
      <w:pPr>
        <w:pStyle w:val="22"/>
        <w:jc w:val="both"/>
        <w:rPr>
          <w:rFonts w:hint="eastAsia" w:ascii="宋体" w:hAnsi="宋体" w:eastAsia="宋体" w:cs="宋体"/>
          <w:sz w:val="24"/>
          <w:szCs w:val="24"/>
          <w:lang w:val="en-US" w:eastAsia="zh-CN"/>
        </w:rPr>
      </w:pPr>
      <w:bookmarkStart w:id="7" w:name="_GoBack"/>
      <w:bookmarkEnd w:id="7"/>
      <w:r>
        <w:rPr>
          <w:rFonts w:hint="eastAsia" w:ascii="宋体" w:hAnsi="宋体" w:eastAsia="宋体" w:cs="宋体"/>
          <w:sz w:val="24"/>
          <w:szCs w:val="24"/>
          <w:lang w:val="en-US" w:eastAsia="zh-CN"/>
        </w:rPr>
        <w:t>附件</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 xml:space="preserve"> </w:t>
      </w:r>
      <w:r>
        <w:rPr>
          <w:rFonts w:hint="eastAsia" w:ascii="宋体" w:hAnsi="宋体" w:cs="宋体"/>
          <w:sz w:val="24"/>
          <w:szCs w:val="24"/>
          <w:lang w:val="en-US" w:eastAsia="zh-CN"/>
        </w:rPr>
        <w:t>委托书</w:t>
      </w:r>
    </w:p>
    <w:p w14:paraId="67DE800D">
      <w:pPr>
        <w:pStyle w:val="22"/>
        <w:jc w:val="both"/>
        <w:rPr>
          <w:rFonts w:hint="default"/>
          <w:lang w:val="en-US" w:eastAsia="zh-CN"/>
        </w:rPr>
      </w:pPr>
      <w:r>
        <w:drawing>
          <wp:inline distT="0" distB="0" distL="114300" distR="114300">
            <wp:extent cx="5409565" cy="7646670"/>
            <wp:effectExtent l="0" t="0" r="9525" b="698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7"/>
                    <a:stretch>
                      <a:fillRect/>
                    </a:stretch>
                  </pic:blipFill>
                  <pic:spPr>
                    <a:xfrm>
                      <a:off x="0" y="0"/>
                      <a:ext cx="5409565" cy="7646670"/>
                    </a:xfrm>
                    <a:prstGeom prst="rect">
                      <a:avLst/>
                    </a:prstGeom>
                    <a:noFill/>
                    <a:ln>
                      <a:noFill/>
                    </a:ln>
                  </pic:spPr>
                </pic:pic>
              </a:graphicData>
            </a:graphic>
          </wp:inline>
        </w:drawing>
      </w:r>
    </w:p>
    <w:sectPr>
      <w:footerReference r:id="rId5" w:type="default"/>
      <w:pgSz w:w="11906" w:h="16838"/>
      <w:pgMar w:top="1701" w:right="1531" w:bottom="1361" w:left="153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AAFE23-4E52-4D28-851B-442E3536CE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393CDA0B-3652-4530-ADE2-96D47670395E}"/>
  </w:font>
  <w:font w:name="Arial Unicode MS">
    <w:altName w:val="宋体"/>
    <w:panose1 w:val="020B0604020202020204"/>
    <w:charset w:val="86"/>
    <w:family w:val="auto"/>
    <w:pitch w:val="default"/>
    <w:sig w:usb0="00000000" w:usb1="00000000" w:usb2="0000007F" w:usb3="00000000" w:csb0="203F01FF" w:csb1="DFFF0000"/>
  </w:font>
  <w:font w:name="方正小标宋_GBK">
    <w:panose1 w:val="02000000000000000000"/>
    <w:charset w:val="86"/>
    <w:family w:val="script"/>
    <w:pitch w:val="default"/>
    <w:sig w:usb0="00000001" w:usb1="080E0000" w:usb2="00000000" w:usb3="00000000" w:csb0="00040000" w:csb1="00000000"/>
    <w:embedRegular r:id="rId3" w:fontKey="{05847203-B469-4360-A2C7-4435226D92CF}"/>
  </w:font>
  <w:font w:name="楷体_GB2312">
    <w:altName w:val="楷体"/>
    <w:panose1 w:val="02010609030101010101"/>
    <w:charset w:val="86"/>
    <w:family w:val="modern"/>
    <w:pitch w:val="default"/>
    <w:sig w:usb0="00000000" w:usb1="00000000" w:usb2="00000000" w:usb3="00000000" w:csb0="00040000" w:csb1="00000000"/>
    <w:embedRegular r:id="rId4" w:fontKey="{53AFA9DE-184A-46CB-816C-66DE1AFDDB84}"/>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5" w:fontKey="{BC2CFE1C-900D-4437-9034-4E402B8B8358}"/>
  </w:font>
  <w:font w:name="仿宋_GB2312">
    <w:altName w:val="仿宋"/>
    <w:panose1 w:val="02010609030101010101"/>
    <w:charset w:val="86"/>
    <w:family w:val="auto"/>
    <w:pitch w:val="default"/>
    <w:sig w:usb0="00000000" w:usb1="00000000" w:usb2="00000000" w:usb3="00000000" w:csb0="00040000" w:csb1="00000000"/>
    <w:embedRegular r:id="rId6" w:fontKey="{B1BF2CE7-D7C6-4A9F-932F-DC917CC21CEC}"/>
  </w:font>
  <w:font w:name="Wingdings 2">
    <w:panose1 w:val="05020102010507070707"/>
    <w:charset w:val="02"/>
    <w:family w:val="auto"/>
    <w:pitch w:val="default"/>
    <w:sig w:usb0="00000000" w:usb1="00000000" w:usb2="00000000" w:usb3="00000000" w:csb0="80000000" w:csb1="00000000"/>
    <w:embedRegular r:id="rId7" w:fontKey="{248AA5BD-FD94-4D9F-9E85-A2D58066168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73025">
    <w:pPr>
      <w:pStyle w:val="18"/>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_x0000_s1168"/>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173B7DE0">
                          <w:pPr>
                            <w:pStyle w:val="18"/>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wps:txbx>
                    <wps:bodyPr rot="0" spcFirstLastPara="0" vertOverflow="overflow" horzOverflow="overflow" vert="horz" wrap="none" lIns="0" tIns="0" rIns="0" bIns="0" numCol="1" anchor="t" upright="0">
                      <a:spAutoFit/>
                    </wps:bodyPr>
                  </wps:wsp>
                </a:graphicData>
              </a:graphic>
            </wp:anchor>
          </w:drawing>
        </mc:Choice>
        <mc:Fallback>
          <w:pict>
            <v:rect id="_x0000_s116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uXW5&#10;UtAAAAAFAQAADwAAAAAAAAABACAAAAAiAAAAZHJzL2Rvd25yZXYueG1sUEsBAhQAFAAAAAgAh07i&#10;QJIjSBvxAQAAAQQAAA4AAAAAAAAAAQAgAAAAHwEAAGRycy9lMm9Eb2MueG1sUEsFBgAAAAAGAAYA&#10;WQEAAIIFAAAAAA==&#10;">
              <v:fill on="f" focussize="0,0"/>
              <v:stroke on="f"/>
              <v:imagedata o:title=""/>
              <o:lock v:ext="edit" aspectratio="f"/>
              <v:textbox inset="0mm,0mm,0mm,0mm" style="mso-fit-shape-to-text:t;">
                <w:txbxContent>
                  <w:p w14:paraId="173B7DE0">
                    <w:pPr>
                      <w:pStyle w:val="18"/>
                    </w:pP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8B120">
    <w:pPr>
      <w:pStyle w:val="18"/>
      <w:jc w:val="center"/>
    </w:pPr>
    <w:r>
      <w:fldChar w:fldCharType="begin"/>
    </w:r>
    <w:r>
      <w:instrText xml:space="preserve"> PAGE   \* MERGEFORMAT </w:instrText>
    </w:r>
    <w:r>
      <w:fldChar w:fldCharType="separate"/>
    </w:r>
    <w:r>
      <w:rPr>
        <w:lang w:val="zh-CN"/>
      </w:rPr>
      <w:t>42</w:t>
    </w:r>
    <w:r>
      <w:fldChar w:fldCharType="end"/>
    </w:r>
  </w:p>
  <w:p w14:paraId="0C181B16">
    <w:pPr>
      <w:pStyle w:val="18"/>
      <w:ind w:right="360" w:firstLine="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880FE">
    <w:pPr>
      <w:pStyle w:val="18"/>
      <w:jc w:val="center"/>
    </w:pPr>
    <w:r>
      <w:fldChar w:fldCharType="begin"/>
    </w:r>
    <w:r>
      <w:instrText xml:space="preserve"> PAGE   \* MERGEFORMAT </w:instrText>
    </w:r>
    <w:r>
      <w:fldChar w:fldCharType="separate"/>
    </w:r>
    <w:r>
      <w:rPr>
        <w:lang w:val="zh-CN"/>
      </w:rPr>
      <w:t>42</w:t>
    </w:r>
    <w:r>
      <w:fldChar w:fldCharType="end"/>
    </w:r>
  </w:p>
  <w:p w14:paraId="1B23FC85">
    <w:pPr>
      <w:pStyle w:val="18"/>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3"/>
      <w:numFmt w:val="decimal"/>
      <w:suff w:val="nothing"/>
      <w:lvlText w:val="%1、"/>
      <w:lvlJc w:val="left"/>
    </w:lvl>
  </w:abstractNum>
  <w:abstractNum w:abstractNumId="1">
    <w:nsid w:val="1209F666"/>
    <w:multiLevelType w:val="singleLevel"/>
    <w:tmpl w:val="1209F666"/>
    <w:lvl w:ilvl="0" w:tentative="0">
      <w:start w:val="1"/>
      <w:numFmt w:val="decimal"/>
      <w:suff w:val="nothing"/>
      <w:lvlText w:val="（%1）"/>
      <w:lvlJc w:val="left"/>
    </w:lvl>
  </w:abstractNum>
  <w:abstractNum w:abstractNumId="2">
    <w:nsid w:val="13B3D9E1"/>
    <w:multiLevelType w:val="singleLevel"/>
    <w:tmpl w:val="13B3D9E1"/>
    <w:lvl w:ilvl="0" w:tentative="0">
      <w:start w:val="1"/>
      <w:numFmt w:val="decimal"/>
      <w:suff w:val="nothing"/>
      <w:lvlText w:val="%1、"/>
      <w:lvlJc w:val="left"/>
    </w:lvl>
  </w:abstractNum>
  <w:abstractNum w:abstractNumId="3">
    <w:nsid w:val="16280E7D"/>
    <w:multiLevelType w:val="singleLevel"/>
    <w:tmpl w:val="16280E7D"/>
    <w:lvl w:ilvl="0" w:tentative="0">
      <w:start w:val="1"/>
      <w:numFmt w:val="decimal"/>
      <w:suff w:val="nothing"/>
      <w:lvlText w:val="%1、"/>
      <w:lvlJc w:val="left"/>
    </w:lvl>
  </w:abstractNum>
  <w:abstractNum w:abstractNumId="4">
    <w:nsid w:val="59ADCABA"/>
    <w:multiLevelType w:val="singleLevel"/>
    <w:tmpl w:val="59ADCABA"/>
    <w:lvl w:ilvl="0" w:tentative="0">
      <w:start w:val="1"/>
      <w:numFmt w:val="decimal"/>
      <w:suff w:val="nothing"/>
      <w:lvlText w:val="%1、"/>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ZkN2U0NTE2ZWZjNGNkOGYwMTY5ODIwZjEyYjUxNGMifQ=="/>
  </w:docVars>
  <w:rsids>
    <w:rsidRoot w:val="00000000"/>
    <w:rsid w:val="00050DF6"/>
    <w:rsid w:val="00066EBC"/>
    <w:rsid w:val="003F23CE"/>
    <w:rsid w:val="00C36B5B"/>
    <w:rsid w:val="00D57F0C"/>
    <w:rsid w:val="014974E1"/>
    <w:rsid w:val="01BA61B0"/>
    <w:rsid w:val="027C771E"/>
    <w:rsid w:val="03CC5D27"/>
    <w:rsid w:val="0402799B"/>
    <w:rsid w:val="04051239"/>
    <w:rsid w:val="049D0C21"/>
    <w:rsid w:val="04B46E23"/>
    <w:rsid w:val="04BF588C"/>
    <w:rsid w:val="050A66BF"/>
    <w:rsid w:val="053922C5"/>
    <w:rsid w:val="05467D5B"/>
    <w:rsid w:val="055053E6"/>
    <w:rsid w:val="057E12A3"/>
    <w:rsid w:val="06085010"/>
    <w:rsid w:val="062746A1"/>
    <w:rsid w:val="06426774"/>
    <w:rsid w:val="067508F8"/>
    <w:rsid w:val="06E1241B"/>
    <w:rsid w:val="07293490"/>
    <w:rsid w:val="07366DE1"/>
    <w:rsid w:val="076D334D"/>
    <w:rsid w:val="07F64DDF"/>
    <w:rsid w:val="0891753F"/>
    <w:rsid w:val="089B03BE"/>
    <w:rsid w:val="089C6C03"/>
    <w:rsid w:val="0A285C81"/>
    <w:rsid w:val="0A434869"/>
    <w:rsid w:val="0A7A7591"/>
    <w:rsid w:val="0A9357F1"/>
    <w:rsid w:val="0AA4612A"/>
    <w:rsid w:val="0AE30D98"/>
    <w:rsid w:val="0BB34345"/>
    <w:rsid w:val="0C405504"/>
    <w:rsid w:val="0C6311F3"/>
    <w:rsid w:val="0D131BD1"/>
    <w:rsid w:val="0D4728C2"/>
    <w:rsid w:val="0D4A2414"/>
    <w:rsid w:val="0E5978F1"/>
    <w:rsid w:val="0E704D2E"/>
    <w:rsid w:val="0EDC703A"/>
    <w:rsid w:val="0EDF2540"/>
    <w:rsid w:val="0EF4556F"/>
    <w:rsid w:val="0F9A13CF"/>
    <w:rsid w:val="0FF44C59"/>
    <w:rsid w:val="101C4128"/>
    <w:rsid w:val="107200A9"/>
    <w:rsid w:val="11F267A9"/>
    <w:rsid w:val="121C60CC"/>
    <w:rsid w:val="13127FF6"/>
    <w:rsid w:val="133D4C82"/>
    <w:rsid w:val="135A1F83"/>
    <w:rsid w:val="14845131"/>
    <w:rsid w:val="15881373"/>
    <w:rsid w:val="15AC7766"/>
    <w:rsid w:val="15C30E8F"/>
    <w:rsid w:val="15C5699A"/>
    <w:rsid w:val="1638549E"/>
    <w:rsid w:val="163B5EF6"/>
    <w:rsid w:val="1643183D"/>
    <w:rsid w:val="16EA7CB4"/>
    <w:rsid w:val="171E6442"/>
    <w:rsid w:val="17F81389"/>
    <w:rsid w:val="17F821C9"/>
    <w:rsid w:val="196D36B1"/>
    <w:rsid w:val="199E6921"/>
    <w:rsid w:val="19A5109C"/>
    <w:rsid w:val="19B72225"/>
    <w:rsid w:val="19C5529B"/>
    <w:rsid w:val="1A041F16"/>
    <w:rsid w:val="1A7C2174"/>
    <w:rsid w:val="1A930EF5"/>
    <w:rsid w:val="1B972691"/>
    <w:rsid w:val="1BE62620"/>
    <w:rsid w:val="1C05723A"/>
    <w:rsid w:val="1D357E02"/>
    <w:rsid w:val="1DE97053"/>
    <w:rsid w:val="1E58112C"/>
    <w:rsid w:val="1E9324BC"/>
    <w:rsid w:val="1EA23DFC"/>
    <w:rsid w:val="1EEB1C10"/>
    <w:rsid w:val="1EFF1965"/>
    <w:rsid w:val="1F4C5B16"/>
    <w:rsid w:val="1FB65CE4"/>
    <w:rsid w:val="1FF274A0"/>
    <w:rsid w:val="201833AF"/>
    <w:rsid w:val="20362A4E"/>
    <w:rsid w:val="207704CA"/>
    <w:rsid w:val="20847C5E"/>
    <w:rsid w:val="20960796"/>
    <w:rsid w:val="21691B92"/>
    <w:rsid w:val="21FC1A76"/>
    <w:rsid w:val="22140C80"/>
    <w:rsid w:val="229B5B37"/>
    <w:rsid w:val="22D02298"/>
    <w:rsid w:val="231D28C9"/>
    <w:rsid w:val="23213F89"/>
    <w:rsid w:val="23865215"/>
    <w:rsid w:val="23F50F2E"/>
    <w:rsid w:val="24155071"/>
    <w:rsid w:val="258177C4"/>
    <w:rsid w:val="25D0124F"/>
    <w:rsid w:val="265E7E62"/>
    <w:rsid w:val="26AD2A82"/>
    <w:rsid w:val="26F07215"/>
    <w:rsid w:val="27561C28"/>
    <w:rsid w:val="27702CEA"/>
    <w:rsid w:val="279A1B15"/>
    <w:rsid w:val="280F0F12"/>
    <w:rsid w:val="28D15A0A"/>
    <w:rsid w:val="2A43504D"/>
    <w:rsid w:val="2A917C3B"/>
    <w:rsid w:val="2B2838DB"/>
    <w:rsid w:val="2B4F2C16"/>
    <w:rsid w:val="2C424529"/>
    <w:rsid w:val="2CA14264"/>
    <w:rsid w:val="2CB27900"/>
    <w:rsid w:val="2D4B38B1"/>
    <w:rsid w:val="2D6329A9"/>
    <w:rsid w:val="2E6E0227"/>
    <w:rsid w:val="2F073724"/>
    <w:rsid w:val="2F2B399A"/>
    <w:rsid w:val="2F3565C7"/>
    <w:rsid w:val="2FCD67FF"/>
    <w:rsid w:val="30E3277E"/>
    <w:rsid w:val="31213CAA"/>
    <w:rsid w:val="313A6116"/>
    <w:rsid w:val="31D65E3F"/>
    <w:rsid w:val="32250B75"/>
    <w:rsid w:val="328C7FF5"/>
    <w:rsid w:val="32DD4FAB"/>
    <w:rsid w:val="33A65F9A"/>
    <w:rsid w:val="33F95E15"/>
    <w:rsid w:val="346178A7"/>
    <w:rsid w:val="34656795"/>
    <w:rsid w:val="348B115D"/>
    <w:rsid w:val="34B2035E"/>
    <w:rsid w:val="352E595C"/>
    <w:rsid w:val="357065AB"/>
    <w:rsid w:val="357A4D33"/>
    <w:rsid w:val="36FB00F6"/>
    <w:rsid w:val="37720519"/>
    <w:rsid w:val="379733FD"/>
    <w:rsid w:val="38761633"/>
    <w:rsid w:val="389D5D2E"/>
    <w:rsid w:val="3A017FD6"/>
    <w:rsid w:val="3ACD5F81"/>
    <w:rsid w:val="3B023801"/>
    <w:rsid w:val="3B2A1169"/>
    <w:rsid w:val="3BB70A8F"/>
    <w:rsid w:val="3BDF3B42"/>
    <w:rsid w:val="3C073099"/>
    <w:rsid w:val="3CBD7B18"/>
    <w:rsid w:val="3CE2656C"/>
    <w:rsid w:val="3D2E16D4"/>
    <w:rsid w:val="3DCD2EF4"/>
    <w:rsid w:val="3E70656E"/>
    <w:rsid w:val="3F1907ED"/>
    <w:rsid w:val="3FA228E7"/>
    <w:rsid w:val="3FEB5E51"/>
    <w:rsid w:val="4007400D"/>
    <w:rsid w:val="40880C4C"/>
    <w:rsid w:val="40E174E5"/>
    <w:rsid w:val="41686388"/>
    <w:rsid w:val="419E1DAA"/>
    <w:rsid w:val="42A24983"/>
    <w:rsid w:val="42F06635"/>
    <w:rsid w:val="43192030"/>
    <w:rsid w:val="436F4317"/>
    <w:rsid w:val="440C56F0"/>
    <w:rsid w:val="44187E4B"/>
    <w:rsid w:val="442962A2"/>
    <w:rsid w:val="456E04D8"/>
    <w:rsid w:val="45EC7588"/>
    <w:rsid w:val="45F34034"/>
    <w:rsid w:val="45F97EF6"/>
    <w:rsid w:val="46544794"/>
    <w:rsid w:val="47C562E2"/>
    <w:rsid w:val="48EB10F9"/>
    <w:rsid w:val="491A265E"/>
    <w:rsid w:val="493363BD"/>
    <w:rsid w:val="4A282B58"/>
    <w:rsid w:val="4B1C090F"/>
    <w:rsid w:val="4B7778F3"/>
    <w:rsid w:val="4B9C55B6"/>
    <w:rsid w:val="4C075EEA"/>
    <w:rsid w:val="4C595349"/>
    <w:rsid w:val="4CB63C55"/>
    <w:rsid w:val="4D267823"/>
    <w:rsid w:val="4D5325E2"/>
    <w:rsid w:val="4D564A77"/>
    <w:rsid w:val="4DE94A0E"/>
    <w:rsid w:val="4F31425D"/>
    <w:rsid w:val="4F5C39D0"/>
    <w:rsid w:val="500F1BB0"/>
    <w:rsid w:val="50202ECD"/>
    <w:rsid w:val="50B25872"/>
    <w:rsid w:val="51637060"/>
    <w:rsid w:val="5177535A"/>
    <w:rsid w:val="529E0754"/>
    <w:rsid w:val="53185E60"/>
    <w:rsid w:val="535A6478"/>
    <w:rsid w:val="54436F0C"/>
    <w:rsid w:val="54B30395"/>
    <w:rsid w:val="558570B1"/>
    <w:rsid w:val="55A95B9E"/>
    <w:rsid w:val="55AA127F"/>
    <w:rsid w:val="55AB702A"/>
    <w:rsid w:val="56051FA0"/>
    <w:rsid w:val="56737851"/>
    <w:rsid w:val="56D95906"/>
    <w:rsid w:val="578C4726"/>
    <w:rsid w:val="57A639C0"/>
    <w:rsid w:val="58CC408E"/>
    <w:rsid w:val="58CD3249"/>
    <w:rsid w:val="58D00680"/>
    <w:rsid w:val="59401C6C"/>
    <w:rsid w:val="59AB1D36"/>
    <w:rsid w:val="5A3A2B60"/>
    <w:rsid w:val="5A78164A"/>
    <w:rsid w:val="5A8D2198"/>
    <w:rsid w:val="5B082187"/>
    <w:rsid w:val="5B0A5C98"/>
    <w:rsid w:val="5B122177"/>
    <w:rsid w:val="5B3A5E49"/>
    <w:rsid w:val="5B615C6A"/>
    <w:rsid w:val="5C8F2290"/>
    <w:rsid w:val="5CB86E88"/>
    <w:rsid w:val="5D3A4C25"/>
    <w:rsid w:val="5DF748C4"/>
    <w:rsid w:val="5E341674"/>
    <w:rsid w:val="5F903222"/>
    <w:rsid w:val="6062071A"/>
    <w:rsid w:val="60B3541A"/>
    <w:rsid w:val="60FD4E6E"/>
    <w:rsid w:val="615E1FD6"/>
    <w:rsid w:val="62D5038E"/>
    <w:rsid w:val="62EE4962"/>
    <w:rsid w:val="639A641D"/>
    <w:rsid w:val="63F37D00"/>
    <w:rsid w:val="65150451"/>
    <w:rsid w:val="652C7F2F"/>
    <w:rsid w:val="658F7282"/>
    <w:rsid w:val="65DD021A"/>
    <w:rsid w:val="674C5C80"/>
    <w:rsid w:val="67762CFD"/>
    <w:rsid w:val="68E079D6"/>
    <w:rsid w:val="6921375A"/>
    <w:rsid w:val="69912F80"/>
    <w:rsid w:val="6A687275"/>
    <w:rsid w:val="6AE61EC6"/>
    <w:rsid w:val="6BE2336B"/>
    <w:rsid w:val="6C6C013F"/>
    <w:rsid w:val="6CA95923"/>
    <w:rsid w:val="6CBB069B"/>
    <w:rsid w:val="6D5E44DD"/>
    <w:rsid w:val="6DB33E07"/>
    <w:rsid w:val="6E565636"/>
    <w:rsid w:val="6EF9676F"/>
    <w:rsid w:val="6F064DEA"/>
    <w:rsid w:val="6F347726"/>
    <w:rsid w:val="6F433E0D"/>
    <w:rsid w:val="6F675D4D"/>
    <w:rsid w:val="70730722"/>
    <w:rsid w:val="70C035D7"/>
    <w:rsid w:val="70E55BF7"/>
    <w:rsid w:val="70F12FB7"/>
    <w:rsid w:val="717E2EDA"/>
    <w:rsid w:val="71CB4963"/>
    <w:rsid w:val="71F96A05"/>
    <w:rsid w:val="724F0A16"/>
    <w:rsid w:val="738251C9"/>
    <w:rsid w:val="740805EF"/>
    <w:rsid w:val="740D49E9"/>
    <w:rsid w:val="747F4BC3"/>
    <w:rsid w:val="74C07CAE"/>
    <w:rsid w:val="74F2294A"/>
    <w:rsid w:val="751F5043"/>
    <w:rsid w:val="7590142E"/>
    <w:rsid w:val="75B82B08"/>
    <w:rsid w:val="76714AE4"/>
    <w:rsid w:val="77005BDC"/>
    <w:rsid w:val="776E06A6"/>
    <w:rsid w:val="78880BA7"/>
    <w:rsid w:val="788E36EC"/>
    <w:rsid w:val="79ED50A1"/>
    <w:rsid w:val="7A0225B3"/>
    <w:rsid w:val="7A2F5B40"/>
    <w:rsid w:val="7A3410D9"/>
    <w:rsid w:val="7A8F7BF0"/>
    <w:rsid w:val="7B4B1342"/>
    <w:rsid w:val="7C0A7ACD"/>
    <w:rsid w:val="7C7C095E"/>
    <w:rsid w:val="7CB67DEA"/>
    <w:rsid w:val="7D3B25C7"/>
    <w:rsid w:val="7DE833EF"/>
    <w:rsid w:val="7E1D1FDE"/>
    <w:rsid w:val="7E9C0E44"/>
    <w:rsid w:val="7EA76A97"/>
    <w:rsid w:val="7F407BEC"/>
    <w:rsid w:val="7F8F03FE"/>
    <w:rsid w:val="7FB23183"/>
    <w:rsid w:val="7FC26EBF"/>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1" w:semiHidden="0" w:name="heading 2" w:locked="1"/>
    <w:lsdException w:qFormat="1" w:unhideWhenUsed="0" w:uiPriority="1"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ocked="1"/>
    <w:lsdException w:qFormat="1"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qFormat="1"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99" w:semiHidden="0" w:name="Body Text First Indent" w:locked="1"/>
    <w:lsdException w:qFormat="1" w:unhideWhenUsed="0" w:uiPriority="99" w:semiHidden="0" w:name="Body Text First Indent 2" w:locked="1"/>
    <w:lsdException w:uiPriority="99" w:name="Note Heading"/>
    <w:lsdException w:qFormat="1"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iPriority="99" w:name="HTML Typewriter"/>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autoRedefine/>
    <w:qFormat/>
    <w:locked/>
    <w:uiPriority w:val="1"/>
    <w:pPr>
      <w:ind w:left="1252"/>
      <w:outlineLvl w:val="1"/>
    </w:pPr>
    <w:rPr>
      <w:rFonts w:ascii="宋体" w:hAnsi="宋体" w:cs="宋体"/>
      <w:b/>
      <w:bCs/>
      <w:sz w:val="28"/>
      <w:szCs w:val="28"/>
    </w:rPr>
  </w:style>
  <w:style w:type="paragraph" w:styleId="7">
    <w:name w:val="heading 3"/>
    <w:basedOn w:val="1"/>
    <w:next w:val="1"/>
    <w:autoRedefine/>
    <w:qFormat/>
    <w:locked/>
    <w:uiPriority w:val="1"/>
    <w:pPr>
      <w:ind w:left="2058" w:hanging="636"/>
      <w:outlineLvl w:val="2"/>
    </w:pPr>
    <w:rPr>
      <w:rFonts w:ascii="宋体" w:hAnsi="宋体" w:cs="宋体"/>
      <w:b/>
      <w:bCs/>
      <w:sz w:val="28"/>
      <w:szCs w:val="28"/>
    </w:rPr>
  </w:style>
  <w:style w:type="character" w:default="1" w:styleId="28">
    <w:name w:val="Default Paragraph Font"/>
    <w:autoRedefine/>
    <w:semiHidden/>
    <w:unhideWhenUsed/>
    <w:qFormat/>
    <w:uiPriority w:val="1"/>
  </w:style>
  <w:style w:type="table" w:default="1" w:styleId="2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locked/>
    <w:uiPriority w:val="99"/>
    <w:pPr>
      <w:ind w:firstLine="420"/>
    </w:pPr>
    <w:rPr>
      <w:sz w:val="21"/>
    </w:rPr>
  </w:style>
  <w:style w:type="paragraph" w:styleId="3">
    <w:name w:val="Body Text Indent"/>
    <w:basedOn w:val="1"/>
    <w:next w:val="4"/>
    <w:autoRedefine/>
    <w:qFormat/>
    <w:uiPriority w:val="0"/>
    <w:pPr>
      <w:spacing w:after="120"/>
      <w:ind w:left="420" w:leftChars="200"/>
    </w:pPr>
    <w:rPr>
      <w:kern w:val="0"/>
      <w:sz w:val="24"/>
      <w:szCs w:val="20"/>
    </w:rPr>
  </w:style>
  <w:style w:type="paragraph" w:customStyle="1" w:styleId="4">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paragraph" w:styleId="8">
    <w:name w:val="Normal Indent"/>
    <w:basedOn w:val="1"/>
    <w:autoRedefine/>
    <w:qFormat/>
    <w:locked/>
    <w:uiPriority w:val="0"/>
    <w:pPr>
      <w:spacing w:line="440" w:lineRule="exact"/>
      <w:ind w:firstLine="40"/>
    </w:pPr>
    <w:rPr>
      <w:sz w:val="24"/>
    </w:rPr>
  </w:style>
  <w:style w:type="paragraph" w:styleId="9">
    <w:name w:val="caption"/>
    <w:basedOn w:val="1"/>
    <w:next w:val="1"/>
    <w:autoRedefine/>
    <w:qFormat/>
    <w:locked/>
    <w:uiPriority w:val="0"/>
    <w:pPr>
      <w:spacing w:line="440" w:lineRule="exact"/>
      <w:ind w:firstLine="1440" w:firstLineChars="200"/>
      <w:jc w:val="center"/>
    </w:pPr>
    <w:rPr>
      <w:rFonts w:cs="Arial"/>
      <w:b/>
      <w:snapToGrid w:val="0"/>
    </w:rPr>
  </w:style>
  <w:style w:type="paragraph" w:styleId="10">
    <w:name w:val="annotation text"/>
    <w:basedOn w:val="1"/>
    <w:autoRedefine/>
    <w:semiHidden/>
    <w:qFormat/>
    <w:uiPriority w:val="0"/>
    <w:pPr>
      <w:jc w:val="left"/>
    </w:pPr>
    <w:rPr>
      <w:kern w:val="0"/>
      <w:sz w:val="24"/>
      <w:szCs w:val="20"/>
    </w:rPr>
  </w:style>
  <w:style w:type="paragraph" w:styleId="11">
    <w:name w:val="Body Text"/>
    <w:basedOn w:val="1"/>
    <w:autoRedefine/>
    <w:qFormat/>
    <w:uiPriority w:val="0"/>
    <w:pPr>
      <w:widowControl/>
      <w:snapToGrid w:val="0"/>
      <w:spacing w:before="60" w:after="160" w:line="259" w:lineRule="auto"/>
      <w:ind w:right="113"/>
    </w:pPr>
    <w:rPr>
      <w:kern w:val="0"/>
      <w:sz w:val="18"/>
      <w:szCs w:val="20"/>
    </w:rPr>
  </w:style>
  <w:style w:type="paragraph" w:styleId="12">
    <w:name w:val="Block Text"/>
    <w:basedOn w:val="1"/>
    <w:autoRedefine/>
    <w:qFormat/>
    <w:locked/>
    <w:uiPriority w:val="0"/>
    <w:pPr>
      <w:spacing w:after="120"/>
      <w:ind w:left="1440" w:leftChars="700" w:right="1440" w:rightChars="700"/>
    </w:pPr>
  </w:style>
  <w:style w:type="paragraph" w:styleId="13">
    <w:name w:val="Plain Text"/>
    <w:basedOn w:val="1"/>
    <w:autoRedefine/>
    <w:qFormat/>
    <w:locked/>
    <w:uiPriority w:val="0"/>
    <w:pPr>
      <w:spacing w:line="440" w:lineRule="exact"/>
      <w:ind w:firstLine="1486" w:firstLineChars="200"/>
    </w:pPr>
    <w:rPr>
      <w:sz w:val="24"/>
      <w:szCs w:val="21"/>
    </w:rPr>
  </w:style>
  <w:style w:type="paragraph" w:styleId="14">
    <w:name w:val="toc 8"/>
    <w:next w:val="1"/>
    <w:autoRedefine/>
    <w:qFormat/>
    <w:locked/>
    <w:uiPriority w:val="0"/>
    <w:pPr>
      <w:wordWrap w:val="0"/>
      <w:ind w:left="1270"/>
      <w:jc w:val="both"/>
    </w:pPr>
    <w:rPr>
      <w:rFonts w:ascii="Times New Roman" w:hAnsi="Times New Roman" w:eastAsia="宋体" w:cs="Times New Roman"/>
      <w:lang w:val="en-US" w:eastAsia="zh-CN" w:bidi="ar-SA"/>
    </w:rPr>
  </w:style>
  <w:style w:type="paragraph" w:styleId="15">
    <w:name w:val="Date"/>
    <w:basedOn w:val="1"/>
    <w:next w:val="1"/>
    <w:autoRedefine/>
    <w:qFormat/>
    <w:uiPriority w:val="0"/>
    <w:pPr>
      <w:ind w:left="100" w:leftChars="2500"/>
    </w:pPr>
    <w:rPr>
      <w:kern w:val="0"/>
      <w:sz w:val="24"/>
      <w:szCs w:val="20"/>
    </w:rPr>
  </w:style>
  <w:style w:type="paragraph" w:styleId="16">
    <w:name w:val="Body Text Indent 2"/>
    <w:basedOn w:val="1"/>
    <w:next w:val="1"/>
    <w:autoRedefine/>
    <w:qFormat/>
    <w:locked/>
    <w:uiPriority w:val="0"/>
    <w:pPr>
      <w:spacing w:line="360" w:lineRule="exact"/>
      <w:ind w:firstLine="522" w:firstLineChars="200"/>
      <w:jc w:val="left"/>
    </w:pPr>
    <w:rPr>
      <w:rFonts w:ascii="宋体" w:hAnsi="宋体"/>
      <w:sz w:val="28"/>
    </w:rPr>
  </w:style>
  <w:style w:type="paragraph" w:styleId="17">
    <w:name w:val="Balloon Text"/>
    <w:basedOn w:val="1"/>
    <w:autoRedefine/>
    <w:semiHidden/>
    <w:qFormat/>
    <w:uiPriority w:val="0"/>
    <w:rPr>
      <w:kern w:val="0"/>
      <w:sz w:val="18"/>
      <w:szCs w:val="20"/>
    </w:rPr>
  </w:style>
  <w:style w:type="paragraph" w:styleId="18">
    <w:name w:val="footer"/>
    <w:basedOn w:val="1"/>
    <w:autoRedefine/>
    <w:qFormat/>
    <w:uiPriority w:val="99"/>
    <w:pPr>
      <w:tabs>
        <w:tab w:val="center" w:pos="4153"/>
        <w:tab w:val="right" w:pos="8306"/>
      </w:tabs>
      <w:snapToGrid w:val="0"/>
      <w:jc w:val="left"/>
    </w:pPr>
    <w:rPr>
      <w:kern w:val="0"/>
      <w:sz w:val="18"/>
      <w:szCs w:val="20"/>
    </w:rPr>
  </w:style>
  <w:style w:type="paragraph" w:styleId="19">
    <w:name w:val="header"/>
    <w:basedOn w:val="1"/>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oc 1"/>
    <w:basedOn w:val="1"/>
    <w:next w:val="1"/>
    <w:autoRedefine/>
    <w:qFormat/>
    <w:locked/>
    <w:uiPriority w:val="0"/>
    <w:pPr>
      <w:tabs>
        <w:tab w:val="right" w:leader="dot" w:pos="8495"/>
      </w:tabs>
      <w:adjustRightInd w:val="0"/>
      <w:spacing w:line="360" w:lineRule="auto"/>
      <w:textAlignment w:val="baseline"/>
    </w:pPr>
    <w:rPr>
      <w:kern w:val="0"/>
      <w:sz w:val="24"/>
      <w:szCs w:val="20"/>
    </w:rPr>
  </w:style>
  <w:style w:type="paragraph" w:styleId="21">
    <w:name w:val="toc 2"/>
    <w:basedOn w:val="1"/>
    <w:next w:val="1"/>
    <w:autoRedefine/>
    <w:unhideWhenUsed/>
    <w:qFormat/>
    <w:locked/>
    <w:uiPriority w:val="39"/>
    <w:pPr>
      <w:widowControl/>
      <w:spacing w:after="100" w:line="276" w:lineRule="auto"/>
      <w:ind w:left="220"/>
      <w:jc w:val="left"/>
    </w:pPr>
    <w:rPr>
      <w:rFonts w:ascii="Calibri" w:hAnsi="Calibri" w:eastAsia="宋体" w:cs="Times New Roman"/>
      <w:kern w:val="0"/>
      <w:sz w:val="22"/>
      <w:szCs w:val="22"/>
    </w:rPr>
  </w:style>
  <w:style w:type="paragraph" w:styleId="22">
    <w:name w:val="Body Text 2"/>
    <w:basedOn w:val="1"/>
    <w:autoRedefine/>
    <w:qFormat/>
    <w:locked/>
    <w:uiPriority w:val="0"/>
    <w:pPr>
      <w:jc w:val="right"/>
    </w:pPr>
    <w:rPr>
      <w:sz w:val="30"/>
    </w:rPr>
  </w:style>
  <w:style w:type="paragraph" w:styleId="23">
    <w:name w:val="Normal (Web)"/>
    <w:basedOn w:val="1"/>
    <w:autoRedefine/>
    <w:qFormat/>
    <w:uiPriority w:val="0"/>
    <w:pPr>
      <w:widowControl/>
      <w:spacing w:before="100" w:beforeAutospacing="1" w:after="100" w:afterAutospacing="1"/>
      <w:jc w:val="left"/>
    </w:pPr>
    <w:rPr>
      <w:rFonts w:ascii="宋体" w:hAnsi="宋体"/>
      <w:kern w:val="0"/>
      <w:sz w:val="24"/>
      <w:szCs w:val="20"/>
    </w:rPr>
  </w:style>
  <w:style w:type="paragraph" w:styleId="24">
    <w:name w:val="annotation subject"/>
    <w:basedOn w:val="10"/>
    <w:autoRedefine/>
    <w:semiHidden/>
    <w:qFormat/>
    <w:uiPriority w:val="0"/>
    <w:rPr>
      <w:b/>
    </w:rPr>
  </w:style>
  <w:style w:type="paragraph" w:styleId="25">
    <w:name w:val="Body Text First Indent"/>
    <w:basedOn w:val="11"/>
    <w:next w:val="1"/>
    <w:autoRedefine/>
    <w:qFormat/>
    <w:locked/>
    <w:uiPriority w:val="99"/>
    <w:pPr>
      <w:spacing w:after="120" w:line="240" w:lineRule="auto"/>
      <w:ind w:firstLine="420" w:firstLineChars="100"/>
    </w:pPr>
    <w:rPr>
      <w:sz w:val="21"/>
    </w:rPr>
  </w:style>
  <w:style w:type="table" w:styleId="27">
    <w:name w:val="Table Grid"/>
    <w:basedOn w:val="2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basedOn w:val="28"/>
    <w:autoRedefine/>
    <w:qFormat/>
    <w:locked/>
    <w:uiPriority w:val="0"/>
  </w:style>
  <w:style w:type="character" w:styleId="30">
    <w:name w:val="annotation reference"/>
    <w:autoRedefine/>
    <w:semiHidden/>
    <w:qFormat/>
    <w:uiPriority w:val="0"/>
    <w:rPr>
      <w:sz w:val="21"/>
    </w:rPr>
  </w:style>
  <w:style w:type="paragraph" w:customStyle="1" w:styleId="31">
    <w:name w:val="0正文"/>
    <w:autoRedefine/>
    <w:qFormat/>
    <w:uiPriority w:val="0"/>
    <w:pPr>
      <w:widowControl w:val="0"/>
      <w:adjustRightInd w:val="0"/>
      <w:snapToGrid w:val="0"/>
      <w:spacing w:line="360" w:lineRule="auto"/>
      <w:ind w:firstLine="200" w:firstLineChars="200"/>
    </w:pPr>
    <w:rPr>
      <w:rFonts w:ascii="Times New Roman" w:hAnsi="Times New Roman" w:eastAsia="宋体" w:cs="Times New Roman"/>
      <w:kern w:val="2"/>
      <w:sz w:val="24"/>
      <w:szCs w:val="22"/>
      <w:lang w:val="en-US" w:eastAsia="zh-CN" w:bidi="ar-SA"/>
    </w:rPr>
  </w:style>
  <w:style w:type="character" w:customStyle="1" w:styleId="32">
    <w:name w:val="批注文字 Char"/>
    <w:autoRedefine/>
    <w:qFormat/>
    <w:locked/>
    <w:uiPriority w:val="0"/>
    <w:rPr>
      <w:rFonts w:ascii="Times New Roman" w:hAnsi="Times New Roman" w:eastAsia="宋体"/>
      <w:sz w:val="24"/>
    </w:rPr>
  </w:style>
  <w:style w:type="character" w:customStyle="1" w:styleId="33">
    <w:name w:val="正文文本 Char"/>
    <w:autoRedefine/>
    <w:qFormat/>
    <w:locked/>
    <w:uiPriority w:val="0"/>
    <w:rPr>
      <w:sz w:val="18"/>
    </w:rPr>
  </w:style>
  <w:style w:type="character" w:customStyle="1" w:styleId="34">
    <w:name w:val="正文文本缩进 Char"/>
    <w:autoRedefine/>
    <w:semiHidden/>
    <w:qFormat/>
    <w:locked/>
    <w:uiPriority w:val="0"/>
    <w:rPr>
      <w:rFonts w:ascii="Times New Roman" w:hAnsi="Times New Roman" w:eastAsia="宋体"/>
      <w:sz w:val="24"/>
    </w:rPr>
  </w:style>
  <w:style w:type="character" w:customStyle="1" w:styleId="35">
    <w:name w:val="日期 Char"/>
    <w:autoRedefine/>
    <w:qFormat/>
    <w:locked/>
    <w:uiPriority w:val="0"/>
    <w:rPr>
      <w:rFonts w:ascii="Times New Roman" w:hAnsi="Times New Roman" w:eastAsia="宋体"/>
      <w:sz w:val="24"/>
    </w:rPr>
  </w:style>
  <w:style w:type="character" w:customStyle="1" w:styleId="36">
    <w:name w:val="批注框文本 Char"/>
    <w:autoRedefine/>
    <w:semiHidden/>
    <w:qFormat/>
    <w:locked/>
    <w:uiPriority w:val="0"/>
    <w:rPr>
      <w:rFonts w:ascii="Times New Roman" w:hAnsi="Times New Roman" w:eastAsia="宋体"/>
      <w:sz w:val="18"/>
    </w:rPr>
  </w:style>
  <w:style w:type="character" w:customStyle="1" w:styleId="37">
    <w:name w:val="页脚 Char"/>
    <w:autoRedefine/>
    <w:qFormat/>
    <w:locked/>
    <w:uiPriority w:val="99"/>
    <w:rPr>
      <w:sz w:val="18"/>
    </w:rPr>
  </w:style>
  <w:style w:type="character" w:customStyle="1" w:styleId="38">
    <w:name w:val="页眉 Char"/>
    <w:autoRedefine/>
    <w:qFormat/>
    <w:locked/>
    <w:uiPriority w:val="0"/>
    <w:rPr>
      <w:sz w:val="18"/>
    </w:rPr>
  </w:style>
  <w:style w:type="character" w:customStyle="1" w:styleId="39">
    <w:name w:val="普通(网站) Char"/>
    <w:autoRedefine/>
    <w:qFormat/>
    <w:locked/>
    <w:uiPriority w:val="0"/>
    <w:rPr>
      <w:rFonts w:ascii="宋体" w:hAnsi="宋体" w:eastAsia="宋体"/>
      <w:sz w:val="24"/>
    </w:rPr>
  </w:style>
  <w:style w:type="character" w:customStyle="1" w:styleId="40">
    <w:name w:val="批注主题 Char"/>
    <w:autoRedefine/>
    <w:semiHidden/>
    <w:qFormat/>
    <w:locked/>
    <w:uiPriority w:val="0"/>
    <w:rPr>
      <w:rFonts w:ascii="Times New Roman" w:hAnsi="Times New Roman" w:eastAsia="宋体"/>
      <w:b/>
      <w:kern w:val="2"/>
      <w:sz w:val="24"/>
    </w:rPr>
  </w:style>
  <w:style w:type="character" w:customStyle="1" w:styleId="41">
    <w:name w:val="正文文本 字符1"/>
    <w:autoRedefine/>
    <w:semiHidden/>
    <w:qFormat/>
    <w:uiPriority w:val="0"/>
    <w:rPr>
      <w:rFonts w:ascii="Times New Roman" w:hAnsi="Times New Roman" w:eastAsia="宋体"/>
      <w:sz w:val="24"/>
    </w:rPr>
  </w:style>
  <w:style w:type="character" w:customStyle="1" w:styleId="42">
    <w:name w:val="批注文字 字符1"/>
    <w:autoRedefine/>
    <w:semiHidden/>
    <w:qFormat/>
    <w:uiPriority w:val="0"/>
    <w:rPr>
      <w:rFonts w:ascii="Times New Roman" w:hAnsi="Times New Roman" w:eastAsia="宋体"/>
      <w:sz w:val="24"/>
    </w:rPr>
  </w:style>
  <w:style w:type="character" w:customStyle="1" w:styleId="43">
    <w:name w:val="日期 字符"/>
    <w:autoRedefine/>
    <w:semiHidden/>
    <w:qFormat/>
    <w:uiPriority w:val="0"/>
    <w:rPr>
      <w:rFonts w:ascii="Times New Roman" w:hAnsi="Times New Roman" w:eastAsia="宋体"/>
      <w:sz w:val="24"/>
    </w:rPr>
  </w:style>
  <w:style w:type="character" w:customStyle="1" w:styleId="44">
    <w:name w:val="页脚 字符"/>
    <w:basedOn w:val="28"/>
    <w:autoRedefine/>
    <w:qFormat/>
    <w:uiPriority w:val="99"/>
  </w:style>
  <w:style w:type="character" w:customStyle="1" w:styleId="45">
    <w:name w:val="表格 Char"/>
    <w:autoRedefine/>
    <w:qFormat/>
    <w:locked/>
    <w:uiPriority w:val="0"/>
    <w:rPr>
      <w:rFonts w:ascii="宋体"/>
      <w:sz w:val="21"/>
    </w:rPr>
  </w:style>
  <w:style w:type="paragraph" w:customStyle="1" w:styleId="46">
    <w:name w:val="表格"/>
    <w:basedOn w:val="1"/>
    <w:next w:val="1"/>
    <w:autoRedefine/>
    <w:qFormat/>
    <w:uiPriority w:val="0"/>
    <w:pPr>
      <w:adjustRightInd w:val="0"/>
      <w:snapToGrid w:val="0"/>
      <w:spacing w:beforeLines="10" w:afterLines="10" w:line="259" w:lineRule="auto"/>
      <w:jc w:val="center"/>
    </w:pPr>
    <w:rPr>
      <w:rFonts w:ascii="宋体"/>
      <w:kern w:val="0"/>
      <w:szCs w:val="20"/>
    </w:rPr>
  </w:style>
  <w:style w:type="character" w:customStyle="1" w:styleId="47">
    <w:name w:val="文章正文 Char Char"/>
    <w:autoRedefine/>
    <w:qFormat/>
    <w:uiPriority w:val="0"/>
    <w:rPr>
      <w:rFonts w:ascii="Times New Roman" w:hAnsi="Times New Roman" w:eastAsia="宋体"/>
      <w:sz w:val="24"/>
    </w:rPr>
  </w:style>
  <w:style w:type="paragraph" w:customStyle="1" w:styleId="48">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49">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1">
    <w:name w:val="正文·"/>
    <w:basedOn w:val="1"/>
    <w:autoRedefine/>
    <w:qFormat/>
    <w:uiPriority w:val="0"/>
    <w:pPr>
      <w:spacing w:line="440" w:lineRule="exact"/>
      <w:ind w:firstLine="200" w:firstLineChars="200"/>
    </w:pPr>
    <w:rPr>
      <w:kern w:val="0"/>
      <w:sz w:val="24"/>
    </w:rPr>
  </w:style>
  <w:style w:type="paragraph" w:customStyle="1" w:styleId="52">
    <w:name w:val="表格文字"/>
    <w:basedOn w:val="11"/>
    <w:next w:val="1"/>
    <w:autoRedefine/>
    <w:qFormat/>
    <w:uiPriority w:val="0"/>
    <w:pPr>
      <w:spacing w:before="78" w:beforeLines="25" w:after="78" w:afterLines="25" w:line="240" w:lineRule="auto"/>
      <w:jc w:val="center"/>
    </w:pPr>
    <w:rPr>
      <w:sz w:val="21"/>
    </w:rPr>
  </w:style>
  <w:style w:type="paragraph" w:customStyle="1" w:styleId="53">
    <w:name w:val="TX-表头"/>
    <w:autoRedefine/>
    <w:qFormat/>
    <w:uiPriority w:val="0"/>
    <w:pPr>
      <w:jc w:val="center"/>
    </w:pPr>
    <w:rPr>
      <w:rFonts w:ascii="Times New Roman" w:hAnsi="Times New Roman" w:eastAsia="仿宋" w:cs="Times New Roman"/>
      <w:b/>
      <w:kern w:val="2"/>
      <w:sz w:val="24"/>
      <w:szCs w:val="22"/>
      <w:lang w:val="en-US" w:eastAsia="zh-CN" w:bidi="ar-SA"/>
    </w:rPr>
  </w:style>
  <w:style w:type="paragraph" w:customStyle="1" w:styleId="54">
    <w:name w:val="22榜加粗"/>
    <w:basedOn w:val="1"/>
    <w:autoRedefine/>
    <w:qFormat/>
    <w:uiPriority w:val="0"/>
    <w:pPr>
      <w:spacing w:line="440" w:lineRule="exact"/>
      <w:ind w:firstLine="1440" w:firstLineChars="200"/>
    </w:pPr>
    <w:rPr>
      <w:b/>
      <w:sz w:val="24"/>
    </w:rPr>
  </w:style>
  <w:style w:type="paragraph" w:customStyle="1" w:styleId="55">
    <w:name w:val="22磅行间距"/>
    <w:basedOn w:val="1"/>
    <w:autoRedefine/>
    <w:qFormat/>
    <w:uiPriority w:val="0"/>
    <w:pPr>
      <w:adjustRightInd w:val="0"/>
      <w:snapToGrid w:val="0"/>
      <w:spacing w:line="440" w:lineRule="exact"/>
      <w:ind w:firstLine="200" w:firstLineChars="200"/>
    </w:pPr>
    <w:rPr>
      <w:sz w:val="24"/>
    </w:rPr>
  </w:style>
  <w:style w:type="paragraph" w:customStyle="1" w:styleId="56">
    <w:name w:val="表文字"/>
    <w:autoRedefine/>
    <w:qFormat/>
    <w:uiPriority w:val="0"/>
    <w:pPr>
      <w:widowControl w:val="0"/>
      <w:spacing w:line="240" w:lineRule="exact"/>
      <w:jc w:val="center"/>
    </w:pPr>
    <w:rPr>
      <w:rFonts w:ascii="Times New Roman" w:hAnsi="Times New Roman" w:eastAsia="宋体" w:cs="Times New Roman"/>
      <w:snapToGrid w:val="0"/>
      <w:w w:val="95"/>
      <w:sz w:val="21"/>
      <w:lang w:val="en-US" w:eastAsia="zh-CN" w:bidi="ar-SA"/>
    </w:rPr>
  </w:style>
  <w:style w:type="paragraph" w:customStyle="1" w:styleId="57">
    <w:name w:val="_Style 4"/>
    <w:basedOn w:val="1"/>
    <w:autoRedefine/>
    <w:qFormat/>
    <w:uiPriority w:val="0"/>
    <w:rPr>
      <w:rFonts w:ascii="宋体" w:hAnsi="宋体"/>
      <w:b/>
    </w:rPr>
  </w:style>
  <w:style w:type="paragraph" w:customStyle="1" w:styleId="58">
    <w:name w:val="正文1"/>
    <w:basedOn w:val="1"/>
    <w:next w:val="1"/>
    <w:autoRedefine/>
    <w:qFormat/>
    <w:uiPriority w:val="0"/>
    <w:pPr>
      <w:adjustRightInd w:val="0"/>
      <w:snapToGrid w:val="0"/>
      <w:spacing w:line="480" w:lineRule="exact"/>
      <w:ind w:firstLine="200" w:firstLineChars="200"/>
    </w:pPr>
    <w:rPr>
      <w:sz w:val="24"/>
    </w:rPr>
  </w:style>
  <w:style w:type="paragraph" w:customStyle="1" w:styleId="59">
    <w:name w:val="表头"/>
    <w:basedOn w:val="58"/>
    <w:next w:val="1"/>
    <w:autoRedefine/>
    <w:qFormat/>
    <w:uiPriority w:val="0"/>
    <w:pPr>
      <w:tabs>
        <w:tab w:val="left" w:pos="7380"/>
      </w:tabs>
      <w:spacing w:line="240" w:lineRule="auto"/>
      <w:ind w:firstLine="420"/>
      <w:jc w:val="center"/>
    </w:pPr>
    <w:rPr>
      <w:b/>
      <w:sz w:val="21"/>
      <w:szCs w:val="20"/>
    </w:rPr>
  </w:style>
  <w:style w:type="paragraph" w:customStyle="1" w:styleId="60">
    <w:name w:val="报告表样式"/>
    <w:basedOn w:val="1"/>
    <w:autoRedefine/>
    <w:qFormat/>
    <w:uiPriority w:val="0"/>
    <w:pPr>
      <w:adjustRightInd w:val="0"/>
      <w:snapToGrid w:val="0"/>
      <w:spacing w:line="360" w:lineRule="auto"/>
      <w:ind w:firstLine="200" w:firstLineChars="200"/>
    </w:pPr>
    <w:rPr>
      <w:sz w:val="28"/>
    </w:rPr>
  </w:style>
  <w:style w:type="paragraph" w:styleId="61">
    <w:name w:val="List Paragraph"/>
    <w:basedOn w:val="1"/>
    <w:autoRedefine/>
    <w:qFormat/>
    <w:uiPriority w:val="1"/>
    <w:pPr>
      <w:ind w:left="2030" w:hanging="528"/>
    </w:pPr>
    <w:rPr>
      <w:rFonts w:ascii="宋体" w:hAnsi="宋体" w:cs="宋体"/>
      <w:lang w:val="zh-CN" w:bidi="zh-CN"/>
    </w:rPr>
  </w:style>
  <w:style w:type="paragraph" w:customStyle="1" w:styleId="62">
    <w:name w:val="文章正文"/>
    <w:basedOn w:val="1"/>
    <w:autoRedefine/>
    <w:qFormat/>
    <w:uiPriority w:val="0"/>
    <w:pPr>
      <w:spacing w:line="440" w:lineRule="exact"/>
      <w:ind w:firstLine="600" w:firstLineChars="200"/>
    </w:pPr>
    <w:rPr>
      <w:kern w:val="0"/>
      <w:sz w:val="24"/>
    </w:rPr>
  </w:style>
  <w:style w:type="paragraph" w:customStyle="1" w:styleId="63">
    <w:name w:val="xl27"/>
    <w:basedOn w:val="1"/>
    <w:autoRedefine/>
    <w:qFormat/>
    <w:uiPriority w:val="0"/>
    <w:pPr>
      <w:widowControl/>
      <w:spacing w:before="100" w:after="100"/>
      <w:jc w:val="center"/>
      <w:textAlignment w:val="center"/>
    </w:pPr>
    <w:rPr>
      <w:rFonts w:hint="eastAsia" w:ascii="黑体" w:hAnsi="Arial Unicode MS" w:eastAsia="黑体"/>
      <w:kern w:val="0"/>
      <w:sz w:val="24"/>
    </w:rPr>
  </w:style>
  <w:style w:type="paragraph" w:customStyle="1" w:styleId="64">
    <w:name w:val="表文字xxxxxxxx"/>
    <w:basedOn w:val="1"/>
    <w:autoRedefine/>
    <w:qFormat/>
    <w:uiPriority w:val="0"/>
    <w:pPr>
      <w:topLinePunct/>
      <w:adjustRightInd w:val="0"/>
      <w:spacing w:line="360" w:lineRule="exact"/>
      <w:jc w:val="center"/>
      <w:textAlignment w:val="baseline"/>
    </w:pPr>
    <w:rPr>
      <w:szCs w:val="21"/>
    </w:rPr>
  </w:style>
  <w:style w:type="paragraph" w:customStyle="1" w:styleId="65">
    <w:name w:val="样式1"/>
    <w:basedOn w:val="1"/>
    <w:autoRedefine/>
    <w:qFormat/>
    <w:uiPriority w:val="0"/>
    <w:pPr>
      <w:kinsoku w:val="0"/>
      <w:overflowPunct w:val="0"/>
      <w:autoSpaceDE w:val="0"/>
      <w:autoSpaceDN w:val="0"/>
      <w:adjustRightInd w:val="0"/>
      <w:snapToGrid w:val="0"/>
      <w:spacing w:line="360" w:lineRule="auto"/>
      <w:ind w:firstLine="480" w:firstLineChars="200"/>
    </w:pPr>
    <w:rPr>
      <w:sz w:val="24"/>
    </w:rPr>
  </w:style>
  <w:style w:type="paragraph" w:customStyle="1" w:styleId="66">
    <w:name w:val="sll-正文"/>
    <w:basedOn w:val="1"/>
    <w:autoRedefine/>
    <w:qFormat/>
    <w:uiPriority w:val="0"/>
    <w:pPr>
      <w:autoSpaceDE w:val="0"/>
      <w:autoSpaceDN w:val="0"/>
      <w:adjustRightInd w:val="0"/>
      <w:snapToGrid w:val="0"/>
      <w:spacing w:line="360" w:lineRule="auto"/>
      <w:ind w:firstLine="720" w:firstLineChars="200"/>
      <w:jc w:val="left"/>
    </w:pPr>
    <w:rPr>
      <w:rFonts w:cs="宋体"/>
      <w:kern w:val="0"/>
      <w:sz w:val="24"/>
      <w:szCs w:val="21"/>
    </w:rPr>
  </w:style>
  <w:style w:type="paragraph" w:customStyle="1" w:styleId="67">
    <w:name w:val="Table Paragraph"/>
    <w:basedOn w:val="1"/>
    <w:autoRedefine/>
    <w:qFormat/>
    <w:uiPriority w:val="1"/>
    <w:rPr>
      <w:rFonts w:ascii="宋体" w:hAnsi="宋体" w:cs="宋体"/>
    </w:rPr>
  </w:style>
  <w:style w:type="paragraph" w:customStyle="1" w:styleId="68">
    <w:name w:val="样式 正文缩进正文缩进2正文缩进 Char Char正文缩进 Char Char Char Char正文缩进 Char ..."/>
    <w:basedOn w:val="8"/>
    <w:autoRedefine/>
    <w:qFormat/>
    <w:uiPriority w:val="0"/>
    <w:pPr>
      <w:spacing w:line="360" w:lineRule="auto"/>
      <w:ind w:firstLine="200"/>
    </w:pPr>
    <w:rPr>
      <w:rFonts w:cs="宋体"/>
    </w:rPr>
  </w:style>
  <w:style w:type="paragraph" w:customStyle="1" w:styleId="69">
    <w:name w:val="段落 Char"/>
    <w:basedOn w:val="1"/>
    <w:autoRedefine/>
    <w:qFormat/>
    <w:uiPriority w:val="0"/>
    <w:pPr>
      <w:topLinePunct/>
      <w:snapToGrid w:val="0"/>
      <w:spacing w:line="360" w:lineRule="auto"/>
      <w:ind w:firstLine="200" w:firstLineChars="200"/>
    </w:pPr>
    <w:rPr>
      <w:sz w:val="24"/>
    </w:rPr>
  </w:style>
  <w:style w:type="paragraph" w:customStyle="1" w:styleId="70">
    <w:name w:val="小标题"/>
    <w:basedOn w:val="71"/>
    <w:autoRedefine/>
    <w:qFormat/>
    <w:uiPriority w:val="0"/>
    <w:pPr>
      <w:spacing w:line="480" w:lineRule="exact"/>
      <w:ind w:firstLine="0"/>
      <w:jc w:val="left"/>
    </w:pPr>
    <w:rPr>
      <w:b/>
      <w:color w:val="000000"/>
      <w:sz w:val="24"/>
    </w:rPr>
  </w:style>
  <w:style w:type="paragraph" w:customStyle="1" w:styleId="71">
    <w:name w:val="列出段落"/>
    <w:basedOn w:val="1"/>
    <w:autoRedefine/>
    <w:qFormat/>
    <w:uiPriority w:val="34"/>
    <w:pPr>
      <w:ind w:firstLine="420" w:firstLineChars="200"/>
    </w:pPr>
  </w:style>
  <w:style w:type="paragraph" w:customStyle="1" w:styleId="72">
    <w:name w:val="【正文】"/>
    <w:basedOn w:val="1"/>
    <w:autoRedefine/>
    <w:qFormat/>
    <w:uiPriority w:val="0"/>
    <w:pPr>
      <w:spacing w:line="480" w:lineRule="exact"/>
      <w:ind w:firstLine="200" w:firstLineChars="200"/>
    </w:pPr>
    <w:rPr>
      <w:sz w:val="24"/>
      <w:szCs w:val="20"/>
    </w:rPr>
  </w:style>
  <w:style w:type="paragraph" w:customStyle="1" w:styleId="73">
    <w:name w:val="表格标题"/>
    <w:basedOn w:val="1"/>
    <w:autoRedefine/>
    <w:qFormat/>
    <w:uiPriority w:val="0"/>
    <w:pPr>
      <w:keepNext/>
      <w:spacing w:line="560" w:lineRule="exact"/>
      <w:jc w:val="center"/>
    </w:pPr>
    <w:rPr>
      <w:b/>
      <w:kern w:val="0"/>
    </w:rPr>
  </w:style>
  <w:style w:type="paragraph" w:customStyle="1" w:styleId="74">
    <w:name w:val="【表中文字】"/>
    <w:basedOn w:val="1"/>
    <w:autoRedefine/>
    <w:qFormat/>
    <w:uiPriority w:val="0"/>
    <w:pPr>
      <w:jc w:val="center"/>
    </w:pPr>
    <w:rPr>
      <w:szCs w:val="20"/>
    </w:rPr>
  </w:style>
  <w:style w:type="character" w:customStyle="1" w:styleId="75">
    <w:name w:val="font01"/>
    <w:autoRedefine/>
    <w:qFormat/>
    <w:uiPriority w:val="0"/>
    <w:rPr>
      <w:rFonts w:hint="eastAsia" w:ascii="宋体" w:hAnsi="宋体" w:eastAsia="宋体" w:cs="宋体"/>
      <w:color w:val="FF0000"/>
      <w:sz w:val="20"/>
      <w:szCs w:val="20"/>
      <w:u w:val="none"/>
    </w:rPr>
  </w:style>
  <w:style w:type="character" w:customStyle="1" w:styleId="76">
    <w:name w:val="正文文本缩进 Char1"/>
    <w:basedOn w:val="28"/>
    <w:autoRedefine/>
    <w:qFormat/>
    <w:uiPriority w:val="0"/>
    <w:rPr>
      <w:kern w:val="2"/>
      <w:sz w:val="21"/>
      <w:szCs w:val="24"/>
    </w:rPr>
  </w:style>
  <w:style w:type="character" w:customStyle="1" w:styleId="77">
    <w:name w:val="正文文本首行缩进 2 字符"/>
    <w:basedOn w:val="76"/>
    <w:autoRedefine/>
    <w:qFormat/>
    <w:uiPriority w:val="0"/>
    <w:rPr>
      <w:kern w:val="2"/>
      <w:sz w:val="21"/>
      <w:szCs w:val="24"/>
    </w:rPr>
  </w:style>
  <w:style w:type="paragraph" w:customStyle="1" w:styleId="78">
    <w:name w:val="WPS Plain"/>
    <w:autoRedefine/>
    <w:qFormat/>
    <w:uiPriority w:val="0"/>
    <w:rPr>
      <w:rFonts w:ascii="Times New Roman" w:hAnsi="Times New Roman" w:eastAsia="宋体" w:cs="Times New Roman"/>
      <w:lang w:val="en-US" w:eastAsia="zh-CN" w:bidi="ar-SA"/>
    </w:rPr>
  </w:style>
  <w:style w:type="paragraph" w:customStyle="1" w:styleId="79">
    <w:name w:val="投标文件正文"/>
    <w:basedOn w:val="1"/>
    <w:autoRedefine/>
    <w:qFormat/>
    <w:uiPriority w:val="0"/>
    <w:pPr>
      <w:spacing w:line="360" w:lineRule="auto"/>
      <w:ind w:firstLine="200" w:firstLineChars="200"/>
    </w:pPr>
    <w:rPr>
      <w:rFonts w:ascii="Arial" w:hAnsi="Arial"/>
      <w:sz w:val="24"/>
      <w:szCs w:val="20"/>
    </w:rPr>
  </w:style>
  <w:style w:type="paragraph" w:customStyle="1" w:styleId="80">
    <w:name w:val="正文格式"/>
    <w:basedOn w:val="1"/>
    <w:autoRedefine/>
    <w:qFormat/>
    <w:uiPriority w:val="0"/>
    <w:pPr>
      <w:spacing w:line="360" w:lineRule="auto"/>
      <w:ind w:firstLine="544" w:firstLineChars="200"/>
    </w:pPr>
    <w:rPr>
      <w:rFonts w:cs="宋体"/>
    </w:rPr>
  </w:style>
  <w:style w:type="paragraph" w:customStyle="1" w:styleId="81">
    <w:name w:val="表格内容"/>
    <w:autoRedefine/>
    <w:qFormat/>
    <w:uiPriority w:val="0"/>
    <w:pPr>
      <w:adjustRightInd w:val="0"/>
      <w:snapToGrid w:val="0"/>
      <w:spacing w:line="360" w:lineRule="exact"/>
      <w:jc w:val="center"/>
    </w:pPr>
    <w:rPr>
      <w:rFonts w:ascii="Calibri" w:hAnsi="Calibri" w:eastAsia="宋体" w:cs="Times New Roman"/>
      <w:color w:val="000000"/>
      <w:kern w:val="2"/>
      <w:sz w:val="21"/>
      <w:szCs w:val="24"/>
      <w:lang w:val="en-US" w:eastAsia="zh-CN" w:bidi="ar-SA"/>
    </w:rPr>
  </w:style>
  <w:style w:type="character" w:customStyle="1" w:styleId="82">
    <w:name w:val="font31"/>
    <w:basedOn w:val="28"/>
    <w:autoRedefine/>
    <w:qFormat/>
    <w:uiPriority w:val="0"/>
    <w:rPr>
      <w:rFonts w:hint="eastAsia" w:ascii="宋体" w:hAnsi="宋体" w:eastAsia="宋体" w:cs="宋体"/>
      <w:color w:val="000000"/>
      <w:sz w:val="21"/>
      <w:szCs w:val="21"/>
      <w:u w:val="none"/>
      <w:vertAlign w:val="subscript"/>
    </w:rPr>
  </w:style>
  <w:style w:type="character" w:customStyle="1" w:styleId="83">
    <w:name w:val="大标题"/>
    <w:autoRedefine/>
    <w:qFormat/>
    <w:uiPriority w:val="0"/>
    <w:rPr>
      <w:rFonts w:ascii="Times New Roman" w:hAnsi="Times New Roman" w:eastAsia="宋体"/>
      <w:b/>
      <w:spacing w:val="0"/>
      <w:position w:val="0"/>
      <w:sz w:val="28"/>
    </w:rPr>
  </w:style>
  <w:style w:type="paragraph" w:customStyle="1" w:styleId="84">
    <w:name w:val="Other|1"/>
    <w:basedOn w:val="1"/>
    <w:autoRedefine/>
    <w:qFormat/>
    <w:uiPriority w:val="0"/>
    <w:pPr>
      <w:spacing w:line="276" w:lineRule="exact"/>
    </w:pPr>
    <w:rPr>
      <w:lang w:val="zh-TW" w:eastAsia="zh-TW" w:bidi="zh-TW"/>
    </w:rPr>
  </w:style>
  <w:style w:type="paragraph" w:customStyle="1" w:styleId="85">
    <w:name w:val="高-表格"/>
    <w:basedOn w:val="1"/>
    <w:autoRedefine/>
    <w:qFormat/>
    <w:uiPriority w:val="0"/>
    <w:pPr>
      <w:pBdr>
        <w:top w:val="none" w:color="auto" w:sz="0" w:space="1"/>
        <w:left w:val="none" w:color="auto" w:sz="0" w:space="4"/>
        <w:bottom w:val="none" w:color="auto" w:sz="0" w:space="1"/>
        <w:right w:val="none" w:color="auto" w:sz="0" w:space="4"/>
      </w:pBdr>
      <w:jc w:val="center"/>
    </w:pPr>
    <w:rPr>
      <w:rFonts w:ascii="Times New Roman" w:hAnsi="Times New Roman"/>
      <w:szCs w:val="22"/>
    </w:rPr>
  </w:style>
  <w:style w:type="paragraph" w:customStyle="1" w:styleId="86">
    <w:name w:val="基设正文"/>
    <w:basedOn w:val="1"/>
    <w:autoRedefine/>
    <w:qFormat/>
    <w:uiPriority w:val="0"/>
    <w:pPr>
      <w:spacing w:line="360" w:lineRule="auto"/>
      <w:ind w:firstLine="200" w:firstLineChars="200"/>
    </w:pPr>
    <w:rPr>
      <w:kern w:val="2"/>
      <w:sz w:val="28"/>
      <w:szCs w:val="21"/>
    </w:rPr>
  </w:style>
  <w:style w:type="paragraph" w:customStyle="1" w:styleId="87">
    <w:name w:val="Table Text"/>
    <w:basedOn w:val="1"/>
    <w:semiHidden/>
    <w:qFormat/>
    <w:uiPriority w:val="0"/>
    <w:rPr>
      <w:rFonts w:ascii="宋体" w:hAnsi="宋体" w:eastAsia="宋体" w:cs="宋体"/>
      <w:sz w:val="20"/>
      <w:szCs w:val="20"/>
      <w:lang w:val="en-US" w:eastAsia="en-US" w:bidi="ar-SA"/>
    </w:rPr>
  </w:style>
  <w:style w:type="table" w:customStyle="1" w:styleId="8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0" Type="http://schemas.openxmlformats.org/officeDocument/2006/relationships/fontTable" Target="fontTable.xml"/><Relationship Id="rId3" Type="http://schemas.openxmlformats.org/officeDocument/2006/relationships/footer" Target="foot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1.pn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jpeg"/><Relationship Id="rId21" Type="http://schemas.openxmlformats.org/officeDocument/2006/relationships/image" Target="media/image15.jpe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46</Pages>
  <Words>6075</Words>
  <Characters>6609</Characters>
  <Lines>112</Lines>
  <Paragraphs>31</Paragraphs>
  <TotalTime>1</TotalTime>
  <ScaleCrop>false</ScaleCrop>
  <LinksUpToDate>false</LinksUpToDate>
  <CharactersWithSpaces>6676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2020-12-24T17:29:00Z</dcterms:created>
  <dc:creator>lhj</dc:creator>
  <cp:lastModifiedBy>WPS_1710487058</cp:lastModifiedBy>
  <cp:lastPrinted>2022-04-07T17:18:00Z</cp:lastPrinted>
  <dcterms:modified xsi:type="dcterms:W3CDTF">2025-02-19T08:27:03Z</dcterms:modified>
  <dc:title>附件2</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362D08203B2D4A349436A70AFB8B668E_13</vt:lpwstr>
  </property>
  <property fmtid="{D5CDD505-2E9C-101B-9397-08002B2CF9AE}" pid="4" name="KSOTemplateDocerSaveRecord">
    <vt:lpwstr>eyJoZGlkIjoiM2EyOWVkMDQ1ZDJiMmU2YTY0Y2RjZjk2MTY4MmNjZTAiLCJ1c2VySWQiOiIxNTg2MjYyNjQ5In0=</vt:lpwstr>
  </property>
</Properties>
</file>