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6CD31">
      <w:pPr>
        <w:rPr>
          <w:rFonts w:hint="default" w:ascii="Times New Roman" w:hAnsi="Times New Roman" w:eastAsia="仿宋_GB2312" w:cs="Times New Roman"/>
          <w:sz w:val="36"/>
          <w:szCs w:val="36"/>
        </w:rPr>
      </w:pPr>
    </w:p>
    <w:p w14:paraId="3E670C5A">
      <w:pPr>
        <w:rPr>
          <w:rFonts w:hint="default" w:ascii="Times New Roman" w:hAnsi="Times New Roman" w:eastAsia="仿宋_GB2312" w:cs="Times New Roman"/>
          <w:sz w:val="36"/>
          <w:szCs w:val="36"/>
        </w:rPr>
      </w:pPr>
    </w:p>
    <w:p w14:paraId="6132D7F0">
      <w:pPr>
        <w:ind w:left="0" w:leftChars="0" w:firstLine="0" w:firstLineChars="0"/>
        <w:rPr>
          <w:rFonts w:hint="default" w:ascii="Times New Roman" w:hAnsi="Times New Roman" w:eastAsia="仿宋_GB2312" w:cs="Times New Roman"/>
          <w:sz w:val="36"/>
          <w:szCs w:val="36"/>
        </w:rPr>
      </w:pPr>
    </w:p>
    <w:p w14:paraId="707FC340">
      <w:pPr>
        <w:adjustRightInd w:val="0"/>
        <w:snapToGrid w:val="0"/>
        <w:ind w:left="0" w:leftChars="0" w:firstLine="0" w:firstLineChars="0"/>
        <w:jc w:val="center"/>
        <w:outlineLvl w:val="0"/>
        <w:rPr>
          <w:rFonts w:hint="default" w:ascii="Times New Roman" w:hAnsi="Times New Roman" w:eastAsia="方正小标宋_GBK" w:cs="Times New Roman"/>
          <w:bCs/>
          <w:sz w:val="72"/>
          <w:szCs w:val="72"/>
        </w:rPr>
      </w:pPr>
      <w:r>
        <w:rPr>
          <w:rFonts w:hint="default" w:ascii="Times New Roman" w:hAnsi="Times New Roman" w:eastAsia="方正小标宋_GBK" w:cs="Times New Roman"/>
          <w:bCs/>
          <w:sz w:val="72"/>
          <w:szCs w:val="72"/>
        </w:rPr>
        <w:t>建设项目环境影响报告表</w:t>
      </w:r>
    </w:p>
    <w:p w14:paraId="4B565546">
      <w:pPr>
        <w:adjustRightInd w:val="0"/>
        <w:snapToGrid w:val="0"/>
        <w:spacing w:before="192" w:beforeLines="80"/>
        <w:ind w:left="0" w:leftChars="0" w:firstLine="0" w:firstLineChars="0"/>
        <w:jc w:val="center"/>
        <w:rPr>
          <w:rFonts w:hint="default" w:ascii="Times New Roman" w:hAnsi="Times New Roman" w:eastAsia="楷体_GB2312" w:cs="Times New Roman"/>
          <w:bCs/>
          <w:sz w:val="48"/>
          <w:szCs w:val="48"/>
        </w:rPr>
      </w:pPr>
      <w:r>
        <w:rPr>
          <w:rFonts w:hint="default" w:ascii="Times New Roman" w:hAnsi="Times New Roman" w:eastAsia="楷体_GB2312" w:cs="Times New Roman"/>
          <w:bCs/>
          <w:sz w:val="48"/>
          <w:szCs w:val="48"/>
        </w:rPr>
        <w:t>（污染影响类）</w:t>
      </w:r>
    </w:p>
    <w:p w14:paraId="52C2861F">
      <w:pPr>
        <w:adjustRightInd w:val="0"/>
        <w:snapToGrid w:val="0"/>
        <w:spacing w:line="288" w:lineRule="auto"/>
        <w:jc w:val="center"/>
        <w:outlineLvl w:val="0"/>
        <w:rPr>
          <w:rFonts w:hint="default" w:ascii="Times New Roman" w:hAnsi="Times New Roman" w:eastAsia="华文仿宋" w:cs="Times New Roman"/>
          <w:color w:val="000000"/>
          <w:kern w:val="44"/>
          <w:sz w:val="44"/>
          <w:szCs w:val="44"/>
        </w:rPr>
      </w:pPr>
    </w:p>
    <w:p w14:paraId="7BE7B766">
      <w:pPr>
        <w:jc w:val="center"/>
        <w:rPr>
          <w:rFonts w:hint="default" w:ascii="Times New Roman" w:hAnsi="Times New Roman" w:eastAsia="仿宋" w:cs="Times New Roman"/>
          <w:sz w:val="52"/>
          <w:szCs w:val="52"/>
        </w:rPr>
      </w:pPr>
    </w:p>
    <w:p w14:paraId="6D22C961">
      <w:pPr>
        <w:ind w:firstLine="1040"/>
        <w:rPr>
          <w:rFonts w:hint="default" w:ascii="Times New Roman" w:hAnsi="Times New Roman" w:eastAsia="仿宋" w:cs="Times New Roman"/>
          <w:sz w:val="44"/>
          <w:szCs w:val="44"/>
        </w:rPr>
      </w:pPr>
    </w:p>
    <w:p w14:paraId="5F6518E8">
      <w:pPr>
        <w:ind w:firstLine="1040"/>
        <w:rPr>
          <w:rFonts w:hint="default" w:ascii="Times New Roman" w:hAnsi="Times New Roman" w:eastAsia="仿宋" w:cs="Times New Roman"/>
          <w:sz w:val="44"/>
          <w:szCs w:val="44"/>
        </w:rPr>
      </w:pPr>
    </w:p>
    <w:p w14:paraId="1D9996D8">
      <w:pPr>
        <w:ind w:firstLine="1040"/>
        <w:rPr>
          <w:rFonts w:hint="default" w:ascii="Times New Roman" w:hAnsi="Times New Roman" w:eastAsia="仿宋" w:cs="Times New Roman"/>
          <w:sz w:val="44"/>
          <w:szCs w:val="44"/>
        </w:rPr>
      </w:pPr>
    </w:p>
    <w:p w14:paraId="7CC9275C">
      <w:pPr>
        <w:adjustRightInd w:val="0"/>
        <w:snapToGrid w:val="0"/>
        <w:spacing w:line="288" w:lineRule="auto"/>
        <w:ind w:left="0" w:leftChars="0" w:firstLine="0" w:firstLineChars="0"/>
        <w:jc w:val="center"/>
        <w:rPr>
          <w:rFonts w:hint="eastAsia" w:eastAsia="仿宋_GB2312" w:cs="Times New Roman"/>
          <w:b/>
          <w:bCs/>
          <w:sz w:val="32"/>
          <w:szCs w:val="32"/>
          <w:u w:val="single"/>
          <w:lang w:val="en-US" w:eastAsia="zh-CN"/>
        </w:rPr>
      </w:pPr>
      <w:r>
        <w:rPr>
          <w:rFonts w:hint="default" w:ascii="Times New Roman" w:hAnsi="Times New Roman" w:eastAsia="仿宋_GB2312" w:cs="Times New Roman"/>
          <w:b/>
          <w:bCs/>
          <w:sz w:val="32"/>
          <w:szCs w:val="32"/>
        </w:rPr>
        <w:t>项目名称：</w:t>
      </w:r>
      <w:r>
        <w:rPr>
          <w:rFonts w:hint="eastAsia" w:eastAsia="仿宋_GB2312" w:cs="Times New Roman"/>
          <w:b/>
          <w:bCs/>
          <w:sz w:val="32"/>
          <w:szCs w:val="32"/>
          <w:u w:val="single"/>
          <w:lang w:val="en-US" w:eastAsia="zh-CN"/>
        </w:rPr>
        <w:t>伊金霍洛旗澎源供水有限责任公司</w:t>
      </w:r>
    </w:p>
    <w:p w14:paraId="0C388842">
      <w:pPr>
        <w:adjustRightInd w:val="0"/>
        <w:snapToGrid w:val="0"/>
        <w:spacing w:line="288" w:lineRule="auto"/>
        <w:ind w:left="0" w:leftChars="0" w:firstLine="0" w:firstLineChars="0"/>
        <w:jc w:val="center"/>
        <w:rPr>
          <w:rFonts w:hint="default" w:ascii="Times New Roman" w:hAnsi="Times New Roman" w:eastAsia="仿宋_GB2312" w:cs="Times New Roman"/>
          <w:b/>
          <w:bCs/>
          <w:sz w:val="32"/>
          <w:szCs w:val="32"/>
          <w:u w:val="single"/>
          <w:lang w:val="en-US" w:eastAsia="zh-CN"/>
        </w:rPr>
      </w:pPr>
      <w:r>
        <w:rPr>
          <w:rFonts w:hint="default" w:ascii="Times New Roman" w:hAnsi="Times New Roman" w:eastAsia="仿宋_GB2312" w:cs="Times New Roman"/>
          <w:b/>
          <w:bCs/>
          <w:sz w:val="32"/>
          <w:szCs w:val="32"/>
          <w:u w:val="single"/>
          <w:lang w:val="en-US" w:eastAsia="zh-CN"/>
        </w:rPr>
        <w:t>危险废物贮存库建设项目</w:t>
      </w:r>
    </w:p>
    <w:p w14:paraId="3B727D35">
      <w:pPr>
        <w:adjustRightInd w:val="0"/>
        <w:snapToGrid w:val="0"/>
        <w:spacing w:line="288" w:lineRule="auto"/>
        <w:ind w:left="0" w:leftChars="0" w:firstLine="0" w:firstLineChars="0"/>
        <w:jc w:val="center"/>
        <w:rPr>
          <w:rFonts w:hint="default" w:ascii="Times New Roman" w:hAnsi="Times New Roman" w:eastAsia="仿宋_GB2312" w:cs="Times New Roman"/>
          <w:b/>
          <w:bCs/>
          <w:sz w:val="32"/>
          <w:szCs w:val="32"/>
          <w:u w:val="single"/>
          <w:lang w:val="en-US" w:eastAsia="zh-CN"/>
        </w:rPr>
      </w:pPr>
      <w:r>
        <w:rPr>
          <w:rFonts w:hint="default" w:ascii="Times New Roman" w:hAnsi="Times New Roman" w:eastAsia="仿宋_GB2312" w:cs="Times New Roman"/>
          <w:b/>
          <w:bCs/>
          <w:sz w:val="32"/>
          <w:szCs w:val="32"/>
        </w:rPr>
        <w:t>建设单位（盖章）：</w:t>
      </w:r>
      <w:r>
        <w:rPr>
          <w:rFonts w:hint="eastAsia" w:eastAsia="仿宋_GB2312" w:cs="Times New Roman"/>
          <w:b/>
          <w:bCs/>
          <w:sz w:val="32"/>
          <w:szCs w:val="32"/>
          <w:u w:val="single"/>
          <w:lang w:val="en-US" w:eastAsia="zh-CN"/>
        </w:rPr>
        <w:t>伊金霍洛旗澎源供水有限责任公司</w:t>
      </w:r>
    </w:p>
    <w:p w14:paraId="6E05DDEE">
      <w:pPr>
        <w:adjustRightInd w:val="0"/>
        <w:snapToGrid w:val="0"/>
        <w:spacing w:line="288" w:lineRule="auto"/>
        <w:ind w:left="0" w:leftChars="0" w:firstLine="0" w:firstLineChars="0"/>
        <w:jc w:val="center"/>
        <w:rPr>
          <w:rFonts w:hint="default" w:ascii="Times New Roman" w:hAnsi="Times New Roman" w:eastAsia="仿宋_GB2312" w:cs="Times New Roman"/>
          <w:b/>
          <w:bCs/>
          <w:sz w:val="32"/>
          <w:szCs w:val="32"/>
          <w:u w:val="single"/>
        </w:rPr>
      </w:pPr>
      <w:r>
        <w:rPr>
          <w:rFonts w:hint="default" w:ascii="Times New Roman" w:hAnsi="Times New Roman" w:eastAsia="仿宋_GB2312" w:cs="Times New Roman"/>
          <w:b/>
          <w:bCs/>
          <w:sz w:val="32"/>
          <w:szCs w:val="32"/>
        </w:rPr>
        <w:t>编制日期：</w:t>
      </w:r>
      <w:r>
        <w:rPr>
          <w:rFonts w:hint="default" w:ascii="Times New Roman" w:hAnsi="Times New Roman" w:eastAsia="仿宋_GB2312" w:cs="Times New Roman"/>
          <w:b/>
          <w:bCs/>
          <w:sz w:val="32"/>
          <w:szCs w:val="32"/>
          <w:u w:val="single"/>
          <w:lang w:val="en-US" w:eastAsia="zh-CN"/>
        </w:rPr>
        <w:t>2024年</w:t>
      </w:r>
      <w:r>
        <w:rPr>
          <w:rFonts w:hint="eastAsia" w:eastAsia="仿宋_GB2312" w:cs="Times New Roman"/>
          <w:b/>
          <w:bCs/>
          <w:sz w:val="32"/>
          <w:szCs w:val="32"/>
          <w:u w:val="single"/>
          <w:lang w:val="en-US" w:eastAsia="zh-CN"/>
        </w:rPr>
        <w:t>11</w:t>
      </w:r>
      <w:r>
        <w:rPr>
          <w:rFonts w:hint="default" w:ascii="Times New Roman" w:hAnsi="Times New Roman" w:eastAsia="仿宋_GB2312" w:cs="Times New Roman"/>
          <w:b/>
          <w:bCs/>
          <w:sz w:val="32"/>
          <w:szCs w:val="32"/>
          <w:u w:val="single"/>
          <w:lang w:val="en-US" w:eastAsia="zh-CN"/>
        </w:rPr>
        <w:t>月</w:t>
      </w:r>
    </w:p>
    <w:p w14:paraId="4492EAB7">
      <w:pPr>
        <w:adjustRightInd w:val="0"/>
        <w:snapToGrid w:val="0"/>
        <w:spacing w:line="288" w:lineRule="auto"/>
        <w:ind w:firstLine="1040"/>
        <w:rPr>
          <w:rFonts w:hint="default" w:ascii="Times New Roman" w:hAnsi="Times New Roman" w:eastAsia="仿宋_GB2312" w:cs="Times New Roman"/>
          <w:sz w:val="36"/>
          <w:szCs w:val="36"/>
          <w:u w:val="single"/>
        </w:rPr>
      </w:pPr>
      <w:bookmarkStart w:id="0" w:name="_Hlk57884087"/>
    </w:p>
    <w:p w14:paraId="140A63A6">
      <w:pPr>
        <w:adjustRightInd w:val="0"/>
        <w:snapToGrid w:val="0"/>
        <w:spacing w:line="288" w:lineRule="auto"/>
        <w:ind w:firstLine="1040"/>
        <w:rPr>
          <w:rFonts w:hint="default" w:ascii="Times New Roman" w:hAnsi="Times New Roman" w:eastAsia="仿宋_GB2312" w:cs="Times New Roman"/>
          <w:sz w:val="36"/>
          <w:szCs w:val="36"/>
        </w:rPr>
      </w:pPr>
    </w:p>
    <w:p w14:paraId="7721270D">
      <w:pPr>
        <w:adjustRightInd w:val="0"/>
        <w:snapToGrid w:val="0"/>
        <w:spacing w:line="288" w:lineRule="auto"/>
        <w:ind w:firstLine="1040"/>
        <w:rPr>
          <w:rFonts w:hint="default" w:ascii="Times New Roman" w:hAnsi="Times New Roman" w:eastAsia="仿宋_GB2312" w:cs="Times New Roman"/>
          <w:sz w:val="36"/>
          <w:szCs w:val="36"/>
        </w:rPr>
      </w:pPr>
    </w:p>
    <w:p w14:paraId="6322BBCD">
      <w:pPr>
        <w:adjustRightInd w:val="0"/>
        <w:snapToGrid w:val="0"/>
        <w:spacing w:line="288" w:lineRule="auto"/>
        <w:ind w:firstLine="1040"/>
        <w:rPr>
          <w:rFonts w:hint="default" w:ascii="Times New Roman" w:hAnsi="Times New Roman" w:eastAsia="仿宋_GB2312" w:cs="Times New Roman"/>
          <w:sz w:val="36"/>
          <w:szCs w:val="36"/>
        </w:rPr>
      </w:pPr>
    </w:p>
    <w:bookmarkEnd w:id="0"/>
    <w:p w14:paraId="56350CEC">
      <w:pPr>
        <w:adjustRightInd w:val="0"/>
        <w:snapToGrid w:val="0"/>
        <w:spacing w:line="288" w:lineRule="auto"/>
        <w:jc w:val="center"/>
        <w:rPr>
          <w:rFonts w:hint="default" w:ascii="Times New Roman" w:hAnsi="Times New Roman" w:eastAsia="楷体_GB2312" w:cs="Times New Roman"/>
          <w:sz w:val="36"/>
          <w:szCs w:val="36"/>
        </w:rPr>
      </w:pPr>
      <w:r>
        <w:rPr>
          <w:rFonts w:hint="default" w:ascii="Times New Roman" w:hAnsi="Times New Roman" w:eastAsia="楷体_GB2312" w:cs="Times New Roman"/>
          <w:sz w:val="36"/>
          <w:szCs w:val="36"/>
        </w:rPr>
        <w:t>中华人民共和国生态环境部制</w:t>
      </w:r>
    </w:p>
    <w:p w14:paraId="09D478BB">
      <w:pPr>
        <w:adjustRightInd w:val="0"/>
        <w:snapToGrid w:val="0"/>
        <w:spacing w:line="288" w:lineRule="auto"/>
        <w:ind w:firstLine="1040"/>
        <w:rPr>
          <w:rFonts w:hint="default" w:ascii="Times New Roman" w:hAnsi="Times New Roman" w:eastAsia="仿宋_GB2312" w:cs="Times New Roman"/>
          <w:sz w:val="36"/>
          <w:szCs w:val="36"/>
        </w:rPr>
        <w:sectPr>
          <w:headerReference r:id="rId5" w:type="default"/>
          <w:footerReference r:id="rId6" w:type="default"/>
          <w:footerReference r:id="rId7"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10FF57F8">
      <w:pPr>
        <w:pStyle w:val="4"/>
        <w:ind w:left="0" w:leftChars="0" w:firstLine="0" w:firstLineChars="0"/>
        <w:rPr>
          <w:rFonts w:hint="default" w:ascii="Times New Roman" w:hAnsi="Times New Roman" w:cs="Times New Roman"/>
        </w:rPr>
        <w:sectPr>
          <w:headerReference r:id="rId8" w:type="default"/>
          <w:footerReference r:id="rId9" w:type="default"/>
          <w:pgSz w:w="11906" w:h="16838"/>
          <w:pgMar w:top="1701" w:right="1531" w:bottom="1701" w:left="1531" w:header="851" w:footer="1077" w:gutter="0"/>
          <w:pgBorders>
            <w:top w:val="none" w:sz="0" w:space="0"/>
            <w:left w:val="none" w:sz="0" w:space="0"/>
            <w:bottom w:val="none" w:sz="0" w:space="0"/>
            <w:right w:val="none" w:sz="0" w:space="0"/>
          </w:pgBorders>
          <w:pgNumType w:fmt="numberInDash" w:start="3"/>
          <w:cols w:space="720" w:num="1"/>
          <w:docGrid w:linePitch="312" w:charSpace="0"/>
        </w:sectPr>
      </w:pPr>
    </w:p>
    <w:p w14:paraId="3BD6FF14">
      <w:pPr>
        <w:pStyle w:val="13"/>
        <w:ind w:left="0" w:leftChars="0" w:firstLine="0" w:firstLineChars="0"/>
        <w:jc w:val="center"/>
        <w:outlineLvl w:val="0"/>
        <w:rPr>
          <w:rFonts w:hint="default" w:ascii="Times New Roman" w:hAnsi="Times New Roman" w:eastAsia="黑体" w:cs="Times New Roman"/>
          <w:snapToGrid w:val="0"/>
          <w:sz w:val="30"/>
          <w:szCs w:val="30"/>
        </w:rPr>
      </w:pPr>
      <w:r>
        <w:rPr>
          <w:rFonts w:hint="default" w:ascii="Times New Roman" w:hAnsi="Times New Roman" w:eastAsia="黑体" w:cs="Times New Roman"/>
          <w:snapToGrid w:val="0"/>
          <w:sz w:val="30"/>
          <w:szCs w:val="30"/>
        </w:rPr>
        <w:t>一、建设项目基本情况</w:t>
      </w:r>
    </w:p>
    <w:tbl>
      <w:tblPr>
        <w:tblStyle w:val="15"/>
        <w:tblW w:w="827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75"/>
        <w:gridCol w:w="1715"/>
        <w:gridCol w:w="2039"/>
        <w:gridCol w:w="2750"/>
      </w:tblGrid>
      <w:tr w14:paraId="623382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86" w:hRule="atLeast"/>
          <w:jc w:val="center"/>
        </w:trPr>
        <w:tc>
          <w:tcPr>
            <w:tcW w:w="1775" w:type="dxa"/>
            <w:noWrap w:val="0"/>
            <w:tcMar>
              <w:top w:w="16" w:type="dxa"/>
              <w:left w:w="16" w:type="dxa"/>
              <w:right w:w="16" w:type="dxa"/>
            </w:tcMar>
            <w:vAlign w:val="center"/>
          </w:tcPr>
          <w:p w14:paraId="5CEF0E6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建设项目名称</w:t>
            </w:r>
          </w:p>
        </w:tc>
        <w:tc>
          <w:tcPr>
            <w:tcW w:w="6504" w:type="dxa"/>
            <w:gridSpan w:val="3"/>
            <w:noWrap w:val="0"/>
            <w:vAlign w:val="center"/>
          </w:tcPr>
          <w:p w14:paraId="3485F3A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eastAsia" w:cs="Times New Roman"/>
                <w:b w:val="0"/>
                <w:bCs w:val="0"/>
                <w:sz w:val="24"/>
                <w:szCs w:val="24"/>
                <w:highlight w:val="none"/>
                <w:lang w:val="en-US" w:eastAsia="zh-CN"/>
              </w:rPr>
              <w:t>伊金霍洛旗澎源供水有限责任公司</w:t>
            </w:r>
            <w:r>
              <w:rPr>
                <w:rFonts w:hint="default" w:ascii="Times New Roman" w:hAnsi="Times New Roman" w:cs="Times New Roman"/>
                <w:b w:val="0"/>
                <w:bCs w:val="0"/>
                <w:sz w:val="24"/>
                <w:szCs w:val="24"/>
                <w:highlight w:val="none"/>
                <w:lang w:val="en-US" w:eastAsia="zh-CN"/>
              </w:rPr>
              <w:t>危险废物贮存库建设项目</w:t>
            </w:r>
          </w:p>
        </w:tc>
      </w:tr>
      <w:tr w14:paraId="046BB1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1775" w:type="dxa"/>
            <w:noWrap w:val="0"/>
            <w:tcMar>
              <w:top w:w="16" w:type="dxa"/>
              <w:left w:w="16" w:type="dxa"/>
              <w:right w:w="16" w:type="dxa"/>
            </w:tcMar>
            <w:vAlign w:val="center"/>
          </w:tcPr>
          <w:p w14:paraId="734D6DE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项目代码</w:t>
            </w:r>
          </w:p>
        </w:tc>
        <w:tc>
          <w:tcPr>
            <w:tcW w:w="6504" w:type="dxa"/>
            <w:gridSpan w:val="3"/>
            <w:noWrap w:val="0"/>
            <w:vAlign w:val="center"/>
          </w:tcPr>
          <w:p w14:paraId="2C4018D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w:t>
            </w:r>
          </w:p>
        </w:tc>
      </w:tr>
      <w:tr w14:paraId="0DBD72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1775" w:type="dxa"/>
            <w:noWrap w:val="0"/>
            <w:tcMar>
              <w:top w:w="16" w:type="dxa"/>
              <w:left w:w="16" w:type="dxa"/>
              <w:right w:w="16" w:type="dxa"/>
            </w:tcMar>
            <w:vAlign w:val="center"/>
          </w:tcPr>
          <w:p w14:paraId="623D6B4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建设单位联系人</w:t>
            </w:r>
          </w:p>
        </w:tc>
        <w:tc>
          <w:tcPr>
            <w:tcW w:w="1715" w:type="dxa"/>
            <w:noWrap w:val="0"/>
            <w:vAlign w:val="center"/>
          </w:tcPr>
          <w:p w14:paraId="2C3E549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陈泰甫</w:t>
            </w:r>
          </w:p>
        </w:tc>
        <w:tc>
          <w:tcPr>
            <w:tcW w:w="2039" w:type="dxa"/>
            <w:noWrap w:val="0"/>
            <w:vAlign w:val="center"/>
          </w:tcPr>
          <w:p w14:paraId="4175A3B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联系方式</w:t>
            </w:r>
          </w:p>
        </w:tc>
        <w:tc>
          <w:tcPr>
            <w:tcW w:w="2750" w:type="dxa"/>
            <w:noWrap w:val="0"/>
            <w:vAlign w:val="center"/>
          </w:tcPr>
          <w:p w14:paraId="4BD1FA5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13848577430</w:t>
            </w:r>
          </w:p>
        </w:tc>
      </w:tr>
      <w:tr w14:paraId="181754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75" w:type="dxa"/>
            <w:noWrap w:val="0"/>
            <w:tcMar>
              <w:top w:w="16" w:type="dxa"/>
              <w:left w:w="16" w:type="dxa"/>
              <w:right w:w="16" w:type="dxa"/>
            </w:tcMar>
            <w:vAlign w:val="center"/>
          </w:tcPr>
          <w:p w14:paraId="792A513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建设地点</w:t>
            </w:r>
          </w:p>
        </w:tc>
        <w:tc>
          <w:tcPr>
            <w:tcW w:w="6504" w:type="dxa"/>
            <w:gridSpan w:val="3"/>
            <w:noWrap w:val="0"/>
            <w:vAlign w:val="center"/>
          </w:tcPr>
          <w:p w14:paraId="1E2622C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内蒙古鄂尔多斯市伊金霍洛旗阿勒腾席热镇红海子村</w:t>
            </w:r>
          </w:p>
        </w:tc>
      </w:tr>
      <w:tr w14:paraId="5FD372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1775" w:type="dxa"/>
            <w:noWrap w:val="0"/>
            <w:tcMar>
              <w:top w:w="16" w:type="dxa"/>
              <w:left w:w="16" w:type="dxa"/>
              <w:right w:w="16" w:type="dxa"/>
            </w:tcMar>
            <w:vAlign w:val="center"/>
          </w:tcPr>
          <w:p w14:paraId="01408BF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地理坐标</w:t>
            </w:r>
          </w:p>
        </w:tc>
        <w:tc>
          <w:tcPr>
            <w:tcW w:w="6504" w:type="dxa"/>
            <w:gridSpan w:val="3"/>
            <w:noWrap w:val="0"/>
            <w:vAlign w:val="center"/>
          </w:tcPr>
          <w:p w14:paraId="4558558D">
            <w:pPr>
              <w:keepNext w:val="0"/>
              <w:keepLines w:val="0"/>
              <w:pageBreakBefore w:val="0"/>
              <w:widowControl w:val="0"/>
              <w:kinsoku/>
              <w:wordWrap/>
              <w:overflowPunct/>
              <w:topLinePunct w:val="0"/>
              <w:bidi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w:t>
            </w:r>
            <w:r>
              <w:rPr>
                <w:rFonts w:hint="eastAsia" w:cs="Times New Roman"/>
                <w:b w:val="0"/>
                <w:bCs w:val="0"/>
                <w:sz w:val="24"/>
                <w:szCs w:val="24"/>
                <w:highlight w:val="none"/>
                <w:lang w:val="en-US" w:eastAsia="zh-CN"/>
              </w:rPr>
              <w:t>109</w:t>
            </w:r>
            <w:r>
              <w:rPr>
                <w:rFonts w:hint="default" w:ascii="Times New Roman" w:hAnsi="Times New Roman" w:cs="Times New Roman"/>
                <w:b w:val="0"/>
                <w:bCs w:val="0"/>
                <w:sz w:val="24"/>
                <w:szCs w:val="24"/>
                <w:highlight w:val="none"/>
                <w:lang w:val="en-US" w:eastAsia="zh-CN"/>
              </w:rPr>
              <w:t>度</w:t>
            </w:r>
            <w:r>
              <w:rPr>
                <w:rFonts w:hint="eastAsia" w:cs="Times New Roman"/>
                <w:b w:val="0"/>
                <w:bCs w:val="0"/>
                <w:sz w:val="24"/>
                <w:szCs w:val="24"/>
                <w:highlight w:val="none"/>
                <w:lang w:val="en-US" w:eastAsia="zh-CN"/>
              </w:rPr>
              <w:t>47</w:t>
            </w:r>
            <w:r>
              <w:rPr>
                <w:rFonts w:hint="default" w:ascii="Times New Roman" w:hAnsi="Times New Roman" w:cs="Times New Roman"/>
                <w:b w:val="0"/>
                <w:bCs w:val="0"/>
                <w:sz w:val="24"/>
                <w:szCs w:val="24"/>
                <w:highlight w:val="none"/>
                <w:lang w:val="en-US" w:eastAsia="zh-CN"/>
              </w:rPr>
              <w:t>分</w:t>
            </w:r>
            <w:r>
              <w:rPr>
                <w:rFonts w:hint="eastAsia" w:cs="Times New Roman"/>
                <w:b w:val="0"/>
                <w:bCs w:val="0"/>
                <w:sz w:val="24"/>
                <w:szCs w:val="24"/>
                <w:highlight w:val="none"/>
                <w:lang w:val="en-US" w:eastAsia="zh-CN"/>
              </w:rPr>
              <w:t>37.806</w:t>
            </w:r>
            <w:r>
              <w:rPr>
                <w:rFonts w:hint="default" w:ascii="Times New Roman" w:hAnsi="Times New Roman" w:cs="Times New Roman"/>
                <w:b w:val="0"/>
                <w:bCs w:val="0"/>
                <w:sz w:val="24"/>
                <w:szCs w:val="24"/>
                <w:highlight w:val="none"/>
                <w:lang w:val="en-US" w:eastAsia="zh-CN"/>
              </w:rPr>
              <w:t>秒，</w:t>
            </w:r>
            <w:r>
              <w:rPr>
                <w:rFonts w:hint="eastAsia" w:cs="Times New Roman"/>
                <w:b w:val="0"/>
                <w:bCs w:val="0"/>
                <w:sz w:val="24"/>
                <w:szCs w:val="24"/>
                <w:highlight w:val="none"/>
                <w:lang w:val="en-US" w:eastAsia="zh-CN"/>
              </w:rPr>
              <w:t>39</w:t>
            </w:r>
            <w:r>
              <w:rPr>
                <w:rFonts w:hint="default" w:ascii="Times New Roman" w:hAnsi="Times New Roman" w:cs="Times New Roman"/>
                <w:b w:val="0"/>
                <w:bCs w:val="0"/>
                <w:sz w:val="24"/>
                <w:szCs w:val="24"/>
                <w:highlight w:val="none"/>
                <w:lang w:val="en-US" w:eastAsia="zh-CN"/>
              </w:rPr>
              <w:t>度32分</w:t>
            </w:r>
            <w:r>
              <w:rPr>
                <w:rFonts w:hint="eastAsia" w:cs="Times New Roman"/>
                <w:b w:val="0"/>
                <w:bCs w:val="0"/>
                <w:sz w:val="24"/>
                <w:szCs w:val="24"/>
                <w:highlight w:val="none"/>
                <w:lang w:val="en-US" w:eastAsia="zh-CN"/>
              </w:rPr>
              <w:t>16.837</w:t>
            </w:r>
            <w:r>
              <w:rPr>
                <w:rFonts w:hint="default" w:ascii="Times New Roman" w:hAnsi="Times New Roman" w:cs="Times New Roman"/>
                <w:b w:val="0"/>
                <w:bCs w:val="0"/>
                <w:sz w:val="24"/>
                <w:szCs w:val="24"/>
                <w:highlight w:val="none"/>
                <w:lang w:val="en-US" w:eastAsia="zh-CN"/>
              </w:rPr>
              <w:t>秒）</w:t>
            </w:r>
          </w:p>
        </w:tc>
      </w:tr>
      <w:tr w14:paraId="2E382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1775" w:type="dxa"/>
            <w:noWrap w:val="0"/>
            <w:tcMar>
              <w:top w:w="16" w:type="dxa"/>
              <w:left w:w="16" w:type="dxa"/>
              <w:right w:w="16" w:type="dxa"/>
            </w:tcMar>
            <w:vAlign w:val="center"/>
          </w:tcPr>
          <w:p w14:paraId="3FD1562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国民经济</w:t>
            </w:r>
          </w:p>
          <w:p w14:paraId="392F11B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行业类别</w:t>
            </w:r>
          </w:p>
        </w:tc>
        <w:tc>
          <w:tcPr>
            <w:tcW w:w="1715" w:type="dxa"/>
            <w:noWrap w:val="0"/>
            <w:vAlign w:val="center"/>
          </w:tcPr>
          <w:p w14:paraId="37F4213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N7724危险废物治理</w:t>
            </w:r>
          </w:p>
        </w:tc>
        <w:tc>
          <w:tcPr>
            <w:tcW w:w="2039" w:type="dxa"/>
            <w:noWrap w:val="0"/>
            <w:vAlign w:val="center"/>
          </w:tcPr>
          <w:p w14:paraId="04E50CD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bookmarkStart w:id="1" w:name="_Hlk49843745"/>
            <w:r>
              <w:rPr>
                <w:rFonts w:hint="default" w:ascii="Times New Roman" w:hAnsi="Times New Roman" w:cs="Times New Roman"/>
                <w:b w:val="0"/>
                <w:bCs w:val="0"/>
                <w:sz w:val="24"/>
                <w:szCs w:val="24"/>
                <w:highlight w:val="none"/>
              </w:rPr>
              <w:t>建设项目</w:t>
            </w:r>
          </w:p>
          <w:p w14:paraId="176E33F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行业类别</w:t>
            </w:r>
            <w:bookmarkEnd w:id="1"/>
          </w:p>
        </w:tc>
        <w:tc>
          <w:tcPr>
            <w:tcW w:w="2750" w:type="dxa"/>
            <w:noWrap w:val="0"/>
            <w:vAlign w:val="center"/>
          </w:tcPr>
          <w:p w14:paraId="616F2719">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val="en-US" w:eastAsia="zh-CN"/>
              </w:rPr>
              <w:t>四</w:t>
            </w:r>
            <w:r>
              <w:rPr>
                <w:rFonts w:hint="default" w:ascii="Times New Roman" w:hAnsi="Times New Roman" w:cs="Times New Roman"/>
                <w:b w:val="0"/>
                <w:bCs w:val="0"/>
                <w:sz w:val="24"/>
                <w:szCs w:val="24"/>
                <w:highlight w:val="none"/>
              </w:rPr>
              <w:t>十</w:t>
            </w:r>
            <w:r>
              <w:rPr>
                <w:rFonts w:hint="default" w:ascii="Times New Roman" w:hAnsi="Times New Roman" w:cs="Times New Roman"/>
                <w:b w:val="0"/>
                <w:bCs w:val="0"/>
                <w:sz w:val="24"/>
                <w:szCs w:val="24"/>
                <w:highlight w:val="none"/>
                <w:lang w:val="en-US" w:eastAsia="zh-CN"/>
              </w:rPr>
              <w:t>七</w:t>
            </w:r>
            <w:r>
              <w:rPr>
                <w:rFonts w:hint="default" w:ascii="Times New Roman" w:hAnsi="Times New Roman" w:cs="Times New Roman"/>
                <w:b w:val="0"/>
                <w:bCs w:val="0"/>
                <w:sz w:val="24"/>
                <w:szCs w:val="24"/>
                <w:highlight w:val="none"/>
              </w:rPr>
              <w:t>、</w:t>
            </w:r>
            <w:r>
              <w:rPr>
                <w:rFonts w:hint="default" w:ascii="Times New Roman" w:hAnsi="Times New Roman" w:cs="Times New Roman"/>
                <w:b w:val="0"/>
                <w:bCs w:val="0"/>
                <w:sz w:val="24"/>
                <w:szCs w:val="24"/>
                <w:highlight w:val="none"/>
                <w:lang w:val="en-US" w:eastAsia="zh-CN"/>
              </w:rPr>
              <w:t>生态保护和环境治理业</w:t>
            </w:r>
            <w:r>
              <w:rPr>
                <w:rFonts w:hint="default" w:ascii="Times New Roman" w:hAnsi="Times New Roman" w:cs="Times New Roman"/>
                <w:b w:val="0"/>
                <w:bCs w:val="0"/>
                <w:sz w:val="24"/>
                <w:szCs w:val="24"/>
                <w:highlight w:val="none"/>
              </w:rPr>
              <w:t>，</w:t>
            </w:r>
            <w:r>
              <w:rPr>
                <w:rFonts w:hint="default" w:ascii="Times New Roman" w:hAnsi="Times New Roman" w:cs="Times New Roman"/>
                <w:b w:val="0"/>
                <w:bCs w:val="0"/>
                <w:sz w:val="24"/>
                <w:szCs w:val="24"/>
                <w:highlight w:val="none"/>
                <w:lang w:val="en-US" w:eastAsia="zh-CN"/>
              </w:rPr>
              <w:t>101、危险废物（不含</w:t>
            </w:r>
            <w:r>
              <w:rPr>
                <w:rFonts w:hint="eastAsia" w:cs="Times New Roman"/>
                <w:b w:val="0"/>
                <w:bCs w:val="0"/>
                <w:sz w:val="24"/>
                <w:szCs w:val="24"/>
                <w:highlight w:val="none"/>
                <w:lang w:val="en-US" w:eastAsia="zh-CN"/>
              </w:rPr>
              <w:t>变质或失效的药剂</w:t>
            </w:r>
            <w:r>
              <w:rPr>
                <w:rFonts w:hint="default" w:ascii="Times New Roman" w:hAnsi="Times New Roman" w:cs="Times New Roman"/>
                <w:b w:val="0"/>
                <w:bCs w:val="0"/>
                <w:sz w:val="24"/>
                <w:szCs w:val="24"/>
                <w:highlight w:val="none"/>
                <w:lang w:val="en-US" w:eastAsia="zh-CN"/>
              </w:rPr>
              <w:t>）利用及处置，其他</w:t>
            </w:r>
          </w:p>
        </w:tc>
      </w:tr>
      <w:tr w14:paraId="796FCE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1775" w:type="dxa"/>
            <w:noWrap w:val="0"/>
            <w:tcMar>
              <w:top w:w="16" w:type="dxa"/>
              <w:left w:w="16" w:type="dxa"/>
              <w:right w:w="16" w:type="dxa"/>
            </w:tcMar>
            <w:vAlign w:val="center"/>
          </w:tcPr>
          <w:p w14:paraId="457868B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建设性质</w:t>
            </w:r>
          </w:p>
        </w:tc>
        <w:tc>
          <w:tcPr>
            <w:tcW w:w="1715" w:type="dxa"/>
            <w:noWrap w:val="0"/>
            <w:vAlign w:val="center"/>
          </w:tcPr>
          <w:p w14:paraId="4569F6F8">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新建（迁建）</w:t>
            </w:r>
          </w:p>
          <w:p w14:paraId="5782B06E">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b w:val="0"/>
                <w:bCs w:val="0"/>
                <w:sz w:val="24"/>
                <w:szCs w:val="24"/>
                <w:highlight w:val="none"/>
              </w:rPr>
            </w:pPr>
            <w:r>
              <w:rPr>
                <w:rFonts w:hint="eastAsia"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改建</w:t>
            </w:r>
          </w:p>
          <w:p w14:paraId="001A7AA2">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b w:val="0"/>
                <w:bCs w:val="0"/>
                <w:sz w:val="24"/>
                <w:szCs w:val="24"/>
                <w:highlight w:val="none"/>
              </w:rPr>
            </w:pPr>
            <w:r>
              <w:rPr>
                <w:rFonts w:hint="eastAsia"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扩建</w:t>
            </w:r>
          </w:p>
          <w:p w14:paraId="3DB169C5">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b w:val="0"/>
                <w:bCs w:val="0"/>
                <w:sz w:val="24"/>
                <w:szCs w:val="24"/>
                <w:highlight w:val="none"/>
              </w:rPr>
            </w:pPr>
            <w:r>
              <w:rPr>
                <w:rFonts w:hint="eastAsia"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技术改造</w:t>
            </w:r>
          </w:p>
        </w:tc>
        <w:tc>
          <w:tcPr>
            <w:tcW w:w="2039" w:type="dxa"/>
            <w:noWrap w:val="0"/>
            <w:vAlign w:val="center"/>
          </w:tcPr>
          <w:p w14:paraId="1DC4A42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建设项目</w:t>
            </w:r>
          </w:p>
          <w:p w14:paraId="6DA3B40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申报情形</w:t>
            </w:r>
          </w:p>
        </w:tc>
        <w:tc>
          <w:tcPr>
            <w:tcW w:w="2750" w:type="dxa"/>
            <w:noWrap w:val="0"/>
            <w:vAlign w:val="center"/>
          </w:tcPr>
          <w:p w14:paraId="27D32FEE">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b w:val="0"/>
                <w:bCs w:val="0"/>
                <w:sz w:val="24"/>
                <w:szCs w:val="24"/>
                <w:highlight w:val="none"/>
                <w:lang w:eastAsia="zh-CN"/>
              </w:rPr>
            </w:pPr>
            <w:r>
              <w:rPr>
                <w:rFonts w:hint="default"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首次申报项目</w:t>
            </w:r>
          </w:p>
          <w:p w14:paraId="303392BA">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b w:val="0"/>
                <w:bCs w:val="0"/>
                <w:sz w:val="24"/>
                <w:szCs w:val="24"/>
                <w:highlight w:val="none"/>
              </w:rPr>
            </w:pPr>
            <w:r>
              <w:rPr>
                <w:rFonts w:hint="eastAsia"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不予批准后再次申报项目</w:t>
            </w:r>
          </w:p>
          <w:p w14:paraId="4B1E3924">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eastAsia="宋体" w:cs="Times New Roman"/>
                <w:b w:val="0"/>
                <w:bCs w:val="0"/>
                <w:sz w:val="24"/>
                <w:szCs w:val="24"/>
                <w:highlight w:val="none"/>
                <w:lang w:eastAsia="zh-CN"/>
              </w:rPr>
            </w:pPr>
            <w:r>
              <w:rPr>
                <w:rFonts w:hint="eastAsia"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超五年重新审核项目</w:t>
            </w:r>
          </w:p>
          <w:p w14:paraId="0A646F9E">
            <w:pPr>
              <w:keepNext w:val="0"/>
              <w:keepLines w:val="0"/>
              <w:pageBreakBefore w:val="0"/>
              <w:widowControl w:val="0"/>
              <w:kinsoku/>
              <w:wordWrap/>
              <w:overflowPunct/>
              <w:topLinePunct w:val="0"/>
              <w:bidi w:val="0"/>
              <w:spacing w:line="240" w:lineRule="auto"/>
              <w:ind w:firstLine="0" w:firstLineChars="0"/>
              <w:jc w:val="left"/>
              <w:textAlignment w:val="auto"/>
              <w:rPr>
                <w:rFonts w:hint="default" w:ascii="Times New Roman" w:hAnsi="Times New Roman" w:cs="Times New Roman"/>
                <w:b w:val="0"/>
                <w:bCs w:val="0"/>
                <w:sz w:val="24"/>
                <w:szCs w:val="24"/>
                <w:highlight w:val="none"/>
              </w:rPr>
            </w:pPr>
            <w:r>
              <w:rPr>
                <w:rFonts w:hint="eastAsia"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重大变动重新报批项目</w:t>
            </w:r>
          </w:p>
        </w:tc>
      </w:tr>
      <w:tr w14:paraId="7FFC8A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37" w:hRule="atLeast"/>
          <w:jc w:val="center"/>
        </w:trPr>
        <w:tc>
          <w:tcPr>
            <w:tcW w:w="1775" w:type="dxa"/>
            <w:noWrap w:val="0"/>
            <w:tcMar>
              <w:top w:w="16" w:type="dxa"/>
              <w:left w:w="16" w:type="dxa"/>
              <w:right w:w="16" w:type="dxa"/>
            </w:tcMar>
            <w:vAlign w:val="center"/>
          </w:tcPr>
          <w:p w14:paraId="131346C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项目审批（核准/备案）部门（选填）</w:t>
            </w:r>
          </w:p>
        </w:tc>
        <w:tc>
          <w:tcPr>
            <w:tcW w:w="1715" w:type="dxa"/>
            <w:noWrap w:val="0"/>
            <w:vAlign w:val="center"/>
          </w:tcPr>
          <w:p w14:paraId="4B54059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w:t>
            </w:r>
          </w:p>
        </w:tc>
        <w:tc>
          <w:tcPr>
            <w:tcW w:w="2039" w:type="dxa"/>
            <w:noWrap w:val="0"/>
            <w:vAlign w:val="center"/>
          </w:tcPr>
          <w:p w14:paraId="7402768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项目审批（核准/</w:t>
            </w:r>
          </w:p>
          <w:p w14:paraId="6981152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备案）文号（选填）</w:t>
            </w:r>
          </w:p>
        </w:tc>
        <w:tc>
          <w:tcPr>
            <w:tcW w:w="2750" w:type="dxa"/>
            <w:noWrap w:val="0"/>
            <w:vAlign w:val="center"/>
          </w:tcPr>
          <w:p w14:paraId="47A0AD7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w:t>
            </w:r>
          </w:p>
        </w:tc>
      </w:tr>
      <w:tr w14:paraId="0B076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1775" w:type="dxa"/>
            <w:noWrap w:val="0"/>
            <w:tcMar>
              <w:top w:w="16" w:type="dxa"/>
              <w:left w:w="16" w:type="dxa"/>
              <w:right w:w="16" w:type="dxa"/>
            </w:tcMar>
            <w:vAlign w:val="center"/>
          </w:tcPr>
          <w:p w14:paraId="12F56AE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总投资（万元）</w:t>
            </w:r>
          </w:p>
        </w:tc>
        <w:tc>
          <w:tcPr>
            <w:tcW w:w="1715" w:type="dxa"/>
            <w:noWrap w:val="0"/>
            <w:vAlign w:val="center"/>
          </w:tcPr>
          <w:p w14:paraId="246702A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z w:val="24"/>
                <w:szCs w:val="24"/>
                <w:highlight w:val="none"/>
                <w:lang w:eastAsia="zh-CN"/>
              </w:rPr>
            </w:pPr>
            <w:r>
              <w:rPr>
                <w:rFonts w:hint="default" w:ascii="Times New Roman" w:hAnsi="Times New Roman" w:cs="Times New Roman"/>
                <w:b w:val="0"/>
                <w:bCs w:val="0"/>
                <w:sz w:val="24"/>
                <w:szCs w:val="24"/>
                <w:highlight w:val="none"/>
              </w:rPr>
              <w:t>1</w:t>
            </w:r>
            <w:r>
              <w:rPr>
                <w:rFonts w:hint="default" w:ascii="Times New Roman" w:hAnsi="Times New Roman" w:cs="Times New Roman"/>
                <w:b w:val="0"/>
                <w:bCs w:val="0"/>
                <w:sz w:val="24"/>
                <w:szCs w:val="24"/>
                <w:highlight w:val="none"/>
                <w:lang w:val="en-US" w:eastAsia="zh-CN"/>
              </w:rPr>
              <w:t>0</w:t>
            </w:r>
          </w:p>
        </w:tc>
        <w:tc>
          <w:tcPr>
            <w:tcW w:w="2039" w:type="dxa"/>
            <w:noWrap w:val="0"/>
            <w:tcMar>
              <w:top w:w="16" w:type="dxa"/>
              <w:left w:w="16" w:type="dxa"/>
              <w:right w:w="16" w:type="dxa"/>
            </w:tcMar>
            <w:vAlign w:val="center"/>
          </w:tcPr>
          <w:p w14:paraId="2108353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环保投资（万元）</w:t>
            </w:r>
          </w:p>
        </w:tc>
        <w:tc>
          <w:tcPr>
            <w:tcW w:w="2750" w:type="dxa"/>
            <w:noWrap w:val="0"/>
            <w:vAlign w:val="center"/>
          </w:tcPr>
          <w:p w14:paraId="5F88FE4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z w:val="24"/>
                <w:szCs w:val="24"/>
                <w:highlight w:val="none"/>
                <w:lang w:eastAsia="zh-CN"/>
              </w:rPr>
            </w:pPr>
            <w:r>
              <w:rPr>
                <w:rFonts w:hint="default" w:ascii="Times New Roman" w:hAnsi="Times New Roman" w:cs="Times New Roman"/>
                <w:b w:val="0"/>
                <w:bCs w:val="0"/>
                <w:sz w:val="24"/>
                <w:szCs w:val="24"/>
                <w:highlight w:val="none"/>
              </w:rPr>
              <w:t>1</w:t>
            </w:r>
            <w:r>
              <w:rPr>
                <w:rFonts w:hint="default" w:ascii="Times New Roman" w:hAnsi="Times New Roman" w:cs="Times New Roman"/>
                <w:b w:val="0"/>
                <w:bCs w:val="0"/>
                <w:sz w:val="24"/>
                <w:szCs w:val="24"/>
                <w:highlight w:val="none"/>
                <w:lang w:val="en-US" w:eastAsia="zh-CN"/>
              </w:rPr>
              <w:t>0</w:t>
            </w:r>
          </w:p>
        </w:tc>
      </w:tr>
      <w:tr w14:paraId="467C0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1775" w:type="dxa"/>
            <w:noWrap w:val="0"/>
            <w:tcMar>
              <w:top w:w="16" w:type="dxa"/>
              <w:left w:w="16" w:type="dxa"/>
              <w:right w:w="16" w:type="dxa"/>
            </w:tcMar>
            <w:vAlign w:val="center"/>
          </w:tcPr>
          <w:p w14:paraId="375F964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环保投资占比（%）</w:t>
            </w:r>
          </w:p>
        </w:tc>
        <w:tc>
          <w:tcPr>
            <w:tcW w:w="1715" w:type="dxa"/>
            <w:noWrap w:val="0"/>
            <w:vAlign w:val="center"/>
          </w:tcPr>
          <w:p w14:paraId="4A17002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100</w:t>
            </w:r>
          </w:p>
        </w:tc>
        <w:tc>
          <w:tcPr>
            <w:tcW w:w="2039" w:type="dxa"/>
            <w:noWrap w:val="0"/>
            <w:tcMar>
              <w:top w:w="16" w:type="dxa"/>
              <w:left w:w="16" w:type="dxa"/>
              <w:right w:w="16" w:type="dxa"/>
            </w:tcMar>
            <w:vAlign w:val="center"/>
          </w:tcPr>
          <w:p w14:paraId="3128FE4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施工工期</w:t>
            </w:r>
          </w:p>
        </w:tc>
        <w:tc>
          <w:tcPr>
            <w:tcW w:w="2750" w:type="dxa"/>
            <w:noWrap w:val="0"/>
            <w:vAlign w:val="center"/>
          </w:tcPr>
          <w:p w14:paraId="37D0D20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eastAsia" w:ascii="Times New Roman" w:hAnsi="Times New Roman" w:cs="Times New Roman"/>
                <w:b w:val="0"/>
                <w:bCs w:val="0"/>
                <w:sz w:val="24"/>
                <w:szCs w:val="24"/>
                <w:highlight w:val="none"/>
                <w:lang w:val="en-US" w:eastAsia="zh-CN"/>
              </w:rPr>
              <w:t>1</w:t>
            </w:r>
            <w:r>
              <w:rPr>
                <w:rFonts w:hint="default" w:ascii="Times New Roman" w:hAnsi="Times New Roman" w:cs="Times New Roman"/>
                <w:b w:val="0"/>
                <w:bCs w:val="0"/>
                <w:sz w:val="24"/>
                <w:szCs w:val="24"/>
                <w:highlight w:val="none"/>
              </w:rPr>
              <w:t>个月</w:t>
            </w:r>
          </w:p>
        </w:tc>
      </w:tr>
      <w:tr w14:paraId="5AAAF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1775" w:type="dxa"/>
            <w:noWrap w:val="0"/>
            <w:tcMar>
              <w:top w:w="16" w:type="dxa"/>
              <w:left w:w="16" w:type="dxa"/>
              <w:right w:w="16" w:type="dxa"/>
            </w:tcMar>
            <w:vAlign w:val="center"/>
          </w:tcPr>
          <w:p w14:paraId="0CB6B8E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是否开工建设</w:t>
            </w:r>
          </w:p>
        </w:tc>
        <w:tc>
          <w:tcPr>
            <w:tcW w:w="1715" w:type="dxa"/>
            <w:noWrap w:val="0"/>
            <w:vAlign w:val="center"/>
          </w:tcPr>
          <w:p w14:paraId="7A2FB13E">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否</w:t>
            </w:r>
          </w:p>
          <w:p w14:paraId="2C965231">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ascii="Times New Roman" w:hAnsi="Times New Roman" w:eastAsia="宋体" w:cs="Times New Roman"/>
                <w:b w:val="0"/>
                <w:bCs w:val="0"/>
                <w:sz w:val="24"/>
                <w:szCs w:val="24"/>
                <w:highlight w:val="none"/>
                <w:lang w:eastAsia="zh-CN"/>
              </w:rPr>
            </w:pPr>
            <w:r>
              <w:rPr>
                <w:rFonts w:hint="eastAsia" w:ascii="Times New Roman" w:hAnsi="Times New Roman" w:cs="Times New Roman"/>
                <w:b w:val="0"/>
                <w:bCs w:val="0"/>
                <w:sz w:val="24"/>
                <w:szCs w:val="24"/>
                <w:highlight w:val="none"/>
                <w:lang w:eastAsia="zh-CN"/>
              </w:rPr>
              <w:t>□</w:t>
            </w:r>
            <w:r>
              <w:rPr>
                <w:rFonts w:hint="default" w:ascii="Times New Roman" w:hAnsi="Times New Roman" w:cs="Times New Roman"/>
                <w:b w:val="0"/>
                <w:bCs w:val="0"/>
                <w:sz w:val="24"/>
                <w:szCs w:val="24"/>
                <w:highlight w:val="none"/>
              </w:rPr>
              <w:t>是：</w:t>
            </w:r>
          </w:p>
        </w:tc>
        <w:tc>
          <w:tcPr>
            <w:tcW w:w="2039" w:type="dxa"/>
            <w:noWrap w:val="0"/>
            <w:tcMar>
              <w:top w:w="16" w:type="dxa"/>
              <w:left w:w="16" w:type="dxa"/>
              <w:right w:w="16" w:type="dxa"/>
            </w:tcMar>
            <w:vAlign w:val="center"/>
          </w:tcPr>
          <w:p w14:paraId="3E3E918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pacing w:val="-6"/>
                <w:sz w:val="24"/>
                <w:szCs w:val="24"/>
                <w:highlight w:val="none"/>
              </w:rPr>
              <w:t>用地面积（m</w:t>
            </w:r>
            <w:r>
              <w:rPr>
                <w:rFonts w:hint="default" w:ascii="Times New Roman" w:hAnsi="Times New Roman" w:cs="Times New Roman"/>
                <w:b w:val="0"/>
                <w:bCs w:val="0"/>
                <w:spacing w:val="-6"/>
                <w:sz w:val="24"/>
                <w:szCs w:val="24"/>
                <w:highlight w:val="none"/>
                <w:vertAlign w:val="superscript"/>
              </w:rPr>
              <w:t>2</w:t>
            </w:r>
            <w:r>
              <w:rPr>
                <w:rFonts w:hint="default" w:ascii="Times New Roman" w:hAnsi="Times New Roman" w:cs="Times New Roman"/>
                <w:b w:val="0"/>
                <w:bCs w:val="0"/>
                <w:spacing w:val="-6"/>
                <w:sz w:val="24"/>
                <w:szCs w:val="24"/>
                <w:highlight w:val="none"/>
              </w:rPr>
              <w:t>）</w:t>
            </w:r>
          </w:p>
        </w:tc>
        <w:tc>
          <w:tcPr>
            <w:tcW w:w="2750" w:type="dxa"/>
            <w:noWrap w:val="0"/>
            <w:vAlign w:val="center"/>
          </w:tcPr>
          <w:p w14:paraId="475B8FC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18</w:t>
            </w:r>
          </w:p>
        </w:tc>
      </w:tr>
      <w:tr w14:paraId="1D089C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775" w:type="dxa"/>
            <w:noWrap w:val="0"/>
            <w:vAlign w:val="center"/>
          </w:tcPr>
          <w:p w14:paraId="46AA86C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专项评价设置情况</w:t>
            </w:r>
          </w:p>
        </w:tc>
        <w:tc>
          <w:tcPr>
            <w:tcW w:w="6504" w:type="dxa"/>
            <w:gridSpan w:val="3"/>
            <w:noWrap w:val="0"/>
            <w:vAlign w:val="center"/>
          </w:tcPr>
          <w:p w14:paraId="0A2CC0D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无</w:t>
            </w:r>
          </w:p>
        </w:tc>
      </w:tr>
      <w:tr w14:paraId="10DBB1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775" w:type="dxa"/>
            <w:noWrap w:val="0"/>
            <w:vAlign w:val="center"/>
          </w:tcPr>
          <w:p w14:paraId="45AB6D5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规划情况</w:t>
            </w:r>
          </w:p>
        </w:tc>
        <w:tc>
          <w:tcPr>
            <w:tcW w:w="6504" w:type="dxa"/>
            <w:gridSpan w:val="3"/>
            <w:noWrap w:val="0"/>
            <w:vAlign w:val="center"/>
          </w:tcPr>
          <w:p w14:paraId="30A25E50">
            <w:pPr>
              <w:bidi w:val="0"/>
              <w:ind w:left="0" w:leftChars="0" w:firstLine="0" w:firstLineChars="0"/>
              <w:jc w:val="center"/>
              <w:rPr>
                <w:rFonts w:hint="default" w:ascii="Times New Roman" w:hAnsi="Times New Roman" w:cs="Times New Roman"/>
                <w:b w:val="0"/>
                <w:bCs w:val="0"/>
                <w:kern w:val="0"/>
                <w:szCs w:val="24"/>
                <w:highlight w:val="none"/>
              </w:rPr>
            </w:pPr>
            <w:r>
              <w:rPr>
                <w:rFonts w:hint="default" w:ascii="Times New Roman" w:hAnsi="Times New Roman" w:cs="Times New Roman"/>
                <w:b w:val="0"/>
                <w:bCs w:val="0"/>
                <w:kern w:val="0"/>
                <w:sz w:val="24"/>
                <w:szCs w:val="24"/>
                <w:highlight w:val="none"/>
              </w:rPr>
              <w:t>无</w:t>
            </w:r>
          </w:p>
        </w:tc>
      </w:tr>
      <w:tr w14:paraId="56D51A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1775" w:type="dxa"/>
            <w:noWrap w:val="0"/>
            <w:vAlign w:val="center"/>
          </w:tcPr>
          <w:p w14:paraId="587D3E3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规划环境影响评价情况</w:t>
            </w:r>
          </w:p>
        </w:tc>
        <w:tc>
          <w:tcPr>
            <w:tcW w:w="6504" w:type="dxa"/>
            <w:gridSpan w:val="3"/>
            <w:noWrap w:val="0"/>
            <w:vAlign w:val="center"/>
          </w:tcPr>
          <w:p w14:paraId="613EA7C8">
            <w:pPr>
              <w:keepNext w:val="0"/>
              <w:keepLines w:val="0"/>
              <w:pageBreakBefore w:val="0"/>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无</w:t>
            </w:r>
          </w:p>
        </w:tc>
      </w:tr>
      <w:tr w14:paraId="5EF3BE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775" w:type="dxa"/>
            <w:noWrap w:val="0"/>
            <w:vAlign w:val="center"/>
          </w:tcPr>
          <w:p w14:paraId="32BD876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规划及规划环境影响评价符合性分析</w:t>
            </w:r>
          </w:p>
        </w:tc>
        <w:tc>
          <w:tcPr>
            <w:tcW w:w="6504" w:type="dxa"/>
            <w:gridSpan w:val="3"/>
            <w:noWrap w:val="0"/>
            <w:vAlign w:val="center"/>
          </w:tcPr>
          <w:p w14:paraId="0174877B">
            <w:pPr>
              <w:keepNext w:val="0"/>
              <w:keepLines w:val="0"/>
              <w:pageBreakBefore w:val="0"/>
              <w:kinsoku/>
              <w:wordWrap/>
              <w:overflowPunct/>
              <w:topLinePunct w:val="0"/>
              <w:bidi w:val="0"/>
              <w:spacing w:line="360" w:lineRule="auto"/>
              <w:ind w:left="0" w:leftChars="0" w:firstLine="0" w:firstLineChars="0"/>
              <w:jc w:val="center"/>
              <w:textAlignment w:val="auto"/>
              <w:rPr>
                <w:rFonts w:hint="default"/>
                <w:highlight w:val="none"/>
                <w:lang w:val="en-US" w:eastAsia="zh-CN"/>
              </w:rPr>
            </w:pPr>
            <w:r>
              <w:rPr>
                <w:rFonts w:hint="default" w:ascii="Times New Roman" w:hAnsi="Times New Roman" w:cs="Times New Roman"/>
                <w:b w:val="0"/>
                <w:bCs w:val="0"/>
                <w:kern w:val="0"/>
                <w:sz w:val="24"/>
                <w:szCs w:val="24"/>
                <w:highlight w:val="none"/>
              </w:rPr>
              <w:t>无</w:t>
            </w:r>
          </w:p>
        </w:tc>
      </w:tr>
      <w:tr w14:paraId="408948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43" w:hRule="atLeast"/>
          <w:jc w:val="center"/>
        </w:trPr>
        <w:tc>
          <w:tcPr>
            <w:tcW w:w="1775" w:type="dxa"/>
            <w:noWrap w:val="0"/>
            <w:vAlign w:val="center"/>
          </w:tcPr>
          <w:p w14:paraId="4522FD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其他符合性分析</w:t>
            </w:r>
          </w:p>
        </w:tc>
        <w:tc>
          <w:tcPr>
            <w:tcW w:w="6504" w:type="dxa"/>
            <w:gridSpan w:val="3"/>
            <w:noWrap w:val="0"/>
            <w:vAlign w:val="center"/>
          </w:tcPr>
          <w:p w14:paraId="00E1AA8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1、产业政策符合性分析</w:t>
            </w:r>
          </w:p>
          <w:p w14:paraId="3D8B8F0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本项目为</w:t>
            </w:r>
            <w:r>
              <w:rPr>
                <w:rFonts w:hint="default" w:ascii="Times New Roman" w:hAnsi="Times New Roman" w:cs="Times New Roman"/>
                <w:b w:val="0"/>
                <w:bCs w:val="0"/>
                <w:color w:val="auto"/>
                <w:sz w:val="24"/>
                <w:szCs w:val="24"/>
                <w:highlight w:val="none"/>
                <w:lang w:eastAsia="zh-CN"/>
              </w:rPr>
              <w:t>危险废物贮存库</w:t>
            </w:r>
            <w:r>
              <w:rPr>
                <w:rFonts w:hint="default" w:ascii="Times New Roman" w:hAnsi="Times New Roman" w:cs="Times New Roman"/>
                <w:b w:val="0"/>
                <w:bCs w:val="0"/>
                <w:color w:val="auto"/>
                <w:sz w:val="24"/>
                <w:szCs w:val="24"/>
                <w:highlight w:val="none"/>
              </w:rPr>
              <w:t>建设项目，不属于《产业结构调整指导目录（20</w:t>
            </w:r>
            <w:r>
              <w:rPr>
                <w:rFonts w:hint="eastAsia" w:cs="Times New Roman"/>
                <w:b w:val="0"/>
                <w:bCs w:val="0"/>
                <w:color w:val="auto"/>
                <w:sz w:val="24"/>
                <w:szCs w:val="24"/>
                <w:highlight w:val="none"/>
                <w:lang w:val="en-US" w:eastAsia="zh-CN"/>
              </w:rPr>
              <w:t>24</w:t>
            </w:r>
            <w:r>
              <w:rPr>
                <w:rFonts w:hint="default" w:ascii="Times New Roman" w:hAnsi="Times New Roman" w:cs="Times New Roman"/>
                <w:b w:val="0"/>
                <w:bCs w:val="0"/>
                <w:color w:val="auto"/>
                <w:sz w:val="24"/>
                <w:szCs w:val="24"/>
                <w:highlight w:val="none"/>
              </w:rPr>
              <w:t>年）》中“鼓励类”“限制类”和“淘汰类”，故为允许类项目。因此，项目的建设符合国家产业政策</w:t>
            </w:r>
            <w:r>
              <w:rPr>
                <w:rFonts w:hint="default" w:ascii="Times New Roman" w:hAnsi="Times New Roman" w:cs="Times New Roman"/>
                <w:b w:val="0"/>
                <w:bCs w:val="0"/>
                <w:color w:val="auto"/>
                <w:sz w:val="24"/>
                <w:szCs w:val="24"/>
                <w:highlight w:val="none"/>
                <w:lang w:val="en-GB"/>
              </w:rPr>
              <w:t>。</w:t>
            </w:r>
          </w:p>
          <w:p w14:paraId="79143192">
            <w:pPr>
              <w:pStyle w:val="19"/>
              <w:spacing w:line="360" w:lineRule="auto"/>
              <w:ind w:firstLine="482" w:firstLineChars="200"/>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2、项目与危险废物相关技术规范的相符性分析</w:t>
            </w:r>
          </w:p>
          <w:p w14:paraId="2BAFCBD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lang w:eastAsia="zh-CN"/>
              </w:rPr>
            </w:pPr>
            <w:r>
              <w:rPr>
                <w:rFonts w:hint="default" w:ascii="Times New Roman" w:hAnsi="Times New Roman" w:cs="Times New Roman"/>
                <w:b w:val="0"/>
                <w:bCs w:val="0"/>
                <w:color w:val="auto"/>
                <w:sz w:val="24"/>
                <w:szCs w:val="24"/>
                <w:highlight w:val="none"/>
                <w:lang w:eastAsia="zh-CN"/>
              </w:rPr>
              <w:t>本项目位于</w:t>
            </w:r>
            <w:r>
              <w:rPr>
                <w:rFonts w:hint="eastAsia" w:cs="Times New Roman"/>
                <w:b w:val="0"/>
                <w:bCs w:val="0"/>
                <w:color w:val="auto"/>
                <w:sz w:val="24"/>
                <w:szCs w:val="24"/>
                <w:highlight w:val="none"/>
                <w:lang w:val="en-US" w:eastAsia="zh-CN"/>
              </w:rPr>
              <w:t>内蒙古鄂尔多斯市伊金霍洛旗阿勒腾席热镇红海子村建设</w:t>
            </w:r>
            <w:r>
              <w:rPr>
                <w:rFonts w:hint="eastAsia" w:ascii="Times New Roman" w:hAnsi="Times New Roman"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本项目用于贮存伊金霍洛旗澎源供水有限责任公司实验室生产运营过程中产生的实验废液、</w:t>
            </w:r>
            <w:r>
              <w:rPr>
                <w:rFonts w:hint="default" w:ascii="Times New Roman" w:hAnsi="Times New Roman" w:cs="Times New Roman"/>
                <w:b w:val="0"/>
                <w:bCs/>
                <w:color w:val="auto"/>
                <w:sz w:val="24"/>
                <w:szCs w:val="24"/>
                <w:vertAlign w:val="baseline"/>
                <w:lang w:val="en-US" w:eastAsia="zh-CN"/>
              </w:rPr>
              <w:t>变质或失效的药剂</w:t>
            </w:r>
            <w:r>
              <w:rPr>
                <w:rFonts w:hint="eastAsia" w:cs="Times New Roman"/>
                <w:b w:val="0"/>
                <w:bCs/>
                <w:color w:val="auto"/>
                <w:sz w:val="24"/>
                <w:szCs w:val="24"/>
                <w:vertAlign w:val="baseline"/>
                <w:lang w:val="en-US" w:eastAsia="zh-CN"/>
              </w:rPr>
              <w:t>、废活性炭、废反渗透膜等危险废物，</w:t>
            </w:r>
            <w:r>
              <w:rPr>
                <w:rFonts w:hint="eastAsia" w:cs="Times New Roman"/>
                <w:b w:val="0"/>
                <w:bCs w:val="0"/>
                <w:color w:val="auto"/>
                <w:sz w:val="24"/>
                <w:szCs w:val="24"/>
                <w:highlight w:val="none"/>
                <w:lang w:val="en-US" w:eastAsia="zh-CN"/>
              </w:rPr>
              <w:t>本</w:t>
            </w:r>
            <w:r>
              <w:rPr>
                <w:rFonts w:hint="default" w:ascii="Times New Roman" w:hAnsi="Times New Roman" w:cs="Times New Roman"/>
                <w:b w:val="0"/>
                <w:bCs w:val="0"/>
                <w:color w:val="auto"/>
                <w:sz w:val="24"/>
                <w:szCs w:val="24"/>
                <w:highlight w:val="none"/>
                <w:lang w:eastAsia="zh-CN"/>
              </w:rPr>
              <w:t>项目附近无居民区、学校、自然保护区，饮用水水源地等敏感目标。项目建设与《危险废物贮存污染控制标准》（GB18597-2023）对比分析情况，具体对照见下表</w:t>
            </w:r>
            <w:r>
              <w:rPr>
                <w:rFonts w:hint="eastAsia" w:cs="Times New Roman"/>
                <w:b w:val="0"/>
                <w:bCs w:val="0"/>
                <w:color w:val="auto"/>
                <w:sz w:val="24"/>
                <w:szCs w:val="24"/>
                <w:highlight w:val="none"/>
                <w:lang w:val="en-US" w:eastAsia="zh-CN"/>
              </w:rPr>
              <w:t>1-1</w:t>
            </w:r>
            <w:r>
              <w:rPr>
                <w:rFonts w:hint="default" w:ascii="Times New Roman" w:hAnsi="Times New Roman" w:cs="Times New Roman"/>
                <w:b w:val="0"/>
                <w:bCs w:val="0"/>
                <w:color w:val="auto"/>
                <w:sz w:val="24"/>
                <w:szCs w:val="24"/>
                <w:highlight w:val="none"/>
                <w:lang w:eastAsia="zh-CN"/>
              </w:rPr>
              <w:t>。</w:t>
            </w:r>
          </w:p>
          <w:p w14:paraId="4BA7E252">
            <w:pPr>
              <w:pStyle w:val="21"/>
              <w:ind w:left="0" w:leftChars="0" w:firstLine="0" w:firstLineChars="0"/>
              <w:jc w:val="center"/>
              <w:rPr>
                <w:rFonts w:hint="default" w:ascii="Times New Roman" w:hAnsi="Times New Roman" w:eastAsia="宋体" w:cs="Times New Roman"/>
                <w:b w:val="0"/>
                <w:bCs w:val="0"/>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表1-1《危险废物贮存污染控制标准》（GB18597-2023）相符性分析表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23"/>
              <w:gridCol w:w="446"/>
              <w:gridCol w:w="2123"/>
              <w:gridCol w:w="2610"/>
              <w:gridCol w:w="576"/>
            </w:tblGrid>
            <w:tr w14:paraId="1254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72" w:hRule="atLeast"/>
                <w:jc w:val="center"/>
              </w:trPr>
              <w:tc>
                <w:tcPr>
                  <w:tcW w:w="416" w:type="pct"/>
                  <w:noWrap w:val="0"/>
                  <w:vAlign w:val="center"/>
                </w:tcPr>
                <w:p w14:paraId="2087C6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t>项目</w:t>
                  </w:r>
                </w:p>
              </w:tc>
              <w:tc>
                <w:tcPr>
                  <w:tcW w:w="2046" w:type="pct"/>
                  <w:gridSpan w:val="2"/>
                  <w:noWrap w:val="0"/>
                  <w:vAlign w:val="center"/>
                </w:tcPr>
                <w:p w14:paraId="09F5E3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t>建设内容（条件及要求）</w:t>
                  </w:r>
                </w:p>
              </w:tc>
              <w:tc>
                <w:tcPr>
                  <w:tcW w:w="2078" w:type="pct"/>
                  <w:noWrap w:val="0"/>
                  <w:vAlign w:val="center"/>
                </w:tcPr>
                <w:p w14:paraId="040299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t>核对本工程具体情况</w:t>
                  </w:r>
                </w:p>
              </w:tc>
              <w:tc>
                <w:tcPr>
                  <w:tcW w:w="458" w:type="pct"/>
                  <w:noWrap w:val="0"/>
                  <w:vAlign w:val="center"/>
                </w:tcPr>
                <w:p w14:paraId="2CC761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t>符合性</w:t>
                  </w:r>
                </w:p>
              </w:tc>
            </w:tr>
            <w:tr w14:paraId="795D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18" w:hRule="atLeast"/>
                <w:jc w:val="center"/>
              </w:trPr>
              <w:tc>
                <w:tcPr>
                  <w:tcW w:w="416" w:type="pct"/>
                  <w:vMerge w:val="restart"/>
                  <w:noWrap w:val="0"/>
                  <w:vAlign w:val="center"/>
                </w:tcPr>
                <w:p w14:paraId="3F1174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总体要求</w:t>
                  </w:r>
                </w:p>
              </w:tc>
              <w:tc>
                <w:tcPr>
                  <w:tcW w:w="2046" w:type="pct"/>
                  <w:gridSpan w:val="2"/>
                  <w:noWrap w:val="0"/>
                  <w:vAlign w:val="center"/>
                </w:tcPr>
                <w:p w14:paraId="040C12A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产生、收集、贮存、利用、处置危险废物的单位应建造危险废物贮存设施或设置贮存场所，并根据需要选择贮存设施类型。</w:t>
                  </w:r>
                </w:p>
              </w:tc>
              <w:tc>
                <w:tcPr>
                  <w:tcW w:w="2078" w:type="pct"/>
                  <w:noWrap w:val="0"/>
                  <w:vAlign w:val="center"/>
                </w:tcPr>
                <w:p w14:paraId="0E7A82F6">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本项目为专门危险废物</w:t>
                  </w:r>
                  <w:r>
                    <w:rPr>
                      <w:rFonts w:hint="eastAsia"/>
                      <w:highlight w:val="none"/>
                      <w:lang w:eastAsia="zh-CN"/>
                    </w:rPr>
                    <w:t>贮存库</w:t>
                  </w:r>
                  <w:r>
                    <w:rPr>
                      <w:rFonts w:hint="eastAsia"/>
                      <w:highlight w:val="none"/>
                    </w:rPr>
                    <w:t>，</w:t>
                  </w:r>
                  <w:r>
                    <w:rPr>
                      <w:rFonts w:hint="eastAsia"/>
                      <w:highlight w:val="none"/>
                      <w:lang w:val="en-US" w:eastAsia="zh-CN"/>
                    </w:rPr>
                    <w:t>新建1座18㎡的危险废物贮存库，</w:t>
                  </w:r>
                  <w:r>
                    <w:rPr>
                      <w:highlight w:val="none"/>
                    </w:rPr>
                    <w:t>用于</w:t>
                  </w:r>
                  <w:r>
                    <w:rPr>
                      <w:rFonts w:hint="eastAsia"/>
                      <w:highlight w:val="none"/>
                    </w:rPr>
                    <w:t>收集暂存</w:t>
                  </w:r>
                  <w:r>
                    <w:rPr>
                      <w:rFonts w:hint="eastAsia"/>
                      <w:highlight w:val="none"/>
                      <w:lang w:val="en-US" w:eastAsia="zh-CN"/>
                    </w:rPr>
                    <w:t>伊金霍洛旗澎源供水有限责任公司实验室产生的危险废物</w:t>
                  </w:r>
                  <w:r>
                    <w:rPr>
                      <w:rFonts w:hint="eastAsia"/>
                      <w:highlight w:val="none"/>
                    </w:rPr>
                    <w:t>。</w:t>
                  </w:r>
                </w:p>
              </w:tc>
              <w:tc>
                <w:tcPr>
                  <w:tcW w:w="458" w:type="pct"/>
                  <w:noWrap w:val="0"/>
                  <w:vAlign w:val="center"/>
                </w:tcPr>
                <w:p w14:paraId="242CB2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0495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7A7452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2524FC2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贮存危险废物应根据危险废物的类别、数量、形态、物理化学性质和环境风险等因素，确定贮存设施或场所类型和规模。</w:t>
                  </w:r>
                </w:p>
              </w:tc>
              <w:tc>
                <w:tcPr>
                  <w:tcW w:w="2078" w:type="pct"/>
                  <w:noWrap w:val="0"/>
                  <w:vAlign w:val="center"/>
                </w:tcPr>
                <w:p w14:paraId="07471C36">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rFonts w:hint="default"/>
                      <w:highlight w:val="none"/>
                      <w:lang w:val="en-US" w:eastAsia="zh-CN"/>
                    </w:rPr>
                    <w:t>危险废物贮存库</w:t>
                  </w:r>
                  <w:r>
                    <w:rPr>
                      <w:rFonts w:hint="default"/>
                      <w:highlight w:val="none"/>
                    </w:rPr>
                    <w:t>面积</w:t>
                  </w:r>
                  <w:r>
                    <w:rPr>
                      <w:rFonts w:hint="default" w:ascii="Times New Roman" w:hAnsi="Times New Roman" w:cs="Times New Roman"/>
                      <w:highlight w:val="none"/>
                    </w:rPr>
                    <w:t>约</w:t>
                  </w:r>
                  <w:r>
                    <w:rPr>
                      <w:rFonts w:hint="eastAsia" w:cs="Times New Roman"/>
                      <w:highlight w:val="none"/>
                      <w:lang w:val="en-US" w:eastAsia="zh-CN"/>
                    </w:rPr>
                    <w:t>18㎡</w:t>
                  </w:r>
                  <w:r>
                    <w:rPr>
                      <w:rFonts w:hint="default" w:ascii="Times New Roman" w:hAnsi="Times New Roman" w:cs="Times New Roman"/>
                      <w:highlight w:val="none"/>
                    </w:rPr>
                    <w:t>，</w:t>
                  </w:r>
                  <w:r>
                    <w:rPr>
                      <w:rFonts w:hint="eastAsia" w:cs="Times New Roman"/>
                      <w:highlight w:val="none"/>
                      <w:lang w:val="en-US" w:eastAsia="zh-CN"/>
                    </w:rPr>
                    <w:t>长6m×宽3m×高3m，内设5个分区，用于贮存实验室产生的实验废液、变质或失效的药剂、废活性炭、废防渗透膜、沾有油污的废旧手套、抹布，本项目</w:t>
                  </w:r>
                  <w:r>
                    <w:rPr>
                      <w:rFonts w:hint="default" w:ascii="Times New Roman" w:hAnsi="Times New Roman" w:cs="Times New Roman"/>
                      <w:highlight w:val="none"/>
                    </w:rPr>
                    <w:t>可满足建设单位产生危险废</w:t>
                  </w:r>
                  <w:r>
                    <w:rPr>
                      <w:rFonts w:hint="default"/>
                      <w:highlight w:val="none"/>
                    </w:rPr>
                    <w:t>物的临时贮存要求</w:t>
                  </w:r>
                  <w:r>
                    <w:rPr>
                      <w:rFonts w:hint="eastAsia"/>
                      <w:highlight w:val="none"/>
                      <w:lang w:eastAsia="zh-CN"/>
                    </w:rPr>
                    <w:t>。</w:t>
                  </w:r>
                  <w:r>
                    <w:rPr>
                      <w:rFonts w:hint="eastAsia"/>
                      <w:highlight w:val="none"/>
                    </w:rPr>
                    <w:t>本项目按照</w:t>
                  </w:r>
                  <w:r>
                    <w:rPr>
                      <w:highlight w:val="none"/>
                    </w:rPr>
                    <w:t>危险废物的类别、数量、形态、物理化学性质和环境风险等因素</w:t>
                  </w:r>
                  <w:r>
                    <w:rPr>
                      <w:rFonts w:hint="eastAsia"/>
                      <w:highlight w:val="none"/>
                    </w:rPr>
                    <w:t>，确定了</w:t>
                  </w:r>
                  <w:r>
                    <w:rPr>
                      <w:highlight w:val="none"/>
                    </w:rPr>
                    <w:t>贮存设施</w:t>
                  </w:r>
                  <w:r>
                    <w:rPr>
                      <w:rFonts w:hint="eastAsia"/>
                      <w:highlight w:val="none"/>
                    </w:rPr>
                    <w:t>类型及规模。</w:t>
                  </w:r>
                </w:p>
              </w:tc>
              <w:tc>
                <w:tcPr>
                  <w:tcW w:w="458" w:type="pct"/>
                  <w:noWrap w:val="0"/>
                  <w:vAlign w:val="center"/>
                </w:tcPr>
                <w:p w14:paraId="1CF507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4347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76" w:hRule="atLeast"/>
                <w:jc w:val="center"/>
              </w:trPr>
              <w:tc>
                <w:tcPr>
                  <w:tcW w:w="416" w:type="pct"/>
                  <w:vMerge w:val="continue"/>
                  <w:noWrap w:val="0"/>
                  <w:vAlign w:val="center"/>
                </w:tcPr>
                <w:p w14:paraId="75D0BC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0978D4D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贮存危险废物应根据危险废物的类别、形态、物理化学性质和污染防治要求进行分类贮存，且应避免危险废物与不相容的物质或材料接触。</w:t>
                  </w:r>
                </w:p>
              </w:tc>
              <w:tc>
                <w:tcPr>
                  <w:tcW w:w="2078" w:type="pct"/>
                  <w:noWrap w:val="0"/>
                  <w:vAlign w:val="center"/>
                </w:tcPr>
                <w:p w14:paraId="24634B4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本项目对不同废物类别的危险废物进行分区</w:t>
                  </w:r>
                  <w:r>
                    <w:rPr>
                      <w:highlight w:val="none"/>
                    </w:rPr>
                    <w:t>分类贮存</w:t>
                  </w:r>
                  <w:r>
                    <w:rPr>
                      <w:rFonts w:hint="eastAsia"/>
                      <w:highlight w:val="none"/>
                    </w:rPr>
                    <w:t>，可</w:t>
                  </w:r>
                  <w:r>
                    <w:rPr>
                      <w:highlight w:val="none"/>
                    </w:rPr>
                    <w:t>避免危险废物与不相容的物质或材料接触</w:t>
                  </w:r>
                  <w:r>
                    <w:rPr>
                      <w:rFonts w:hint="eastAsia"/>
                      <w:highlight w:val="none"/>
                    </w:rPr>
                    <w:t>。</w:t>
                  </w:r>
                </w:p>
              </w:tc>
              <w:tc>
                <w:tcPr>
                  <w:tcW w:w="458" w:type="pct"/>
                  <w:noWrap w:val="0"/>
                  <w:vAlign w:val="center"/>
                </w:tcPr>
                <w:p w14:paraId="345C53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7E14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33" w:hRule="atLeast"/>
                <w:jc w:val="center"/>
              </w:trPr>
              <w:tc>
                <w:tcPr>
                  <w:tcW w:w="416" w:type="pct"/>
                  <w:vMerge w:val="continue"/>
                  <w:noWrap w:val="0"/>
                  <w:vAlign w:val="center"/>
                </w:tcPr>
                <w:p w14:paraId="0095B0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03803D5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tc>
              <w:tc>
                <w:tcPr>
                  <w:tcW w:w="2078" w:type="pct"/>
                  <w:noWrap w:val="0"/>
                  <w:vAlign w:val="center"/>
                </w:tcPr>
                <w:p w14:paraId="4BBAB86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rFonts w:hint="eastAsia"/>
                      <w:highlight w:val="none"/>
                    </w:rPr>
                    <w:t>本项目</w:t>
                  </w:r>
                  <w:r>
                    <w:rPr>
                      <w:highlight w:val="none"/>
                    </w:rPr>
                    <w:t>危废库内设置</w:t>
                  </w:r>
                  <w:r>
                    <w:rPr>
                      <w:rFonts w:hint="eastAsia"/>
                      <w:highlight w:val="none"/>
                      <w:lang w:eastAsia="zh-CN"/>
                    </w:rPr>
                    <w:t>导流渠</w:t>
                  </w:r>
                  <w:r>
                    <w:rPr>
                      <w:highlight w:val="none"/>
                    </w:rPr>
                    <w:t>、集液池</w:t>
                  </w:r>
                  <w:r>
                    <w:rPr>
                      <w:rFonts w:hint="eastAsia"/>
                      <w:highlight w:val="none"/>
                    </w:rPr>
                    <w:t>，</w:t>
                  </w:r>
                  <w:r>
                    <w:rPr>
                      <w:highlight w:val="none"/>
                    </w:rPr>
                    <w:t>地面、裙角均做防腐、防渗处理</w:t>
                  </w:r>
                  <w:r>
                    <w:rPr>
                      <w:rFonts w:hint="eastAsia"/>
                      <w:highlight w:val="none"/>
                    </w:rPr>
                    <w:t>，挥发性危险废物采用密闭</w:t>
                  </w:r>
                  <w:r>
                    <w:rPr>
                      <w:rFonts w:hint="eastAsia"/>
                      <w:highlight w:val="none"/>
                      <w:lang w:eastAsia="zh-CN"/>
                    </w:rPr>
                    <w:t>桶</w:t>
                  </w:r>
                  <w:r>
                    <w:rPr>
                      <w:rFonts w:hint="eastAsia"/>
                      <w:highlight w:val="none"/>
                    </w:rPr>
                    <w:t>收集贮存，采取以上措施可有效</w:t>
                  </w:r>
                  <w:r>
                    <w:rPr>
                      <w:highlight w:val="none"/>
                    </w:rPr>
                    <w:t>防止其污染环境</w:t>
                  </w:r>
                </w:p>
              </w:tc>
              <w:tc>
                <w:tcPr>
                  <w:tcW w:w="458" w:type="pct"/>
                  <w:noWrap w:val="0"/>
                  <w:vAlign w:val="center"/>
                </w:tcPr>
                <w:p w14:paraId="697AD7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2FE5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75" w:hRule="atLeast"/>
                <w:jc w:val="center"/>
              </w:trPr>
              <w:tc>
                <w:tcPr>
                  <w:tcW w:w="416" w:type="pct"/>
                  <w:vMerge w:val="continue"/>
                  <w:noWrap w:val="0"/>
                  <w:vAlign w:val="center"/>
                </w:tcPr>
                <w:p w14:paraId="423A3D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727FBC06">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危险废物贮存过程产生的液态废物和固态废物应分类收集，按其环境管理要求妥善处理。</w:t>
                  </w:r>
                </w:p>
              </w:tc>
              <w:tc>
                <w:tcPr>
                  <w:tcW w:w="2078" w:type="pct"/>
                  <w:noWrap w:val="0"/>
                  <w:vAlign w:val="center"/>
                </w:tcPr>
                <w:p w14:paraId="4CA54B11">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rFonts w:hint="eastAsia"/>
                      <w:highlight w:val="none"/>
                    </w:rPr>
                    <w:t>本项目</w:t>
                  </w:r>
                  <w:r>
                    <w:rPr>
                      <w:highlight w:val="none"/>
                    </w:rPr>
                    <w:t>贮存</w:t>
                  </w:r>
                  <w:r>
                    <w:rPr>
                      <w:rFonts w:hint="eastAsia"/>
                      <w:highlight w:val="none"/>
                    </w:rPr>
                    <w:t>过程中产生危废</w:t>
                  </w:r>
                  <w:r>
                    <w:rPr>
                      <w:highlight w:val="none"/>
                    </w:rPr>
                    <w:t>分类收集</w:t>
                  </w:r>
                  <w:r>
                    <w:rPr>
                      <w:rFonts w:hint="eastAsia"/>
                      <w:highlight w:val="none"/>
                    </w:rPr>
                    <w:t>，并委托</w:t>
                  </w:r>
                  <w:r>
                    <w:rPr>
                      <w:highlight w:val="none"/>
                    </w:rPr>
                    <w:t>具有危险废物处理资质的公司处理</w:t>
                  </w:r>
                </w:p>
              </w:tc>
              <w:tc>
                <w:tcPr>
                  <w:tcW w:w="458" w:type="pct"/>
                  <w:noWrap w:val="0"/>
                  <w:vAlign w:val="center"/>
                </w:tcPr>
                <w:p w14:paraId="6B533C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3EB4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5009D0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34AAAF8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贮存设施或场所、容器和包装物应按HJ1276要求设置危险废物贮存设施或场所标志、危险废物贮存分区标志和危险废物标签等危险废物识别标志。</w:t>
                  </w:r>
                </w:p>
              </w:tc>
              <w:tc>
                <w:tcPr>
                  <w:tcW w:w="2078" w:type="pct"/>
                  <w:noWrap w:val="0"/>
                  <w:vAlign w:val="center"/>
                </w:tcPr>
                <w:p w14:paraId="63606EE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default"/>
                      <w:highlight w:val="none"/>
                    </w:rPr>
                    <w:t>本项目贮存场所、容器和包装物均按《危险废物识别标志设置技术规范》（HJ1276-2022）要求设置危险废物贮存场所标志、危险废物贮存分区标志和危险废物标签等危险废物识别标志。</w:t>
                  </w:r>
                </w:p>
              </w:tc>
              <w:tc>
                <w:tcPr>
                  <w:tcW w:w="458" w:type="pct"/>
                  <w:noWrap w:val="0"/>
                  <w:vAlign w:val="center"/>
                </w:tcPr>
                <w:p w14:paraId="513370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2B44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5BF73A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78CEF70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HJ1259规定的危险废物环境重点监管单位，应采用电子地磅、电子标签、电子管理台账等技术手段对危险废物贮存过程进行信息化管理，确保数据完整、真实、准确；采用视频监控的应确保监控画面清晰，视频记录保存时间至少为3个月。</w:t>
                  </w:r>
                </w:p>
              </w:tc>
              <w:tc>
                <w:tcPr>
                  <w:tcW w:w="2078" w:type="pct"/>
                  <w:noWrap w:val="0"/>
                  <w:vAlign w:val="center"/>
                </w:tcPr>
                <w:p w14:paraId="609397E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本项目将按照</w:t>
                  </w:r>
                  <w:r>
                    <w:rPr>
                      <w:highlight w:val="none"/>
                    </w:rPr>
                    <w:t>HJ1259规定</w:t>
                  </w:r>
                  <w:r>
                    <w:rPr>
                      <w:rFonts w:hint="eastAsia"/>
                      <w:highlight w:val="none"/>
                    </w:rPr>
                    <w:t>采用</w:t>
                  </w:r>
                  <w:r>
                    <w:rPr>
                      <w:highlight w:val="none"/>
                    </w:rPr>
                    <w:t>电子管理台账等技术</w:t>
                  </w:r>
                  <w:r>
                    <w:rPr>
                      <w:rFonts w:hint="eastAsia"/>
                      <w:highlight w:val="none"/>
                    </w:rPr>
                    <w:t>手段，并设置</w:t>
                  </w:r>
                  <w:r>
                    <w:rPr>
                      <w:highlight w:val="none"/>
                    </w:rPr>
                    <w:t>视频监控</w:t>
                  </w:r>
                  <w:r>
                    <w:rPr>
                      <w:rFonts w:hint="eastAsia"/>
                      <w:highlight w:val="none"/>
                    </w:rPr>
                    <w:t>。</w:t>
                  </w:r>
                </w:p>
              </w:tc>
              <w:tc>
                <w:tcPr>
                  <w:tcW w:w="458" w:type="pct"/>
                  <w:noWrap w:val="0"/>
                  <w:vAlign w:val="center"/>
                </w:tcPr>
                <w:p w14:paraId="6B7AF7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686B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5F6ADE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7B91B14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设施退役时，所有者或运营者应依法履行环境保护责任，退役前应妥善处理处置贮存设施内剩余的危险废物，并对贮存设施进行清理，消除污染；还应依据土壤污染防治相关法律法规履行场地环境风险防控责任。</w:t>
                  </w:r>
                </w:p>
              </w:tc>
              <w:tc>
                <w:tcPr>
                  <w:tcW w:w="2078" w:type="pct"/>
                  <w:noWrap w:val="0"/>
                  <w:vAlign w:val="center"/>
                </w:tcPr>
                <w:p w14:paraId="2E0F8A2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w:t>
                  </w:r>
                  <w:r>
                    <w:rPr>
                      <w:rFonts w:hint="eastAsia"/>
                      <w:highlight w:val="none"/>
                      <w:lang w:eastAsia="zh-CN"/>
                    </w:rPr>
                    <w:t>危险废物贮存库</w:t>
                  </w:r>
                  <w:r>
                    <w:rPr>
                      <w:highlight w:val="none"/>
                    </w:rPr>
                    <w:t>退役</w:t>
                  </w:r>
                  <w:r>
                    <w:rPr>
                      <w:rFonts w:hint="eastAsia"/>
                      <w:highlight w:val="none"/>
                    </w:rPr>
                    <w:t>前，将</w:t>
                  </w:r>
                  <w:r>
                    <w:rPr>
                      <w:highlight w:val="none"/>
                    </w:rPr>
                    <w:t>妥善处理处置贮存设施内剩余的危险废物，并对贮存设施进行清理，消除污染；</w:t>
                  </w:r>
                  <w:r>
                    <w:rPr>
                      <w:rFonts w:hint="eastAsia"/>
                      <w:highlight w:val="none"/>
                    </w:rPr>
                    <w:t>并</w:t>
                  </w:r>
                  <w:r>
                    <w:rPr>
                      <w:highlight w:val="none"/>
                    </w:rPr>
                    <w:t>依据土壤污染防治相关法律法规履行场地环境风险防控责任。</w:t>
                  </w:r>
                </w:p>
              </w:tc>
              <w:tc>
                <w:tcPr>
                  <w:tcW w:w="458" w:type="pct"/>
                  <w:noWrap w:val="0"/>
                  <w:vAlign w:val="center"/>
                </w:tcPr>
                <w:p w14:paraId="4B6E40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274E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75C62A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50755EB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危险废物贮存除应满足环境保护相关要求外，还应执行国家安全生产、职业健康、交通运输、消防等法律法规和标准的相关要求。</w:t>
                  </w:r>
                </w:p>
              </w:tc>
              <w:tc>
                <w:tcPr>
                  <w:tcW w:w="2078" w:type="pct"/>
                  <w:noWrap w:val="0"/>
                  <w:vAlign w:val="center"/>
                </w:tcPr>
                <w:p w14:paraId="5A34146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rFonts w:hint="eastAsia"/>
                      <w:highlight w:val="none"/>
                    </w:rPr>
                    <w:t>项目运营期将执行</w:t>
                  </w:r>
                  <w:r>
                    <w:rPr>
                      <w:highlight w:val="none"/>
                    </w:rPr>
                    <w:t>国家安全生产、职业健康、交通运输、消防等法律法规和标准的相关要求</w:t>
                  </w:r>
                  <w:r>
                    <w:rPr>
                      <w:rFonts w:hint="eastAsia"/>
                      <w:highlight w:val="none"/>
                    </w:rPr>
                    <w:t>。</w:t>
                  </w:r>
                </w:p>
              </w:tc>
              <w:tc>
                <w:tcPr>
                  <w:tcW w:w="458" w:type="pct"/>
                  <w:noWrap w:val="0"/>
                  <w:vAlign w:val="center"/>
                </w:tcPr>
                <w:p w14:paraId="5A64F5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2457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restart"/>
                  <w:noWrap w:val="0"/>
                  <w:vAlign w:val="center"/>
                </w:tcPr>
                <w:p w14:paraId="12DE14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t>贮存设施污染控制要求</w:t>
                  </w:r>
                </w:p>
              </w:tc>
              <w:tc>
                <w:tcPr>
                  <w:tcW w:w="2046" w:type="pct"/>
                  <w:gridSpan w:val="2"/>
                  <w:noWrap w:val="0"/>
                  <w:vAlign w:val="center"/>
                </w:tcPr>
                <w:p w14:paraId="49B07B8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贮存设施应根据危险废物的形态、物理化学性质、包装形式和污染物迁移途径，采取必要的防风、防晒、防雨、防漏、防渗、防腐以及其他环境污染防治措施，不应露天堆放危险废物。</w:t>
                  </w:r>
                </w:p>
              </w:tc>
              <w:tc>
                <w:tcPr>
                  <w:tcW w:w="2078" w:type="pct"/>
                  <w:noWrap w:val="0"/>
                  <w:vAlign w:val="center"/>
                </w:tcPr>
                <w:p w14:paraId="310DB30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本项目建设全封闭</w:t>
                  </w:r>
                  <w:r>
                    <w:rPr>
                      <w:rFonts w:hint="eastAsia"/>
                      <w:highlight w:val="none"/>
                      <w:lang w:eastAsia="zh-CN"/>
                    </w:rPr>
                    <w:t>危险废物贮存库</w:t>
                  </w:r>
                  <w:r>
                    <w:rPr>
                      <w:rFonts w:hint="eastAsia"/>
                      <w:highlight w:val="none"/>
                    </w:rPr>
                    <w:t>，</w:t>
                  </w:r>
                  <w:r>
                    <w:rPr>
                      <w:highlight w:val="none"/>
                    </w:rPr>
                    <w:t>属于室内存放，具备防风、防雨、防晒功能</w:t>
                  </w:r>
                  <w:r>
                    <w:rPr>
                      <w:rFonts w:hint="eastAsia"/>
                      <w:highlight w:val="none"/>
                    </w:rPr>
                    <w:t>，地面</w:t>
                  </w:r>
                  <w:r>
                    <w:rPr>
                      <w:highlight w:val="none"/>
                    </w:rPr>
                    <w:t>铺设防腐防渗层，设有专门的物料收集防泄漏设施</w:t>
                  </w:r>
                  <w:r>
                    <w:rPr>
                      <w:rFonts w:hint="eastAsia"/>
                      <w:highlight w:val="none"/>
                    </w:rPr>
                    <w:t>。</w:t>
                  </w:r>
                </w:p>
              </w:tc>
              <w:tc>
                <w:tcPr>
                  <w:tcW w:w="458" w:type="pct"/>
                  <w:noWrap w:val="0"/>
                  <w:vAlign w:val="center"/>
                </w:tcPr>
                <w:p w14:paraId="357AB9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1036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11EAFA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4BCB8D56">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贮存设施应根据危险废物的类别、数量、形态、物理化学性质和污染防治等要求设置必要的贮存分区，避免不相容的危险废物接触、混合。</w:t>
                  </w:r>
                </w:p>
              </w:tc>
              <w:tc>
                <w:tcPr>
                  <w:tcW w:w="2078" w:type="pct"/>
                  <w:noWrap w:val="0"/>
                  <w:vAlign w:val="center"/>
                </w:tcPr>
                <w:p w14:paraId="39402BC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本项目分区贮存各类危险废物，</w:t>
                  </w:r>
                  <w:r>
                    <w:rPr>
                      <w:highlight w:val="none"/>
                    </w:rPr>
                    <w:t>不相容的危险废物</w:t>
                  </w:r>
                  <w:r>
                    <w:rPr>
                      <w:rFonts w:hint="eastAsia"/>
                      <w:highlight w:val="none"/>
                    </w:rPr>
                    <w:t>不会</w:t>
                  </w:r>
                  <w:r>
                    <w:rPr>
                      <w:highlight w:val="none"/>
                    </w:rPr>
                    <w:t>接触、混合</w:t>
                  </w:r>
                  <w:r>
                    <w:rPr>
                      <w:rFonts w:hint="eastAsia"/>
                      <w:highlight w:val="none"/>
                    </w:rPr>
                    <w:t>。</w:t>
                  </w:r>
                </w:p>
              </w:tc>
              <w:tc>
                <w:tcPr>
                  <w:tcW w:w="458" w:type="pct"/>
                  <w:noWrap w:val="0"/>
                  <w:vAlign w:val="center"/>
                </w:tcPr>
                <w:p w14:paraId="51598B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47FB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2E7EF9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6FB40ED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贮存设施或贮存分区内地面、墙面裙脚、堵截泄漏的围堰、接触危险废物的隔板和墙体等应采用坚固的材料建造，表面无裂缝。</w:t>
                  </w:r>
                </w:p>
              </w:tc>
              <w:tc>
                <w:tcPr>
                  <w:tcW w:w="2078" w:type="pct"/>
                  <w:noWrap w:val="0"/>
                  <w:vAlign w:val="center"/>
                </w:tcPr>
                <w:p w14:paraId="0CE264B8">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lang w:eastAsia="zh-CN"/>
                    </w:rPr>
                    <w:t>危险废物贮存库</w:t>
                  </w:r>
                  <w:r>
                    <w:rPr>
                      <w:rFonts w:hint="eastAsia"/>
                      <w:highlight w:val="none"/>
                    </w:rPr>
                    <w:t>暂存</w:t>
                  </w:r>
                  <w:r>
                    <w:rPr>
                      <w:highlight w:val="none"/>
                    </w:rPr>
                    <w:t>区各建筑物进行坚固的防渗防腐材料修建，表面无裂缝</w:t>
                  </w:r>
                  <w:r>
                    <w:rPr>
                      <w:rFonts w:hint="eastAsia"/>
                      <w:highlight w:val="none"/>
                    </w:rPr>
                    <w:t>。</w:t>
                  </w:r>
                </w:p>
              </w:tc>
              <w:tc>
                <w:tcPr>
                  <w:tcW w:w="458" w:type="pct"/>
                  <w:noWrap w:val="0"/>
                  <w:vAlign w:val="center"/>
                </w:tcPr>
                <w:p w14:paraId="71367A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1FC3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51" w:hRule="atLeast"/>
                <w:jc w:val="center"/>
              </w:trPr>
              <w:tc>
                <w:tcPr>
                  <w:tcW w:w="416" w:type="pct"/>
                  <w:vMerge w:val="continue"/>
                  <w:noWrap w:val="0"/>
                  <w:vAlign w:val="center"/>
                </w:tcPr>
                <w:p w14:paraId="2D9001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6491562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highlight w:val="none"/>
                      <w:vertAlign w:val="superscript"/>
                    </w:rPr>
                    <w:t>-7</w:t>
                  </w:r>
                  <w:r>
                    <w:rPr>
                      <w:highlight w:val="none"/>
                    </w:rPr>
                    <w:t>cm/s），或至少2mm厚高密度聚乙烯膜等人工防渗材料（渗透系数不大于10</w:t>
                  </w:r>
                  <w:r>
                    <w:rPr>
                      <w:highlight w:val="none"/>
                      <w:vertAlign w:val="superscript"/>
                    </w:rPr>
                    <w:t>-10</w:t>
                  </w:r>
                  <w:r>
                    <w:rPr>
                      <w:highlight w:val="none"/>
                    </w:rPr>
                    <w:t>cm/s），或其他防渗性能等效的材料。</w:t>
                  </w:r>
                </w:p>
              </w:tc>
              <w:tc>
                <w:tcPr>
                  <w:tcW w:w="2078" w:type="pct"/>
                  <w:noWrap w:val="0"/>
                  <w:vAlign w:val="center"/>
                </w:tcPr>
                <w:p w14:paraId="3DDAAF6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w:t>
                  </w:r>
                  <w:r>
                    <w:rPr>
                      <w:rFonts w:hint="eastAsia"/>
                      <w:highlight w:val="none"/>
                      <w:lang w:eastAsia="zh-CN"/>
                    </w:rPr>
                    <w:t>危险废物贮存库</w:t>
                  </w:r>
                  <w:r>
                    <w:rPr>
                      <w:highlight w:val="none"/>
                    </w:rPr>
                    <w:t>地面与裙脚应采取表面防渗措施</w:t>
                  </w:r>
                  <w:r>
                    <w:rPr>
                      <w:rFonts w:hint="eastAsia"/>
                      <w:highlight w:val="none"/>
                    </w:rPr>
                    <w:t>；</w:t>
                  </w:r>
                  <w:r>
                    <w:rPr>
                      <w:rFonts w:hint="eastAsia"/>
                      <w:highlight w:val="none"/>
                      <w:lang w:eastAsia="zh-CN"/>
                    </w:rPr>
                    <w:t>危险废物贮存库地面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eastAsia"/>
                      <w:highlight w:val="none"/>
                      <w:vertAlign w:val="superscript"/>
                      <w:lang w:eastAsia="zh-CN"/>
                    </w:rPr>
                    <w:t>-10</w:t>
                  </w:r>
                  <w:r>
                    <w:rPr>
                      <w:rFonts w:hint="eastAsia"/>
                      <w:highlight w:val="none"/>
                      <w:lang w:eastAsia="zh-CN"/>
                    </w:rPr>
                    <w:t>cm/s。</w:t>
                  </w:r>
                </w:p>
              </w:tc>
              <w:tc>
                <w:tcPr>
                  <w:tcW w:w="458" w:type="pct"/>
                  <w:noWrap w:val="0"/>
                  <w:vAlign w:val="center"/>
                </w:tcPr>
                <w:p w14:paraId="287F18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46F87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357FBB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5A87609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同一贮存设施宜采用相同的防渗、防腐工艺（包括防渗、防腐结构或材料），防渗、防腐材料应覆盖所有可能与废物及其渗滤液、渗漏液等接触的构筑物表面；采用不同防渗、防腐工艺应分别建设贮存分区。</w:t>
                  </w:r>
                </w:p>
              </w:tc>
              <w:tc>
                <w:tcPr>
                  <w:tcW w:w="2078" w:type="pct"/>
                  <w:noWrap w:val="0"/>
                  <w:vAlign w:val="center"/>
                </w:tcPr>
                <w:p w14:paraId="29F27BF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w:t>
                  </w:r>
                  <w:r>
                    <w:rPr>
                      <w:rFonts w:hint="eastAsia"/>
                      <w:highlight w:val="none"/>
                      <w:lang w:eastAsia="zh-CN"/>
                    </w:rPr>
                    <w:t>采用</w:t>
                  </w:r>
                  <w:r>
                    <w:rPr>
                      <w:highlight w:val="none"/>
                    </w:rPr>
                    <w:t>相同的防渗、防腐工艺（包括防渗、防腐结构或材料）</w:t>
                  </w:r>
                  <w:r>
                    <w:rPr>
                      <w:rFonts w:hint="eastAsia"/>
                      <w:highlight w:val="none"/>
                    </w:rPr>
                    <w:t>，</w:t>
                  </w:r>
                  <w:r>
                    <w:rPr>
                      <w:highlight w:val="none"/>
                    </w:rPr>
                    <w:t>防渗、防腐材料覆盖所有可能与废物及其渗滤液、渗漏液等接触的构筑物表面</w:t>
                  </w:r>
                  <w:r>
                    <w:rPr>
                      <w:rFonts w:hint="eastAsia"/>
                      <w:highlight w:val="none"/>
                    </w:rPr>
                    <w:t>。</w:t>
                  </w:r>
                </w:p>
              </w:tc>
              <w:tc>
                <w:tcPr>
                  <w:tcW w:w="458" w:type="pct"/>
                  <w:noWrap w:val="0"/>
                  <w:vAlign w:val="center"/>
                </w:tcPr>
                <w:p w14:paraId="56B74D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4380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6DFCCD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44DE1F0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贮存设施应采取技术和管理措施防止无关人员进入</w:t>
                  </w:r>
                  <w:r>
                    <w:rPr>
                      <w:rFonts w:hint="eastAsia"/>
                      <w:highlight w:val="none"/>
                    </w:rPr>
                    <w:t>。</w:t>
                  </w:r>
                </w:p>
              </w:tc>
              <w:tc>
                <w:tcPr>
                  <w:tcW w:w="2078" w:type="pct"/>
                  <w:noWrap w:val="0"/>
                  <w:vAlign w:val="center"/>
                </w:tcPr>
                <w:p w14:paraId="1B65D3B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w:t>
                  </w:r>
                  <w:r>
                    <w:rPr>
                      <w:rFonts w:hint="eastAsia"/>
                      <w:highlight w:val="none"/>
                      <w:lang w:eastAsia="zh-CN"/>
                    </w:rPr>
                    <w:t>危险废物贮存库</w:t>
                  </w:r>
                  <w:r>
                    <w:rPr>
                      <w:highlight w:val="none"/>
                    </w:rPr>
                    <w:t>执行“双人双锁”管理制度</w:t>
                  </w:r>
                  <w:r>
                    <w:rPr>
                      <w:rFonts w:hint="eastAsia"/>
                      <w:highlight w:val="none"/>
                    </w:rPr>
                    <w:t>，外人不得入内。</w:t>
                  </w:r>
                </w:p>
              </w:tc>
              <w:tc>
                <w:tcPr>
                  <w:tcW w:w="458" w:type="pct"/>
                  <w:noWrap w:val="0"/>
                  <w:vAlign w:val="center"/>
                </w:tcPr>
                <w:p w14:paraId="29C1FD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1735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514278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355" w:type="pct"/>
                  <w:vMerge w:val="restart"/>
                  <w:noWrap w:val="0"/>
                  <w:vAlign w:val="center"/>
                </w:tcPr>
                <w:p w14:paraId="69DB250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贮存库</w:t>
                  </w:r>
                </w:p>
              </w:tc>
              <w:tc>
                <w:tcPr>
                  <w:tcW w:w="1690" w:type="pct"/>
                  <w:noWrap w:val="0"/>
                  <w:vAlign w:val="center"/>
                </w:tcPr>
                <w:p w14:paraId="700A07C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贮存库内不同贮存分区之间应采取隔离措施。隔离措施可根据危险废物特性采用过道、隔板或隔墙等方式。</w:t>
                  </w:r>
                </w:p>
              </w:tc>
              <w:tc>
                <w:tcPr>
                  <w:tcW w:w="2078" w:type="pct"/>
                  <w:noWrap w:val="0"/>
                  <w:vAlign w:val="center"/>
                </w:tcPr>
                <w:p w14:paraId="1DB26AA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本</w:t>
                  </w:r>
                  <w:r>
                    <w:rPr>
                      <w:rFonts w:hint="eastAsia"/>
                      <w:highlight w:val="none"/>
                    </w:rPr>
                    <w:t>项目</w:t>
                  </w:r>
                  <w:r>
                    <w:rPr>
                      <w:rFonts w:hint="eastAsia"/>
                      <w:highlight w:val="none"/>
                      <w:lang w:eastAsia="zh-CN"/>
                    </w:rPr>
                    <w:t>危险废物贮存库划线</w:t>
                  </w:r>
                  <w:r>
                    <w:rPr>
                      <w:rFonts w:hint="eastAsia"/>
                      <w:highlight w:val="none"/>
                    </w:rPr>
                    <w:t>进行分区。</w:t>
                  </w:r>
                </w:p>
              </w:tc>
              <w:tc>
                <w:tcPr>
                  <w:tcW w:w="458" w:type="pct"/>
                  <w:noWrap w:val="0"/>
                  <w:vAlign w:val="center"/>
                </w:tcPr>
                <w:p w14:paraId="633013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018B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22BDC2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355" w:type="pct"/>
                  <w:vMerge w:val="continue"/>
                  <w:noWrap w:val="0"/>
                  <w:vAlign w:val="center"/>
                </w:tcPr>
                <w:p w14:paraId="40072C2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p>
              </w:tc>
              <w:tc>
                <w:tcPr>
                  <w:tcW w:w="1690" w:type="pct"/>
                  <w:noWrap w:val="0"/>
                  <w:vAlign w:val="center"/>
                </w:tcPr>
                <w:p w14:paraId="61128D8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tc>
              <w:tc>
                <w:tcPr>
                  <w:tcW w:w="2078" w:type="pct"/>
                  <w:noWrap w:val="0"/>
                  <w:vAlign w:val="center"/>
                </w:tcPr>
                <w:p w14:paraId="42A1AC03">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本项目</w:t>
                  </w:r>
                  <w:r>
                    <w:rPr>
                      <w:rFonts w:hint="eastAsia"/>
                      <w:highlight w:val="none"/>
                    </w:rPr>
                    <w:t>分区贮存液态危险废物，</w:t>
                  </w:r>
                  <w:r>
                    <w:rPr>
                      <w:highlight w:val="none"/>
                    </w:rPr>
                    <w:t>设计堵截</w:t>
                  </w:r>
                  <w:r>
                    <w:rPr>
                      <w:rFonts w:hint="eastAsia"/>
                      <w:highlight w:val="none"/>
                      <w:lang w:eastAsia="zh-CN"/>
                    </w:rPr>
                    <w:t>泄漏</w:t>
                  </w:r>
                  <w:r>
                    <w:rPr>
                      <w:highlight w:val="none"/>
                    </w:rPr>
                    <w:t>的裙角，地面与裙角所围建的容积不低于1/10</w:t>
                  </w:r>
                  <w:r>
                    <w:rPr>
                      <w:rFonts w:hint="eastAsia"/>
                      <w:highlight w:val="none"/>
                    </w:rPr>
                    <w:t>。</w:t>
                  </w:r>
                  <w:r>
                    <w:rPr>
                      <w:rFonts w:hint="eastAsia"/>
                      <w:highlight w:val="none"/>
                      <w:lang w:eastAsia="zh-CN"/>
                    </w:rPr>
                    <w:t>危险废物贮存库</w:t>
                  </w:r>
                  <w:r>
                    <w:rPr>
                      <w:highlight w:val="none"/>
                    </w:rPr>
                    <w:t>内设置</w:t>
                  </w:r>
                  <w:r>
                    <w:rPr>
                      <w:rFonts w:hint="eastAsia"/>
                      <w:highlight w:val="none"/>
                      <w:lang w:eastAsia="zh-CN"/>
                    </w:rPr>
                    <w:t>导流渠</w:t>
                  </w:r>
                  <w:r>
                    <w:rPr>
                      <w:highlight w:val="none"/>
                    </w:rPr>
                    <w:t>、集液池</w:t>
                  </w:r>
                  <w:r>
                    <w:rPr>
                      <w:rFonts w:hint="eastAsia"/>
                      <w:highlight w:val="none"/>
                    </w:rPr>
                    <w:t>，</w:t>
                  </w:r>
                  <w:r>
                    <w:rPr>
                      <w:highlight w:val="none"/>
                    </w:rPr>
                    <w:t>满足渗滤液的收集要求</w:t>
                  </w:r>
                  <w:r>
                    <w:rPr>
                      <w:rFonts w:hint="eastAsia"/>
                      <w:highlight w:val="none"/>
                    </w:rPr>
                    <w:t>。</w:t>
                  </w:r>
                </w:p>
              </w:tc>
              <w:tc>
                <w:tcPr>
                  <w:tcW w:w="458" w:type="pct"/>
                  <w:noWrap w:val="0"/>
                  <w:vAlign w:val="center"/>
                </w:tcPr>
                <w:p w14:paraId="3C1D91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5F56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452C57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355" w:type="pct"/>
                  <w:vMerge w:val="continue"/>
                  <w:noWrap w:val="0"/>
                  <w:vAlign w:val="center"/>
                </w:tcPr>
                <w:p w14:paraId="0E55E2C9">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p>
              </w:tc>
              <w:tc>
                <w:tcPr>
                  <w:tcW w:w="1690" w:type="pct"/>
                  <w:noWrap w:val="0"/>
                  <w:vAlign w:val="center"/>
                </w:tcPr>
                <w:p w14:paraId="313A80A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贮存易产生粉尘、VOCs、酸雾、有毒有害大气污染物和刺激性气味气体的危险废物贮存库，应设置气体收集装置和气体净化设施；气体净化设施的排气筒高度应符合GB16297要求。</w:t>
                  </w:r>
                </w:p>
              </w:tc>
              <w:tc>
                <w:tcPr>
                  <w:tcW w:w="2078" w:type="pct"/>
                  <w:noWrap w:val="0"/>
                  <w:vAlign w:val="center"/>
                </w:tcPr>
                <w:p w14:paraId="6DC6C19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本项目易挥发危险废物暂存在</w:t>
                  </w:r>
                  <w:r>
                    <w:rPr>
                      <w:rFonts w:hint="eastAsia"/>
                      <w:highlight w:val="none"/>
                      <w:lang w:eastAsia="zh-CN"/>
                    </w:rPr>
                    <w:t>危险废物贮存库</w:t>
                  </w:r>
                  <w:r>
                    <w:rPr>
                      <w:rFonts w:hint="eastAsia"/>
                      <w:highlight w:val="none"/>
                    </w:rPr>
                    <w:t>内，采用密封桶装，带桶一并转运。</w:t>
                  </w:r>
                </w:p>
              </w:tc>
              <w:tc>
                <w:tcPr>
                  <w:tcW w:w="458" w:type="pct"/>
                  <w:noWrap w:val="0"/>
                  <w:vAlign w:val="center"/>
                </w:tcPr>
                <w:p w14:paraId="513CD1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6160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restart"/>
                  <w:noWrap w:val="0"/>
                  <w:vAlign w:val="center"/>
                </w:tcPr>
                <w:p w14:paraId="621B51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t>容器和包装物污染控制要求</w:t>
                  </w:r>
                </w:p>
              </w:tc>
              <w:tc>
                <w:tcPr>
                  <w:tcW w:w="2046" w:type="pct"/>
                  <w:gridSpan w:val="2"/>
                  <w:noWrap w:val="0"/>
                  <w:vAlign w:val="center"/>
                </w:tcPr>
                <w:p w14:paraId="63680F7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容器和包装物材质、内衬应与盛装的危险废物相容。</w:t>
                  </w:r>
                </w:p>
              </w:tc>
              <w:tc>
                <w:tcPr>
                  <w:tcW w:w="2078" w:type="pct"/>
                  <w:noWrap w:val="0"/>
                  <w:vAlign w:val="center"/>
                </w:tcPr>
                <w:p w14:paraId="300E489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w:t>
                  </w:r>
                  <w:r>
                    <w:rPr>
                      <w:highlight w:val="none"/>
                    </w:rPr>
                    <w:t>容器和包装物材质、内衬与盛装的危险废物相容</w:t>
                  </w:r>
                  <w:r>
                    <w:rPr>
                      <w:rFonts w:hint="eastAsia"/>
                      <w:highlight w:val="none"/>
                    </w:rPr>
                    <w:t>，不会产生反应。</w:t>
                  </w:r>
                </w:p>
              </w:tc>
              <w:tc>
                <w:tcPr>
                  <w:tcW w:w="458" w:type="pct"/>
                  <w:noWrap w:val="0"/>
                  <w:vAlign w:val="center"/>
                </w:tcPr>
                <w:p w14:paraId="22367B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4D10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7E94A5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highlight w:val="none"/>
                    </w:rPr>
                  </w:pPr>
                </w:p>
              </w:tc>
              <w:tc>
                <w:tcPr>
                  <w:tcW w:w="2046" w:type="pct"/>
                  <w:gridSpan w:val="2"/>
                  <w:noWrap w:val="0"/>
                  <w:vAlign w:val="center"/>
                </w:tcPr>
                <w:p w14:paraId="0710CE4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针对不同类别、形态、物理化学性质的危险废物，其容器和包装物应满足相应的防渗、防漏、防腐和强度等要求。</w:t>
                  </w:r>
                </w:p>
              </w:tc>
              <w:tc>
                <w:tcPr>
                  <w:tcW w:w="2078" w:type="pct"/>
                  <w:noWrap w:val="0"/>
                  <w:vAlign w:val="center"/>
                </w:tcPr>
                <w:p w14:paraId="0E3EA6F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针对不同危险废物，其容器和包装物</w:t>
                  </w:r>
                  <w:r>
                    <w:rPr>
                      <w:rFonts w:hint="eastAsia"/>
                      <w:highlight w:val="none"/>
                    </w:rPr>
                    <w:t>均</w:t>
                  </w:r>
                  <w:r>
                    <w:rPr>
                      <w:highlight w:val="none"/>
                    </w:rPr>
                    <w:t>满足相应的防渗、防漏、防腐和强度等要求。</w:t>
                  </w:r>
                </w:p>
              </w:tc>
              <w:tc>
                <w:tcPr>
                  <w:tcW w:w="458" w:type="pct"/>
                  <w:noWrap w:val="0"/>
                  <w:vAlign w:val="center"/>
                </w:tcPr>
                <w:p w14:paraId="42F49A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7938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23867C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1A2B767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硬质容器和包装物及其支护结构堆叠码放时不应有明显变形，无破损泄漏。</w:t>
                  </w:r>
                </w:p>
              </w:tc>
              <w:tc>
                <w:tcPr>
                  <w:tcW w:w="2078" w:type="pct"/>
                  <w:noWrap w:val="0"/>
                  <w:vAlign w:val="center"/>
                </w:tcPr>
                <w:p w14:paraId="081E0C3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保证</w:t>
                  </w:r>
                  <w:r>
                    <w:rPr>
                      <w:highlight w:val="none"/>
                    </w:rPr>
                    <w:t>硬质容器和包装物及其支护结构</w:t>
                  </w:r>
                  <w:r>
                    <w:rPr>
                      <w:rFonts w:hint="eastAsia"/>
                      <w:highlight w:val="none"/>
                    </w:rPr>
                    <w:t>的质量，</w:t>
                  </w:r>
                  <w:r>
                    <w:rPr>
                      <w:highlight w:val="none"/>
                    </w:rPr>
                    <w:t>堆叠码放时</w:t>
                  </w:r>
                  <w:r>
                    <w:rPr>
                      <w:rFonts w:hint="eastAsia"/>
                      <w:highlight w:val="none"/>
                    </w:rPr>
                    <w:t>不会产生</w:t>
                  </w:r>
                  <w:r>
                    <w:rPr>
                      <w:highlight w:val="none"/>
                    </w:rPr>
                    <w:t>明显变形，无破损泄漏。</w:t>
                  </w:r>
                </w:p>
              </w:tc>
              <w:tc>
                <w:tcPr>
                  <w:tcW w:w="458" w:type="pct"/>
                  <w:noWrap w:val="0"/>
                  <w:vAlign w:val="center"/>
                </w:tcPr>
                <w:p w14:paraId="3E6DCA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2554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0B878D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5CA6B10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柔性容器和包装物堆叠码放时应封口严密，无破损泄漏。</w:t>
                  </w:r>
                </w:p>
              </w:tc>
              <w:tc>
                <w:tcPr>
                  <w:tcW w:w="2078" w:type="pct"/>
                  <w:noWrap w:val="0"/>
                  <w:vAlign w:val="center"/>
                </w:tcPr>
                <w:p w14:paraId="19447881">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柔性容器和包装物堆叠码放</w:t>
                  </w:r>
                  <w:r>
                    <w:rPr>
                      <w:rFonts w:hint="eastAsia"/>
                      <w:highlight w:val="none"/>
                    </w:rPr>
                    <w:t>采取</w:t>
                  </w:r>
                  <w:r>
                    <w:rPr>
                      <w:highlight w:val="none"/>
                    </w:rPr>
                    <w:t>封口严密</w:t>
                  </w:r>
                  <w:r>
                    <w:rPr>
                      <w:rFonts w:hint="eastAsia"/>
                      <w:highlight w:val="none"/>
                    </w:rPr>
                    <w:t>措施</w:t>
                  </w:r>
                  <w:r>
                    <w:rPr>
                      <w:highlight w:val="none"/>
                    </w:rPr>
                    <w:t>，</w:t>
                  </w:r>
                  <w:r>
                    <w:rPr>
                      <w:rFonts w:hint="eastAsia"/>
                      <w:highlight w:val="none"/>
                    </w:rPr>
                    <w:t>确保</w:t>
                  </w:r>
                  <w:r>
                    <w:rPr>
                      <w:highlight w:val="none"/>
                    </w:rPr>
                    <w:t>无破损泄漏</w:t>
                  </w:r>
                  <w:r>
                    <w:rPr>
                      <w:rFonts w:hint="eastAsia"/>
                      <w:highlight w:val="none"/>
                    </w:rPr>
                    <w:t>。</w:t>
                  </w:r>
                </w:p>
              </w:tc>
              <w:tc>
                <w:tcPr>
                  <w:tcW w:w="458" w:type="pct"/>
                  <w:noWrap w:val="0"/>
                  <w:vAlign w:val="center"/>
                </w:tcPr>
                <w:p w14:paraId="7224F5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44C4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88" w:hRule="atLeast"/>
                <w:jc w:val="center"/>
              </w:trPr>
              <w:tc>
                <w:tcPr>
                  <w:tcW w:w="416" w:type="pct"/>
                  <w:vMerge w:val="continue"/>
                  <w:noWrap w:val="0"/>
                  <w:vAlign w:val="center"/>
                </w:tcPr>
                <w:p w14:paraId="2C6551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1EDB7F7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使用容器盛装液态、半固态危险废物时，容器内部应留有适当的空间，以适应因温度变化等可能引发的收缩和膨胀，防止其导致容器渗漏或永久变形。</w:t>
                  </w:r>
                </w:p>
              </w:tc>
              <w:tc>
                <w:tcPr>
                  <w:tcW w:w="2078" w:type="pct"/>
                  <w:noWrap w:val="0"/>
                  <w:vAlign w:val="center"/>
                </w:tcPr>
                <w:p w14:paraId="0ED0BD40">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使用容器盛装液态容器内部留有适当的空间</w:t>
                  </w:r>
                  <w:r>
                    <w:rPr>
                      <w:rFonts w:hint="eastAsia"/>
                      <w:highlight w:val="none"/>
                    </w:rPr>
                    <w:t>。以适应因温度变化等可能引发的收缩和膨胀，防止其导致容器渗漏或永久变形。</w:t>
                  </w:r>
                </w:p>
              </w:tc>
              <w:tc>
                <w:tcPr>
                  <w:tcW w:w="458" w:type="pct"/>
                  <w:noWrap w:val="0"/>
                  <w:vAlign w:val="center"/>
                </w:tcPr>
                <w:p w14:paraId="4AE2FC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3DDD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3C0AA6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681FCD8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容器和包装物外表面应保持清洁。</w:t>
                  </w:r>
                </w:p>
              </w:tc>
              <w:tc>
                <w:tcPr>
                  <w:tcW w:w="2078" w:type="pct"/>
                  <w:noWrap w:val="0"/>
                  <w:vAlign w:val="center"/>
                </w:tcPr>
                <w:p w14:paraId="31E0D31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容器和包装物外表面保持清洁</w:t>
                  </w:r>
                  <w:r>
                    <w:rPr>
                      <w:rFonts w:hint="eastAsia"/>
                      <w:highlight w:val="none"/>
                    </w:rPr>
                    <w:t>。</w:t>
                  </w:r>
                </w:p>
              </w:tc>
              <w:tc>
                <w:tcPr>
                  <w:tcW w:w="458" w:type="pct"/>
                  <w:noWrap w:val="0"/>
                  <w:vAlign w:val="center"/>
                </w:tcPr>
                <w:p w14:paraId="41AC2B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0474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restart"/>
                  <w:noWrap w:val="0"/>
                  <w:vAlign w:val="center"/>
                </w:tcPr>
                <w:p w14:paraId="727DFF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t>贮存过程污染控制要求</w:t>
                  </w:r>
                </w:p>
              </w:tc>
              <w:tc>
                <w:tcPr>
                  <w:tcW w:w="2046" w:type="pct"/>
                  <w:gridSpan w:val="2"/>
                  <w:noWrap w:val="0"/>
                  <w:vAlign w:val="center"/>
                </w:tcPr>
                <w:p w14:paraId="368A3F80">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在常温常压下不易水解、不易挥发的固态危险废物可分类堆放贮存，其他固态危险废物应装入容器或包装物内贮存。</w:t>
                  </w:r>
                </w:p>
              </w:tc>
              <w:tc>
                <w:tcPr>
                  <w:tcW w:w="2078" w:type="pct"/>
                  <w:noWrap w:val="0"/>
                  <w:vAlign w:val="center"/>
                </w:tcPr>
                <w:p w14:paraId="10312158">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rFonts w:hint="eastAsia"/>
                      <w:highlight w:val="none"/>
                    </w:rPr>
                    <w:t>本项目收集暂存的各类</w:t>
                  </w:r>
                  <w:r>
                    <w:rPr>
                      <w:highlight w:val="none"/>
                    </w:rPr>
                    <w:t>固态危险废物</w:t>
                  </w:r>
                  <w:r>
                    <w:rPr>
                      <w:rFonts w:hint="eastAsia"/>
                      <w:highlight w:val="none"/>
                    </w:rPr>
                    <w:t>将按存放要求分类贮存。</w:t>
                  </w:r>
                </w:p>
              </w:tc>
              <w:tc>
                <w:tcPr>
                  <w:tcW w:w="458" w:type="pct"/>
                  <w:noWrap w:val="0"/>
                  <w:vAlign w:val="center"/>
                </w:tcPr>
                <w:p w14:paraId="6B0D6F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4D11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79" w:hRule="atLeast"/>
                <w:jc w:val="center"/>
              </w:trPr>
              <w:tc>
                <w:tcPr>
                  <w:tcW w:w="416" w:type="pct"/>
                  <w:vMerge w:val="continue"/>
                  <w:noWrap w:val="0"/>
                  <w:vAlign w:val="center"/>
                </w:tcPr>
                <w:p w14:paraId="24CAF6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311A748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液态危险废物应装入容器内贮存，或直接采用贮存池、贮存罐区贮存</w:t>
                  </w:r>
                </w:p>
              </w:tc>
              <w:tc>
                <w:tcPr>
                  <w:tcW w:w="2078" w:type="pct"/>
                  <w:noWrap w:val="0"/>
                  <w:vAlign w:val="center"/>
                </w:tcPr>
                <w:p w14:paraId="35BEDA90">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本项目</w:t>
                  </w:r>
                  <w:r>
                    <w:rPr>
                      <w:rFonts w:hint="eastAsia"/>
                      <w:highlight w:val="none"/>
                    </w:rPr>
                    <w:t>收集暂存的</w:t>
                  </w:r>
                  <w:r>
                    <w:rPr>
                      <w:highlight w:val="none"/>
                    </w:rPr>
                    <w:t>液态危险废物</w:t>
                  </w:r>
                  <w:r>
                    <w:rPr>
                      <w:rFonts w:hint="eastAsia"/>
                      <w:highlight w:val="none"/>
                    </w:rPr>
                    <w:t>将采用密封桶装，带桶一并转运。</w:t>
                  </w:r>
                </w:p>
              </w:tc>
              <w:tc>
                <w:tcPr>
                  <w:tcW w:w="458" w:type="pct"/>
                  <w:noWrap w:val="0"/>
                  <w:vAlign w:val="center"/>
                </w:tcPr>
                <w:p w14:paraId="688EF7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3A05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5" w:hRule="atLeast"/>
                <w:jc w:val="center"/>
              </w:trPr>
              <w:tc>
                <w:tcPr>
                  <w:tcW w:w="416" w:type="pct"/>
                  <w:vMerge w:val="continue"/>
                  <w:noWrap w:val="0"/>
                  <w:vAlign w:val="center"/>
                </w:tcPr>
                <w:p w14:paraId="521A53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0D2C974A">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半固态危险废物应装入容器或包装袋内贮存，或直接采用贮存池贮存。</w:t>
                  </w:r>
                </w:p>
              </w:tc>
              <w:tc>
                <w:tcPr>
                  <w:tcW w:w="2078" w:type="pct"/>
                  <w:noWrap w:val="0"/>
                  <w:vAlign w:val="center"/>
                </w:tcPr>
                <w:p w14:paraId="497CA171">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本项目</w:t>
                  </w:r>
                  <w:r>
                    <w:rPr>
                      <w:rFonts w:hint="eastAsia"/>
                      <w:highlight w:val="none"/>
                    </w:rPr>
                    <w:t>收集暂存</w:t>
                  </w:r>
                  <w:r>
                    <w:rPr>
                      <w:rFonts w:hint="eastAsia"/>
                      <w:highlight w:val="none"/>
                      <w:lang w:val="en-US" w:eastAsia="zh-CN"/>
                    </w:rPr>
                    <w:t>的实验室废液、变质或失效的药剂密闭桶存储；废活性炭、废防渗透膜、沾有油污的废旧手套、抹布分类暂存于布袋中</w:t>
                  </w:r>
                  <w:r>
                    <w:rPr>
                      <w:rFonts w:hint="eastAsia"/>
                      <w:highlight w:val="none"/>
                    </w:rPr>
                    <w:t>。</w:t>
                  </w:r>
                </w:p>
              </w:tc>
              <w:tc>
                <w:tcPr>
                  <w:tcW w:w="458" w:type="pct"/>
                  <w:noWrap w:val="0"/>
                  <w:vAlign w:val="center"/>
                </w:tcPr>
                <w:p w14:paraId="74D5AD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0A24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52CDD0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1D84EA7B">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highlight w:val="none"/>
                    </w:rPr>
                  </w:pPr>
                  <w:r>
                    <w:rPr>
                      <w:highlight w:val="none"/>
                    </w:rPr>
                    <w:t>具有热塑性的危险废物应装入容器或包装袋内进行贮存。</w:t>
                  </w:r>
                </w:p>
              </w:tc>
              <w:tc>
                <w:tcPr>
                  <w:tcW w:w="2078" w:type="pct"/>
                  <w:noWrap w:val="0"/>
                  <w:vAlign w:val="center"/>
                </w:tcPr>
                <w:p w14:paraId="42E1A85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本项目</w:t>
                  </w:r>
                  <w:r>
                    <w:rPr>
                      <w:rFonts w:hint="eastAsia"/>
                      <w:highlight w:val="none"/>
                    </w:rPr>
                    <w:t>收集暂存</w:t>
                  </w:r>
                  <w:r>
                    <w:rPr>
                      <w:rFonts w:hint="eastAsia"/>
                      <w:highlight w:val="none"/>
                      <w:lang w:val="en-US" w:eastAsia="zh-CN"/>
                    </w:rPr>
                    <w:t>的实验室废液、变质或失效的药剂密闭桶存储；废活性炭、废防渗透膜、沾有油污的废旧手套、抹布分类暂存于布袋中。</w:t>
                  </w:r>
                </w:p>
              </w:tc>
              <w:tc>
                <w:tcPr>
                  <w:tcW w:w="458" w:type="pct"/>
                  <w:noWrap w:val="0"/>
                  <w:vAlign w:val="center"/>
                </w:tcPr>
                <w:p w14:paraId="0897FC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13D3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115748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3C25FDE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易产生粉尘、VOCs、酸雾、有毒有害大气污染物和刺激性气味气体的危险废物应装入闭口容器或包装物内贮存。</w:t>
                  </w:r>
                </w:p>
              </w:tc>
              <w:tc>
                <w:tcPr>
                  <w:tcW w:w="2610" w:type="dxa"/>
                  <w:noWrap w:val="0"/>
                  <w:vAlign w:val="center"/>
                </w:tcPr>
                <w:p w14:paraId="39A3F911">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highlight w:val="none"/>
                    </w:rPr>
                  </w:pPr>
                  <w:r>
                    <w:rPr>
                      <w:rFonts w:hint="eastAsia" w:ascii="Times New Roman" w:hAnsi="Times New Roman" w:eastAsia="宋体" w:cs="Times New Roman"/>
                      <w:kern w:val="2"/>
                      <w:sz w:val="24"/>
                      <w:szCs w:val="24"/>
                      <w:highlight w:val="none"/>
                      <w:lang w:val="en-US" w:eastAsia="zh-CN" w:bidi="ar-SA"/>
                    </w:rPr>
                    <w:t>项目存储的危险废物均密闭保存，性质稳定不易挥发。不进行倒灌、分装等，因此在存储过程中正常情况下无废气排放。</w:t>
                  </w:r>
                </w:p>
              </w:tc>
              <w:tc>
                <w:tcPr>
                  <w:tcW w:w="458" w:type="pct"/>
                  <w:noWrap w:val="0"/>
                  <w:vAlign w:val="center"/>
                </w:tcPr>
                <w:p w14:paraId="762666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r w14:paraId="6339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16" w:type="pct"/>
                  <w:vMerge w:val="continue"/>
                  <w:noWrap w:val="0"/>
                  <w:vAlign w:val="center"/>
                </w:tcPr>
                <w:p w14:paraId="0E6A7A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p>
              </w:tc>
              <w:tc>
                <w:tcPr>
                  <w:tcW w:w="2046" w:type="pct"/>
                  <w:gridSpan w:val="2"/>
                  <w:noWrap w:val="0"/>
                  <w:vAlign w:val="center"/>
                </w:tcPr>
                <w:p w14:paraId="2763DD32">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highlight w:val="none"/>
                    </w:rPr>
                  </w:pPr>
                  <w:r>
                    <w:rPr>
                      <w:highlight w:val="none"/>
                    </w:rPr>
                    <w:t>危险废物贮存过程中易产生粉尘等无组织排放的，应采取抑尘等有效措施。</w:t>
                  </w:r>
                </w:p>
              </w:tc>
              <w:tc>
                <w:tcPr>
                  <w:tcW w:w="2078" w:type="pct"/>
                  <w:noWrap w:val="0"/>
                  <w:vAlign w:val="center"/>
                </w:tcPr>
                <w:p w14:paraId="2CED9404">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eastAsia="宋体"/>
                      <w:highlight w:val="none"/>
                      <w:lang w:eastAsia="zh-CN"/>
                    </w:rPr>
                  </w:pPr>
                  <w:r>
                    <w:rPr>
                      <w:rFonts w:hint="eastAsia"/>
                      <w:highlight w:val="none"/>
                    </w:rPr>
                    <w:t>本项目不涉及</w:t>
                  </w:r>
                  <w:r>
                    <w:rPr>
                      <w:highlight w:val="none"/>
                    </w:rPr>
                    <w:t>易产生粉尘</w:t>
                  </w:r>
                  <w:r>
                    <w:rPr>
                      <w:rFonts w:hint="eastAsia"/>
                      <w:highlight w:val="none"/>
                    </w:rPr>
                    <w:t>的危险废物</w:t>
                  </w:r>
                  <w:r>
                    <w:rPr>
                      <w:rFonts w:hint="eastAsia"/>
                      <w:highlight w:val="none"/>
                      <w:lang w:eastAsia="zh-CN"/>
                    </w:rPr>
                    <w:t>。</w:t>
                  </w:r>
                </w:p>
              </w:tc>
              <w:tc>
                <w:tcPr>
                  <w:tcW w:w="458" w:type="pct"/>
                  <w:noWrap w:val="0"/>
                  <w:vAlign w:val="center"/>
                </w:tcPr>
                <w:p w14:paraId="36B3FB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highlight w:val="none"/>
                    </w:rPr>
                    <w:t>符合</w:t>
                  </w:r>
                </w:p>
              </w:tc>
            </w:tr>
          </w:tbl>
          <w:p w14:paraId="682FABB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3、选址合理性分析</w:t>
            </w:r>
          </w:p>
          <w:p w14:paraId="5CBAEC11">
            <w:pPr>
              <w:keepNext w:val="0"/>
              <w:keepLines w:val="0"/>
              <w:pageBreakBefore w:val="0"/>
              <w:widowControl w:val="0"/>
              <w:kinsoku/>
              <w:wordWrap/>
              <w:overflowPunct/>
              <w:topLinePunct w:val="0"/>
              <w:autoSpaceDE/>
              <w:autoSpaceDN/>
              <w:bidi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本项目位于</w:t>
            </w:r>
            <w:r>
              <w:rPr>
                <w:rFonts w:hint="eastAsia" w:ascii="Times New Roman" w:hAnsi="Times New Roman" w:cs="Times New Roman"/>
                <w:b w:val="0"/>
                <w:bCs w:val="0"/>
                <w:sz w:val="24"/>
                <w:szCs w:val="24"/>
                <w:highlight w:val="none"/>
                <w:lang w:val="en-US" w:eastAsia="zh-CN"/>
              </w:rPr>
              <w:t>古自治区鄂尔多斯市</w:t>
            </w:r>
            <w:r>
              <w:rPr>
                <w:rFonts w:hint="eastAsia" w:cs="Times New Roman"/>
                <w:b w:val="0"/>
                <w:bCs w:val="0"/>
                <w:sz w:val="24"/>
                <w:szCs w:val="24"/>
                <w:highlight w:val="none"/>
                <w:lang w:val="en-US" w:eastAsia="zh-CN"/>
              </w:rPr>
              <w:t>伊金霍洛旗</w:t>
            </w:r>
            <w:r>
              <w:rPr>
                <w:rFonts w:hint="eastAsia" w:ascii="Times New Roman" w:hAnsi="Times New Roman" w:cs="Times New Roman"/>
                <w:b w:val="0"/>
                <w:bCs w:val="0"/>
                <w:sz w:val="24"/>
                <w:szCs w:val="24"/>
                <w:highlight w:val="none"/>
                <w:lang w:val="en-US" w:eastAsia="zh-CN"/>
              </w:rPr>
              <w:t>，</w:t>
            </w:r>
            <w:r>
              <w:rPr>
                <w:rFonts w:hint="eastAsia" w:cs="Times New Roman"/>
                <w:b w:val="0"/>
                <w:bCs w:val="0"/>
                <w:sz w:val="24"/>
                <w:szCs w:val="24"/>
                <w:highlight w:val="none"/>
                <w:lang w:val="en-US" w:eastAsia="zh-CN"/>
              </w:rPr>
              <w:t>伊金霍洛旗澎源供水有限责任公司实验室工业场地内</w:t>
            </w:r>
            <w:r>
              <w:rPr>
                <w:rFonts w:hint="default" w:ascii="Times New Roman" w:hAnsi="Times New Roman" w:cs="Times New Roman"/>
                <w:b w:val="0"/>
                <w:bCs w:val="0"/>
                <w:sz w:val="24"/>
                <w:szCs w:val="24"/>
                <w:highlight w:val="none"/>
                <w:lang w:val="en-US" w:eastAsia="zh-CN"/>
              </w:rPr>
              <w:t>建设</w:t>
            </w:r>
            <w:r>
              <w:rPr>
                <w:rFonts w:hint="default" w:ascii="Times New Roman" w:hAnsi="Times New Roman" w:cs="Times New Roman"/>
                <w:b w:val="0"/>
                <w:bCs w:val="0"/>
                <w:color w:val="auto"/>
                <w:sz w:val="24"/>
                <w:szCs w:val="24"/>
                <w:highlight w:val="none"/>
              </w:rPr>
              <w:t>，</w:t>
            </w:r>
            <w:r>
              <w:rPr>
                <w:rFonts w:hint="default" w:ascii="Times New Roman" w:hAnsi="Times New Roman" w:cs="Times New Roman"/>
                <w:b w:val="0"/>
                <w:bCs w:val="0"/>
                <w:color w:val="auto"/>
                <w:sz w:val="24"/>
                <w:szCs w:val="24"/>
                <w:highlight w:val="none"/>
                <w:lang w:val="en-US" w:eastAsia="zh-CN"/>
              </w:rPr>
              <w:t>危险废物</w:t>
            </w:r>
            <w:r>
              <w:rPr>
                <w:rFonts w:hint="default" w:ascii="Times New Roman" w:hAnsi="Times New Roman" w:cs="Times New Roman"/>
                <w:b w:val="0"/>
                <w:bCs w:val="0"/>
                <w:sz w:val="24"/>
                <w:szCs w:val="24"/>
                <w:highlight w:val="none"/>
                <w:lang w:val="en-US" w:eastAsia="zh-CN"/>
              </w:rPr>
              <w:t>贮存库占地面积</w:t>
            </w:r>
            <w:r>
              <w:rPr>
                <w:rFonts w:hint="eastAsia" w:cs="Times New Roman"/>
                <w:b w:val="0"/>
                <w:bCs w:val="0"/>
                <w:sz w:val="24"/>
                <w:szCs w:val="24"/>
                <w:highlight w:val="none"/>
                <w:lang w:val="en-US" w:eastAsia="zh-CN"/>
              </w:rPr>
              <w:t>18㎡</w:t>
            </w:r>
            <w:r>
              <w:rPr>
                <w:rFonts w:hint="default" w:ascii="Times New Roman" w:hAnsi="Times New Roman" w:cs="Times New Roman"/>
                <w:b w:val="0"/>
                <w:bCs w:val="0"/>
                <w:sz w:val="24"/>
                <w:szCs w:val="24"/>
                <w:highlight w:val="none"/>
                <w:lang w:val="en-US" w:eastAsia="zh-CN"/>
              </w:rPr>
              <w:t>，项</w:t>
            </w:r>
            <w:r>
              <w:rPr>
                <w:rFonts w:hint="default" w:ascii="Times New Roman" w:hAnsi="Times New Roman" w:cs="Times New Roman"/>
                <w:b w:val="0"/>
                <w:bCs w:val="0"/>
                <w:color w:val="auto"/>
                <w:sz w:val="24"/>
                <w:szCs w:val="24"/>
                <w:highlight w:val="none"/>
              </w:rPr>
              <w:t>目</w:t>
            </w:r>
            <w:r>
              <w:rPr>
                <w:rFonts w:hint="eastAsia" w:cs="Times New Roman"/>
                <w:b w:val="0"/>
                <w:bCs w:val="0"/>
                <w:color w:val="auto"/>
                <w:sz w:val="24"/>
                <w:szCs w:val="24"/>
                <w:highlight w:val="none"/>
                <w:lang w:eastAsia="zh-CN"/>
              </w:rPr>
              <w:t>所在</w:t>
            </w:r>
            <w:r>
              <w:rPr>
                <w:rFonts w:hint="default" w:ascii="Times New Roman" w:hAnsi="Times New Roman" w:cs="Times New Roman"/>
                <w:b w:val="0"/>
                <w:bCs w:val="0"/>
                <w:color w:val="auto"/>
                <w:sz w:val="24"/>
                <w:szCs w:val="24"/>
                <w:highlight w:val="none"/>
              </w:rPr>
              <w:t>区域无断层、地下溶洞等潜在的危害因素，地质结构相对稳定，不在易燃、易爆等危险品仓库和高压输电线路防护区域内，符合《危险废物贮存污染控制标准》（GB18597-</w:t>
            </w:r>
            <w:r>
              <w:rPr>
                <w:rFonts w:hint="default" w:ascii="Times New Roman" w:hAnsi="Times New Roman" w:cs="Times New Roman"/>
                <w:b w:val="0"/>
                <w:bCs w:val="0"/>
                <w:color w:val="auto"/>
                <w:sz w:val="24"/>
                <w:szCs w:val="24"/>
                <w:highlight w:val="none"/>
                <w:lang w:val="en-US" w:eastAsia="zh-CN"/>
              </w:rPr>
              <w:t>2023</w:t>
            </w:r>
            <w:r>
              <w:rPr>
                <w:rFonts w:hint="default" w:ascii="Times New Roman" w:hAnsi="Times New Roman" w:cs="Times New Roman"/>
                <w:b w:val="0"/>
                <w:bCs w:val="0"/>
                <w:color w:val="auto"/>
                <w:sz w:val="24"/>
                <w:szCs w:val="24"/>
                <w:highlight w:val="none"/>
              </w:rPr>
              <w:t>）中的相关规定。从环境保护的角度分析，项目选址可行</w:t>
            </w:r>
            <w:r>
              <w:rPr>
                <w:rFonts w:hint="eastAsia" w:cs="Times New Roman"/>
                <w:b w:val="0"/>
                <w:bCs w:val="0"/>
                <w:color w:val="auto"/>
                <w:sz w:val="24"/>
                <w:szCs w:val="24"/>
                <w:highlight w:val="none"/>
                <w:lang w:eastAsia="zh-CN"/>
              </w:rPr>
              <w:t>，</w:t>
            </w:r>
            <w:r>
              <w:rPr>
                <w:rFonts w:hint="eastAsia" w:cs="Times New Roman"/>
                <w:b w:val="0"/>
                <w:bCs w:val="0"/>
                <w:color w:val="auto"/>
                <w:sz w:val="24"/>
                <w:szCs w:val="24"/>
                <w:highlight w:val="none"/>
                <w:lang w:val="en-US" w:eastAsia="zh-CN"/>
              </w:rPr>
              <w:t>本项目选址合理性分析见表1-2</w:t>
            </w:r>
            <w:r>
              <w:rPr>
                <w:rFonts w:hint="default" w:ascii="Times New Roman" w:hAnsi="Times New Roman" w:cs="Times New Roman"/>
                <w:b w:val="0"/>
                <w:bCs w:val="0"/>
                <w:color w:val="auto"/>
                <w:sz w:val="24"/>
                <w:szCs w:val="24"/>
                <w:highlight w:val="none"/>
              </w:rPr>
              <w:t>。</w:t>
            </w:r>
          </w:p>
          <w:p w14:paraId="12E55D89">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left="0" w:leftChars="0" w:right="0" w:rightChars="0"/>
              <w:jc w:val="center"/>
              <w:textAlignment w:val="baseline"/>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表1-2选址合理性分析表</w:t>
            </w:r>
          </w:p>
          <w:tbl>
            <w:tblPr>
              <w:tblStyle w:val="15"/>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236"/>
              <w:gridCol w:w="3318"/>
              <w:gridCol w:w="710"/>
            </w:tblGrid>
            <w:tr w14:paraId="2960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4" w:hRule="atLeast"/>
                <w:jc w:val="center"/>
              </w:trPr>
              <w:tc>
                <w:tcPr>
                  <w:tcW w:w="1784" w:type="pct"/>
                  <w:tcBorders>
                    <w:tl2br w:val="nil"/>
                    <w:tr2bl w:val="nil"/>
                  </w:tcBorders>
                  <w:noWrap w:val="0"/>
                  <w:vAlign w:val="center"/>
                </w:tcPr>
                <w:p w14:paraId="752CEAD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条件</w:t>
                  </w:r>
                </w:p>
              </w:tc>
              <w:tc>
                <w:tcPr>
                  <w:tcW w:w="2648" w:type="pct"/>
                  <w:tcBorders>
                    <w:tl2br w:val="nil"/>
                    <w:tr2bl w:val="nil"/>
                  </w:tcBorders>
                  <w:noWrap w:val="0"/>
                  <w:vAlign w:val="center"/>
                </w:tcPr>
                <w:p w14:paraId="08DEDE77">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厂址情况</w:t>
                  </w:r>
                </w:p>
              </w:tc>
              <w:tc>
                <w:tcPr>
                  <w:tcW w:w="566" w:type="pct"/>
                  <w:tcBorders>
                    <w:tl2br w:val="nil"/>
                    <w:tr2bl w:val="nil"/>
                  </w:tcBorders>
                  <w:noWrap w:val="0"/>
                  <w:vAlign w:val="center"/>
                </w:tcPr>
                <w:p w14:paraId="6DFF029B">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结论</w:t>
                  </w:r>
                </w:p>
              </w:tc>
            </w:tr>
            <w:tr w14:paraId="6A8F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784" w:type="pct"/>
                  <w:tcBorders>
                    <w:tl2br w:val="nil"/>
                    <w:tr2bl w:val="nil"/>
                  </w:tcBorders>
                  <w:noWrap w:val="0"/>
                  <w:vAlign w:val="center"/>
                </w:tcPr>
                <w:p w14:paraId="6FDFCA25">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color w:val="auto"/>
                      <w:kern w:val="0"/>
                      <w:sz w:val="24"/>
                      <w:szCs w:val="24"/>
                      <w:highlight w:val="none"/>
                      <w:lang w:bidi="ar"/>
                    </w:rPr>
                  </w:pPr>
                  <w:r>
                    <w:rPr>
                      <w:rFonts w:hint="default" w:ascii="Times New Roman" w:hAnsi="Times New Roman" w:cs="Times New Roman"/>
                      <w:b w:val="0"/>
                      <w:bCs w:val="0"/>
                      <w:color w:val="auto"/>
                      <w:kern w:val="0"/>
                      <w:sz w:val="24"/>
                      <w:szCs w:val="24"/>
                      <w:highlight w:val="none"/>
                      <w:lang w:bidi="ar"/>
                    </w:rPr>
                    <w:t>地质结构稳定，地震烈度不超过7度的区域内</w:t>
                  </w:r>
                </w:p>
              </w:tc>
              <w:tc>
                <w:tcPr>
                  <w:tcW w:w="2648" w:type="pct"/>
                  <w:tcBorders>
                    <w:tl2br w:val="nil"/>
                    <w:tr2bl w:val="nil"/>
                  </w:tcBorders>
                  <w:noWrap w:val="0"/>
                  <w:vAlign w:val="center"/>
                </w:tcPr>
                <w:p w14:paraId="25F1349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lang w:bidi="ar"/>
                    </w:rPr>
                    <w:t>根据《中国地震动参数区划图》（GB18306-20</w:t>
                  </w:r>
                  <w:r>
                    <w:rPr>
                      <w:rFonts w:hint="default" w:ascii="Times New Roman" w:hAnsi="Times New Roman" w:cs="Times New Roman"/>
                      <w:b w:val="0"/>
                      <w:bCs w:val="0"/>
                      <w:color w:val="auto"/>
                      <w:kern w:val="0"/>
                      <w:sz w:val="24"/>
                      <w:szCs w:val="24"/>
                      <w:highlight w:val="none"/>
                      <w:lang w:val="en-US" w:eastAsia="zh-CN" w:bidi="ar"/>
                    </w:rPr>
                    <w:t>15</w:t>
                  </w:r>
                  <w:r>
                    <w:rPr>
                      <w:rFonts w:hint="default" w:ascii="Times New Roman" w:hAnsi="Times New Roman" w:cs="Times New Roman"/>
                      <w:b w:val="0"/>
                      <w:bCs w:val="0"/>
                      <w:color w:val="auto"/>
                      <w:kern w:val="0"/>
                      <w:sz w:val="24"/>
                      <w:szCs w:val="24"/>
                      <w:highlight w:val="none"/>
                      <w:lang w:bidi="ar"/>
                    </w:rPr>
                    <w:t>），该区地震动峰值加速度（g）为0.10，比照《中国地震烈度区划图（1990）》，对照烈度为7度，历史上没有发生过灾害性地震</w:t>
                  </w:r>
                </w:p>
              </w:tc>
              <w:tc>
                <w:tcPr>
                  <w:tcW w:w="566" w:type="pct"/>
                  <w:tcBorders>
                    <w:tl2br w:val="nil"/>
                    <w:tr2bl w:val="nil"/>
                  </w:tcBorders>
                  <w:noWrap w:val="0"/>
                  <w:vAlign w:val="center"/>
                </w:tcPr>
                <w:p w14:paraId="3C87EF6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符合</w:t>
                  </w:r>
                </w:p>
              </w:tc>
            </w:tr>
            <w:tr w14:paraId="3475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784" w:type="pct"/>
                  <w:tcBorders>
                    <w:tl2br w:val="nil"/>
                    <w:tr2bl w:val="nil"/>
                  </w:tcBorders>
                  <w:noWrap w:val="0"/>
                  <w:vAlign w:val="center"/>
                </w:tcPr>
                <w:p w14:paraId="6E8800D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color w:val="auto"/>
                      <w:kern w:val="0"/>
                      <w:sz w:val="24"/>
                      <w:szCs w:val="24"/>
                      <w:highlight w:val="none"/>
                      <w:lang w:bidi="ar"/>
                    </w:rPr>
                  </w:pPr>
                  <w:r>
                    <w:rPr>
                      <w:rFonts w:hint="default" w:ascii="Times New Roman" w:hAnsi="Times New Roman" w:cs="Times New Roman"/>
                      <w:b w:val="0"/>
                      <w:bCs w:val="0"/>
                      <w:color w:val="auto"/>
                      <w:kern w:val="0"/>
                      <w:sz w:val="24"/>
                      <w:szCs w:val="24"/>
                      <w:highlight w:val="none"/>
                      <w:lang w:bidi="ar"/>
                    </w:rPr>
                    <w:t>设施底部必须高于地下水最高水位</w:t>
                  </w:r>
                </w:p>
              </w:tc>
              <w:tc>
                <w:tcPr>
                  <w:tcW w:w="2648" w:type="pct"/>
                  <w:tcBorders>
                    <w:tl2br w:val="nil"/>
                    <w:tr2bl w:val="nil"/>
                  </w:tcBorders>
                  <w:noWrap w:val="0"/>
                  <w:vAlign w:val="center"/>
                </w:tcPr>
                <w:p w14:paraId="0F70C11B">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lang w:val="en-US" w:eastAsia="zh-CN" w:bidi="ar"/>
                    </w:rPr>
                    <w:t>本项目</w:t>
                  </w:r>
                  <w:r>
                    <w:rPr>
                      <w:rFonts w:hint="default" w:ascii="Times New Roman" w:hAnsi="Times New Roman" w:cs="Times New Roman"/>
                      <w:b w:val="0"/>
                      <w:bCs w:val="0"/>
                      <w:color w:val="auto"/>
                      <w:kern w:val="0"/>
                      <w:sz w:val="24"/>
                      <w:szCs w:val="24"/>
                      <w:highlight w:val="none"/>
                      <w:lang w:bidi="ar"/>
                    </w:rPr>
                    <w:t>设施底部高于地下水最高水位。</w:t>
                  </w:r>
                </w:p>
              </w:tc>
              <w:tc>
                <w:tcPr>
                  <w:tcW w:w="566" w:type="pct"/>
                  <w:tcBorders>
                    <w:tl2br w:val="nil"/>
                    <w:tr2bl w:val="nil"/>
                  </w:tcBorders>
                  <w:noWrap w:val="0"/>
                  <w:vAlign w:val="center"/>
                </w:tcPr>
                <w:p w14:paraId="27DD2E6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符合</w:t>
                  </w:r>
                </w:p>
              </w:tc>
            </w:tr>
            <w:tr w14:paraId="4975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784" w:type="pct"/>
                  <w:tcBorders>
                    <w:tl2br w:val="nil"/>
                    <w:tr2bl w:val="nil"/>
                  </w:tcBorders>
                  <w:noWrap w:val="0"/>
                  <w:vAlign w:val="center"/>
                </w:tcPr>
                <w:p w14:paraId="148AC09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lang w:bidi="ar"/>
                    </w:rPr>
                    <w:t>应依据环境影响评价结论确定危险废物集中贮存设施的位置及其与周围人群的距离</w:t>
                  </w:r>
                </w:p>
              </w:tc>
              <w:tc>
                <w:tcPr>
                  <w:tcW w:w="2648" w:type="pct"/>
                  <w:tcBorders>
                    <w:tl2br w:val="nil"/>
                    <w:tr2bl w:val="nil"/>
                  </w:tcBorders>
                  <w:noWrap w:val="0"/>
                  <w:vAlign w:val="center"/>
                </w:tcPr>
                <w:p w14:paraId="7719704D">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val="0"/>
                      <w:bCs w:val="0"/>
                      <w:kern w:val="18"/>
                      <w:sz w:val="24"/>
                      <w:szCs w:val="24"/>
                      <w:highlight w:val="yellow"/>
                      <w:lang w:val="en-US" w:eastAsia="zh-CN" w:bidi="ar-SA"/>
                    </w:rPr>
                  </w:pPr>
                  <w:r>
                    <w:rPr>
                      <w:rFonts w:hint="eastAsia" w:cs="Times New Roman"/>
                      <w:b w:val="0"/>
                      <w:bCs w:val="0"/>
                      <w:sz w:val="24"/>
                      <w:szCs w:val="24"/>
                      <w:highlight w:val="none"/>
                      <w:lang w:val="en-US" w:eastAsia="zh-CN"/>
                    </w:rPr>
                    <w:t>项目存储的危险废物均密闭保存，性质稳定不易挥发。不进行倒灌、分装等，因此在存储过程中正常情况下无废气排放。本项目周围500m范围内无</w:t>
                  </w:r>
                  <w:r>
                    <w:rPr>
                      <w:rFonts w:hint="default" w:ascii="Times New Roman" w:hAnsi="Times New Roman" w:cs="Times New Roman"/>
                      <w:b w:val="0"/>
                      <w:bCs w:val="0"/>
                      <w:sz w:val="24"/>
                      <w:szCs w:val="24"/>
                    </w:rPr>
                    <w:t>自然保护区、水源地、重点文物、珍稀动植物资源</w:t>
                  </w:r>
                  <w:r>
                    <w:rPr>
                      <w:rFonts w:hint="eastAsia" w:ascii="Times New Roman" w:hAnsi="Times New Roman" w:cs="Times New Roman"/>
                      <w:b w:val="0"/>
                      <w:bCs w:val="0"/>
                      <w:sz w:val="24"/>
                      <w:szCs w:val="24"/>
                      <w:lang w:eastAsia="zh-CN"/>
                    </w:rPr>
                    <w:t>、</w:t>
                  </w:r>
                  <w:r>
                    <w:rPr>
                      <w:rFonts w:hint="eastAsia" w:ascii="Times New Roman" w:hAnsi="Times New Roman" w:cs="Times New Roman"/>
                      <w:b w:val="0"/>
                      <w:bCs w:val="0"/>
                      <w:sz w:val="24"/>
                      <w:szCs w:val="24"/>
                      <w:lang w:val="en-US" w:eastAsia="zh-CN"/>
                    </w:rPr>
                    <w:t>居民点</w:t>
                  </w:r>
                  <w:r>
                    <w:rPr>
                      <w:rFonts w:hint="default" w:ascii="Times New Roman" w:hAnsi="Times New Roman" w:cs="Times New Roman"/>
                      <w:b w:val="0"/>
                      <w:bCs w:val="0"/>
                      <w:sz w:val="24"/>
                      <w:szCs w:val="24"/>
                    </w:rPr>
                    <w:t>等重点保护目标。</w:t>
                  </w:r>
                </w:p>
              </w:tc>
              <w:tc>
                <w:tcPr>
                  <w:tcW w:w="566" w:type="pct"/>
                  <w:tcBorders>
                    <w:tl2br w:val="nil"/>
                    <w:tr2bl w:val="nil"/>
                  </w:tcBorders>
                  <w:noWrap w:val="0"/>
                  <w:vAlign w:val="center"/>
                </w:tcPr>
                <w:p w14:paraId="38EC1C1A">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符合</w:t>
                  </w:r>
                </w:p>
              </w:tc>
            </w:tr>
            <w:tr w14:paraId="41EB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11" w:hRule="atLeast"/>
                <w:jc w:val="center"/>
              </w:trPr>
              <w:tc>
                <w:tcPr>
                  <w:tcW w:w="1784" w:type="pct"/>
                  <w:tcBorders>
                    <w:tl2br w:val="nil"/>
                    <w:tr2bl w:val="nil"/>
                  </w:tcBorders>
                  <w:noWrap w:val="0"/>
                  <w:vAlign w:val="center"/>
                </w:tcPr>
                <w:p w14:paraId="486C0382">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lang w:bidi="ar"/>
                    </w:rPr>
                    <w:t>应避免建在溶洞区或易遭受严重自然灾害如洪水、滑坡，泥石流、潮汐等影响的地区</w:t>
                  </w:r>
                </w:p>
              </w:tc>
              <w:tc>
                <w:tcPr>
                  <w:tcW w:w="2648" w:type="pct"/>
                  <w:tcBorders>
                    <w:tl2br w:val="nil"/>
                    <w:tr2bl w:val="nil"/>
                  </w:tcBorders>
                  <w:noWrap w:val="0"/>
                  <w:vAlign w:val="center"/>
                </w:tcPr>
                <w:p w14:paraId="36A0316E">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lang w:bidi="ar"/>
                    </w:rPr>
                    <w:t>不在溶洞区，区域不会遭受严重自然灾害如洪水、滑坡，泥石流、潮汐等影响</w:t>
                  </w:r>
                </w:p>
              </w:tc>
              <w:tc>
                <w:tcPr>
                  <w:tcW w:w="566" w:type="pct"/>
                  <w:tcBorders>
                    <w:tl2br w:val="nil"/>
                    <w:tr2bl w:val="nil"/>
                  </w:tcBorders>
                  <w:noWrap w:val="0"/>
                  <w:vAlign w:val="center"/>
                </w:tcPr>
                <w:p w14:paraId="7650678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符合</w:t>
                  </w:r>
                </w:p>
              </w:tc>
            </w:tr>
            <w:tr w14:paraId="750B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10" w:hRule="atLeast"/>
                <w:jc w:val="center"/>
              </w:trPr>
              <w:tc>
                <w:tcPr>
                  <w:tcW w:w="1784" w:type="pct"/>
                  <w:tcBorders>
                    <w:tl2br w:val="nil"/>
                    <w:tr2bl w:val="nil"/>
                  </w:tcBorders>
                  <w:noWrap w:val="0"/>
                  <w:vAlign w:val="center"/>
                </w:tcPr>
                <w:p w14:paraId="4033399C">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lang w:bidi="ar"/>
                    </w:rPr>
                    <w:t>应建在易燃、易爆等危险品</w:t>
                  </w:r>
                  <w:r>
                    <w:rPr>
                      <w:rFonts w:hint="default" w:ascii="Times New Roman" w:hAnsi="Times New Roman" w:cs="Times New Roman"/>
                      <w:b w:val="0"/>
                      <w:bCs w:val="0"/>
                      <w:color w:val="auto"/>
                      <w:kern w:val="0"/>
                      <w:sz w:val="24"/>
                      <w:szCs w:val="24"/>
                      <w:highlight w:val="none"/>
                      <w:lang w:eastAsia="zh-CN" w:bidi="ar"/>
                    </w:rPr>
                    <w:t>危险废物贮存库</w:t>
                  </w:r>
                  <w:r>
                    <w:rPr>
                      <w:rFonts w:hint="default" w:ascii="Times New Roman" w:hAnsi="Times New Roman" w:cs="Times New Roman"/>
                      <w:b w:val="0"/>
                      <w:bCs w:val="0"/>
                      <w:color w:val="auto"/>
                      <w:kern w:val="0"/>
                      <w:sz w:val="24"/>
                      <w:szCs w:val="24"/>
                      <w:highlight w:val="none"/>
                      <w:lang w:bidi="ar"/>
                    </w:rPr>
                    <w:t>、高压输电线路防护区域以外</w:t>
                  </w:r>
                </w:p>
              </w:tc>
              <w:tc>
                <w:tcPr>
                  <w:tcW w:w="2648" w:type="pct"/>
                  <w:tcBorders>
                    <w:tl2br w:val="nil"/>
                    <w:tr2bl w:val="nil"/>
                  </w:tcBorders>
                  <w:noWrap w:val="0"/>
                  <w:vAlign w:val="center"/>
                </w:tcPr>
                <w:p w14:paraId="3FBD33D9">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lang w:bidi="ar"/>
                    </w:rPr>
                    <w:t>仓库区附近无易燃、易爆等危险品</w:t>
                  </w:r>
                  <w:r>
                    <w:rPr>
                      <w:rFonts w:hint="default" w:ascii="Times New Roman" w:hAnsi="Times New Roman" w:cs="Times New Roman"/>
                      <w:b w:val="0"/>
                      <w:bCs w:val="0"/>
                      <w:color w:val="auto"/>
                      <w:kern w:val="0"/>
                      <w:sz w:val="24"/>
                      <w:szCs w:val="24"/>
                      <w:highlight w:val="none"/>
                      <w:lang w:eastAsia="zh-CN" w:bidi="ar"/>
                    </w:rPr>
                    <w:t>危险废物贮存库</w:t>
                  </w:r>
                  <w:r>
                    <w:rPr>
                      <w:rFonts w:hint="default" w:ascii="Times New Roman" w:hAnsi="Times New Roman" w:cs="Times New Roman"/>
                      <w:b w:val="0"/>
                      <w:bCs w:val="0"/>
                      <w:color w:val="auto"/>
                      <w:kern w:val="0"/>
                      <w:sz w:val="24"/>
                      <w:szCs w:val="24"/>
                      <w:highlight w:val="none"/>
                      <w:lang w:bidi="ar"/>
                    </w:rPr>
                    <w:t>、高压输电线路</w:t>
                  </w:r>
                </w:p>
              </w:tc>
              <w:tc>
                <w:tcPr>
                  <w:tcW w:w="566" w:type="pct"/>
                  <w:tcBorders>
                    <w:tl2br w:val="nil"/>
                    <w:tr2bl w:val="nil"/>
                  </w:tcBorders>
                  <w:noWrap w:val="0"/>
                  <w:vAlign w:val="center"/>
                </w:tcPr>
                <w:p w14:paraId="07F3236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符合</w:t>
                  </w:r>
                </w:p>
              </w:tc>
            </w:tr>
          </w:tbl>
          <w:p w14:paraId="29F98C1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4、“三线一单”符合性分析</w:t>
            </w:r>
          </w:p>
          <w:p w14:paraId="3D894B3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①生态保护红线</w:t>
            </w:r>
          </w:p>
          <w:p w14:paraId="10533A6D">
            <w:pPr>
              <w:bidi w:val="0"/>
              <w:rPr>
                <w:rFonts w:hint="default"/>
                <w:lang w:val="en-US" w:eastAsia="zh-CN"/>
              </w:rPr>
            </w:pPr>
            <w:r>
              <w:rPr>
                <w:rFonts w:hint="default" w:ascii="Times New Roman" w:hAnsi="Times New Roman" w:cs="Times New Roman"/>
                <w:b w:val="0"/>
                <w:bCs w:val="0"/>
                <w:color w:val="auto"/>
                <w:szCs w:val="24"/>
                <w:highlight w:val="none"/>
              </w:rPr>
              <w:t>根据《内蒙古自治区人民政府关于实施“三线一单”生态环境分区管控的意见》（内政发〔2020〕24号）精神，就</w:t>
            </w:r>
            <w:r>
              <w:rPr>
                <w:rFonts w:hint="default" w:ascii="Times New Roman" w:hAnsi="Times New Roman" w:cs="Times New Roman"/>
                <w:b w:val="0"/>
                <w:bCs w:val="0"/>
                <w:color w:val="auto"/>
                <w:szCs w:val="24"/>
                <w:highlight w:val="none"/>
                <w:lang w:val="en-US" w:eastAsia="zh-CN"/>
              </w:rPr>
              <w:t>鄂尔多斯</w:t>
            </w:r>
            <w:r>
              <w:rPr>
                <w:rFonts w:hint="default" w:ascii="Times New Roman" w:hAnsi="Times New Roman" w:cs="Times New Roman"/>
                <w:b w:val="0"/>
                <w:bCs w:val="0"/>
                <w:color w:val="auto"/>
                <w:szCs w:val="24"/>
                <w:highlight w:val="none"/>
              </w:rPr>
              <w:t>市落实生态保护红线、环境质量底线、资源利用上线和生态环境准入清单（下称“三线一单”），实施生态环境分区管控有关事项《鄂尔多斯市人民政府关于“三线一单”生态环境分区管控的实施意</w:t>
            </w:r>
            <w:r>
              <w:rPr>
                <w:rFonts w:hint="default"/>
              </w:rPr>
              <w:t>见》（鄂府发〔2021〕218号）</w:t>
            </w:r>
            <w:r>
              <w:rPr>
                <w:rFonts w:hint="default"/>
                <w:lang w:eastAsia="zh-CN"/>
              </w:rPr>
              <w:t>。</w:t>
            </w:r>
            <w:r>
              <w:rPr>
                <w:rFonts w:hint="default"/>
                <w:lang w:val="en-US" w:eastAsia="zh-CN"/>
              </w:rPr>
              <w:t>根据鄂尔多斯市环境管控单元图，本项目所在区域为根据《鄂尔多斯市生态环境准入清单》，本项目位于鄂尔多斯市</w:t>
            </w:r>
            <w:r>
              <w:rPr>
                <w:rFonts w:hint="eastAsia"/>
                <w:lang w:val="en-US" w:eastAsia="zh-CN"/>
              </w:rPr>
              <w:t>伊金霍洛旗</w:t>
            </w:r>
            <w:r>
              <w:rPr>
                <w:rFonts w:hint="default"/>
                <w:lang w:val="en-US" w:eastAsia="zh-CN"/>
              </w:rPr>
              <w:t>城镇边界，属于重点管控单元</w:t>
            </w:r>
            <w:r>
              <w:rPr>
                <w:rFonts w:hint="eastAsia"/>
                <w:lang w:val="en-US" w:eastAsia="zh-CN"/>
              </w:rPr>
              <w:t>。</w:t>
            </w:r>
          </w:p>
          <w:p w14:paraId="3141E768">
            <w:pPr>
              <w:bidi w:val="0"/>
              <w:rPr>
                <w:rFonts w:hint="default"/>
                <w:lang w:val="en-US" w:eastAsia="zh-CN"/>
              </w:rPr>
            </w:pPr>
            <w:r>
              <w:rPr>
                <w:rFonts w:hint="default"/>
                <w:lang w:val="en-US" w:eastAsia="zh-CN"/>
              </w:rPr>
              <w:t>本项目周边没有饮用水水源地、自然保护区、风景名胜区等生态功能重要区和生态环境敏感区。项目不在生态保护红线区范围内，符合生态保护红线要求。</w:t>
            </w:r>
          </w:p>
          <w:p w14:paraId="74F61B8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②环境质量底线</w:t>
            </w:r>
          </w:p>
          <w:p w14:paraId="0A38D72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根据</w:t>
            </w:r>
            <w:r>
              <w:rPr>
                <w:rFonts w:hint="default"/>
              </w:rPr>
              <w:t>2024年6月3日公布的2023年《内蒙古自治区生态环境状况公报》</w:t>
            </w:r>
            <w:r>
              <w:rPr>
                <w:rFonts w:hint="default" w:ascii="Times New Roman" w:hAnsi="Times New Roman" w:cs="Times New Roman"/>
                <w:b w:val="0"/>
                <w:bCs w:val="0"/>
                <w:color w:val="auto"/>
                <w:sz w:val="24"/>
                <w:szCs w:val="24"/>
                <w:highlight w:val="none"/>
                <w:lang w:val="en-US" w:eastAsia="zh-CN"/>
              </w:rPr>
              <w:t>及引用项目周边区域环境质量现状的监测结果，各污染物的平均浓度均低于《环境空气质量标准》（GB3095-2012）二级标准及其修改单限值要求，故项目评价区域环境质量较好，有一定的环境容量；本项目运营期产生的污染物较少，本项目的建设不会降低当地环境质量，不会对周边环境造成不良影响。因此，本项目建设符合环境质量底线的要求。</w:t>
            </w:r>
          </w:p>
          <w:p w14:paraId="75FD92F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③资源利用上线</w:t>
            </w:r>
          </w:p>
          <w:p w14:paraId="3C81774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项目运营过程中消耗一定量的电量，本项目资源消耗量相对区域资源总量所占比例较少，符合资源利用上线要求。</w:t>
            </w:r>
          </w:p>
          <w:p w14:paraId="571C805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rPr>
              <w:t>④生态环境准入清单</w:t>
            </w:r>
          </w:p>
          <w:p w14:paraId="052A1CB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sz w:val="24"/>
                <w:szCs w:val="24"/>
                <w:highlight w:val="none"/>
                <w:lang w:val="en-US" w:eastAsia="zh-CN"/>
              </w:rPr>
              <w:t>本项目位于内蒙古自治区鄂尔多斯市</w:t>
            </w:r>
            <w:r>
              <w:rPr>
                <w:rFonts w:hint="eastAsia" w:cs="Times New Roman"/>
                <w:b w:val="0"/>
                <w:bCs w:val="0"/>
                <w:color w:val="auto"/>
                <w:sz w:val="24"/>
                <w:szCs w:val="24"/>
                <w:highlight w:val="none"/>
                <w:lang w:val="en-US" w:eastAsia="zh-CN"/>
              </w:rPr>
              <w:t>伊金霍洛旗</w:t>
            </w:r>
            <w:r>
              <w:rPr>
                <w:rFonts w:hint="default" w:ascii="Times New Roman" w:hAnsi="Times New Roman"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伊金霍洛旗澎源供水有限责任公司实验室工业场地内建设</w:t>
            </w:r>
            <w:r>
              <w:rPr>
                <w:rFonts w:hint="default" w:ascii="Times New Roman" w:hAnsi="Times New Roman" w:cs="Times New Roman"/>
                <w:b w:val="0"/>
                <w:bCs w:val="0"/>
                <w:color w:val="auto"/>
                <w:sz w:val="24"/>
                <w:szCs w:val="24"/>
                <w:highlight w:val="none"/>
                <w:lang w:val="en-US" w:eastAsia="zh-CN"/>
              </w:rPr>
              <w:t>内，</w:t>
            </w:r>
            <w:r>
              <w:rPr>
                <w:rFonts w:hint="eastAsia" w:cs="Times New Roman"/>
                <w:b w:val="0"/>
                <w:bCs w:val="0"/>
                <w:color w:val="auto"/>
                <w:sz w:val="24"/>
                <w:szCs w:val="24"/>
                <w:highlight w:val="none"/>
                <w:lang w:val="en-US" w:eastAsia="zh-CN"/>
              </w:rPr>
              <w:t>伊金霍洛旗</w:t>
            </w:r>
            <w:r>
              <w:rPr>
                <w:rFonts w:hint="default" w:ascii="Times New Roman" w:hAnsi="Times New Roman" w:cs="Times New Roman"/>
                <w:b w:val="0"/>
                <w:bCs w:val="0"/>
                <w:color w:val="auto"/>
                <w:sz w:val="24"/>
                <w:szCs w:val="24"/>
                <w:highlight w:val="none"/>
                <w:lang w:val="en-US" w:eastAsia="zh-CN"/>
              </w:rPr>
              <w:t>不在《内蒙古自治区国家重点生态功能区产业准入负面清单（试行）的通知》（内政发</w:t>
            </w:r>
            <w:r>
              <w:rPr>
                <w:rFonts w:hint="default" w:ascii="Times New Roman" w:hAnsi="Times New Roman" w:cs="Times New Roman"/>
                <w:b w:val="0"/>
                <w:bCs w:val="0"/>
                <w:color w:val="auto"/>
                <w:sz w:val="24"/>
                <w:szCs w:val="24"/>
                <w:highlight w:val="none"/>
              </w:rPr>
              <w:t>〔20</w:t>
            </w:r>
            <w:r>
              <w:rPr>
                <w:rFonts w:hint="default" w:ascii="Times New Roman" w:hAnsi="Times New Roman" w:cs="Times New Roman"/>
                <w:b w:val="0"/>
                <w:bCs w:val="0"/>
                <w:color w:val="auto"/>
                <w:sz w:val="24"/>
                <w:szCs w:val="24"/>
                <w:highlight w:val="none"/>
                <w:lang w:val="en-US" w:eastAsia="zh-CN"/>
              </w:rPr>
              <w:t>18</w:t>
            </w:r>
            <w:r>
              <w:rPr>
                <w:rFonts w:hint="default" w:ascii="Times New Roman" w:hAnsi="Times New Roman" w:cs="Times New Roman"/>
                <w:b w:val="0"/>
                <w:bCs w:val="0"/>
                <w:color w:val="auto"/>
                <w:sz w:val="24"/>
                <w:szCs w:val="24"/>
                <w:highlight w:val="none"/>
              </w:rPr>
              <w:t>〕</w:t>
            </w:r>
            <w:r>
              <w:rPr>
                <w:rFonts w:hint="default" w:ascii="Times New Roman" w:hAnsi="Times New Roman" w:cs="Times New Roman"/>
                <w:b w:val="0"/>
                <w:bCs w:val="0"/>
                <w:color w:val="auto"/>
                <w:sz w:val="24"/>
                <w:szCs w:val="24"/>
                <w:highlight w:val="none"/>
                <w:lang w:val="en-US" w:eastAsia="zh-CN"/>
              </w:rPr>
              <w:t>11号）中的43个旗县中。</w:t>
            </w:r>
          </w:p>
          <w:p w14:paraId="5E146EC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根据《鄂尔多斯市人民政府关于“三线一单”生态环境分区管控的实施意见》鄂府发〔2021〕218号）基于生态保护红线、环境质量底线、资源利用上线，充分吸纳整合已有相关规划、功能区划、行动计划等要求，从空间布局约束、污染物排放管控、环境风险防控和资源利用效率等方面明确生态环境准入要求，建立两级生态环境准入清单管控体系（即1个鄂尔多斯市总体准入清单、163个环境管控单元准入清单）。</w:t>
            </w:r>
          </w:p>
          <w:p w14:paraId="5E994750">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lang w:val="en-US" w:eastAsia="zh-CN"/>
              </w:rPr>
              <w:t>根据鄂尔多斯市生态环境管控分区图（见图1-1），项目地属于重点管控单元。</w:t>
            </w:r>
            <w:r>
              <w:rPr>
                <w:rFonts w:hint="default" w:ascii="Times New Roman" w:hAnsi="Times New Roman" w:cs="Times New Roman"/>
                <w:b w:val="0"/>
                <w:bCs w:val="0"/>
                <w:color w:val="auto"/>
                <w:sz w:val="24"/>
                <w:szCs w:val="24"/>
                <w:highlight w:val="none"/>
                <w:lang w:val="en-US" w:eastAsia="zh-CN"/>
              </w:rPr>
              <w:t>根据《鄂尔多斯市生态环境准入清单》中“三、鄂尔多斯市</w:t>
            </w:r>
            <w:r>
              <w:rPr>
                <w:rFonts w:hint="eastAsia" w:cs="Times New Roman"/>
                <w:b w:val="0"/>
                <w:bCs w:val="0"/>
                <w:color w:val="auto"/>
                <w:sz w:val="24"/>
                <w:szCs w:val="24"/>
                <w:highlight w:val="none"/>
                <w:lang w:val="en-US" w:eastAsia="zh-CN"/>
              </w:rPr>
              <w:t>伊金霍洛旗</w:t>
            </w:r>
            <w:r>
              <w:rPr>
                <w:rFonts w:hint="default" w:ascii="Times New Roman" w:hAnsi="Times New Roman" w:cs="Times New Roman"/>
                <w:b w:val="0"/>
                <w:bCs w:val="0"/>
                <w:color w:val="auto"/>
                <w:sz w:val="24"/>
                <w:szCs w:val="24"/>
                <w:highlight w:val="none"/>
                <w:lang w:val="en-US" w:eastAsia="zh-CN"/>
              </w:rPr>
              <w:t>生态环境准入清单”，</w:t>
            </w:r>
            <w:r>
              <w:rPr>
                <w:rFonts w:hint="eastAsia" w:cs="Times New Roman"/>
                <w:b w:val="0"/>
                <w:bCs w:val="0"/>
                <w:color w:val="auto"/>
                <w:sz w:val="24"/>
                <w:szCs w:val="24"/>
                <w:highlight w:val="none"/>
                <w:lang w:val="en-US" w:eastAsia="zh-CN"/>
              </w:rPr>
              <w:t>“伊金霍洛旗</w:t>
            </w:r>
            <w:r>
              <w:rPr>
                <w:rFonts w:hint="default" w:ascii="Times New Roman" w:hAnsi="Times New Roman" w:cs="Times New Roman"/>
                <w:b w:val="0"/>
                <w:bCs w:val="0"/>
                <w:color w:val="auto"/>
                <w:sz w:val="24"/>
                <w:szCs w:val="24"/>
                <w:highlight w:val="none"/>
                <w:lang w:val="en-US" w:eastAsia="zh-CN"/>
              </w:rPr>
              <w:t>城镇边界</w:t>
            </w:r>
            <w:r>
              <w:rPr>
                <w:rFonts w:hint="eastAsia"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项目地管控单元编码为ZH1506</w:t>
            </w:r>
            <w:r>
              <w:rPr>
                <w:rFonts w:hint="eastAsia" w:cs="Times New Roman"/>
                <w:b w:val="0"/>
                <w:bCs w:val="0"/>
                <w:color w:val="auto"/>
                <w:sz w:val="24"/>
                <w:szCs w:val="24"/>
                <w:highlight w:val="none"/>
                <w:lang w:val="en-US" w:eastAsia="zh-CN"/>
              </w:rPr>
              <w:t>2720013</w:t>
            </w:r>
            <w:r>
              <w:rPr>
                <w:rFonts w:hint="default" w:ascii="Times New Roman" w:hAnsi="Times New Roman" w:cs="Times New Roman"/>
                <w:b w:val="0"/>
                <w:bCs w:val="0"/>
                <w:color w:val="auto"/>
                <w:sz w:val="24"/>
                <w:szCs w:val="24"/>
                <w:highlight w:val="none"/>
                <w:lang w:val="en-US" w:eastAsia="zh-CN"/>
              </w:rPr>
              <w:t>，重点管控单元</w:t>
            </w:r>
            <w:r>
              <w:rPr>
                <w:rFonts w:hint="eastAsia" w:ascii="Times New Roman" w:hAnsi="Times New Roman" w:cs="Times New Roman"/>
                <w:b w:val="0"/>
                <w:bCs w:val="0"/>
                <w:color w:val="auto"/>
                <w:sz w:val="24"/>
                <w:szCs w:val="24"/>
                <w:highlight w:val="none"/>
                <w:lang w:val="en-US" w:eastAsia="zh-CN"/>
              </w:rPr>
              <w:t>，本项目与该单元管控要求符合性分析见下表。</w:t>
            </w:r>
            <w:r>
              <w:rPr>
                <w:rFonts w:hint="default" w:ascii="Times New Roman" w:hAnsi="Times New Roman" w:cs="Times New Roman"/>
                <w:b w:val="0"/>
                <w:bCs w:val="0"/>
                <w:color w:val="auto"/>
                <w:sz w:val="24"/>
                <w:szCs w:val="24"/>
                <w:highlight w:val="none"/>
                <w:lang w:val="en-US" w:eastAsia="zh-CN"/>
              </w:rPr>
              <w:t>符合性分析见表1-3。</w:t>
            </w:r>
          </w:p>
          <w:p w14:paraId="55B05F60">
            <w:pPr>
              <w:pStyle w:val="11"/>
              <w:keepNext w:val="0"/>
              <w:keepLines w:val="0"/>
              <w:pageBreakBefore w:val="0"/>
              <w:kinsoku/>
              <w:wordWrap/>
              <w:overflowPunct/>
              <w:topLinePunct w:val="0"/>
              <w:bidi w:val="0"/>
              <w:spacing w:line="360" w:lineRule="auto"/>
              <w:ind w:left="0" w:leftChars="0" w:right="0" w:rightChars="0"/>
              <w:jc w:val="cente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表1-3</w:t>
            </w:r>
            <w:r>
              <w:rPr>
                <w:rFonts w:hint="default" w:ascii="Times New Roman" w:hAnsi="Times New Roman" w:cs="Times New Roman"/>
                <w:b/>
                <w:bCs/>
                <w:color w:val="auto"/>
                <w:sz w:val="24"/>
                <w:szCs w:val="24"/>
              </w:rPr>
              <w:t>与《鄂尔多斯市生态环境准入清单》符合性分析</w:t>
            </w:r>
          </w:p>
          <w:tbl>
            <w:tblPr>
              <w:tblStyle w:val="15"/>
              <w:tblW w:w="6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2"/>
              <w:gridCol w:w="1080"/>
              <w:gridCol w:w="940"/>
              <w:gridCol w:w="929"/>
              <w:gridCol w:w="541"/>
              <w:gridCol w:w="410"/>
              <w:gridCol w:w="1315"/>
            </w:tblGrid>
            <w:tr w14:paraId="5E62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62" w:type="dxa"/>
                  <w:vMerge w:val="restart"/>
                  <w:tcBorders>
                    <w:tl2br w:val="nil"/>
                    <w:tr2bl w:val="nil"/>
                  </w:tcBorders>
                  <w:noWrap w:val="0"/>
                  <w:vAlign w:val="center"/>
                </w:tcPr>
                <w:p w14:paraId="24A280B9">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环境管控单元编码</w:t>
                  </w:r>
                </w:p>
              </w:tc>
              <w:tc>
                <w:tcPr>
                  <w:tcW w:w="1080" w:type="dxa"/>
                  <w:vMerge w:val="restart"/>
                  <w:tcBorders>
                    <w:tl2br w:val="nil"/>
                    <w:tr2bl w:val="nil"/>
                  </w:tcBorders>
                  <w:noWrap w:val="0"/>
                  <w:vAlign w:val="center"/>
                </w:tcPr>
                <w:p w14:paraId="6306C41B">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环境管控单元名称</w:t>
                  </w:r>
                </w:p>
              </w:tc>
              <w:tc>
                <w:tcPr>
                  <w:tcW w:w="2820" w:type="dxa"/>
                  <w:gridSpan w:val="4"/>
                  <w:tcBorders>
                    <w:tl2br w:val="nil"/>
                    <w:tr2bl w:val="nil"/>
                  </w:tcBorders>
                  <w:noWrap w:val="0"/>
                  <w:vAlign w:val="center"/>
                </w:tcPr>
                <w:p w14:paraId="3E3627ED">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行政区划</w:t>
                  </w:r>
                </w:p>
              </w:tc>
              <w:tc>
                <w:tcPr>
                  <w:tcW w:w="1315" w:type="dxa"/>
                  <w:vMerge w:val="restart"/>
                  <w:tcBorders>
                    <w:tl2br w:val="nil"/>
                    <w:tr2bl w:val="nil"/>
                  </w:tcBorders>
                  <w:noWrap w:val="0"/>
                  <w:vAlign w:val="center"/>
                </w:tcPr>
                <w:p w14:paraId="2DB1EA41">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管控单元分类</w:t>
                  </w:r>
                </w:p>
              </w:tc>
            </w:tr>
            <w:tr w14:paraId="7055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1162" w:type="dxa"/>
                  <w:vMerge w:val="continue"/>
                  <w:tcBorders>
                    <w:tl2br w:val="nil"/>
                    <w:tr2bl w:val="nil"/>
                  </w:tcBorders>
                  <w:noWrap w:val="0"/>
                  <w:vAlign w:val="center"/>
                </w:tcPr>
                <w:p w14:paraId="04ED5016">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p>
              </w:tc>
              <w:tc>
                <w:tcPr>
                  <w:tcW w:w="1080" w:type="dxa"/>
                  <w:vMerge w:val="continue"/>
                  <w:tcBorders>
                    <w:tl2br w:val="nil"/>
                    <w:tr2bl w:val="nil"/>
                  </w:tcBorders>
                  <w:noWrap w:val="0"/>
                  <w:vAlign w:val="center"/>
                </w:tcPr>
                <w:p w14:paraId="46012453">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p>
              </w:tc>
              <w:tc>
                <w:tcPr>
                  <w:tcW w:w="940" w:type="dxa"/>
                  <w:tcBorders>
                    <w:tl2br w:val="nil"/>
                    <w:tr2bl w:val="nil"/>
                  </w:tcBorders>
                  <w:noWrap w:val="0"/>
                  <w:vAlign w:val="center"/>
                </w:tcPr>
                <w:p w14:paraId="39824BA7">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省</w:t>
                  </w:r>
                </w:p>
              </w:tc>
              <w:tc>
                <w:tcPr>
                  <w:tcW w:w="929" w:type="dxa"/>
                  <w:tcBorders>
                    <w:tl2br w:val="nil"/>
                    <w:tr2bl w:val="nil"/>
                  </w:tcBorders>
                  <w:noWrap w:val="0"/>
                  <w:vAlign w:val="center"/>
                </w:tcPr>
                <w:p w14:paraId="5EB1EC1C">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市</w:t>
                  </w:r>
                </w:p>
              </w:tc>
              <w:tc>
                <w:tcPr>
                  <w:tcW w:w="951" w:type="dxa"/>
                  <w:gridSpan w:val="2"/>
                  <w:tcBorders>
                    <w:tl2br w:val="nil"/>
                    <w:tr2bl w:val="nil"/>
                  </w:tcBorders>
                  <w:noWrap w:val="0"/>
                  <w:vAlign w:val="center"/>
                </w:tcPr>
                <w:p w14:paraId="7753F663">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区</w:t>
                  </w:r>
                </w:p>
              </w:tc>
              <w:tc>
                <w:tcPr>
                  <w:tcW w:w="1315" w:type="dxa"/>
                  <w:vMerge w:val="continue"/>
                  <w:tcBorders>
                    <w:tl2br w:val="nil"/>
                    <w:tr2bl w:val="nil"/>
                  </w:tcBorders>
                  <w:noWrap w:val="0"/>
                  <w:vAlign w:val="center"/>
                </w:tcPr>
                <w:p w14:paraId="76890F81">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p>
              </w:tc>
            </w:tr>
            <w:tr w14:paraId="0ACB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162" w:type="dxa"/>
                  <w:tcBorders>
                    <w:tl2br w:val="nil"/>
                    <w:tr2bl w:val="nil"/>
                  </w:tcBorders>
                  <w:noWrap w:val="0"/>
                  <w:vAlign w:val="center"/>
                </w:tcPr>
                <w:p w14:paraId="5175E96D">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eastAsia="宋体" w:cs="Times New Roman"/>
                      <w:b w:val="0"/>
                      <w:bCs w:val="0"/>
                      <w:color w:val="auto"/>
                      <w:sz w:val="22"/>
                      <w:szCs w:val="22"/>
                      <w:highlight w:val="none"/>
                      <w:lang w:val="en-US" w:eastAsia="zh-CN"/>
                    </w:rPr>
                  </w:pPr>
                  <w:r>
                    <w:rPr>
                      <w:rFonts w:hint="default" w:ascii="Times New Roman" w:hAnsi="Times New Roman" w:eastAsia="宋体" w:cs="Times New Roman"/>
                      <w:b w:val="0"/>
                      <w:bCs w:val="0"/>
                      <w:color w:val="auto"/>
                      <w:sz w:val="22"/>
                      <w:szCs w:val="22"/>
                      <w:highlight w:val="none"/>
                      <w:lang w:val="en-US" w:eastAsia="zh-CN"/>
                    </w:rPr>
                    <w:t>ZH15062720013</w:t>
                  </w:r>
                </w:p>
              </w:tc>
              <w:tc>
                <w:tcPr>
                  <w:tcW w:w="1080" w:type="dxa"/>
                  <w:tcBorders>
                    <w:tl2br w:val="nil"/>
                    <w:tr2bl w:val="nil"/>
                  </w:tcBorders>
                  <w:noWrap w:val="0"/>
                  <w:vAlign w:val="center"/>
                </w:tcPr>
                <w:p w14:paraId="439D38AF">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eastAsia="宋体"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伊金霍洛旗</w:t>
                  </w:r>
                  <w:r>
                    <w:rPr>
                      <w:rFonts w:hint="default" w:ascii="Times New Roman" w:hAnsi="Times New Roman" w:eastAsia="宋体" w:cs="Times New Roman"/>
                      <w:b w:val="0"/>
                      <w:bCs w:val="0"/>
                      <w:color w:val="auto"/>
                      <w:sz w:val="22"/>
                      <w:szCs w:val="22"/>
                      <w:highlight w:val="none"/>
                      <w:lang w:val="en-US" w:eastAsia="zh-CN"/>
                    </w:rPr>
                    <w:t>城镇边界</w:t>
                  </w:r>
                </w:p>
              </w:tc>
              <w:tc>
                <w:tcPr>
                  <w:tcW w:w="940" w:type="dxa"/>
                  <w:tcBorders>
                    <w:tl2br w:val="nil"/>
                    <w:tr2bl w:val="nil"/>
                  </w:tcBorders>
                  <w:noWrap w:val="0"/>
                  <w:vAlign w:val="center"/>
                </w:tcPr>
                <w:p w14:paraId="400A1371">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eastAsia="宋体"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内蒙古自治区</w:t>
                  </w:r>
                </w:p>
              </w:tc>
              <w:tc>
                <w:tcPr>
                  <w:tcW w:w="929" w:type="dxa"/>
                  <w:tcBorders>
                    <w:tl2br w:val="nil"/>
                    <w:tr2bl w:val="nil"/>
                  </w:tcBorders>
                  <w:noWrap w:val="0"/>
                  <w:vAlign w:val="center"/>
                </w:tcPr>
                <w:p w14:paraId="33ECF477">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eastAsia" w:ascii="Times New Roman" w:hAnsi="Times New Roman" w:eastAsia="宋体"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鄂尔多斯市</w:t>
                  </w:r>
                </w:p>
              </w:tc>
              <w:tc>
                <w:tcPr>
                  <w:tcW w:w="951" w:type="dxa"/>
                  <w:gridSpan w:val="2"/>
                  <w:tcBorders>
                    <w:tl2br w:val="nil"/>
                    <w:tr2bl w:val="nil"/>
                  </w:tcBorders>
                  <w:noWrap w:val="0"/>
                  <w:vAlign w:val="center"/>
                </w:tcPr>
                <w:p w14:paraId="6445EBC1">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eastAsia="宋体"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伊金霍洛旗</w:t>
                  </w:r>
                </w:p>
              </w:tc>
              <w:tc>
                <w:tcPr>
                  <w:tcW w:w="1315" w:type="dxa"/>
                  <w:tcBorders>
                    <w:tl2br w:val="nil"/>
                    <w:tr2bl w:val="nil"/>
                  </w:tcBorders>
                  <w:noWrap w:val="0"/>
                  <w:vAlign w:val="center"/>
                </w:tcPr>
                <w:p w14:paraId="6DB42E1C">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eastAsia="宋体"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重点管控单元</w:t>
                  </w:r>
                </w:p>
              </w:tc>
            </w:tr>
            <w:tr w14:paraId="42AE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162" w:type="dxa"/>
                  <w:tcBorders>
                    <w:tl2br w:val="nil"/>
                    <w:tr2bl w:val="nil"/>
                  </w:tcBorders>
                  <w:noWrap w:val="0"/>
                  <w:vAlign w:val="center"/>
                </w:tcPr>
                <w:p w14:paraId="00A3FDE1">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管控维度</w:t>
                  </w:r>
                </w:p>
              </w:tc>
              <w:tc>
                <w:tcPr>
                  <w:tcW w:w="3490" w:type="dxa"/>
                  <w:gridSpan w:val="4"/>
                  <w:tcBorders>
                    <w:tl2br w:val="nil"/>
                    <w:tr2bl w:val="nil"/>
                  </w:tcBorders>
                  <w:noWrap w:val="0"/>
                  <w:vAlign w:val="center"/>
                </w:tcPr>
                <w:p w14:paraId="6210B129">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管控要求</w:t>
                  </w:r>
                </w:p>
              </w:tc>
              <w:tc>
                <w:tcPr>
                  <w:tcW w:w="1725" w:type="dxa"/>
                  <w:gridSpan w:val="2"/>
                  <w:tcBorders>
                    <w:tl2br w:val="nil"/>
                    <w:tr2bl w:val="nil"/>
                  </w:tcBorders>
                  <w:noWrap w:val="0"/>
                  <w:vAlign w:val="center"/>
                </w:tcPr>
                <w:p w14:paraId="66659A58">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符合性分析</w:t>
                  </w:r>
                </w:p>
              </w:tc>
            </w:tr>
            <w:tr w14:paraId="7AF2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8" w:hRule="atLeast"/>
                <w:jc w:val="center"/>
              </w:trPr>
              <w:tc>
                <w:tcPr>
                  <w:tcW w:w="1162" w:type="dxa"/>
                  <w:tcBorders>
                    <w:tl2br w:val="nil"/>
                    <w:tr2bl w:val="nil"/>
                  </w:tcBorders>
                  <w:noWrap w:val="0"/>
                  <w:vAlign w:val="center"/>
                </w:tcPr>
                <w:p w14:paraId="328B9D3C">
                  <w:pPr>
                    <w:pStyle w:val="4"/>
                    <w:keepNext w:val="0"/>
                    <w:keepLines w:val="0"/>
                    <w:pageBreakBefore w:val="0"/>
                    <w:kinsoku/>
                    <w:wordWrap/>
                    <w:overflowPunct/>
                    <w:topLinePunct w:val="0"/>
                    <w:bidi w:val="0"/>
                    <w:spacing w:line="240" w:lineRule="auto"/>
                    <w:ind w:left="0" w:leftChars="0" w:right="0" w:rightChars="0" w:firstLine="0" w:firstLineChars="0"/>
                    <w:jc w:val="both"/>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空间布局约束</w:t>
                  </w:r>
                </w:p>
              </w:tc>
              <w:tc>
                <w:tcPr>
                  <w:tcW w:w="3490" w:type="dxa"/>
                  <w:gridSpan w:val="4"/>
                  <w:tcBorders>
                    <w:tl2br w:val="nil"/>
                    <w:tr2bl w:val="nil"/>
                  </w:tcBorders>
                  <w:noWrap w:val="0"/>
                  <w:vAlign w:val="center"/>
                </w:tcPr>
                <w:p w14:paraId="35069C6B">
                  <w:pPr>
                    <w:keepNext w:val="0"/>
                    <w:keepLines w:val="0"/>
                    <w:pageBreakBefore w:val="0"/>
                    <w:kinsoku/>
                    <w:wordWrap/>
                    <w:overflowPunct/>
                    <w:topLinePunct w:val="0"/>
                    <w:autoSpaceDE w:val="0"/>
                    <w:autoSpaceDN w:val="0"/>
                    <w:bidi w:val="0"/>
                    <w:spacing w:line="240" w:lineRule="auto"/>
                    <w:ind w:left="0" w:leftChars="0" w:right="0" w:rightChars="0" w:firstLine="0" w:firstLineChars="0"/>
                    <w:jc w:val="left"/>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lang w:val="en-US" w:eastAsia="zh-CN"/>
                    </w:rPr>
                    <w:t>1.严控新建、扩建高污染、高耗水、高耗能项目。</w:t>
                  </w:r>
                </w:p>
                <w:p w14:paraId="16226EAC">
                  <w:pPr>
                    <w:keepNext w:val="0"/>
                    <w:keepLines w:val="0"/>
                    <w:pageBreakBefore w:val="0"/>
                    <w:kinsoku/>
                    <w:wordWrap/>
                    <w:overflowPunct/>
                    <w:topLinePunct w:val="0"/>
                    <w:autoSpaceDE w:val="0"/>
                    <w:autoSpaceDN w:val="0"/>
                    <w:bidi w:val="0"/>
                    <w:spacing w:line="240" w:lineRule="auto"/>
                    <w:ind w:left="0" w:leftChars="0" w:right="0" w:rightChars="0" w:firstLine="0" w:firstLineChars="0"/>
                    <w:jc w:val="left"/>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lang w:val="en-US" w:eastAsia="zh-CN"/>
                    </w:rPr>
                    <w:t>2.城市建成区禁止新建35蒸吨/小时以下燃煤锅炉。</w:t>
                  </w:r>
                </w:p>
                <w:p w14:paraId="39C3E9A1">
                  <w:pPr>
                    <w:keepNext w:val="0"/>
                    <w:keepLines w:val="0"/>
                    <w:pageBreakBefore w:val="0"/>
                    <w:kinsoku/>
                    <w:wordWrap/>
                    <w:overflowPunct/>
                    <w:topLinePunct w:val="0"/>
                    <w:autoSpaceDE w:val="0"/>
                    <w:autoSpaceDN w:val="0"/>
                    <w:bidi w:val="0"/>
                    <w:spacing w:line="240" w:lineRule="auto"/>
                    <w:ind w:left="0" w:leftChars="0" w:right="0" w:rightChars="0" w:firstLine="0" w:firstLineChars="0"/>
                    <w:jc w:val="left"/>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lang w:val="en-US" w:eastAsia="zh-CN"/>
                    </w:rPr>
                    <w:t>3.禁止在居民区和学校、医院、疗养院、养老院等单位周边新建、改建、扩建可能造成土壤污染的建设项目。禁止在人口聚居区域内新（改、扩）建涉重金属及恶臭气体排放企业。</w:t>
                  </w:r>
                </w:p>
              </w:tc>
              <w:tc>
                <w:tcPr>
                  <w:tcW w:w="1725" w:type="dxa"/>
                  <w:gridSpan w:val="2"/>
                  <w:tcBorders>
                    <w:tl2br w:val="nil"/>
                    <w:tr2bl w:val="nil"/>
                  </w:tcBorders>
                  <w:noWrap w:val="0"/>
                  <w:vAlign w:val="center"/>
                </w:tcPr>
                <w:p w14:paraId="46BFEF39">
                  <w:pPr>
                    <w:pStyle w:val="4"/>
                    <w:keepNext w:val="0"/>
                    <w:keepLines w:val="0"/>
                    <w:pageBreakBefore w:val="0"/>
                    <w:kinsoku/>
                    <w:wordWrap/>
                    <w:overflowPunct/>
                    <w:topLinePunct w:val="0"/>
                    <w:bidi w:val="0"/>
                    <w:spacing w:line="240" w:lineRule="auto"/>
                    <w:ind w:left="0" w:leftChars="0" w:right="0" w:rightChars="0" w:firstLine="0" w:firstLineChars="0"/>
                    <w:jc w:val="both"/>
                    <w:rPr>
                      <w:rFonts w:hint="eastAsia"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1.本项目不涉及</w:t>
                  </w:r>
                </w:p>
                <w:p w14:paraId="7966B228">
                  <w:pPr>
                    <w:pStyle w:val="4"/>
                    <w:keepNext w:val="0"/>
                    <w:keepLines w:val="0"/>
                    <w:pageBreakBefore w:val="0"/>
                    <w:kinsoku/>
                    <w:wordWrap/>
                    <w:overflowPunct/>
                    <w:topLinePunct w:val="0"/>
                    <w:bidi w:val="0"/>
                    <w:spacing w:line="240" w:lineRule="auto"/>
                    <w:ind w:left="0" w:leftChars="0" w:right="0" w:rightChars="0" w:firstLine="0" w:firstLineChars="0"/>
                    <w:jc w:val="both"/>
                    <w:rPr>
                      <w:rFonts w:hint="eastAsia"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2.本项目不涉及</w:t>
                  </w:r>
                </w:p>
                <w:p w14:paraId="29636C52">
                  <w:pPr>
                    <w:pStyle w:val="4"/>
                    <w:keepNext w:val="0"/>
                    <w:keepLines w:val="0"/>
                    <w:pageBreakBefore w:val="0"/>
                    <w:kinsoku/>
                    <w:wordWrap/>
                    <w:overflowPunct/>
                    <w:topLinePunct w:val="0"/>
                    <w:bidi w:val="0"/>
                    <w:spacing w:line="240" w:lineRule="auto"/>
                    <w:ind w:left="0" w:leftChars="0" w:right="0" w:rightChars="0" w:firstLine="0" w:firstLineChars="0"/>
                    <w:jc w:val="both"/>
                    <w:rPr>
                      <w:rFonts w:hint="default" w:ascii="Times New Roman" w:hAnsi="Times New Roman" w:eastAsia="宋体"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3.本项目周边无居民区和学校、医院、疗养院、养老院等单位</w:t>
                  </w:r>
                </w:p>
              </w:tc>
            </w:tr>
            <w:tr w14:paraId="4693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2" w:hRule="atLeast"/>
                <w:jc w:val="center"/>
              </w:trPr>
              <w:tc>
                <w:tcPr>
                  <w:tcW w:w="1162" w:type="dxa"/>
                  <w:tcBorders>
                    <w:tl2br w:val="nil"/>
                    <w:tr2bl w:val="nil"/>
                  </w:tcBorders>
                  <w:noWrap w:val="0"/>
                  <w:vAlign w:val="center"/>
                </w:tcPr>
                <w:p w14:paraId="488BAF11">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污染物排放管控</w:t>
                  </w:r>
                </w:p>
              </w:tc>
              <w:tc>
                <w:tcPr>
                  <w:tcW w:w="3490" w:type="dxa"/>
                  <w:gridSpan w:val="4"/>
                  <w:tcBorders>
                    <w:tl2br w:val="nil"/>
                    <w:tr2bl w:val="nil"/>
                  </w:tcBorders>
                  <w:noWrap w:val="0"/>
                  <w:vAlign w:val="center"/>
                </w:tcPr>
                <w:p w14:paraId="216ABB86">
                  <w:pPr>
                    <w:keepNext w:val="0"/>
                    <w:keepLines w:val="0"/>
                    <w:pageBreakBefore w:val="0"/>
                    <w:tabs>
                      <w:tab w:val="left" w:pos="1021"/>
                    </w:tabs>
                    <w:kinsoku/>
                    <w:wordWrap/>
                    <w:overflowPunct/>
                    <w:topLinePunct w:val="0"/>
                    <w:bidi w:val="0"/>
                    <w:adjustRightInd w:val="0"/>
                    <w:snapToGrid w:val="0"/>
                    <w:spacing w:line="240" w:lineRule="auto"/>
                    <w:ind w:left="0" w:leftChars="0" w:right="0" w:rightChars="0" w:firstLine="0" w:firstLineChars="0"/>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lang w:val="en-US" w:eastAsia="zh-CN"/>
                    </w:rPr>
                    <w:t>1.提升城镇生活污水收集管网覆盖率，逐步实施雨污管网分流改造、管网更新、破损修复改、中水回用等工程。城镇生活污水实现“应收尽收、应处尽处”。</w:t>
                  </w:r>
                </w:p>
                <w:p w14:paraId="6178681B">
                  <w:pPr>
                    <w:keepNext w:val="0"/>
                    <w:keepLines w:val="0"/>
                    <w:pageBreakBefore w:val="0"/>
                    <w:tabs>
                      <w:tab w:val="left" w:pos="1021"/>
                    </w:tabs>
                    <w:kinsoku/>
                    <w:wordWrap/>
                    <w:overflowPunct/>
                    <w:topLinePunct w:val="0"/>
                    <w:bidi w:val="0"/>
                    <w:adjustRightInd w:val="0"/>
                    <w:snapToGrid w:val="0"/>
                    <w:spacing w:line="240" w:lineRule="auto"/>
                    <w:ind w:left="0" w:leftChars="0" w:right="0" w:rightChars="0" w:firstLine="0" w:firstLineChars="0"/>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lang w:val="en-US" w:eastAsia="zh-CN"/>
                    </w:rPr>
                    <w:t>2.禁止在人口集中地区熔化或者焚烧沥青、油毡、橡胶、塑料、皮革以及其他产生有毒有害烟尘和恶臭气体的物质。</w:t>
                  </w:r>
                </w:p>
                <w:p w14:paraId="67A71440">
                  <w:pPr>
                    <w:keepNext w:val="0"/>
                    <w:keepLines w:val="0"/>
                    <w:pageBreakBefore w:val="0"/>
                    <w:tabs>
                      <w:tab w:val="left" w:pos="1021"/>
                    </w:tabs>
                    <w:kinsoku/>
                    <w:wordWrap/>
                    <w:overflowPunct/>
                    <w:topLinePunct w:val="0"/>
                    <w:bidi w:val="0"/>
                    <w:adjustRightInd w:val="0"/>
                    <w:snapToGrid w:val="0"/>
                    <w:spacing w:line="240" w:lineRule="auto"/>
                    <w:ind w:left="0" w:leftChars="0" w:right="0" w:rightChars="0" w:firstLine="0" w:firstLineChars="0"/>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lang w:val="en-US" w:eastAsia="zh-CN"/>
                    </w:rPr>
                    <w:t>3.65蒸吨及以上燃煤锅炉要执行大气污染物特别排放限值。</w:t>
                  </w:r>
                </w:p>
              </w:tc>
              <w:tc>
                <w:tcPr>
                  <w:tcW w:w="1725" w:type="dxa"/>
                  <w:gridSpan w:val="2"/>
                  <w:tcBorders>
                    <w:tl2br w:val="nil"/>
                    <w:tr2bl w:val="nil"/>
                  </w:tcBorders>
                  <w:noWrap w:val="0"/>
                  <w:vAlign w:val="center"/>
                </w:tcPr>
                <w:p w14:paraId="4594BD61">
                  <w:pPr>
                    <w:pStyle w:val="4"/>
                    <w:keepNext w:val="0"/>
                    <w:keepLines w:val="0"/>
                    <w:pageBreakBefore w:val="0"/>
                    <w:kinsoku/>
                    <w:wordWrap/>
                    <w:overflowPunct/>
                    <w:topLinePunct w:val="0"/>
                    <w:bidi w:val="0"/>
                    <w:spacing w:line="240" w:lineRule="auto"/>
                    <w:ind w:left="0" w:leftChars="0" w:right="0" w:rightChars="0" w:firstLine="0" w:firstLineChars="0"/>
                    <w:jc w:val="both"/>
                    <w:rPr>
                      <w:rFonts w:hint="eastAsia"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1.本项目无新增用水</w:t>
                  </w:r>
                </w:p>
                <w:p w14:paraId="6B52FED9">
                  <w:pPr>
                    <w:pStyle w:val="4"/>
                    <w:keepNext w:val="0"/>
                    <w:keepLines w:val="0"/>
                    <w:pageBreakBefore w:val="0"/>
                    <w:kinsoku/>
                    <w:wordWrap/>
                    <w:overflowPunct/>
                    <w:topLinePunct w:val="0"/>
                    <w:bidi w:val="0"/>
                    <w:spacing w:line="240" w:lineRule="auto"/>
                    <w:ind w:left="0" w:leftChars="0" w:right="0" w:rightChars="0" w:firstLine="0" w:firstLineChars="0"/>
                    <w:jc w:val="both"/>
                    <w:rPr>
                      <w:rFonts w:hint="eastAsia"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2.本项目不涉及</w:t>
                  </w:r>
                </w:p>
                <w:p w14:paraId="4CE149DD">
                  <w:pPr>
                    <w:pStyle w:val="4"/>
                    <w:keepNext w:val="0"/>
                    <w:keepLines w:val="0"/>
                    <w:pageBreakBefore w:val="0"/>
                    <w:kinsoku/>
                    <w:wordWrap/>
                    <w:overflowPunct/>
                    <w:topLinePunct w:val="0"/>
                    <w:bidi w:val="0"/>
                    <w:spacing w:line="240" w:lineRule="auto"/>
                    <w:ind w:left="0" w:leftChars="0" w:right="0" w:rightChars="0" w:firstLine="0" w:firstLineChars="0"/>
                    <w:jc w:val="both"/>
                    <w:rPr>
                      <w:rFonts w:hint="eastAsia"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3.本项目不涉及</w:t>
                  </w:r>
                </w:p>
                <w:p w14:paraId="79F16B54">
                  <w:pPr>
                    <w:pStyle w:val="4"/>
                    <w:keepNext w:val="0"/>
                    <w:keepLines w:val="0"/>
                    <w:pageBreakBefore w:val="0"/>
                    <w:kinsoku/>
                    <w:wordWrap/>
                    <w:overflowPunct/>
                    <w:topLinePunct w:val="0"/>
                    <w:bidi w:val="0"/>
                    <w:spacing w:line="240" w:lineRule="auto"/>
                    <w:ind w:left="0" w:leftChars="0" w:right="0" w:rightChars="0" w:firstLine="0" w:firstLineChars="0"/>
                    <w:jc w:val="both"/>
                    <w:rPr>
                      <w:rFonts w:hint="default" w:ascii="Times New Roman" w:hAnsi="Times New Roman" w:eastAsia="宋体" w:cs="Times New Roman"/>
                      <w:b w:val="0"/>
                      <w:bCs w:val="0"/>
                      <w:color w:val="auto"/>
                      <w:sz w:val="22"/>
                      <w:szCs w:val="22"/>
                      <w:highlight w:val="none"/>
                      <w:lang w:val="en-US" w:eastAsia="zh-CN"/>
                    </w:rPr>
                  </w:pPr>
                </w:p>
              </w:tc>
            </w:tr>
            <w:tr w14:paraId="3C07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3" w:hRule="atLeast"/>
                <w:jc w:val="center"/>
              </w:trPr>
              <w:tc>
                <w:tcPr>
                  <w:tcW w:w="1162" w:type="dxa"/>
                  <w:tcBorders>
                    <w:tl2br w:val="nil"/>
                    <w:tr2bl w:val="nil"/>
                  </w:tcBorders>
                  <w:noWrap w:val="0"/>
                  <w:vAlign w:val="center"/>
                </w:tcPr>
                <w:p w14:paraId="57BBF00D">
                  <w:pPr>
                    <w:pStyle w:val="4"/>
                    <w:keepNext w:val="0"/>
                    <w:keepLines w:val="0"/>
                    <w:pageBreakBefore w:val="0"/>
                    <w:kinsoku/>
                    <w:wordWrap/>
                    <w:overflowPunct/>
                    <w:topLinePunct w:val="0"/>
                    <w:bidi w:val="0"/>
                    <w:spacing w:line="240" w:lineRule="auto"/>
                    <w:ind w:left="0" w:leftChars="0" w:right="0" w:rightChars="0" w:firstLine="0" w:firstLineChars="0"/>
                    <w:jc w:val="center"/>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rPr>
                    <w:t>资源利用效率</w:t>
                  </w:r>
                </w:p>
              </w:tc>
              <w:tc>
                <w:tcPr>
                  <w:tcW w:w="3490" w:type="dxa"/>
                  <w:gridSpan w:val="4"/>
                  <w:tcBorders>
                    <w:tl2br w:val="nil"/>
                    <w:tr2bl w:val="nil"/>
                  </w:tcBorders>
                  <w:noWrap w:val="0"/>
                  <w:vAlign w:val="center"/>
                </w:tcPr>
                <w:p w14:paraId="1FB81FEB">
                  <w:pPr>
                    <w:keepNext w:val="0"/>
                    <w:keepLines w:val="0"/>
                    <w:pageBreakBefore w:val="0"/>
                    <w:widowControl/>
                    <w:kinsoku/>
                    <w:wordWrap/>
                    <w:overflowPunct/>
                    <w:topLinePunct w:val="0"/>
                    <w:bidi w:val="0"/>
                    <w:spacing w:line="240" w:lineRule="auto"/>
                    <w:ind w:left="0" w:leftChars="0" w:right="0" w:rightChars="0" w:firstLine="0" w:firstLineChars="0"/>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lang w:val="en-US" w:eastAsia="zh-CN"/>
                    </w:rPr>
                    <w:t>1.电力、钢铁、纺织、造纸、石油化工、食品发酵等高耗水行业达到先进定额标准。水资源节约和循环利用达到国内先进水平。</w:t>
                  </w:r>
                </w:p>
                <w:p w14:paraId="4BE61CB3">
                  <w:pPr>
                    <w:keepNext w:val="0"/>
                    <w:keepLines w:val="0"/>
                    <w:pageBreakBefore w:val="0"/>
                    <w:widowControl/>
                    <w:kinsoku/>
                    <w:wordWrap/>
                    <w:overflowPunct/>
                    <w:topLinePunct w:val="0"/>
                    <w:bidi w:val="0"/>
                    <w:spacing w:line="240" w:lineRule="auto"/>
                    <w:ind w:left="0" w:leftChars="0" w:right="0" w:rightChars="0" w:firstLine="0" w:firstLineChars="0"/>
                    <w:rPr>
                      <w:rFonts w:hint="default" w:ascii="Times New Roman" w:hAnsi="Times New Roman" w:cs="Times New Roman"/>
                      <w:b w:val="0"/>
                      <w:bCs w:val="0"/>
                      <w:color w:val="auto"/>
                      <w:sz w:val="22"/>
                      <w:szCs w:val="22"/>
                      <w:highlight w:val="none"/>
                    </w:rPr>
                  </w:pPr>
                  <w:r>
                    <w:rPr>
                      <w:rFonts w:hint="default" w:ascii="Times New Roman" w:hAnsi="Times New Roman" w:cs="Times New Roman"/>
                      <w:b w:val="0"/>
                      <w:bCs w:val="0"/>
                      <w:color w:val="auto"/>
                      <w:sz w:val="22"/>
                      <w:szCs w:val="22"/>
                      <w:highlight w:val="none"/>
                      <w:lang w:val="en-US" w:eastAsia="zh-CN"/>
                    </w:rPr>
                    <w:t>2.强化水资源论证管理，优化水源配置，鼓励优先配置利用非常规水源。</w:t>
                  </w:r>
                </w:p>
              </w:tc>
              <w:tc>
                <w:tcPr>
                  <w:tcW w:w="1725" w:type="dxa"/>
                  <w:gridSpan w:val="2"/>
                  <w:tcBorders>
                    <w:tl2br w:val="nil"/>
                    <w:tr2bl w:val="nil"/>
                  </w:tcBorders>
                  <w:noWrap w:val="0"/>
                  <w:vAlign w:val="center"/>
                </w:tcPr>
                <w:p w14:paraId="6967CF35">
                  <w:pPr>
                    <w:pStyle w:val="4"/>
                    <w:keepNext w:val="0"/>
                    <w:keepLines w:val="0"/>
                    <w:pageBreakBefore w:val="0"/>
                    <w:kinsoku/>
                    <w:wordWrap/>
                    <w:overflowPunct/>
                    <w:topLinePunct w:val="0"/>
                    <w:bidi w:val="0"/>
                    <w:spacing w:line="240" w:lineRule="auto"/>
                    <w:ind w:left="0" w:leftChars="0" w:right="0" w:rightChars="0" w:firstLine="0" w:firstLineChars="0"/>
                    <w:jc w:val="both"/>
                    <w:rPr>
                      <w:rFonts w:hint="eastAsia"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1.本项目不涉及</w:t>
                  </w:r>
                </w:p>
                <w:p w14:paraId="3ED069E8">
                  <w:pPr>
                    <w:pStyle w:val="4"/>
                    <w:keepNext w:val="0"/>
                    <w:keepLines w:val="0"/>
                    <w:pageBreakBefore w:val="0"/>
                    <w:kinsoku/>
                    <w:wordWrap/>
                    <w:overflowPunct/>
                    <w:topLinePunct w:val="0"/>
                    <w:bidi w:val="0"/>
                    <w:spacing w:line="240" w:lineRule="auto"/>
                    <w:ind w:left="0" w:leftChars="0" w:right="0" w:rightChars="0" w:firstLine="0" w:firstLineChars="0"/>
                    <w:jc w:val="both"/>
                    <w:rPr>
                      <w:rFonts w:hint="default" w:ascii="Times New Roman" w:hAnsi="Times New Roman" w:eastAsia="宋体" w:cs="Times New Roman"/>
                      <w:b w:val="0"/>
                      <w:bCs w:val="0"/>
                      <w:color w:val="auto"/>
                      <w:sz w:val="22"/>
                      <w:szCs w:val="22"/>
                      <w:highlight w:val="none"/>
                      <w:lang w:val="en-US" w:eastAsia="zh-CN"/>
                    </w:rPr>
                  </w:pPr>
                  <w:r>
                    <w:rPr>
                      <w:rFonts w:hint="eastAsia" w:cs="Times New Roman"/>
                      <w:b w:val="0"/>
                      <w:bCs w:val="0"/>
                      <w:color w:val="auto"/>
                      <w:sz w:val="22"/>
                      <w:szCs w:val="22"/>
                      <w:highlight w:val="none"/>
                      <w:lang w:val="en-US" w:eastAsia="zh-CN"/>
                    </w:rPr>
                    <w:t>2.本项目不涉及</w:t>
                  </w:r>
                </w:p>
              </w:tc>
            </w:tr>
          </w:tbl>
          <w:p w14:paraId="43A6BBD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因此，项目符合生态环境准入清单要求。</w:t>
            </w:r>
          </w:p>
          <w:p w14:paraId="7D92580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综上所述，本项目符合国家和地方“三线一单”的相关要求。</w:t>
            </w:r>
          </w:p>
          <w:p w14:paraId="00321853">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both"/>
              <w:textAlignment w:val="auto"/>
              <w:rPr>
                <w:highlight w:val="none"/>
              </w:rPr>
            </w:pPr>
            <w:r>
              <w:rPr>
                <w:sz w:val="24"/>
              </w:rPr>
              <mc:AlternateContent>
                <mc:Choice Requires="wps">
                  <w:drawing>
                    <wp:anchor distT="0" distB="0" distL="114300" distR="114300" simplePos="0" relativeHeight="251664384" behindDoc="0" locked="0" layoutInCell="1" allowOverlap="1">
                      <wp:simplePos x="0" y="0"/>
                      <wp:positionH relativeFrom="column">
                        <wp:posOffset>1955800</wp:posOffset>
                      </wp:positionH>
                      <wp:positionV relativeFrom="paragraph">
                        <wp:posOffset>1389380</wp:posOffset>
                      </wp:positionV>
                      <wp:extent cx="911860" cy="292735"/>
                      <wp:effectExtent l="6350" t="6350" r="15240" b="120015"/>
                      <wp:wrapNone/>
                      <wp:docPr id="14" name="圆角矩形标注 14"/>
                      <wp:cNvGraphicFramePr/>
                      <a:graphic xmlns:a="http://schemas.openxmlformats.org/drawingml/2006/main">
                        <a:graphicData uri="http://schemas.microsoft.com/office/word/2010/wordprocessingShape">
                          <wps:wsp>
                            <wps:cNvSpPr/>
                            <wps:spPr>
                              <a:xfrm>
                                <a:off x="0" y="0"/>
                                <a:ext cx="911860" cy="292735"/>
                              </a:xfrm>
                              <a:prstGeom prst="wedgeRoundRectCallout">
                                <a:avLst>
                                  <a:gd name="adj1" fmla="val -46239"/>
                                  <a:gd name="adj2" fmla="val 85357"/>
                                  <a:gd name="adj3" fmla="val 16667"/>
                                </a:avLst>
                              </a:prstGeom>
                              <a:solidFill>
                                <a:schemeClr val="bg1"/>
                              </a:solidFill>
                            </wps:spPr>
                            <wps:style>
                              <a:lnRef idx="2">
                                <a:schemeClr val="accent1">
                                  <a:lumMod val="75000"/>
                                </a:schemeClr>
                              </a:lnRef>
                              <a:fillRef idx="1">
                                <a:schemeClr val="accent1"/>
                              </a:fillRef>
                              <a:effectRef idx="0">
                                <a:srgbClr val="FFFFFF"/>
                              </a:effectRef>
                              <a:fontRef idx="minor">
                                <a:schemeClr val="lt1"/>
                              </a:fontRef>
                            </wps:style>
                            <wps:txbx>
                              <w:txbxContent>
                                <w:p w14:paraId="6888B571">
                                  <w:pPr>
                                    <w:ind w:left="0" w:leftChars="0" w:firstLine="0" w:firstLineChars="0"/>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54pt;margin-top:109.4pt;height:23.05pt;width:71.8pt;z-index:251664384;v-text-anchor:middle;mso-width-relative:page;mso-height-relative:page;" fillcolor="#FFFFFF [3212]" filled="t" stroked="t" coordsize="21600,21600" o:gfxdata="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MDdyATaAAAACwEAAA8AAAAAAAAAAQAgAAAAIgAAAGRycy9kb3ducmV2Lnht&#10;bFBLAQIUABQAAAAIAIdO4kD1XIr22wIAALUFAAAOAAAAAAAAAAEAIAAAACkBAABkcnMvZTJvRG9j&#10;LnhtbFBLBQYAAAAABgAGAFkBAAB2BgAAAAA=&#10;" adj="812,29237,14400">
                      <v:fill on="t" focussize="0,0"/>
                      <v:stroke weight="1pt" color="#2E54A1 [2404]" miterlimit="8" joinstyle="miter"/>
                      <v:imagedata o:title=""/>
                      <o:lock v:ext="edit" aspectratio="f"/>
                      <v:textbox>
                        <w:txbxContent>
                          <w:p w14:paraId="6888B571">
                            <w:pPr>
                              <w:ind w:left="0" w:leftChars="0" w:firstLine="0" w:firstLineChars="0"/>
                              <w:jc w:val="both"/>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本项目位置</w:t>
                            </w:r>
                          </w:p>
                        </w:txbxContent>
                      </v:textbox>
                    </v:shape>
                  </w:pict>
                </mc:Fallback>
              </mc:AlternateContent>
            </w:r>
            <w:r>
              <w:rPr>
                <w:color w:val="000000"/>
              </w:rPr>
              <w:drawing>
                <wp:inline distT="0" distB="0" distL="114300" distR="114300">
                  <wp:extent cx="3993515" cy="3168650"/>
                  <wp:effectExtent l="0" t="0" r="698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3993515" cy="3168650"/>
                          </a:xfrm>
                          <a:prstGeom prst="rect">
                            <a:avLst/>
                          </a:prstGeom>
                          <a:noFill/>
                          <a:ln>
                            <a:noFill/>
                          </a:ln>
                        </pic:spPr>
                      </pic:pic>
                    </a:graphicData>
                  </a:graphic>
                </wp:inline>
              </w:drawing>
            </w:r>
          </w:p>
          <w:p w14:paraId="42931229">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auto"/>
              <w:rPr>
                <w:rFonts w:hint="default" w:ascii="Times New Roman" w:hAnsi="Times New Roman" w:eastAsia="宋体" w:cs="Times New Roman"/>
                <w:b w:val="0"/>
                <w:bCs w:val="0"/>
                <w:kern w:val="0"/>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图1-1鄂尔多斯市环境管控单元图</w:t>
            </w:r>
          </w:p>
        </w:tc>
      </w:tr>
    </w:tbl>
    <w:p w14:paraId="5948D943">
      <w:pPr>
        <w:spacing w:line="360" w:lineRule="auto"/>
        <w:outlineLvl w:val="0"/>
        <w:rPr>
          <w:rFonts w:hint="default" w:ascii="Times New Roman" w:hAnsi="Times New Roman" w:eastAsia="黑体" w:cs="Times New Roman"/>
          <w:sz w:val="30"/>
        </w:rPr>
        <w:sectPr>
          <w:headerReference r:id="rId10" w:type="default"/>
          <w:footerReference r:id="rId11" w:type="default"/>
          <w:pgSz w:w="11906" w:h="16838"/>
          <w:pgMar w:top="1440" w:right="1800" w:bottom="1440" w:left="1800" w:header="850" w:footer="907" w:gutter="0"/>
          <w:pgBorders>
            <w:top w:val="none" w:sz="0" w:space="0"/>
            <w:left w:val="none" w:sz="0" w:space="0"/>
            <w:bottom w:val="none" w:sz="0" w:space="0"/>
            <w:right w:val="none" w:sz="0" w:space="0"/>
          </w:pgBorders>
          <w:pgNumType w:fmt="numberInDash" w:start="1"/>
          <w:cols w:space="720" w:num="1"/>
          <w:docGrid w:linePitch="312" w:charSpace="0"/>
        </w:sectPr>
      </w:pPr>
    </w:p>
    <w:p w14:paraId="5D1A8F7C">
      <w:pPr>
        <w:pStyle w:val="13"/>
        <w:ind w:left="0" w:leftChars="0" w:firstLine="0" w:firstLineChars="0"/>
        <w:jc w:val="center"/>
        <w:outlineLvl w:val="0"/>
        <w:rPr>
          <w:rFonts w:hint="default" w:ascii="Times New Roman" w:hAnsi="Times New Roman" w:eastAsia="黑体" w:cs="Times New Roman"/>
          <w:snapToGrid w:val="0"/>
          <w:sz w:val="30"/>
          <w:szCs w:val="30"/>
        </w:rPr>
      </w:pPr>
      <w:r>
        <w:rPr>
          <w:rFonts w:hint="default" w:ascii="Times New Roman" w:hAnsi="Times New Roman" w:eastAsia="黑体" w:cs="Times New Roman"/>
          <w:snapToGrid w:val="0"/>
          <w:sz w:val="30"/>
          <w:szCs w:val="30"/>
        </w:rPr>
        <w:t>二、建设项目工程分析</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160"/>
        <w:gridCol w:w="7001"/>
      </w:tblGrid>
      <w:tr w14:paraId="737E61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76" w:hRule="atLeast"/>
          <w:jc w:val="center"/>
        </w:trPr>
        <w:tc>
          <w:tcPr>
            <w:tcW w:w="823" w:type="dxa"/>
            <w:noWrap w:val="0"/>
            <w:vAlign w:val="center"/>
          </w:tcPr>
          <w:p w14:paraId="73FC5A05">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建设内容</w:t>
            </w:r>
          </w:p>
        </w:tc>
        <w:tc>
          <w:tcPr>
            <w:tcW w:w="8161" w:type="dxa"/>
            <w:gridSpan w:val="2"/>
            <w:noWrap w:val="0"/>
            <w:vAlign w:val="top"/>
          </w:tcPr>
          <w:p w14:paraId="32ACDDFB">
            <w:pPr>
              <w:pStyle w:val="4"/>
              <w:keepNext w:val="0"/>
              <w:keepLines w:val="0"/>
              <w:pageBreakBefore w:val="0"/>
              <w:widowControl w:val="0"/>
              <w:kinsoku/>
              <w:wordWrap/>
              <w:overflowPunct/>
              <w:topLinePunct w:val="0"/>
              <w:autoSpaceDE/>
              <w:autoSpaceDN/>
              <w:bidi w:val="0"/>
              <w:adjustRightInd w:val="0"/>
              <w:spacing w:line="360" w:lineRule="auto"/>
              <w:ind w:left="0" w:right="0" w:firstLine="482" w:firstLineChars="200"/>
              <w:textAlignment w:val="auto"/>
              <w:rPr>
                <w:rFonts w:hint="default" w:ascii="Times New Roman" w:hAnsi="Times New Roman" w:cs="Times New Roman"/>
                <w:b/>
                <w:bCs/>
                <w:sz w:val="24"/>
                <w:szCs w:val="24"/>
                <w:lang w:val="en-US" w:eastAsia="zh-CN"/>
              </w:rPr>
            </w:pPr>
            <w:r>
              <w:rPr>
                <w:rFonts w:hint="eastAsia" w:cs="Times New Roman"/>
                <w:b/>
                <w:bCs/>
                <w:sz w:val="24"/>
                <w:szCs w:val="24"/>
                <w:lang w:val="en-US" w:eastAsia="zh-CN"/>
              </w:rPr>
              <w:t>1</w:t>
            </w:r>
            <w:r>
              <w:rPr>
                <w:rFonts w:hint="default" w:ascii="Times New Roman" w:hAnsi="Times New Roman" w:cs="Times New Roman"/>
                <w:b/>
                <w:bCs/>
                <w:sz w:val="24"/>
                <w:szCs w:val="24"/>
                <w:lang w:val="en-US" w:eastAsia="zh-CN"/>
              </w:rPr>
              <w:t>、项目基本建设情况</w:t>
            </w:r>
          </w:p>
          <w:p w14:paraId="0B76517D">
            <w:pPr>
              <w:pStyle w:val="4"/>
              <w:keepNext w:val="0"/>
              <w:keepLines w:val="0"/>
              <w:pageBreakBefore w:val="0"/>
              <w:widowControl w:val="0"/>
              <w:kinsoku/>
              <w:wordWrap/>
              <w:overflowPunct/>
              <w:topLinePunct w:val="0"/>
              <w:autoSpaceDE/>
              <w:autoSpaceDN/>
              <w:bidi w:val="0"/>
              <w:adjustRightInd w:val="0"/>
              <w:spacing w:line="360" w:lineRule="auto"/>
              <w:ind w:left="0" w:right="0" w:firstLine="480" w:firstLineChars="200"/>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（1）项目名称：</w:t>
            </w:r>
            <w:r>
              <w:rPr>
                <w:rFonts w:hint="eastAsia" w:cs="Times New Roman"/>
                <w:b w:val="0"/>
                <w:bCs w:val="0"/>
                <w:sz w:val="24"/>
                <w:szCs w:val="24"/>
                <w:lang w:val="en-US" w:eastAsia="zh-CN"/>
              </w:rPr>
              <w:t>伊金霍洛旗澎源供水有限责任公司危险废物贮存库建设项目</w:t>
            </w:r>
          </w:p>
          <w:p w14:paraId="54E2FA9A">
            <w:pPr>
              <w:pStyle w:val="4"/>
              <w:keepNext w:val="0"/>
              <w:keepLines w:val="0"/>
              <w:pageBreakBefore w:val="0"/>
              <w:widowControl w:val="0"/>
              <w:kinsoku/>
              <w:wordWrap/>
              <w:overflowPunct/>
              <w:topLinePunct w:val="0"/>
              <w:autoSpaceDE/>
              <w:autoSpaceDN/>
              <w:bidi w:val="0"/>
              <w:adjustRightInd w:val="0"/>
              <w:spacing w:line="360" w:lineRule="auto"/>
              <w:ind w:left="0" w:right="0" w:firstLine="480" w:firstLineChars="200"/>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（2）建设性质：新建</w:t>
            </w:r>
          </w:p>
          <w:p w14:paraId="176CF44F">
            <w:pPr>
              <w:pStyle w:val="4"/>
              <w:keepNext w:val="0"/>
              <w:keepLines w:val="0"/>
              <w:pageBreakBefore w:val="0"/>
              <w:widowControl w:val="0"/>
              <w:kinsoku/>
              <w:wordWrap/>
              <w:overflowPunct/>
              <w:topLinePunct w:val="0"/>
              <w:autoSpaceDE/>
              <w:autoSpaceDN/>
              <w:bidi w:val="0"/>
              <w:adjustRightInd w:val="0"/>
              <w:spacing w:line="360" w:lineRule="auto"/>
              <w:ind w:left="0" w:right="0" w:firstLine="480" w:firstLineChars="200"/>
              <w:textAlignment w:val="auto"/>
              <w:rPr>
                <w:rFonts w:hint="eastAsia" w:cs="Times New Roman"/>
                <w:b w:val="0"/>
                <w:bCs w:val="0"/>
                <w:sz w:val="24"/>
                <w:szCs w:val="24"/>
                <w:lang w:val="en-US" w:eastAsia="zh-CN"/>
              </w:rPr>
            </w:pPr>
            <w:r>
              <w:rPr>
                <w:rFonts w:hint="default" w:ascii="Times New Roman" w:hAnsi="Times New Roman" w:cs="Times New Roman"/>
                <w:b w:val="0"/>
                <w:bCs w:val="0"/>
                <w:sz w:val="24"/>
                <w:szCs w:val="24"/>
                <w:lang w:val="en-US" w:eastAsia="zh-CN"/>
              </w:rPr>
              <w:t>（3）建设地点：</w:t>
            </w:r>
            <w:r>
              <w:rPr>
                <w:rFonts w:hint="eastAsia" w:cs="Times New Roman"/>
                <w:b w:val="0"/>
                <w:bCs w:val="0"/>
                <w:sz w:val="24"/>
                <w:szCs w:val="24"/>
                <w:lang w:val="en-US" w:eastAsia="zh-CN"/>
              </w:rPr>
              <w:t>内蒙古鄂尔多斯市伊金霍洛旗阿勒腾席热镇红海子村</w:t>
            </w:r>
          </w:p>
          <w:p w14:paraId="0CAAE5AD">
            <w:pPr>
              <w:pStyle w:val="4"/>
              <w:keepNext w:val="0"/>
              <w:keepLines w:val="0"/>
              <w:pageBreakBefore w:val="0"/>
              <w:widowControl w:val="0"/>
              <w:kinsoku/>
              <w:wordWrap/>
              <w:overflowPunct/>
              <w:topLinePunct w:val="0"/>
              <w:autoSpaceDE/>
              <w:autoSpaceDN/>
              <w:bidi w:val="0"/>
              <w:adjustRightInd w:val="0"/>
              <w:spacing w:line="360" w:lineRule="auto"/>
              <w:ind w:left="0" w:right="0" w:firstLine="480" w:firstLineChars="200"/>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（4）占地面积：</w:t>
            </w:r>
            <w:r>
              <w:rPr>
                <w:rFonts w:hint="eastAsia" w:cs="Times New Roman"/>
                <w:b w:val="0"/>
                <w:bCs w:val="0"/>
                <w:sz w:val="24"/>
                <w:szCs w:val="24"/>
                <w:lang w:val="en-US" w:eastAsia="zh-CN"/>
              </w:rPr>
              <w:t>18㎡</w:t>
            </w:r>
          </w:p>
          <w:p w14:paraId="109A613C">
            <w:pPr>
              <w:pStyle w:val="4"/>
              <w:keepNext w:val="0"/>
              <w:keepLines w:val="0"/>
              <w:pageBreakBefore w:val="0"/>
              <w:widowControl w:val="0"/>
              <w:kinsoku/>
              <w:wordWrap/>
              <w:overflowPunct/>
              <w:topLinePunct w:val="0"/>
              <w:autoSpaceDE/>
              <w:autoSpaceDN/>
              <w:bidi w:val="0"/>
              <w:adjustRightInd w:val="0"/>
              <w:spacing w:line="360" w:lineRule="auto"/>
              <w:ind w:left="0" w:right="0" w:firstLine="480" w:firstLineChars="200"/>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lang w:val="en-US" w:eastAsia="zh-CN"/>
              </w:rPr>
              <w:t>（5）项目投资情况：</w:t>
            </w:r>
            <w:r>
              <w:rPr>
                <w:rFonts w:hint="default" w:ascii="Times New Roman" w:hAnsi="Times New Roman" w:cs="Times New Roman"/>
                <w:b w:val="0"/>
                <w:bCs w:val="0"/>
                <w:sz w:val="24"/>
                <w:szCs w:val="24"/>
                <w:highlight w:val="none"/>
                <w:lang w:val="en-US" w:eastAsia="zh-CN"/>
              </w:rPr>
              <w:t>本项目总投资为10万元，全部为环保投资。</w:t>
            </w:r>
          </w:p>
          <w:p w14:paraId="15F9CD57">
            <w:pPr>
              <w:pStyle w:val="4"/>
              <w:keepNext w:val="0"/>
              <w:keepLines w:val="0"/>
              <w:pageBreakBefore w:val="0"/>
              <w:widowControl w:val="0"/>
              <w:kinsoku/>
              <w:wordWrap/>
              <w:overflowPunct/>
              <w:topLinePunct w:val="0"/>
              <w:autoSpaceDE/>
              <w:autoSpaceDN/>
              <w:bidi w:val="0"/>
              <w:adjustRightInd w:val="0"/>
              <w:spacing w:line="360" w:lineRule="auto"/>
              <w:ind w:left="0" w:right="0" w:firstLine="480" w:firstLineChars="200"/>
              <w:textAlignment w:val="auto"/>
              <w:rPr>
                <w:rFonts w:hint="eastAsia" w:ascii="Times New Roman" w:hAnsi="Times New Roman" w:eastAsia="宋体" w:cs="Times New Roman"/>
                <w:b w:val="0"/>
                <w:bCs w:val="0"/>
                <w:sz w:val="24"/>
                <w:szCs w:val="24"/>
                <w:highlight w:val="green"/>
                <w:lang w:val="en-US" w:eastAsia="zh-CN"/>
              </w:rPr>
            </w:pPr>
            <w:r>
              <w:rPr>
                <w:rFonts w:hint="default" w:ascii="Times New Roman" w:hAnsi="Times New Roman" w:cs="Times New Roman"/>
                <w:b w:val="0"/>
                <w:bCs w:val="0"/>
                <w:sz w:val="24"/>
                <w:szCs w:val="24"/>
                <w:lang w:val="en-US" w:eastAsia="zh-CN"/>
              </w:rPr>
              <w:t>（6）建设规模：</w:t>
            </w:r>
            <w:r>
              <w:rPr>
                <w:rFonts w:hint="default" w:ascii="Times New Roman" w:hAnsi="Times New Roman" w:cs="Times New Roman"/>
                <w:b w:val="0"/>
                <w:bCs w:val="0"/>
                <w:sz w:val="24"/>
                <w:szCs w:val="24"/>
                <w:highlight w:val="none"/>
                <w:lang w:val="en-US" w:eastAsia="zh-CN"/>
              </w:rPr>
              <w:t>新建1座</w:t>
            </w:r>
            <w:r>
              <w:rPr>
                <w:rFonts w:hint="eastAsia" w:cs="Times New Roman"/>
                <w:b w:val="0"/>
                <w:bCs w:val="0"/>
                <w:sz w:val="24"/>
                <w:szCs w:val="24"/>
                <w:highlight w:val="none"/>
                <w:lang w:val="en-US" w:eastAsia="zh-CN"/>
              </w:rPr>
              <w:t>18㎡</w:t>
            </w:r>
            <w:r>
              <w:rPr>
                <w:rFonts w:hint="default" w:ascii="Times New Roman" w:hAnsi="Times New Roman" w:cs="Times New Roman"/>
                <w:b w:val="0"/>
                <w:bCs w:val="0"/>
                <w:sz w:val="24"/>
                <w:szCs w:val="24"/>
                <w:highlight w:val="none"/>
                <w:lang w:val="en-US" w:eastAsia="zh-CN"/>
              </w:rPr>
              <w:t>的危险废物贮存库，长</w:t>
            </w:r>
            <w:r>
              <w:rPr>
                <w:rFonts w:hint="eastAsia" w:cs="Times New Roman"/>
                <w:b w:val="0"/>
                <w:bCs w:val="0"/>
                <w:sz w:val="24"/>
                <w:szCs w:val="24"/>
                <w:highlight w:val="none"/>
                <w:lang w:val="en-US" w:eastAsia="zh-CN"/>
              </w:rPr>
              <w:t>6</w:t>
            </w:r>
            <w:r>
              <w:rPr>
                <w:rFonts w:hint="default" w:ascii="Times New Roman" w:hAnsi="Times New Roman" w:cs="Times New Roman"/>
                <w:b w:val="0"/>
                <w:bCs w:val="0"/>
                <w:sz w:val="24"/>
                <w:szCs w:val="24"/>
                <w:highlight w:val="none"/>
                <w:lang w:val="en-US" w:eastAsia="zh-CN"/>
              </w:rPr>
              <w:t>m×宽</w:t>
            </w:r>
            <w:r>
              <w:rPr>
                <w:rFonts w:hint="eastAsia" w:cs="Times New Roman"/>
                <w:b w:val="0"/>
                <w:bCs w:val="0"/>
                <w:sz w:val="24"/>
                <w:szCs w:val="24"/>
                <w:highlight w:val="none"/>
                <w:lang w:val="en-US" w:eastAsia="zh-CN"/>
              </w:rPr>
              <w:t>3</w:t>
            </w:r>
            <w:r>
              <w:rPr>
                <w:rFonts w:hint="default" w:ascii="Times New Roman" w:hAnsi="Times New Roman" w:cs="Times New Roman"/>
                <w:b w:val="0"/>
                <w:bCs w:val="0"/>
                <w:sz w:val="24"/>
                <w:szCs w:val="24"/>
                <w:highlight w:val="none"/>
                <w:lang w:val="en-US" w:eastAsia="zh-CN"/>
              </w:rPr>
              <w:t>m×高</w:t>
            </w:r>
            <w:r>
              <w:rPr>
                <w:rFonts w:hint="eastAsia" w:cs="Times New Roman"/>
                <w:b w:val="0"/>
                <w:bCs w:val="0"/>
                <w:sz w:val="24"/>
                <w:szCs w:val="24"/>
                <w:highlight w:val="none"/>
                <w:lang w:val="en-US" w:eastAsia="zh-CN"/>
              </w:rPr>
              <w:t>3</w:t>
            </w:r>
            <w:r>
              <w:rPr>
                <w:rFonts w:hint="default" w:ascii="Times New Roman" w:hAnsi="Times New Roman" w:cs="Times New Roman"/>
                <w:b w:val="0"/>
                <w:bCs w:val="0"/>
                <w:sz w:val="24"/>
                <w:szCs w:val="24"/>
                <w:highlight w:val="none"/>
                <w:lang w:val="en-US" w:eastAsia="zh-CN"/>
              </w:rPr>
              <w:t>m</w:t>
            </w:r>
            <w:r>
              <w:rPr>
                <w:rFonts w:hint="eastAsia" w:cs="Times New Roman"/>
                <w:b w:val="0"/>
                <w:bCs w:val="0"/>
                <w:sz w:val="24"/>
                <w:szCs w:val="24"/>
                <w:highlight w:val="none"/>
                <w:lang w:val="en-US" w:eastAsia="zh-CN"/>
              </w:rPr>
              <w:t>，</w:t>
            </w:r>
            <w:r>
              <w:rPr>
                <w:rFonts w:hint="default" w:ascii="Times New Roman" w:hAnsi="Times New Roman" w:cs="Times New Roman"/>
                <w:b w:val="0"/>
                <w:bCs w:val="0"/>
                <w:sz w:val="24"/>
                <w:szCs w:val="24"/>
                <w:highlight w:val="none"/>
              </w:rPr>
              <w:t>为全封闭钢结</w:t>
            </w:r>
            <w:r>
              <w:rPr>
                <w:rFonts w:hint="eastAsia" w:cs="Times New Roman"/>
                <w:b w:val="0"/>
                <w:bCs w:val="0"/>
                <w:sz w:val="24"/>
                <w:szCs w:val="24"/>
                <w:highlight w:val="none"/>
                <w:lang w:eastAsia="zh-CN"/>
              </w:rPr>
              <w:t>。</w:t>
            </w:r>
          </w:p>
          <w:p w14:paraId="4327E65F">
            <w:pPr>
              <w:pStyle w:val="22"/>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auto"/>
              <w:rPr>
                <w:rFonts w:hint="default" w:ascii="Times New Roman" w:hAnsi="Times New Roman" w:cs="Times New Roman"/>
                <w:b w:val="0"/>
                <w:bCs w:val="0"/>
                <w:color w:val="000000"/>
                <w:sz w:val="24"/>
                <w:szCs w:val="24"/>
                <w:lang w:val="en-US" w:eastAsia="zh-CN"/>
              </w:rPr>
            </w:pPr>
            <w:r>
              <w:rPr>
                <w:rFonts w:hint="eastAsia" w:cs="Times New Roman"/>
                <w:b w:val="0"/>
                <w:bCs w:val="0"/>
                <w:color w:val="000000"/>
                <w:sz w:val="24"/>
                <w:szCs w:val="24"/>
                <w:lang w:val="en-US" w:eastAsia="zh-CN"/>
              </w:rPr>
              <w:t>（7）建设内容：本项目新建1座18㎡，用于贮存</w:t>
            </w:r>
            <w:r>
              <w:rPr>
                <w:rFonts w:hint="eastAsia" w:cs="Times New Roman"/>
                <w:b w:val="0"/>
                <w:bCs w:val="0"/>
                <w:sz w:val="24"/>
                <w:szCs w:val="24"/>
                <w:lang w:val="en-US" w:eastAsia="zh-CN"/>
              </w:rPr>
              <w:t>伊金霍洛旗澎源供水有限责任公司实验室产生的实验废液、变质或者失效的药剂、废活性炭、废反渗透膜、沾有油污的废旧手套、抹布等，</w:t>
            </w:r>
            <w:r>
              <w:rPr>
                <w:rFonts w:hint="default" w:ascii="Times New Roman" w:hAnsi="Times New Roman" w:cs="Times New Roman"/>
                <w:b w:val="0"/>
                <w:bCs w:val="0"/>
                <w:color w:val="000000"/>
                <w:sz w:val="24"/>
                <w:szCs w:val="24"/>
                <w:lang w:val="en-US" w:eastAsia="zh-CN"/>
              </w:rPr>
              <w:t>本项目组成见下表2-1。</w:t>
            </w:r>
          </w:p>
          <w:p w14:paraId="7C96C3B8">
            <w:pPr>
              <w:pStyle w:val="22"/>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jc w:val="center"/>
              <w:textAlignment w:val="auto"/>
              <w:rPr>
                <w:rFonts w:hint="default" w:ascii="Times New Roman" w:hAnsi="Times New Roman" w:cs="Times New Roman"/>
                <w:b/>
                <w:bCs/>
                <w:color w:val="000000"/>
                <w:sz w:val="24"/>
                <w:szCs w:val="24"/>
                <w:lang w:val="en-US" w:eastAsia="zh-CN"/>
              </w:rPr>
            </w:pPr>
            <w:r>
              <w:rPr>
                <w:rFonts w:hint="default" w:ascii="Times New Roman" w:hAnsi="Times New Roman" w:cs="Times New Roman"/>
                <w:b/>
                <w:bCs/>
                <w:color w:val="000000"/>
                <w:sz w:val="24"/>
                <w:szCs w:val="24"/>
                <w:lang w:val="en-US" w:eastAsia="zh-CN"/>
              </w:rPr>
              <w:t>表2-1项目组成一览表</w:t>
            </w:r>
          </w:p>
          <w:tbl>
            <w:tblPr>
              <w:tblStyle w:val="16"/>
              <w:tblW w:w="7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860"/>
              <w:gridCol w:w="5446"/>
              <w:gridCol w:w="741"/>
            </w:tblGrid>
            <w:tr w14:paraId="06B3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91" w:type="dxa"/>
                  <w:tcBorders>
                    <w:tl2br w:val="nil"/>
                    <w:tr2bl w:val="nil"/>
                  </w:tcBorders>
                  <w:noWrap w:val="0"/>
                  <w:vAlign w:val="center"/>
                </w:tcPr>
                <w:p w14:paraId="31608E1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sz w:val="24"/>
                      <w:szCs w:val="24"/>
                      <w:highlight w:val="none"/>
                    </w:rPr>
                    <w:t>项目</w:t>
                  </w:r>
                </w:p>
              </w:tc>
              <w:tc>
                <w:tcPr>
                  <w:tcW w:w="860" w:type="dxa"/>
                  <w:tcBorders>
                    <w:tl2br w:val="nil"/>
                    <w:tr2bl w:val="nil"/>
                  </w:tcBorders>
                  <w:noWrap w:val="0"/>
                  <w:vAlign w:val="center"/>
                </w:tcPr>
                <w:p w14:paraId="6F6F15B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sz w:val="24"/>
                      <w:szCs w:val="24"/>
                      <w:highlight w:val="none"/>
                    </w:rPr>
                    <w:t>内容</w:t>
                  </w:r>
                </w:p>
              </w:tc>
              <w:tc>
                <w:tcPr>
                  <w:tcW w:w="5446" w:type="dxa"/>
                  <w:tcBorders>
                    <w:tl2br w:val="nil"/>
                    <w:tr2bl w:val="nil"/>
                  </w:tcBorders>
                  <w:noWrap w:val="0"/>
                  <w:vAlign w:val="center"/>
                </w:tcPr>
                <w:p w14:paraId="056DE05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sz w:val="24"/>
                      <w:szCs w:val="24"/>
                      <w:highlight w:val="none"/>
                    </w:rPr>
                    <w:t>建设内容</w:t>
                  </w:r>
                </w:p>
              </w:tc>
              <w:tc>
                <w:tcPr>
                  <w:tcW w:w="741" w:type="dxa"/>
                  <w:tcBorders>
                    <w:tl2br w:val="nil"/>
                    <w:tr2bl w:val="nil"/>
                  </w:tcBorders>
                  <w:noWrap w:val="0"/>
                  <w:vAlign w:val="center"/>
                </w:tcPr>
                <w:p w14:paraId="6A8F020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sz w:val="24"/>
                      <w:szCs w:val="24"/>
                      <w:highlight w:val="none"/>
                    </w:rPr>
                    <w:t>备注</w:t>
                  </w:r>
                </w:p>
              </w:tc>
            </w:tr>
            <w:tr w14:paraId="3F24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91" w:type="dxa"/>
                  <w:vMerge w:val="restart"/>
                  <w:tcBorders>
                    <w:tl2br w:val="nil"/>
                    <w:tr2bl w:val="nil"/>
                  </w:tcBorders>
                  <w:noWrap w:val="0"/>
                  <w:vAlign w:val="center"/>
                </w:tcPr>
                <w:p w14:paraId="4ED67672">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sz w:val="24"/>
                      <w:szCs w:val="24"/>
                      <w:highlight w:val="none"/>
                    </w:rPr>
                    <w:t>主体工程</w:t>
                  </w:r>
                </w:p>
              </w:tc>
              <w:tc>
                <w:tcPr>
                  <w:tcW w:w="860" w:type="dxa"/>
                  <w:tcBorders>
                    <w:tl2br w:val="nil"/>
                    <w:tr2bl w:val="nil"/>
                  </w:tcBorders>
                  <w:noWrap w:val="0"/>
                  <w:vAlign w:val="center"/>
                </w:tcPr>
                <w:p w14:paraId="0872C05B">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color w:val="00000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危险废物贮存库</w:t>
                  </w:r>
                </w:p>
              </w:tc>
              <w:tc>
                <w:tcPr>
                  <w:tcW w:w="5446" w:type="dxa"/>
                  <w:tcBorders>
                    <w:tl2br w:val="nil"/>
                    <w:tr2bl w:val="nil"/>
                  </w:tcBorders>
                  <w:noWrap w:val="0"/>
                  <w:vAlign w:val="center"/>
                </w:tcPr>
                <w:p w14:paraId="0761349D">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eastAsia" w:cs="Times New Roman"/>
                      <w:b w:val="0"/>
                      <w:bCs w:val="0"/>
                      <w:sz w:val="24"/>
                      <w:szCs w:val="24"/>
                      <w:highlight w:val="none"/>
                      <w:lang w:val="en-US" w:eastAsia="zh-CN"/>
                    </w:rPr>
                    <w:t>新建1座危险废物贮存库，</w:t>
                  </w:r>
                  <w:r>
                    <w:rPr>
                      <w:rFonts w:hint="default" w:ascii="Times New Roman" w:hAnsi="Times New Roman" w:cs="Times New Roman"/>
                      <w:b w:val="0"/>
                      <w:bCs w:val="0"/>
                      <w:sz w:val="24"/>
                      <w:szCs w:val="24"/>
                      <w:highlight w:val="none"/>
                    </w:rPr>
                    <w:t>建筑面积</w:t>
                  </w:r>
                  <w:r>
                    <w:rPr>
                      <w:rFonts w:hint="eastAsia" w:cs="Times New Roman"/>
                      <w:b w:val="0"/>
                      <w:bCs w:val="0"/>
                      <w:sz w:val="24"/>
                      <w:szCs w:val="24"/>
                      <w:highlight w:val="none"/>
                      <w:lang w:val="en-US" w:eastAsia="zh-CN"/>
                    </w:rPr>
                    <w:t>18㎡</w:t>
                  </w:r>
                  <w:r>
                    <w:rPr>
                      <w:rFonts w:hint="default" w:ascii="Times New Roman" w:hAnsi="Times New Roman" w:cs="Times New Roman"/>
                      <w:b w:val="0"/>
                      <w:bCs w:val="0"/>
                      <w:sz w:val="24"/>
                      <w:szCs w:val="24"/>
                      <w:highlight w:val="none"/>
                    </w:rPr>
                    <w:t>，</w:t>
                  </w:r>
                  <w:r>
                    <w:rPr>
                      <w:rFonts w:hint="default" w:ascii="Times New Roman" w:hAnsi="Times New Roman" w:cs="Times New Roman"/>
                      <w:b w:val="0"/>
                      <w:bCs w:val="0"/>
                      <w:sz w:val="24"/>
                      <w:szCs w:val="24"/>
                      <w:highlight w:val="none"/>
                      <w:lang w:val="en-US" w:eastAsia="zh-CN"/>
                    </w:rPr>
                    <w:t>长</w:t>
                  </w:r>
                  <w:r>
                    <w:rPr>
                      <w:rFonts w:hint="eastAsia" w:cs="Times New Roman"/>
                      <w:b w:val="0"/>
                      <w:bCs w:val="0"/>
                      <w:sz w:val="24"/>
                      <w:szCs w:val="24"/>
                      <w:highlight w:val="none"/>
                      <w:lang w:val="en-US" w:eastAsia="zh-CN"/>
                    </w:rPr>
                    <w:t>6</w:t>
                  </w:r>
                  <w:r>
                    <w:rPr>
                      <w:rFonts w:hint="default" w:ascii="Times New Roman" w:hAnsi="Times New Roman" w:cs="Times New Roman"/>
                      <w:b w:val="0"/>
                      <w:bCs w:val="0"/>
                      <w:sz w:val="24"/>
                      <w:szCs w:val="24"/>
                      <w:highlight w:val="none"/>
                      <w:lang w:val="en-US" w:eastAsia="zh-CN"/>
                    </w:rPr>
                    <w:t>m×宽</w:t>
                  </w:r>
                  <w:r>
                    <w:rPr>
                      <w:rFonts w:hint="eastAsia" w:cs="Times New Roman"/>
                      <w:b w:val="0"/>
                      <w:bCs w:val="0"/>
                      <w:sz w:val="24"/>
                      <w:szCs w:val="24"/>
                      <w:highlight w:val="none"/>
                      <w:lang w:val="en-US" w:eastAsia="zh-CN"/>
                    </w:rPr>
                    <w:t>3</w:t>
                  </w:r>
                  <w:r>
                    <w:rPr>
                      <w:rFonts w:hint="default" w:ascii="Times New Roman" w:hAnsi="Times New Roman" w:cs="Times New Roman"/>
                      <w:b w:val="0"/>
                      <w:bCs w:val="0"/>
                      <w:sz w:val="24"/>
                      <w:szCs w:val="24"/>
                      <w:highlight w:val="none"/>
                      <w:lang w:val="en-US" w:eastAsia="zh-CN"/>
                    </w:rPr>
                    <w:t>m×高3.</w:t>
                  </w:r>
                  <w:r>
                    <w:rPr>
                      <w:rFonts w:hint="eastAsia" w:cs="Times New Roman"/>
                      <w:b w:val="0"/>
                      <w:bCs w:val="0"/>
                      <w:sz w:val="24"/>
                      <w:szCs w:val="24"/>
                      <w:highlight w:val="none"/>
                      <w:lang w:val="en-US" w:eastAsia="zh-CN"/>
                    </w:rPr>
                    <w:t>0</w:t>
                  </w:r>
                  <w:r>
                    <w:rPr>
                      <w:rFonts w:hint="default" w:ascii="Times New Roman" w:hAnsi="Times New Roman" w:cs="Times New Roman"/>
                      <w:b w:val="0"/>
                      <w:bCs w:val="0"/>
                      <w:sz w:val="24"/>
                      <w:szCs w:val="24"/>
                      <w:highlight w:val="none"/>
                      <w:lang w:val="en-US" w:eastAsia="zh-CN"/>
                    </w:rPr>
                    <w:t>m。为防风、防雨、防晒的封闭库房；围绕库房四周设置导流渠（</w:t>
                  </w:r>
                  <w:r>
                    <w:rPr>
                      <w:rFonts w:hint="eastAsia" w:cs="Times New Roman"/>
                      <w:b w:val="0"/>
                      <w:bCs w:val="0"/>
                      <w:sz w:val="24"/>
                      <w:szCs w:val="24"/>
                      <w:highlight w:val="none"/>
                      <w:lang w:val="en-US" w:eastAsia="zh-CN"/>
                    </w:rPr>
                    <w:t>300mm×300mm</w:t>
                  </w:r>
                  <w:r>
                    <w:rPr>
                      <w:rFonts w:hint="default" w:ascii="Times New Roman" w:hAnsi="Times New Roman" w:cs="Times New Roman"/>
                      <w:b w:val="0"/>
                      <w:bCs w:val="0"/>
                      <w:sz w:val="24"/>
                      <w:szCs w:val="24"/>
                      <w:highlight w:val="none"/>
                      <w:lang w:val="en-US" w:eastAsia="zh-CN"/>
                    </w:rPr>
                    <w:t>），设置1个集液池（1m³），设置</w:t>
                  </w:r>
                  <w:r>
                    <w:rPr>
                      <w:rFonts w:hint="eastAsia" w:cs="Times New Roman"/>
                      <w:b w:val="0"/>
                      <w:bCs w:val="0"/>
                      <w:sz w:val="24"/>
                      <w:szCs w:val="24"/>
                      <w:highlight w:val="none"/>
                      <w:lang w:val="en-US" w:eastAsia="zh-CN"/>
                    </w:rPr>
                    <w:t>5</w:t>
                  </w:r>
                  <w:r>
                    <w:rPr>
                      <w:rFonts w:hint="default" w:ascii="Times New Roman" w:hAnsi="Times New Roman" w:cs="Times New Roman"/>
                      <w:b w:val="0"/>
                      <w:bCs w:val="0"/>
                      <w:sz w:val="24"/>
                      <w:szCs w:val="24"/>
                      <w:highlight w:val="none"/>
                      <w:lang w:val="en-US" w:eastAsia="zh-CN"/>
                    </w:rPr>
                    <w:t>个分区</w:t>
                  </w:r>
                  <w:r>
                    <w:rPr>
                      <w:rFonts w:hint="eastAsia" w:cs="Times New Roman"/>
                      <w:b w:val="0"/>
                      <w:bCs w:val="0"/>
                      <w:sz w:val="24"/>
                      <w:szCs w:val="24"/>
                      <w:highlight w:val="none"/>
                      <w:lang w:val="en-US" w:eastAsia="zh-CN"/>
                    </w:rPr>
                    <w:t>、分区一用于存放实验废液、分区二用于存放变质或失效的药剂、分区三用于存放废活性炭、分区四用于存放废防渗透膜、分区五用于存放沾有油污的废旧手套、抹布</w:t>
                  </w:r>
                  <w:r>
                    <w:rPr>
                      <w:rFonts w:hint="default" w:ascii="Times New Roman" w:hAnsi="Times New Roman" w:cs="Times New Roman"/>
                      <w:b w:val="0"/>
                      <w:bCs w:val="0"/>
                      <w:sz w:val="24"/>
                      <w:szCs w:val="24"/>
                      <w:highlight w:val="none"/>
                      <w:lang w:val="en-US" w:eastAsia="zh-CN"/>
                    </w:rPr>
                    <w:t>。</w:t>
                  </w:r>
                </w:p>
              </w:tc>
              <w:tc>
                <w:tcPr>
                  <w:tcW w:w="741" w:type="dxa"/>
                  <w:tcBorders>
                    <w:tl2br w:val="nil"/>
                    <w:tr2bl w:val="nil"/>
                  </w:tcBorders>
                  <w:noWrap w:val="0"/>
                  <w:vAlign w:val="center"/>
                </w:tcPr>
                <w:p w14:paraId="24104A9E">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新建</w:t>
                  </w:r>
                </w:p>
              </w:tc>
            </w:tr>
            <w:tr w14:paraId="629E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trPr>
              <w:tc>
                <w:tcPr>
                  <w:tcW w:w="891" w:type="dxa"/>
                  <w:vMerge w:val="continue"/>
                  <w:tcBorders>
                    <w:tl2br w:val="nil"/>
                    <w:tr2bl w:val="nil"/>
                  </w:tcBorders>
                  <w:noWrap w:val="0"/>
                  <w:vAlign w:val="center"/>
                </w:tcPr>
                <w:p w14:paraId="6FE73366">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rPr>
                  </w:pPr>
                </w:p>
              </w:tc>
              <w:tc>
                <w:tcPr>
                  <w:tcW w:w="860" w:type="dxa"/>
                  <w:tcBorders>
                    <w:tl2br w:val="nil"/>
                    <w:tr2bl w:val="nil"/>
                  </w:tcBorders>
                  <w:noWrap w:val="0"/>
                  <w:vAlign w:val="center"/>
                </w:tcPr>
                <w:p w14:paraId="5C7D0F64">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危险废物标识</w:t>
                  </w:r>
                </w:p>
              </w:tc>
              <w:tc>
                <w:tcPr>
                  <w:tcW w:w="5446" w:type="dxa"/>
                  <w:tcBorders>
                    <w:tl2br w:val="nil"/>
                    <w:tr2bl w:val="nil"/>
                  </w:tcBorders>
                  <w:noWrap w:val="0"/>
                  <w:vAlign w:val="center"/>
                </w:tcPr>
                <w:p w14:paraId="62E98C3B">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危险废物贮存库中的危险废物粘贴符合《危险废物贮存污染控制标准》（GB18597-2023）相关要求，注明危废入库日期、危废名称、重量、危险特性以及应急安全措施；贮存设施或场所、容器和包装物应按《危险废物识别标志设置技术规范》（HJ1276-2022）要求设置危险废物贮存设施或场所标志、危险废物贮存分区标志和危险废物标签等危险废物识别标志。</w:t>
                  </w:r>
                </w:p>
              </w:tc>
              <w:tc>
                <w:tcPr>
                  <w:tcW w:w="741" w:type="dxa"/>
                  <w:tcBorders>
                    <w:tl2br w:val="nil"/>
                    <w:tr2bl w:val="nil"/>
                  </w:tcBorders>
                  <w:noWrap w:val="0"/>
                  <w:vAlign w:val="center"/>
                </w:tcPr>
                <w:p w14:paraId="52CB2CDA">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新建</w:t>
                  </w:r>
                </w:p>
              </w:tc>
            </w:tr>
            <w:tr w14:paraId="0135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891" w:type="dxa"/>
                  <w:vMerge w:val="restart"/>
                  <w:tcBorders>
                    <w:tl2br w:val="nil"/>
                    <w:tr2bl w:val="nil"/>
                  </w:tcBorders>
                  <w:noWrap w:val="0"/>
                  <w:vAlign w:val="center"/>
                </w:tcPr>
                <w:p w14:paraId="6D312B24">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辅助工程</w:t>
                  </w:r>
                </w:p>
              </w:tc>
              <w:tc>
                <w:tcPr>
                  <w:tcW w:w="860" w:type="dxa"/>
                  <w:tcBorders>
                    <w:tl2br w:val="nil"/>
                    <w:tr2bl w:val="nil"/>
                  </w:tcBorders>
                  <w:noWrap w:val="0"/>
                  <w:vAlign w:val="center"/>
                </w:tcPr>
                <w:p w14:paraId="64BBB6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rPr>
                    <w:t>照明配电、防雷接地保护</w:t>
                  </w:r>
                </w:p>
              </w:tc>
              <w:tc>
                <w:tcPr>
                  <w:tcW w:w="5446" w:type="dxa"/>
                  <w:tcBorders>
                    <w:tl2br w:val="nil"/>
                    <w:tr2bl w:val="nil"/>
                  </w:tcBorders>
                  <w:noWrap w:val="0"/>
                  <w:vAlign w:val="center"/>
                </w:tcPr>
                <w:p w14:paraId="12623B3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rPr>
                    <w:t>照明配电和观察口：全部采用隔爆型灯具及电气设备，并在</w:t>
                  </w:r>
                  <w:r>
                    <w:rPr>
                      <w:rFonts w:hint="default" w:ascii="Times New Roman" w:hAnsi="Times New Roman" w:cs="Times New Roman"/>
                      <w:b w:val="0"/>
                      <w:bCs w:val="0"/>
                      <w:sz w:val="24"/>
                      <w:szCs w:val="24"/>
                      <w:highlight w:val="none"/>
                      <w:lang w:eastAsia="zh-CN"/>
                    </w:rPr>
                    <w:t>贮存库</w:t>
                  </w:r>
                  <w:r>
                    <w:rPr>
                      <w:rFonts w:hint="default" w:ascii="Times New Roman" w:hAnsi="Times New Roman" w:cs="Times New Roman"/>
                      <w:b w:val="0"/>
                      <w:bCs w:val="0"/>
                      <w:sz w:val="24"/>
                      <w:szCs w:val="24"/>
                      <w:highlight w:val="none"/>
                    </w:rPr>
                    <w:t>门上增加观察窗口。防雷接地保护：构件之间连接成电气通路，屋面上所有金属设备、金属管道及金属构件均与金属屋面可靠</w:t>
                  </w:r>
                  <w:r>
                    <w:rPr>
                      <w:rFonts w:hint="eastAsia" w:cs="Times New Roman"/>
                      <w:b w:val="0"/>
                      <w:bCs w:val="0"/>
                      <w:sz w:val="24"/>
                      <w:szCs w:val="24"/>
                      <w:highlight w:val="none"/>
                      <w:lang w:eastAsia="zh-CN"/>
                    </w:rPr>
                    <w:t>连</w:t>
                  </w:r>
                  <w:r>
                    <w:rPr>
                      <w:rFonts w:hint="default" w:ascii="Times New Roman" w:hAnsi="Times New Roman" w:cs="Times New Roman"/>
                      <w:b w:val="0"/>
                      <w:bCs w:val="0"/>
                      <w:sz w:val="24"/>
                      <w:szCs w:val="24"/>
                      <w:highlight w:val="none"/>
                    </w:rPr>
                    <w:t>接。金属部件防腐：所有金属构件均涂刷防锈漆</w:t>
                  </w:r>
                  <w:r>
                    <w:rPr>
                      <w:rFonts w:hint="default" w:ascii="Times New Roman" w:hAnsi="Times New Roman" w:cs="Times New Roman"/>
                      <w:b w:val="0"/>
                      <w:bCs w:val="0"/>
                      <w:sz w:val="24"/>
                      <w:szCs w:val="24"/>
                      <w:highlight w:val="none"/>
                      <w:lang w:eastAsia="zh-CN"/>
                    </w:rPr>
                    <w:t>。</w:t>
                  </w:r>
                </w:p>
              </w:tc>
              <w:tc>
                <w:tcPr>
                  <w:tcW w:w="741" w:type="dxa"/>
                  <w:tcBorders>
                    <w:tl2br w:val="nil"/>
                    <w:tr2bl w:val="nil"/>
                  </w:tcBorders>
                  <w:noWrap w:val="0"/>
                  <w:vAlign w:val="center"/>
                </w:tcPr>
                <w:p w14:paraId="4E97E209">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新建</w:t>
                  </w:r>
                </w:p>
              </w:tc>
            </w:tr>
            <w:tr w14:paraId="0293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891" w:type="dxa"/>
                  <w:vMerge w:val="continue"/>
                  <w:tcBorders>
                    <w:tl2br w:val="nil"/>
                    <w:tr2bl w:val="nil"/>
                  </w:tcBorders>
                  <w:noWrap w:val="0"/>
                  <w:vAlign w:val="center"/>
                </w:tcPr>
                <w:p w14:paraId="26D584D8">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4"/>
                      <w:szCs w:val="24"/>
                      <w:highlight w:val="none"/>
                      <w:lang w:val="en-US" w:eastAsia="zh-CN"/>
                    </w:rPr>
                  </w:pPr>
                </w:p>
              </w:tc>
              <w:tc>
                <w:tcPr>
                  <w:tcW w:w="860" w:type="dxa"/>
                  <w:tcBorders>
                    <w:tl2br w:val="nil"/>
                    <w:tr2bl w:val="nil"/>
                  </w:tcBorders>
                  <w:noWrap w:val="0"/>
                  <w:vAlign w:val="center"/>
                </w:tcPr>
                <w:p w14:paraId="4F305F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rPr>
                    <w:t>监控系统</w:t>
                  </w:r>
                </w:p>
              </w:tc>
              <w:tc>
                <w:tcPr>
                  <w:tcW w:w="5446" w:type="dxa"/>
                  <w:tcBorders>
                    <w:tl2br w:val="nil"/>
                    <w:tr2bl w:val="nil"/>
                  </w:tcBorders>
                  <w:noWrap w:val="0"/>
                  <w:vAlign w:val="center"/>
                </w:tcPr>
                <w:p w14:paraId="6349B278">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rPr>
                    <w:t>库内外各设置一个监控器并配备完整的监控系统</w:t>
                  </w:r>
                </w:p>
              </w:tc>
              <w:tc>
                <w:tcPr>
                  <w:tcW w:w="741" w:type="dxa"/>
                  <w:tcBorders>
                    <w:tl2br w:val="nil"/>
                    <w:tr2bl w:val="nil"/>
                  </w:tcBorders>
                  <w:noWrap w:val="0"/>
                  <w:vAlign w:val="center"/>
                </w:tcPr>
                <w:p w14:paraId="1FEE1060">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新建</w:t>
                  </w:r>
                </w:p>
              </w:tc>
            </w:tr>
            <w:tr w14:paraId="1C73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1" w:type="dxa"/>
                  <w:vMerge w:val="continue"/>
                  <w:tcBorders>
                    <w:tl2br w:val="nil"/>
                    <w:tr2bl w:val="nil"/>
                  </w:tcBorders>
                  <w:noWrap w:val="0"/>
                  <w:vAlign w:val="center"/>
                </w:tcPr>
                <w:p w14:paraId="61F71DF7">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rPr>
                  </w:pPr>
                </w:p>
              </w:tc>
              <w:tc>
                <w:tcPr>
                  <w:tcW w:w="860" w:type="dxa"/>
                  <w:tcBorders>
                    <w:tl2br w:val="nil"/>
                    <w:tr2bl w:val="nil"/>
                  </w:tcBorders>
                  <w:noWrap w:val="0"/>
                  <w:vAlign w:val="center"/>
                </w:tcPr>
                <w:p w14:paraId="5792A6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rPr>
                    <w:t>排风系统</w:t>
                  </w:r>
                </w:p>
              </w:tc>
              <w:tc>
                <w:tcPr>
                  <w:tcW w:w="5446" w:type="dxa"/>
                  <w:tcBorders>
                    <w:tl2br w:val="nil"/>
                    <w:tr2bl w:val="nil"/>
                  </w:tcBorders>
                  <w:noWrap w:val="0"/>
                  <w:vAlign w:val="center"/>
                </w:tcPr>
                <w:p w14:paraId="5459A8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rPr>
                    <w:t>设置排风口并安装轴流风机</w:t>
                  </w:r>
                </w:p>
              </w:tc>
              <w:tc>
                <w:tcPr>
                  <w:tcW w:w="741" w:type="dxa"/>
                  <w:tcBorders>
                    <w:tl2br w:val="nil"/>
                    <w:tr2bl w:val="nil"/>
                  </w:tcBorders>
                  <w:noWrap w:val="0"/>
                  <w:vAlign w:val="center"/>
                </w:tcPr>
                <w:p w14:paraId="0E453165">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新建</w:t>
                  </w:r>
                </w:p>
              </w:tc>
            </w:tr>
            <w:tr w14:paraId="316C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91" w:type="dxa"/>
                  <w:vMerge w:val="restart"/>
                  <w:tcBorders>
                    <w:tl2br w:val="nil"/>
                    <w:tr2bl w:val="nil"/>
                  </w:tcBorders>
                  <w:noWrap w:val="0"/>
                  <w:vAlign w:val="center"/>
                </w:tcPr>
                <w:p w14:paraId="76177DCD">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公用工程</w:t>
                  </w:r>
                </w:p>
              </w:tc>
              <w:tc>
                <w:tcPr>
                  <w:tcW w:w="860" w:type="dxa"/>
                  <w:tcBorders>
                    <w:tl2br w:val="nil"/>
                    <w:tr2bl w:val="nil"/>
                  </w:tcBorders>
                  <w:noWrap w:val="0"/>
                  <w:vAlign w:val="center"/>
                </w:tcPr>
                <w:p w14:paraId="33BF7B48">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供水</w:t>
                  </w:r>
                </w:p>
              </w:tc>
              <w:tc>
                <w:tcPr>
                  <w:tcW w:w="5446" w:type="dxa"/>
                  <w:tcBorders>
                    <w:tl2br w:val="nil"/>
                    <w:tr2bl w:val="nil"/>
                  </w:tcBorders>
                  <w:noWrap w:val="0"/>
                  <w:vAlign w:val="center"/>
                </w:tcPr>
                <w:p w14:paraId="119E73C3">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rPr>
                  </w:pPr>
                  <w:r>
                    <w:rPr>
                      <w:rFonts w:hint="default" w:ascii="Times New Roman" w:hAnsi="Times New Roman" w:cs="Times New Roman"/>
                      <w:b w:val="0"/>
                      <w:bCs w:val="0"/>
                      <w:sz w:val="24"/>
                      <w:szCs w:val="24"/>
                      <w:highlight w:val="none"/>
                      <w:lang w:val="en-US" w:eastAsia="zh-CN"/>
                    </w:rPr>
                    <w:t>本项目无需生活及生产用水</w:t>
                  </w:r>
                </w:p>
              </w:tc>
              <w:tc>
                <w:tcPr>
                  <w:tcW w:w="741" w:type="dxa"/>
                  <w:tcBorders>
                    <w:tl2br w:val="nil"/>
                    <w:tr2bl w:val="nil"/>
                  </w:tcBorders>
                  <w:noWrap w:val="0"/>
                  <w:vAlign w:val="center"/>
                </w:tcPr>
                <w:p w14:paraId="1B14CB25">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sz w:val="24"/>
                      <w:szCs w:val="24"/>
                      <w:highlight w:val="none"/>
                      <w:lang w:val="en-US" w:eastAsia="zh-CN"/>
                    </w:rPr>
                    <w:t>/</w:t>
                  </w:r>
                </w:p>
              </w:tc>
            </w:tr>
            <w:tr w14:paraId="517C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91" w:type="dxa"/>
                  <w:vMerge w:val="continue"/>
                  <w:tcBorders>
                    <w:tl2br w:val="nil"/>
                    <w:tr2bl w:val="nil"/>
                  </w:tcBorders>
                  <w:noWrap w:val="0"/>
                  <w:vAlign w:val="center"/>
                </w:tcPr>
                <w:p w14:paraId="1D567664">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p>
              </w:tc>
              <w:tc>
                <w:tcPr>
                  <w:tcW w:w="860" w:type="dxa"/>
                  <w:tcBorders>
                    <w:tl2br w:val="nil"/>
                    <w:tr2bl w:val="nil"/>
                  </w:tcBorders>
                  <w:noWrap w:val="0"/>
                  <w:vAlign w:val="center"/>
                </w:tcPr>
                <w:p w14:paraId="42F91836">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供热</w:t>
                  </w:r>
                </w:p>
              </w:tc>
              <w:tc>
                <w:tcPr>
                  <w:tcW w:w="5446" w:type="dxa"/>
                  <w:tcBorders>
                    <w:tl2br w:val="nil"/>
                    <w:tr2bl w:val="nil"/>
                  </w:tcBorders>
                  <w:noWrap w:val="0"/>
                  <w:vAlign w:val="center"/>
                </w:tcPr>
                <w:p w14:paraId="2B7A79D4">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本项目无需供热</w:t>
                  </w:r>
                </w:p>
              </w:tc>
              <w:tc>
                <w:tcPr>
                  <w:tcW w:w="741" w:type="dxa"/>
                  <w:tcBorders>
                    <w:tl2br w:val="nil"/>
                    <w:tr2bl w:val="nil"/>
                  </w:tcBorders>
                  <w:noWrap w:val="0"/>
                  <w:vAlign w:val="center"/>
                </w:tcPr>
                <w:p w14:paraId="0489D46D">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w:t>
                  </w:r>
                </w:p>
              </w:tc>
            </w:tr>
            <w:tr w14:paraId="0DCE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91" w:type="dxa"/>
                  <w:vMerge w:val="continue"/>
                  <w:tcBorders>
                    <w:tl2br w:val="nil"/>
                    <w:tr2bl w:val="nil"/>
                  </w:tcBorders>
                  <w:noWrap w:val="0"/>
                  <w:vAlign w:val="center"/>
                </w:tcPr>
                <w:p w14:paraId="4078176F">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p>
              </w:tc>
              <w:tc>
                <w:tcPr>
                  <w:tcW w:w="860" w:type="dxa"/>
                  <w:tcBorders>
                    <w:tl2br w:val="nil"/>
                    <w:tr2bl w:val="nil"/>
                  </w:tcBorders>
                  <w:noWrap w:val="0"/>
                  <w:vAlign w:val="center"/>
                </w:tcPr>
                <w:p w14:paraId="579ADCD5">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供电</w:t>
                  </w:r>
                </w:p>
              </w:tc>
              <w:tc>
                <w:tcPr>
                  <w:tcW w:w="5446" w:type="dxa"/>
                  <w:tcBorders>
                    <w:tl2br w:val="nil"/>
                    <w:tr2bl w:val="nil"/>
                  </w:tcBorders>
                  <w:noWrap w:val="0"/>
                  <w:vAlign w:val="center"/>
                </w:tcPr>
                <w:p w14:paraId="36360B0B">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依托</w:t>
                  </w:r>
                </w:p>
              </w:tc>
              <w:tc>
                <w:tcPr>
                  <w:tcW w:w="741" w:type="dxa"/>
                  <w:tcBorders>
                    <w:tl2br w:val="nil"/>
                    <w:tr2bl w:val="nil"/>
                  </w:tcBorders>
                  <w:noWrap w:val="0"/>
                  <w:vAlign w:val="center"/>
                </w:tcPr>
                <w:p w14:paraId="3FA290F2">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依托</w:t>
                  </w:r>
                </w:p>
              </w:tc>
            </w:tr>
            <w:tr w14:paraId="6E52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91" w:type="dxa"/>
                  <w:vMerge w:val="continue"/>
                  <w:tcBorders>
                    <w:tl2br w:val="nil"/>
                    <w:tr2bl w:val="nil"/>
                  </w:tcBorders>
                  <w:noWrap w:val="0"/>
                  <w:vAlign w:val="center"/>
                </w:tcPr>
                <w:p w14:paraId="5750DAAF">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p>
              </w:tc>
              <w:tc>
                <w:tcPr>
                  <w:tcW w:w="860" w:type="dxa"/>
                  <w:tcBorders>
                    <w:tl2br w:val="nil"/>
                    <w:tr2bl w:val="nil"/>
                  </w:tcBorders>
                  <w:noWrap w:val="0"/>
                  <w:vAlign w:val="center"/>
                </w:tcPr>
                <w:p w14:paraId="0374133B">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消防</w:t>
                  </w:r>
                </w:p>
              </w:tc>
              <w:tc>
                <w:tcPr>
                  <w:tcW w:w="5446" w:type="dxa"/>
                  <w:tcBorders>
                    <w:tl2br w:val="nil"/>
                    <w:tr2bl w:val="nil"/>
                  </w:tcBorders>
                  <w:noWrap w:val="0"/>
                  <w:vAlign w:val="center"/>
                </w:tcPr>
                <w:p w14:paraId="3C7D8057">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配置消防沙箱及其相关配套设施一套，灭火器两套，并按照要求合理放置于库房</w:t>
                  </w:r>
                </w:p>
              </w:tc>
              <w:tc>
                <w:tcPr>
                  <w:tcW w:w="741" w:type="dxa"/>
                  <w:tcBorders>
                    <w:tl2br w:val="nil"/>
                    <w:tr2bl w:val="nil"/>
                  </w:tcBorders>
                  <w:noWrap w:val="0"/>
                  <w:vAlign w:val="center"/>
                </w:tcPr>
                <w:p w14:paraId="57ED8A43">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w:t>
                  </w:r>
                </w:p>
              </w:tc>
            </w:tr>
            <w:tr w14:paraId="0EF6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91" w:type="dxa"/>
                  <w:vMerge w:val="restart"/>
                  <w:tcBorders>
                    <w:tl2br w:val="nil"/>
                    <w:tr2bl w:val="nil"/>
                  </w:tcBorders>
                  <w:noWrap w:val="0"/>
                  <w:vAlign w:val="center"/>
                </w:tcPr>
                <w:p w14:paraId="60A3ED45">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环保工程</w:t>
                  </w:r>
                </w:p>
              </w:tc>
              <w:tc>
                <w:tcPr>
                  <w:tcW w:w="860" w:type="dxa"/>
                  <w:tcBorders>
                    <w:tl2br w:val="nil"/>
                    <w:tr2bl w:val="nil"/>
                  </w:tcBorders>
                  <w:noWrap w:val="0"/>
                  <w:vAlign w:val="center"/>
                </w:tcPr>
                <w:p w14:paraId="4D7E60B8">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废气</w:t>
                  </w:r>
                </w:p>
              </w:tc>
              <w:tc>
                <w:tcPr>
                  <w:tcW w:w="5446" w:type="dxa"/>
                  <w:tcBorders>
                    <w:tl2br w:val="nil"/>
                    <w:tr2bl w:val="nil"/>
                  </w:tcBorders>
                  <w:noWrap w:val="0"/>
                  <w:vAlign w:val="center"/>
                </w:tcPr>
                <w:p w14:paraId="201FB0C3">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cs="Times New Roman"/>
                      <w:b w:val="0"/>
                      <w:bCs w:val="0"/>
                      <w:sz w:val="24"/>
                      <w:szCs w:val="24"/>
                      <w:highlight w:val="none"/>
                      <w:lang w:val="en-US"/>
                    </w:rPr>
                  </w:pPr>
                  <w:r>
                    <w:rPr>
                      <w:rFonts w:hint="eastAsia" w:ascii="Times New Roman" w:hAnsi="Times New Roman" w:eastAsia="宋体" w:cs="Times New Roman"/>
                      <w:b w:val="0"/>
                      <w:bCs w:val="0"/>
                      <w:sz w:val="24"/>
                      <w:szCs w:val="24"/>
                      <w:highlight w:val="none"/>
                      <w:lang w:val="en-US" w:eastAsia="zh-CN"/>
                    </w:rPr>
                    <w:t>项目存储的危险废物均密闭保存，性质稳定不易挥发。不进行倒灌、分装等，因此在存储过程中正常情况下无废气排放。</w:t>
                  </w:r>
                </w:p>
              </w:tc>
              <w:tc>
                <w:tcPr>
                  <w:tcW w:w="741" w:type="dxa"/>
                  <w:tcBorders>
                    <w:tl2br w:val="nil"/>
                    <w:tr2bl w:val="nil"/>
                  </w:tcBorders>
                  <w:noWrap w:val="0"/>
                  <w:vAlign w:val="center"/>
                </w:tcPr>
                <w:p w14:paraId="748CD94D">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新建</w:t>
                  </w:r>
                </w:p>
              </w:tc>
            </w:tr>
            <w:tr w14:paraId="6150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91" w:type="dxa"/>
                  <w:vMerge w:val="continue"/>
                  <w:tcBorders>
                    <w:tl2br w:val="nil"/>
                    <w:tr2bl w:val="nil"/>
                  </w:tcBorders>
                  <w:noWrap w:val="0"/>
                  <w:vAlign w:val="center"/>
                </w:tcPr>
                <w:p w14:paraId="65A24C56">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p>
              </w:tc>
              <w:tc>
                <w:tcPr>
                  <w:tcW w:w="860" w:type="dxa"/>
                  <w:tcBorders>
                    <w:tl2br w:val="nil"/>
                    <w:tr2bl w:val="nil"/>
                  </w:tcBorders>
                  <w:noWrap w:val="0"/>
                  <w:vAlign w:val="center"/>
                </w:tcPr>
                <w:p w14:paraId="03CE1176">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废水</w:t>
                  </w:r>
                </w:p>
              </w:tc>
              <w:tc>
                <w:tcPr>
                  <w:tcW w:w="5446" w:type="dxa"/>
                  <w:tcBorders>
                    <w:tl2br w:val="nil"/>
                    <w:tr2bl w:val="nil"/>
                  </w:tcBorders>
                  <w:noWrap w:val="0"/>
                  <w:vAlign w:val="center"/>
                </w:tcPr>
                <w:p w14:paraId="58CA2725">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本项目无生产废水及生活污水排放</w:t>
                  </w:r>
                </w:p>
              </w:tc>
              <w:tc>
                <w:tcPr>
                  <w:tcW w:w="741" w:type="dxa"/>
                  <w:tcBorders>
                    <w:tl2br w:val="nil"/>
                    <w:tr2bl w:val="nil"/>
                  </w:tcBorders>
                  <w:noWrap w:val="0"/>
                  <w:vAlign w:val="center"/>
                </w:tcPr>
                <w:p w14:paraId="536C8461">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w:t>
                  </w:r>
                </w:p>
              </w:tc>
            </w:tr>
            <w:tr w14:paraId="7F00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891" w:type="dxa"/>
                  <w:vMerge w:val="continue"/>
                  <w:tcBorders>
                    <w:tl2br w:val="nil"/>
                    <w:tr2bl w:val="nil"/>
                  </w:tcBorders>
                  <w:noWrap w:val="0"/>
                  <w:vAlign w:val="center"/>
                </w:tcPr>
                <w:p w14:paraId="00A20C12">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p>
              </w:tc>
              <w:tc>
                <w:tcPr>
                  <w:tcW w:w="860" w:type="dxa"/>
                  <w:tcBorders>
                    <w:tl2br w:val="nil"/>
                    <w:tr2bl w:val="nil"/>
                  </w:tcBorders>
                  <w:noWrap w:val="0"/>
                  <w:vAlign w:val="center"/>
                </w:tcPr>
                <w:p w14:paraId="04D99144">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噪声</w:t>
                  </w:r>
                </w:p>
              </w:tc>
              <w:tc>
                <w:tcPr>
                  <w:tcW w:w="5446" w:type="dxa"/>
                  <w:tcBorders>
                    <w:tl2br w:val="nil"/>
                    <w:tr2bl w:val="nil"/>
                  </w:tcBorders>
                  <w:noWrap w:val="0"/>
                  <w:vAlign w:val="center"/>
                </w:tcPr>
                <w:p w14:paraId="2B09BF16">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选用低噪声设备，厂房隔声降噪</w:t>
                  </w:r>
                </w:p>
              </w:tc>
              <w:tc>
                <w:tcPr>
                  <w:tcW w:w="741" w:type="dxa"/>
                  <w:tcBorders>
                    <w:tl2br w:val="nil"/>
                    <w:tr2bl w:val="nil"/>
                  </w:tcBorders>
                  <w:noWrap w:val="0"/>
                  <w:vAlign w:val="center"/>
                </w:tcPr>
                <w:p w14:paraId="3A60E90C">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w:t>
                  </w:r>
                </w:p>
              </w:tc>
            </w:tr>
            <w:tr w14:paraId="3508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891" w:type="dxa"/>
                  <w:vMerge w:val="continue"/>
                  <w:tcBorders>
                    <w:tl2br w:val="nil"/>
                    <w:tr2bl w:val="nil"/>
                  </w:tcBorders>
                  <w:noWrap w:val="0"/>
                  <w:vAlign w:val="center"/>
                </w:tcPr>
                <w:p w14:paraId="54AA7474">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p>
              </w:tc>
              <w:tc>
                <w:tcPr>
                  <w:tcW w:w="860" w:type="dxa"/>
                  <w:tcBorders>
                    <w:tl2br w:val="nil"/>
                    <w:tr2bl w:val="nil"/>
                  </w:tcBorders>
                  <w:noWrap w:val="0"/>
                  <w:vAlign w:val="center"/>
                </w:tcPr>
                <w:p w14:paraId="114CDB38">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固废</w:t>
                  </w:r>
                </w:p>
              </w:tc>
              <w:tc>
                <w:tcPr>
                  <w:tcW w:w="5446" w:type="dxa"/>
                  <w:tcBorders>
                    <w:tl2br w:val="nil"/>
                    <w:tr2bl w:val="nil"/>
                  </w:tcBorders>
                  <w:noWrap w:val="0"/>
                  <w:vAlign w:val="center"/>
                </w:tcPr>
                <w:p w14:paraId="6C6156BE">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4"/>
                      <w:szCs w:val="24"/>
                      <w:highlight w:val="none"/>
                      <w:lang w:val="en-US" w:eastAsia="zh-CN"/>
                    </w:rPr>
                  </w:pPr>
                  <w:r>
                    <w:rPr>
                      <w:rFonts w:hint="eastAsia" w:cs="Times New Roman"/>
                      <w:b w:val="0"/>
                      <w:bCs w:val="0"/>
                      <w:sz w:val="24"/>
                      <w:szCs w:val="24"/>
                      <w:highlight w:val="none"/>
                      <w:lang w:val="en-US" w:eastAsia="zh-CN"/>
                    </w:rPr>
                    <w:t>本项目无新增生活垃圾产生，</w:t>
                  </w:r>
                  <w:r>
                    <w:rPr>
                      <w:rFonts w:hint="default" w:ascii="Times New Roman" w:hAnsi="Times New Roman" w:cs="Times New Roman"/>
                      <w:b w:val="0"/>
                      <w:bCs w:val="0"/>
                      <w:sz w:val="24"/>
                      <w:szCs w:val="24"/>
                      <w:highlight w:val="none"/>
                      <w:lang w:val="en-US" w:eastAsia="zh-CN"/>
                    </w:rPr>
                    <w:t>人工搬运</w:t>
                  </w:r>
                  <w:r>
                    <w:rPr>
                      <w:rFonts w:hint="eastAsia" w:cs="Times New Roman"/>
                      <w:b w:val="0"/>
                      <w:bCs w:val="0"/>
                      <w:sz w:val="24"/>
                      <w:szCs w:val="24"/>
                      <w:highlight w:val="none"/>
                      <w:lang w:val="en-US" w:eastAsia="zh-CN"/>
                    </w:rPr>
                    <w:t>危险废物</w:t>
                  </w:r>
                  <w:r>
                    <w:rPr>
                      <w:rFonts w:hint="default" w:ascii="Times New Roman" w:hAnsi="Times New Roman" w:cs="Times New Roman"/>
                      <w:b w:val="0"/>
                      <w:bCs w:val="0"/>
                      <w:sz w:val="24"/>
                      <w:szCs w:val="24"/>
                      <w:highlight w:val="none"/>
                      <w:lang w:val="en-US" w:eastAsia="zh-CN"/>
                    </w:rPr>
                    <w:t>中产生的</w:t>
                  </w:r>
                  <w:r>
                    <w:rPr>
                      <w:rFonts w:hint="eastAsia" w:cs="Times New Roman"/>
                      <w:b w:val="0"/>
                      <w:bCs w:val="0"/>
                      <w:sz w:val="24"/>
                      <w:szCs w:val="24"/>
                      <w:highlight w:val="none"/>
                      <w:lang w:val="en-US" w:eastAsia="zh-CN"/>
                    </w:rPr>
                    <w:t>沾有油污的废旧手套、抹布</w:t>
                  </w:r>
                  <w:r>
                    <w:rPr>
                      <w:rFonts w:hint="default" w:ascii="Times New Roman" w:hAnsi="Times New Roman" w:cs="Times New Roman"/>
                      <w:b w:val="0"/>
                      <w:bCs w:val="0"/>
                      <w:sz w:val="24"/>
                      <w:szCs w:val="24"/>
                      <w:highlight w:val="none"/>
                      <w:lang w:val="en-US" w:eastAsia="zh-CN"/>
                    </w:rPr>
                    <w:t>共计</w:t>
                  </w:r>
                  <w:r>
                    <w:rPr>
                      <w:rFonts w:hint="eastAsia" w:cs="Times New Roman"/>
                      <w:b w:val="0"/>
                      <w:bCs w:val="0"/>
                      <w:sz w:val="24"/>
                      <w:szCs w:val="24"/>
                      <w:highlight w:val="none"/>
                      <w:lang w:val="en-US" w:eastAsia="zh-CN"/>
                    </w:rPr>
                    <w:t>10块（双）/年</w:t>
                  </w:r>
                  <w:r>
                    <w:rPr>
                      <w:rFonts w:hint="default" w:ascii="Times New Roman" w:hAnsi="Times New Roman" w:cs="Times New Roman"/>
                      <w:b w:val="0"/>
                      <w:bCs w:val="0"/>
                      <w:sz w:val="24"/>
                      <w:szCs w:val="24"/>
                      <w:highlight w:val="none"/>
                      <w:lang w:val="en-US" w:eastAsia="zh-CN"/>
                    </w:rPr>
                    <w:t>，与危险废物一同处置。非正常情况下泄露的废液通过导流渠进入集液池中，收集后，交由有资质的单位处置。伊金霍洛旗澎源供水有限责任公司实验室产生的实验废液、变质或者失效的药剂、废活性炭、废反渗透膜暂存于危险废物贮存库内，定期交由有资质单位进行处置。</w:t>
                  </w:r>
                </w:p>
              </w:tc>
              <w:tc>
                <w:tcPr>
                  <w:tcW w:w="741" w:type="dxa"/>
                  <w:tcBorders>
                    <w:tl2br w:val="nil"/>
                    <w:tr2bl w:val="nil"/>
                  </w:tcBorders>
                  <w:noWrap w:val="0"/>
                  <w:vAlign w:val="center"/>
                </w:tcPr>
                <w:p w14:paraId="2FFF6F33">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w:t>
                  </w:r>
                </w:p>
              </w:tc>
            </w:tr>
            <w:tr w14:paraId="1DA8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1" w:type="dxa"/>
                  <w:tcBorders>
                    <w:tl2br w:val="nil"/>
                    <w:tr2bl w:val="nil"/>
                  </w:tcBorders>
                  <w:noWrap w:val="0"/>
                  <w:vAlign w:val="center"/>
                </w:tcPr>
                <w:p w14:paraId="4B566257">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防渗工程</w:t>
                  </w:r>
                </w:p>
              </w:tc>
              <w:tc>
                <w:tcPr>
                  <w:tcW w:w="6306" w:type="dxa"/>
                  <w:gridSpan w:val="2"/>
                  <w:tcBorders>
                    <w:tl2br w:val="nil"/>
                    <w:tr2bl w:val="nil"/>
                  </w:tcBorders>
                  <w:noWrap w:val="0"/>
                  <w:vAlign w:val="center"/>
                </w:tcPr>
                <w:p w14:paraId="1D3A965C">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危险废物贮存库地面</w:t>
                  </w:r>
                  <w:r>
                    <w:rPr>
                      <w:rFonts w:hint="eastAsia" w:cs="Times New Roman"/>
                      <w:b w:val="0"/>
                      <w:bCs w:val="0"/>
                      <w:sz w:val="24"/>
                      <w:szCs w:val="24"/>
                      <w:highlight w:val="none"/>
                      <w:lang w:val="en-US" w:eastAsia="zh-CN"/>
                    </w:rPr>
                    <w:t>、</w:t>
                  </w:r>
                  <w:r>
                    <w:rPr>
                      <w:rFonts w:hint="eastAsia" w:ascii="Times New Roman" w:hAnsi="Times New Roman" w:eastAsia="宋体" w:cs="Times New Roman"/>
                      <w:b w:val="0"/>
                      <w:bCs w:val="0"/>
                      <w:sz w:val="24"/>
                      <w:szCs w:val="24"/>
                      <w:highlight w:val="none"/>
                      <w:lang w:val="en-US" w:eastAsia="zh-CN"/>
                    </w:rPr>
                    <w:t>导流渠、集液池</w:t>
                  </w:r>
                  <w:r>
                    <w:rPr>
                      <w:rFonts w:hint="default" w:ascii="Times New Roman" w:hAnsi="Times New Roman" w:eastAsia="宋体" w:cs="Times New Roman"/>
                      <w:b w:val="0"/>
                      <w:bCs w:val="0"/>
                      <w:sz w:val="24"/>
                      <w:szCs w:val="24"/>
                      <w:highlight w:val="none"/>
                      <w:lang w:val="en-US" w:eastAsia="zh-CN"/>
                    </w:rPr>
                    <w:t>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default" w:ascii="Times New Roman" w:hAnsi="Times New Roman" w:eastAsia="宋体" w:cs="Times New Roman"/>
                      <w:b w:val="0"/>
                      <w:bCs w:val="0"/>
                      <w:sz w:val="24"/>
                      <w:szCs w:val="24"/>
                      <w:highlight w:val="none"/>
                      <w:vertAlign w:val="superscript"/>
                      <w:lang w:val="en-US" w:eastAsia="zh-CN"/>
                    </w:rPr>
                    <w:t>-10</w:t>
                  </w:r>
                  <w:r>
                    <w:rPr>
                      <w:rFonts w:hint="default" w:ascii="Times New Roman" w:hAnsi="Times New Roman" w:eastAsia="宋体" w:cs="Times New Roman"/>
                      <w:b w:val="0"/>
                      <w:bCs w:val="0"/>
                      <w:sz w:val="24"/>
                      <w:szCs w:val="24"/>
                      <w:highlight w:val="none"/>
                      <w:lang w:val="en-US" w:eastAsia="zh-CN"/>
                    </w:rPr>
                    <w:t>cm/s。</w:t>
                  </w:r>
                </w:p>
              </w:tc>
              <w:tc>
                <w:tcPr>
                  <w:tcW w:w="741" w:type="dxa"/>
                  <w:tcBorders>
                    <w:tl2br w:val="nil"/>
                    <w:tr2bl w:val="nil"/>
                  </w:tcBorders>
                  <w:noWrap w:val="0"/>
                  <w:vAlign w:val="center"/>
                </w:tcPr>
                <w:p w14:paraId="5D943737">
                  <w:pPr>
                    <w:pStyle w:val="22"/>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cs="Times New Roman"/>
                      <w:b w:val="0"/>
                      <w:bCs w:val="0"/>
                      <w:color w:val="000000"/>
                      <w:sz w:val="24"/>
                      <w:szCs w:val="24"/>
                      <w:highlight w:val="none"/>
                      <w:vertAlign w:val="baseline"/>
                      <w:lang w:val="en-US" w:eastAsia="zh-CN"/>
                    </w:rPr>
                  </w:pPr>
                  <w:r>
                    <w:rPr>
                      <w:rFonts w:hint="default" w:ascii="Times New Roman" w:hAnsi="Times New Roman" w:cs="Times New Roman"/>
                      <w:b w:val="0"/>
                      <w:bCs w:val="0"/>
                      <w:color w:val="000000"/>
                      <w:sz w:val="24"/>
                      <w:szCs w:val="24"/>
                      <w:highlight w:val="none"/>
                      <w:vertAlign w:val="baseline"/>
                      <w:lang w:val="en-US" w:eastAsia="zh-CN"/>
                    </w:rPr>
                    <w:t>新建</w:t>
                  </w:r>
                </w:p>
              </w:tc>
            </w:tr>
          </w:tbl>
          <w:p w14:paraId="014D44A0">
            <w:pPr>
              <w:bidi w:val="0"/>
              <w:rPr>
                <w:rFonts w:hint="eastAsia"/>
                <w:b/>
                <w:bCs/>
                <w:lang w:val="en-US" w:eastAsia="zh-CN"/>
              </w:rPr>
            </w:pPr>
            <w:r>
              <w:rPr>
                <w:rFonts w:hint="eastAsia"/>
                <w:b/>
                <w:bCs/>
                <w:lang w:val="en-US" w:eastAsia="zh-CN"/>
              </w:rPr>
              <w:t>2</w:t>
            </w:r>
            <w:r>
              <w:rPr>
                <w:rFonts w:hint="default"/>
                <w:b/>
                <w:bCs/>
                <w:lang w:val="en-US" w:eastAsia="zh-CN"/>
              </w:rPr>
              <w:t>、</w:t>
            </w:r>
            <w:r>
              <w:rPr>
                <w:rFonts w:hint="eastAsia"/>
                <w:b/>
                <w:bCs/>
                <w:lang w:val="en-US" w:eastAsia="zh-CN"/>
              </w:rPr>
              <w:t>项目方案</w:t>
            </w:r>
          </w:p>
          <w:p w14:paraId="4B97155A">
            <w:pPr>
              <w:bidi w:val="0"/>
              <w:rPr>
                <w:rFonts w:hint="default"/>
                <w:lang w:val="en-US" w:eastAsia="zh-CN"/>
              </w:rPr>
            </w:pPr>
            <w:r>
              <w:rPr>
                <w:rFonts w:hint="eastAsia"/>
                <w:lang w:val="en-US" w:eastAsia="zh-CN"/>
              </w:rPr>
              <w:t>本项目废物的年贮存量具体情况见表2-2。</w:t>
            </w:r>
          </w:p>
          <w:p w14:paraId="6AEFC8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表2-</w:t>
            </w:r>
            <w:r>
              <w:rPr>
                <w:rFonts w:hint="eastAsia" w:cs="Times New Roman"/>
                <w:b/>
                <w:bCs/>
                <w:sz w:val="24"/>
                <w:szCs w:val="24"/>
                <w:lang w:val="en-US" w:eastAsia="zh-CN"/>
              </w:rPr>
              <w:t>2</w:t>
            </w:r>
            <w:r>
              <w:rPr>
                <w:rFonts w:hint="default" w:ascii="Times New Roman" w:hAnsi="Times New Roman" w:eastAsia="宋体" w:cs="Times New Roman"/>
                <w:b/>
                <w:bCs/>
                <w:sz w:val="24"/>
                <w:szCs w:val="24"/>
                <w:lang w:val="en-US" w:eastAsia="zh-CN"/>
              </w:rPr>
              <w:t>危险废物特性</w:t>
            </w:r>
          </w:p>
          <w:tbl>
            <w:tblPr>
              <w:tblStyle w:val="15"/>
              <w:tblW w:w="8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698"/>
              <w:gridCol w:w="1096"/>
              <w:gridCol w:w="877"/>
              <w:gridCol w:w="1107"/>
              <w:gridCol w:w="750"/>
              <w:gridCol w:w="3075"/>
            </w:tblGrid>
            <w:tr w14:paraId="6DF74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jc w:val="center"/>
              </w:trPr>
              <w:tc>
                <w:tcPr>
                  <w:tcW w:w="435" w:type="dxa"/>
                  <w:noWrap w:val="0"/>
                  <w:vAlign w:val="center"/>
                </w:tcPr>
                <w:p w14:paraId="3DDD7743">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eastAsia="zh-CN"/>
                    </w:rPr>
                  </w:pPr>
                  <w:r>
                    <w:rPr>
                      <w:rFonts w:hint="default" w:ascii="Times New Roman" w:hAnsi="Times New Roman" w:eastAsia="宋体" w:cs="Times New Roman"/>
                      <w:b w:val="0"/>
                      <w:bCs w:val="0"/>
                      <w:color w:val="000000"/>
                      <w:sz w:val="21"/>
                      <w:szCs w:val="21"/>
                      <w:highlight w:val="none"/>
                      <w:lang w:eastAsia="zh-CN"/>
                    </w:rPr>
                    <w:t>序号</w:t>
                  </w:r>
                </w:p>
              </w:tc>
              <w:tc>
                <w:tcPr>
                  <w:tcW w:w="698" w:type="dxa"/>
                  <w:noWrap w:val="0"/>
                  <w:vAlign w:val="center"/>
                </w:tcPr>
                <w:p w14:paraId="1854D821">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eastAsia="zh-CN"/>
                    </w:rPr>
                  </w:pPr>
                  <w:r>
                    <w:rPr>
                      <w:rFonts w:hint="default" w:ascii="Times New Roman" w:hAnsi="Times New Roman" w:eastAsia="宋体" w:cs="Times New Roman"/>
                      <w:b w:val="0"/>
                      <w:bCs w:val="0"/>
                      <w:color w:val="000000"/>
                      <w:sz w:val="21"/>
                      <w:szCs w:val="21"/>
                      <w:highlight w:val="none"/>
                      <w:lang w:eastAsia="zh-CN"/>
                    </w:rPr>
                    <w:t>废物名称</w:t>
                  </w:r>
                </w:p>
              </w:tc>
              <w:tc>
                <w:tcPr>
                  <w:tcW w:w="1096" w:type="dxa"/>
                  <w:noWrap w:val="0"/>
                  <w:vAlign w:val="center"/>
                </w:tcPr>
                <w:p w14:paraId="7FEC44FB">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eastAsia="zh-CN"/>
                    </w:rPr>
                  </w:pPr>
                  <w:r>
                    <w:rPr>
                      <w:rFonts w:hint="default" w:ascii="Times New Roman" w:hAnsi="Times New Roman" w:eastAsia="宋体" w:cs="Times New Roman"/>
                      <w:b w:val="0"/>
                      <w:bCs w:val="0"/>
                      <w:color w:val="000000"/>
                      <w:sz w:val="21"/>
                      <w:szCs w:val="21"/>
                      <w:highlight w:val="none"/>
                      <w:lang w:eastAsia="zh-CN"/>
                    </w:rPr>
                    <w:t>废物类别</w:t>
                  </w:r>
                </w:p>
              </w:tc>
              <w:tc>
                <w:tcPr>
                  <w:tcW w:w="877" w:type="dxa"/>
                  <w:noWrap w:val="0"/>
                  <w:vAlign w:val="center"/>
                </w:tcPr>
                <w:p w14:paraId="530BCBC2">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eastAsia="zh-CN"/>
                    </w:rPr>
                  </w:pPr>
                  <w:r>
                    <w:rPr>
                      <w:rFonts w:hint="default" w:ascii="Times New Roman" w:hAnsi="Times New Roman" w:eastAsia="宋体" w:cs="Times New Roman"/>
                      <w:b w:val="0"/>
                      <w:bCs w:val="0"/>
                      <w:color w:val="000000"/>
                      <w:sz w:val="21"/>
                      <w:szCs w:val="21"/>
                      <w:highlight w:val="none"/>
                      <w:lang w:eastAsia="zh-CN"/>
                    </w:rPr>
                    <w:t>废物代码</w:t>
                  </w:r>
                </w:p>
              </w:tc>
              <w:tc>
                <w:tcPr>
                  <w:tcW w:w="1107" w:type="dxa"/>
                  <w:noWrap w:val="0"/>
                  <w:vAlign w:val="center"/>
                </w:tcPr>
                <w:p w14:paraId="3D0CA7EF">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eastAsia="zh-CN"/>
                    </w:rPr>
                  </w:pPr>
                  <w:r>
                    <w:rPr>
                      <w:rFonts w:hint="default" w:ascii="Times New Roman" w:hAnsi="Times New Roman" w:eastAsia="宋体" w:cs="Times New Roman"/>
                      <w:b w:val="0"/>
                      <w:bCs w:val="0"/>
                      <w:color w:val="000000"/>
                      <w:sz w:val="21"/>
                      <w:szCs w:val="21"/>
                      <w:highlight w:val="none"/>
                      <w:lang w:eastAsia="zh-CN"/>
                    </w:rPr>
                    <w:t>来源及产生工序</w:t>
                  </w:r>
                </w:p>
              </w:tc>
              <w:tc>
                <w:tcPr>
                  <w:tcW w:w="750" w:type="dxa"/>
                  <w:noWrap w:val="0"/>
                  <w:vAlign w:val="center"/>
                </w:tcPr>
                <w:p w14:paraId="1B347903">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危险特性</w:t>
                  </w:r>
                </w:p>
              </w:tc>
              <w:tc>
                <w:tcPr>
                  <w:tcW w:w="3075" w:type="dxa"/>
                  <w:noWrap w:val="0"/>
                  <w:vAlign w:val="center"/>
                </w:tcPr>
                <w:p w14:paraId="294700ED">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危险废物</w:t>
                  </w:r>
                </w:p>
              </w:tc>
            </w:tr>
            <w:tr w14:paraId="57D0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435" w:type="dxa"/>
                  <w:noWrap w:val="0"/>
                  <w:vAlign w:val="center"/>
                </w:tcPr>
                <w:p w14:paraId="61E7CA38">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cs="Times New Roman"/>
                      <w:b w:val="0"/>
                      <w:bCs w:val="0"/>
                      <w:color w:val="000000"/>
                      <w:sz w:val="21"/>
                      <w:szCs w:val="21"/>
                      <w:highlight w:val="none"/>
                      <w:lang w:val="en-US" w:eastAsia="zh-CN"/>
                    </w:rPr>
                    <w:t>1</w:t>
                  </w:r>
                </w:p>
              </w:tc>
              <w:tc>
                <w:tcPr>
                  <w:tcW w:w="698" w:type="dxa"/>
                  <w:noWrap w:val="0"/>
                  <w:vAlign w:val="center"/>
                </w:tcPr>
                <w:p w14:paraId="2264D84A">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实验废液</w:t>
                  </w:r>
                </w:p>
              </w:tc>
              <w:tc>
                <w:tcPr>
                  <w:tcW w:w="1096" w:type="dxa"/>
                  <w:noWrap w:val="0"/>
                  <w:vAlign w:val="center"/>
                </w:tcPr>
                <w:p w14:paraId="6A594191">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HW49其他废物</w:t>
                  </w:r>
                </w:p>
              </w:tc>
              <w:tc>
                <w:tcPr>
                  <w:tcW w:w="877" w:type="dxa"/>
                  <w:noWrap w:val="0"/>
                  <w:vAlign w:val="center"/>
                </w:tcPr>
                <w:p w14:paraId="4A19C252">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900-047-49</w:t>
                  </w:r>
                </w:p>
              </w:tc>
              <w:tc>
                <w:tcPr>
                  <w:tcW w:w="1107" w:type="dxa"/>
                  <w:noWrap w:val="0"/>
                  <w:vAlign w:val="center"/>
                </w:tcPr>
                <w:p w14:paraId="2E357A9B">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ascii="Times New Roman" w:hAnsi="Times New Roman" w:eastAsia="宋体" w:cs="Times New Roman"/>
                      <w:b w:val="0"/>
                      <w:bCs w:val="0"/>
                      <w:color w:val="000000"/>
                      <w:sz w:val="21"/>
                      <w:szCs w:val="21"/>
                      <w:highlight w:val="none"/>
                      <w:lang w:val="en-US" w:eastAsia="zh-CN"/>
                    </w:rPr>
                    <w:t>实验过程中产生的酸、碱废液</w:t>
                  </w:r>
                </w:p>
              </w:tc>
              <w:tc>
                <w:tcPr>
                  <w:tcW w:w="750" w:type="dxa"/>
                  <w:noWrap w:val="0"/>
                  <w:vAlign w:val="center"/>
                </w:tcPr>
                <w:p w14:paraId="3180E70F">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T/C/I/R</w:t>
                  </w:r>
                </w:p>
              </w:tc>
              <w:tc>
                <w:tcPr>
                  <w:tcW w:w="3075" w:type="dxa"/>
                  <w:noWrap w:val="0"/>
                  <w:vAlign w:val="center"/>
                </w:tcPr>
                <w:p w14:paraId="55415021">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生产、研究、开发、教学、环境检测（监测）活动中，化学和生物实验室（不包含感染性医学实验室及医疗机构化验室）产生的含氰、氟、重金属无机实验废液及无机实验废液处理产生的残渣、残液，含矿物油、有机溶剂、甲醛有机实验废液，废酸、废碱，具有危险特性的残留样品，以及沾染上述物质的一次性实验用品（不包括按实验室管理要求进行清洗后的废弃的烧杯、量器、漏斗等实验室用品）、包装物（不包括按实验室管理要求进行清洗后的试剂包装物、容器）、过滤吸附介质等。</w:t>
                  </w:r>
                </w:p>
              </w:tc>
            </w:tr>
            <w:tr w14:paraId="5D42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435" w:type="dxa"/>
                  <w:noWrap w:val="0"/>
                  <w:vAlign w:val="center"/>
                </w:tcPr>
                <w:p w14:paraId="0008CC6E">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b w:val="0"/>
                      <w:bCs w:val="0"/>
                      <w:color w:val="000000"/>
                      <w:sz w:val="21"/>
                      <w:szCs w:val="21"/>
                      <w:highlight w:val="none"/>
                      <w:lang w:val="en-US" w:eastAsia="zh-CN"/>
                    </w:rPr>
                  </w:pPr>
                  <w:r>
                    <w:rPr>
                      <w:rFonts w:hint="eastAsia" w:ascii="Times New Roman" w:hAnsi="Times New Roman" w:cs="Times New Roman"/>
                      <w:b w:val="0"/>
                      <w:bCs w:val="0"/>
                      <w:color w:val="000000"/>
                      <w:sz w:val="21"/>
                      <w:szCs w:val="21"/>
                      <w:highlight w:val="none"/>
                      <w:lang w:val="en-US" w:eastAsia="zh-CN"/>
                    </w:rPr>
                    <w:t>2</w:t>
                  </w:r>
                </w:p>
              </w:tc>
              <w:tc>
                <w:tcPr>
                  <w:tcW w:w="698" w:type="dxa"/>
                  <w:noWrap w:val="0"/>
                  <w:vAlign w:val="center"/>
                </w:tcPr>
                <w:p w14:paraId="4FEF859B">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变质或失效的药剂</w:t>
                  </w:r>
                </w:p>
              </w:tc>
              <w:tc>
                <w:tcPr>
                  <w:tcW w:w="1096" w:type="dxa"/>
                  <w:noWrap w:val="0"/>
                  <w:vAlign w:val="center"/>
                </w:tcPr>
                <w:p w14:paraId="37DC3848">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HW03废药物、药品</w:t>
                  </w:r>
                </w:p>
              </w:tc>
              <w:tc>
                <w:tcPr>
                  <w:tcW w:w="877" w:type="dxa"/>
                  <w:noWrap w:val="0"/>
                  <w:vAlign w:val="center"/>
                </w:tcPr>
                <w:p w14:paraId="4D054F86">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900-002-03</w:t>
                  </w:r>
                </w:p>
              </w:tc>
              <w:tc>
                <w:tcPr>
                  <w:tcW w:w="1107" w:type="dxa"/>
                  <w:noWrap w:val="0"/>
                  <w:vAlign w:val="center"/>
                </w:tcPr>
                <w:p w14:paraId="7FFCED62">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实验室药品库</w:t>
                  </w:r>
                </w:p>
              </w:tc>
              <w:tc>
                <w:tcPr>
                  <w:tcW w:w="750" w:type="dxa"/>
                  <w:noWrap w:val="0"/>
                  <w:vAlign w:val="center"/>
                </w:tcPr>
                <w:p w14:paraId="75C21B01">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T</w:t>
                  </w:r>
                </w:p>
              </w:tc>
              <w:tc>
                <w:tcPr>
                  <w:tcW w:w="3075" w:type="dxa"/>
                  <w:noWrap w:val="0"/>
                  <w:vAlign w:val="center"/>
                </w:tcPr>
                <w:p w14:paraId="0D1B9E36">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销售及使用过程中产生的失效、变质、不合格、淘汰、伪劣的化学药品和生物制品（不包括列入《国家基本药物目录》中的维生素、矿物质类药，调节水、电解质及酸碱平衡药），以及《医疗用毒性药品管理办法》中所列的毒性中药</w:t>
                  </w:r>
                </w:p>
              </w:tc>
            </w:tr>
            <w:tr w14:paraId="0325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35" w:type="dxa"/>
                  <w:noWrap w:val="0"/>
                  <w:vAlign w:val="center"/>
                </w:tcPr>
                <w:p w14:paraId="1706CA66">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ascii="Times New Roman" w:hAnsi="Times New Roman" w:eastAsia="宋体" w:cs="Times New Roman"/>
                      <w:b w:val="0"/>
                      <w:bCs w:val="0"/>
                      <w:color w:val="000000"/>
                      <w:sz w:val="21"/>
                      <w:szCs w:val="21"/>
                      <w:highlight w:val="none"/>
                      <w:lang w:val="en-US" w:eastAsia="zh-CN"/>
                    </w:rPr>
                    <w:t>3</w:t>
                  </w:r>
                </w:p>
              </w:tc>
              <w:tc>
                <w:tcPr>
                  <w:tcW w:w="698" w:type="dxa"/>
                  <w:noWrap w:val="0"/>
                  <w:vAlign w:val="center"/>
                </w:tcPr>
                <w:p w14:paraId="7FDC0F6C">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废活性炭</w:t>
                  </w:r>
                </w:p>
              </w:tc>
              <w:tc>
                <w:tcPr>
                  <w:tcW w:w="1096" w:type="dxa"/>
                  <w:noWrap w:val="0"/>
                  <w:vAlign w:val="center"/>
                </w:tcPr>
                <w:p w14:paraId="55C79715">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eastAsia="zh-CN"/>
                    </w:rPr>
                  </w:pPr>
                  <w:r>
                    <w:rPr>
                      <w:rFonts w:hint="eastAsia" w:ascii="Times New Roman" w:hAnsi="Times New Roman" w:eastAsia="宋体" w:cs="Times New Roman"/>
                      <w:b w:val="0"/>
                      <w:bCs w:val="0"/>
                      <w:color w:val="000000"/>
                      <w:sz w:val="21"/>
                      <w:szCs w:val="21"/>
                      <w:highlight w:val="none"/>
                      <w:lang w:val="en-US" w:eastAsia="zh-CN"/>
                    </w:rPr>
                    <w:t>HW49其他废物</w:t>
                  </w:r>
                </w:p>
              </w:tc>
              <w:tc>
                <w:tcPr>
                  <w:tcW w:w="877" w:type="dxa"/>
                  <w:noWrap w:val="0"/>
                  <w:vAlign w:val="center"/>
                </w:tcPr>
                <w:p w14:paraId="672D5B15">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900-039-49</w:t>
                  </w:r>
                </w:p>
              </w:tc>
              <w:tc>
                <w:tcPr>
                  <w:tcW w:w="1107" w:type="dxa"/>
                  <w:noWrap w:val="0"/>
                  <w:vAlign w:val="center"/>
                </w:tcPr>
                <w:p w14:paraId="48A40FA3">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废气处理过程中产生</w:t>
                  </w:r>
                </w:p>
              </w:tc>
              <w:tc>
                <w:tcPr>
                  <w:tcW w:w="750" w:type="dxa"/>
                  <w:noWrap w:val="0"/>
                  <w:vAlign w:val="center"/>
                </w:tcPr>
                <w:p w14:paraId="7293F2F2">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T</w:t>
                  </w:r>
                </w:p>
              </w:tc>
              <w:tc>
                <w:tcPr>
                  <w:tcW w:w="3075" w:type="dxa"/>
                  <w:noWrap w:val="0"/>
                  <w:vAlign w:val="center"/>
                </w:tcPr>
                <w:p w14:paraId="3D1345A7">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烟气、VOCs治理过程（不包括餐饮行业油烟治理过程）产生的废活性炭，化学原料和化学制品脱色（不包括有机合成食品添加剂脱色）、除杂、净化过程产生的废活性炭</w:t>
                  </w:r>
                </w:p>
              </w:tc>
            </w:tr>
            <w:tr w14:paraId="021F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435" w:type="dxa"/>
                  <w:noWrap w:val="0"/>
                  <w:vAlign w:val="center"/>
                </w:tcPr>
                <w:p w14:paraId="57DD3A66">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b w:val="0"/>
                      <w:bCs w:val="0"/>
                      <w:color w:val="000000"/>
                      <w:sz w:val="21"/>
                      <w:szCs w:val="21"/>
                      <w:highlight w:val="none"/>
                      <w:lang w:val="en-US" w:eastAsia="zh-CN"/>
                    </w:rPr>
                  </w:pPr>
                  <w:r>
                    <w:rPr>
                      <w:rFonts w:hint="eastAsia" w:ascii="Times New Roman" w:hAnsi="Times New Roman" w:cs="Times New Roman"/>
                      <w:b w:val="0"/>
                      <w:bCs w:val="0"/>
                      <w:color w:val="000000"/>
                      <w:sz w:val="21"/>
                      <w:szCs w:val="21"/>
                      <w:highlight w:val="none"/>
                      <w:lang w:val="en-US" w:eastAsia="zh-CN"/>
                    </w:rPr>
                    <w:t>4</w:t>
                  </w:r>
                </w:p>
              </w:tc>
              <w:tc>
                <w:tcPr>
                  <w:tcW w:w="698" w:type="dxa"/>
                  <w:noWrap w:val="0"/>
                  <w:vAlign w:val="center"/>
                </w:tcPr>
                <w:p w14:paraId="7ACEFC7A">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ascii="Times New Roman" w:hAnsi="Times New Roman" w:eastAsia="宋体" w:cs="Times New Roman"/>
                      <w:b w:val="0"/>
                      <w:bCs w:val="0"/>
                      <w:color w:val="000000"/>
                      <w:sz w:val="21"/>
                      <w:szCs w:val="21"/>
                      <w:highlight w:val="none"/>
                      <w:lang w:val="en-US" w:eastAsia="zh-CN"/>
                    </w:rPr>
                    <w:t>废防渗透膜</w:t>
                  </w:r>
                </w:p>
              </w:tc>
              <w:tc>
                <w:tcPr>
                  <w:tcW w:w="1096" w:type="dxa"/>
                  <w:noWrap w:val="0"/>
                  <w:vAlign w:val="center"/>
                </w:tcPr>
                <w:p w14:paraId="18EA292E">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eastAsia="zh-CN"/>
                    </w:rPr>
                  </w:pPr>
                  <w:r>
                    <w:rPr>
                      <w:rFonts w:hint="eastAsia" w:cs="Times New Roman"/>
                      <w:b w:val="0"/>
                      <w:bCs w:val="0"/>
                      <w:color w:val="000000"/>
                      <w:sz w:val="21"/>
                      <w:szCs w:val="21"/>
                      <w:highlight w:val="none"/>
                      <w:lang w:val="en-US" w:eastAsia="zh-CN"/>
                    </w:rPr>
                    <w:t>HW49其他废物</w:t>
                  </w:r>
                </w:p>
              </w:tc>
              <w:tc>
                <w:tcPr>
                  <w:tcW w:w="877" w:type="dxa"/>
                  <w:noWrap w:val="0"/>
                  <w:vAlign w:val="center"/>
                </w:tcPr>
                <w:p w14:paraId="2E3A2DCC">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900-04</w:t>
                  </w:r>
                  <w:r>
                    <w:rPr>
                      <w:rFonts w:hint="eastAsia" w:cs="Times New Roman"/>
                      <w:b w:val="0"/>
                      <w:bCs w:val="0"/>
                      <w:color w:val="000000"/>
                      <w:sz w:val="21"/>
                      <w:szCs w:val="21"/>
                      <w:highlight w:val="none"/>
                      <w:lang w:val="en-US" w:eastAsia="zh-CN"/>
                    </w:rPr>
                    <w:t>1</w:t>
                  </w:r>
                  <w:r>
                    <w:rPr>
                      <w:rFonts w:hint="default" w:ascii="Times New Roman" w:hAnsi="Times New Roman" w:eastAsia="宋体" w:cs="Times New Roman"/>
                      <w:b w:val="0"/>
                      <w:bCs w:val="0"/>
                      <w:color w:val="000000"/>
                      <w:sz w:val="21"/>
                      <w:szCs w:val="21"/>
                      <w:highlight w:val="none"/>
                      <w:lang w:val="en-US" w:eastAsia="zh-CN"/>
                    </w:rPr>
                    <w:t>-49</w:t>
                  </w:r>
                </w:p>
              </w:tc>
              <w:tc>
                <w:tcPr>
                  <w:tcW w:w="1107" w:type="dxa"/>
                  <w:noWrap w:val="0"/>
                  <w:vAlign w:val="center"/>
                </w:tcPr>
                <w:p w14:paraId="6E4AA1B3">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废水处理中产生</w:t>
                  </w:r>
                </w:p>
              </w:tc>
              <w:tc>
                <w:tcPr>
                  <w:tcW w:w="750" w:type="dxa"/>
                  <w:noWrap w:val="0"/>
                  <w:vAlign w:val="center"/>
                </w:tcPr>
                <w:p w14:paraId="778E0191">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T/In</w:t>
                  </w:r>
                </w:p>
              </w:tc>
              <w:tc>
                <w:tcPr>
                  <w:tcW w:w="3075" w:type="dxa"/>
                  <w:noWrap w:val="0"/>
                  <w:vAlign w:val="center"/>
                </w:tcPr>
                <w:p w14:paraId="39594CB6">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b w:val="0"/>
                      <w:bCs w:val="0"/>
                      <w:color w:val="000000"/>
                      <w:sz w:val="21"/>
                      <w:szCs w:val="21"/>
                      <w:highlight w:val="none"/>
                      <w:lang w:eastAsia="zh-CN"/>
                    </w:rPr>
                  </w:pPr>
                  <w:r>
                    <w:rPr>
                      <w:rFonts w:hint="eastAsia" w:cs="Times New Roman"/>
                      <w:b w:val="0"/>
                      <w:bCs w:val="0"/>
                      <w:color w:val="000000"/>
                      <w:sz w:val="21"/>
                      <w:szCs w:val="21"/>
                      <w:highlight w:val="none"/>
                      <w:lang w:val="en-US" w:eastAsia="zh-CN"/>
                    </w:rPr>
                    <w:t>含有或沾染毒性、感染性危险废物的废弃包装物、容器、过滤吸附介质</w:t>
                  </w:r>
                </w:p>
              </w:tc>
            </w:tr>
            <w:tr w14:paraId="50EA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435" w:type="dxa"/>
                  <w:noWrap w:val="0"/>
                  <w:vAlign w:val="center"/>
                </w:tcPr>
                <w:p w14:paraId="469B8527">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b w:val="0"/>
                      <w:bCs w:val="0"/>
                      <w:color w:val="000000"/>
                      <w:sz w:val="21"/>
                      <w:szCs w:val="21"/>
                      <w:highlight w:val="none"/>
                      <w:lang w:val="en-US" w:eastAsia="zh-CN"/>
                    </w:rPr>
                  </w:pPr>
                  <w:r>
                    <w:rPr>
                      <w:rFonts w:hint="eastAsia" w:ascii="Times New Roman" w:hAnsi="Times New Roman" w:cs="Times New Roman"/>
                      <w:b w:val="0"/>
                      <w:bCs w:val="0"/>
                      <w:color w:val="000000"/>
                      <w:sz w:val="21"/>
                      <w:szCs w:val="21"/>
                      <w:highlight w:val="none"/>
                      <w:lang w:val="en-US" w:eastAsia="zh-CN"/>
                    </w:rPr>
                    <w:t>5</w:t>
                  </w:r>
                </w:p>
              </w:tc>
              <w:tc>
                <w:tcPr>
                  <w:tcW w:w="698" w:type="dxa"/>
                  <w:noWrap w:val="0"/>
                  <w:vAlign w:val="center"/>
                </w:tcPr>
                <w:p w14:paraId="378191FA">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沾有油污的废旧手套、抹布</w:t>
                  </w:r>
                </w:p>
              </w:tc>
              <w:tc>
                <w:tcPr>
                  <w:tcW w:w="1096" w:type="dxa"/>
                  <w:noWrap w:val="0"/>
                  <w:vAlign w:val="center"/>
                </w:tcPr>
                <w:p w14:paraId="6EC0D863">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HW49其他废物</w:t>
                  </w:r>
                </w:p>
              </w:tc>
              <w:tc>
                <w:tcPr>
                  <w:tcW w:w="877" w:type="dxa"/>
                  <w:noWrap w:val="0"/>
                  <w:vAlign w:val="center"/>
                </w:tcPr>
                <w:p w14:paraId="64B08A09">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900-041-49</w:t>
                  </w:r>
                </w:p>
              </w:tc>
              <w:tc>
                <w:tcPr>
                  <w:tcW w:w="1107" w:type="dxa"/>
                  <w:noWrap w:val="0"/>
                  <w:vAlign w:val="center"/>
                </w:tcPr>
                <w:p w14:paraId="007B3A51">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搬运危险废物过程中产生</w:t>
                  </w:r>
                </w:p>
              </w:tc>
              <w:tc>
                <w:tcPr>
                  <w:tcW w:w="750" w:type="dxa"/>
                  <w:noWrap w:val="0"/>
                  <w:vAlign w:val="center"/>
                </w:tcPr>
                <w:p w14:paraId="37035183">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T/In</w:t>
                  </w:r>
                </w:p>
              </w:tc>
              <w:tc>
                <w:tcPr>
                  <w:tcW w:w="3075" w:type="dxa"/>
                  <w:noWrap w:val="0"/>
                  <w:vAlign w:val="center"/>
                </w:tcPr>
                <w:p w14:paraId="559FB2A4">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b w:val="0"/>
                      <w:bCs w:val="0"/>
                      <w:color w:val="000000"/>
                      <w:sz w:val="21"/>
                      <w:szCs w:val="21"/>
                      <w:highlight w:val="none"/>
                      <w:lang w:eastAsia="zh-CN"/>
                    </w:rPr>
                  </w:pPr>
                  <w:r>
                    <w:rPr>
                      <w:rFonts w:hint="default" w:ascii="Times New Roman" w:hAnsi="Times New Roman" w:eastAsia="宋体" w:cs="Times New Roman"/>
                      <w:b w:val="0"/>
                      <w:bCs w:val="0"/>
                      <w:color w:val="000000"/>
                      <w:sz w:val="21"/>
                      <w:szCs w:val="21"/>
                      <w:highlight w:val="none"/>
                      <w:lang w:eastAsia="zh-CN"/>
                    </w:rPr>
                    <w:t>含有或沾染毒性、感染性危险废物的废弃包装物、容器、过滤吸附介质</w:t>
                  </w:r>
                </w:p>
              </w:tc>
            </w:tr>
          </w:tbl>
          <w:p w14:paraId="7BA2EA9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sz w:val="24"/>
                <w:szCs w:val="24"/>
                <w:vertAlign w:val="baseline"/>
                <w:lang w:val="en-US" w:eastAsia="zh-CN"/>
              </w:rPr>
            </w:pPr>
            <w:r>
              <w:rPr>
                <w:rFonts w:hint="eastAsia" w:cs="Times New Roman"/>
                <w:b/>
                <w:bCs/>
                <w:sz w:val="24"/>
                <w:szCs w:val="24"/>
                <w:lang w:val="en-US" w:eastAsia="zh-CN"/>
              </w:rPr>
              <w:t>续</w:t>
            </w:r>
            <w:r>
              <w:rPr>
                <w:rFonts w:hint="default" w:ascii="Times New Roman" w:hAnsi="Times New Roman" w:eastAsia="宋体" w:cs="Times New Roman"/>
                <w:b/>
                <w:bCs/>
                <w:sz w:val="24"/>
                <w:szCs w:val="24"/>
                <w:lang w:val="en-US" w:eastAsia="zh-CN"/>
              </w:rPr>
              <w:t>表2-</w:t>
            </w:r>
            <w:r>
              <w:rPr>
                <w:rFonts w:hint="eastAsia" w:cs="Times New Roman"/>
                <w:b/>
                <w:bCs/>
                <w:sz w:val="24"/>
                <w:szCs w:val="24"/>
                <w:lang w:val="en-US" w:eastAsia="zh-CN"/>
              </w:rPr>
              <w:t>2</w:t>
            </w:r>
            <w:r>
              <w:rPr>
                <w:rFonts w:hint="default" w:ascii="Times New Roman" w:hAnsi="Times New Roman" w:eastAsia="宋体" w:cs="Times New Roman"/>
                <w:b/>
                <w:bCs/>
                <w:sz w:val="24"/>
                <w:szCs w:val="24"/>
                <w:lang w:val="en-US" w:eastAsia="zh-CN"/>
              </w:rPr>
              <w:t>危险废物</w:t>
            </w:r>
            <w:r>
              <w:rPr>
                <w:rFonts w:hint="eastAsia" w:cs="Times New Roman"/>
                <w:b/>
                <w:bCs/>
                <w:sz w:val="24"/>
                <w:szCs w:val="24"/>
                <w:lang w:val="en-US" w:eastAsia="zh-CN"/>
              </w:rPr>
              <w:t>产生量及贮存位置</w:t>
            </w:r>
          </w:p>
          <w:tbl>
            <w:tblPr>
              <w:tblStyle w:val="16"/>
              <w:tblW w:w="7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526"/>
              <w:gridCol w:w="810"/>
              <w:gridCol w:w="1590"/>
              <w:gridCol w:w="1662"/>
              <w:gridCol w:w="1683"/>
            </w:tblGrid>
            <w:tr w14:paraId="40C7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586" w:type="dxa"/>
                  <w:vAlign w:val="center"/>
                </w:tcPr>
                <w:p w14:paraId="46D475DF">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序号</w:t>
                  </w:r>
                </w:p>
              </w:tc>
              <w:tc>
                <w:tcPr>
                  <w:tcW w:w="1526" w:type="dxa"/>
                  <w:vAlign w:val="center"/>
                </w:tcPr>
                <w:p w14:paraId="254D0172">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名称</w:t>
                  </w:r>
                </w:p>
              </w:tc>
              <w:tc>
                <w:tcPr>
                  <w:tcW w:w="810" w:type="dxa"/>
                  <w:vAlign w:val="center"/>
                </w:tcPr>
                <w:p w14:paraId="255905E1">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储存方式</w:t>
                  </w:r>
                </w:p>
              </w:tc>
              <w:tc>
                <w:tcPr>
                  <w:tcW w:w="1590" w:type="dxa"/>
                  <w:vAlign w:val="center"/>
                </w:tcPr>
                <w:p w14:paraId="5BFD6778">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年产生量</w:t>
                  </w:r>
                </w:p>
              </w:tc>
              <w:tc>
                <w:tcPr>
                  <w:tcW w:w="1662" w:type="dxa"/>
                  <w:vAlign w:val="center"/>
                </w:tcPr>
                <w:p w14:paraId="67881533">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最大</w:t>
                  </w:r>
                  <w:r>
                    <w:rPr>
                      <w:rFonts w:hint="eastAsia" w:ascii="Times New Roman" w:hAnsi="Times New Roman" w:eastAsia="宋体" w:cs="Times New Roman"/>
                      <w:b w:val="0"/>
                      <w:bCs w:val="0"/>
                      <w:color w:val="000000"/>
                      <w:sz w:val="21"/>
                      <w:szCs w:val="21"/>
                      <w:highlight w:val="none"/>
                      <w:lang w:val="en-US" w:eastAsia="zh-CN"/>
                    </w:rPr>
                    <w:t>贮存</w:t>
                  </w:r>
                  <w:r>
                    <w:rPr>
                      <w:rFonts w:hint="default" w:ascii="Times New Roman" w:hAnsi="Times New Roman" w:eastAsia="宋体" w:cs="Times New Roman"/>
                      <w:b w:val="0"/>
                      <w:bCs w:val="0"/>
                      <w:color w:val="000000"/>
                      <w:sz w:val="21"/>
                      <w:szCs w:val="21"/>
                      <w:highlight w:val="none"/>
                      <w:lang w:val="en-US" w:eastAsia="zh-CN"/>
                    </w:rPr>
                    <w:t>量</w:t>
                  </w:r>
                </w:p>
              </w:tc>
              <w:tc>
                <w:tcPr>
                  <w:tcW w:w="1683" w:type="dxa"/>
                  <w:vAlign w:val="center"/>
                </w:tcPr>
                <w:p w14:paraId="703B0614">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污染物防治措施</w:t>
                  </w:r>
                </w:p>
              </w:tc>
            </w:tr>
            <w:tr w14:paraId="18A8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86" w:type="dxa"/>
                  <w:vAlign w:val="center"/>
                </w:tcPr>
                <w:p w14:paraId="005C6107">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w:t>
                  </w:r>
                </w:p>
              </w:tc>
              <w:tc>
                <w:tcPr>
                  <w:tcW w:w="1526" w:type="dxa"/>
                  <w:vAlign w:val="center"/>
                </w:tcPr>
                <w:p w14:paraId="2700F528">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实验废液</w:t>
                  </w:r>
                </w:p>
              </w:tc>
              <w:tc>
                <w:tcPr>
                  <w:tcW w:w="810" w:type="dxa"/>
                  <w:vAlign w:val="center"/>
                </w:tcPr>
                <w:p w14:paraId="080EFC97">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桶装</w:t>
                  </w:r>
                </w:p>
              </w:tc>
              <w:tc>
                <w:tcPr>
                  <w:tcW w:w="1590" w:type="dxa"/>
                  <w:vAlign w:val="center"/>
                </w:tcPr>
                <w:p w14:paraId="532C2D15">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1.0t/a</w:t>
                  </w:r>
                </w:p>
              </w:tc>
              <w:tc>
                <w:tcPr>
                  <w:tcW w:w="1662" w:type="dxa"/>
                  <w:vAlign w:val="center"/>
                </w:tcPr>
                <w:p w14:paraId="32D9A1EA">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1.2t/a</w:t>
                  </w:r>
                </w:p>
              </w:tc>
              <w:tc>
                <w:tcPr>
                  <w:tcW w:w="1683" w:type="dxa"/>
                  <w:vMerge w:val="restart"/>
                  <w:vAlign w:val="center"/>
                </w:tcPr>
                <w:p w14:paraId="7809DA7F">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委托有资质单位进行处置</w:t>
                  </w:r>
                </w:p>
              </w:tc>
            </w:tr>
            <w:tr w14:paraId="51D4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86" w:type="dxa"/>
                  <w:vAlign w:val="center"/>
                </w:tcPr>
                <w:p w14:paraId="57F33AFD">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2</w:t>
                  </w:r>
                </w:p>
              </w:tc>
              <w:tc>
                <w:tcPr>
                  <w:tcW w:w="1526" w:type="dxa"/>
                  <w:vAlign w:val="center"/>
                </w:tcPr>
                <w:p w14:paraId="7E6FD5B5">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变质或失效的药剂</w:t>
                  </w:r>
                </w:p>
              </w:tc>
              <w:tc>
                <w:tcPr>
                  <w:tcW w:w="810" w:type="dxa"/>
                  <w:vAlign w:val="center"/>
                </w:tcPr>
                <w:p w14:paraId="4A2AE3EC">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桶装</w:t>
                  </w:r>
                </w:p>
              </w:tc>
              <w:tc>
                <w:tcPr>
                  <w:tcW w:w="1590" w:type="dxa"/>
                  <w:vAlign w:val="center"/>
                </w:tcPr>
                <w:p w14:paraId="5213D323">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0.05t/a</w:t>
                  </w:r>
                </w:p>
              </w:tc>
              <w:tc>
                <w:tcPr>
                  <w:tcW w:w="1662" w:type="dxa"/>
                  <w:vAlign w:val="center"/>
                </w:tcPr>
                <w:p w14:paraId="4B3D51EA">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0.1t/a</w:t>
                  </w:r>
                </w:p>
              </w:tc>
              <w:tc>
                <w:tcPr>
                  <w:tcW w:w="1683" w:type="dxa"/>
                  <w:vMerge w:val="continue"/>
                  <w:vAlign w:val="center"/>
                </w:tcPr>
                <w:p w14:paraId="3AE00CE8">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p>
              </w:tc>
            </w:tr>
            <w:tr w14:paraId="297F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86" w:type="dxa"/>
                  <w:vAlign w:val="center"/>
                </w:tcPr>
                <w:p w14:paraId="5A48232F">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3</w:t>
                  </w:r>
                </w:p>
              </w:tc>
              <w:tc>
                <w:tcPr>
                  <w:tcW w:w="1526" w:type="dxa"/>
                  <w:vAlign w:val="center"/>
                </w:tcPr>
                <w:p w14:paraId="1120BF8F">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废活性炭</w:t>
                  </w:r>
                </w:p>
              </w:tc>
              <w:tc>
                <w:tcPr>
                  <w:tcW w:w="810" w:type="dxa"/>
                  <w:vAlign w:val="center"/>
                </w:tcPr>
                <w:p w14:paraId="18148B64">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袋装</w:t>
                  </w:r>
                </w:p>
              </w:tc>
              <w:tc>
                <w:tcPr>
                  <w:tcW w:w="1590" w:type="dxa"/>
                  <w:vAlign w:val="center"/>
                </w:tcPr>
                <w:p w14:paraId="7CEB0B66">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0.5t/a</w:t>
                  </w:r>
                </w:p>
              </w:tc>
              <w:tc>
                <w:tcPr>
                  <w:tcW w:w="1662" w:type="dxa"/>
                  <w:vAlign w:val="center"/>
                </w:tcPr>
                <w:p w14:paraId="2C708E81">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0.8t/a</w:t>
                  </w:r>
                </w:p>
              </w:tc>
              <w:tc>
                <w:tcPr>
                  <w:tcW w:w="1683" w:type="dxa"/>
                  <w:vMerge w:val="continue"/>
                  <w:vAlign w:val="center"/>
                </w:tcPr>
                <w:p w14:paraId="77624E0D">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p>
              </w:tc>
            </w:tr>
            <w:tr w14:paraId="4CD2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86" w:type="dxa"/>
                  <w:vAlign w:val="center"/>
                </w:tcPr>
                <w:p w14:paraId="3141D59B">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4</w:t>
                  </w:r>
                </w:p>
              </w:tc>
              <w:tc>
                <w:tcPr>
                  <w:tcW w:w="1526" w:type="dxa"/>
                  <w:vAlign w:val="center"/>
                </w:tcPr>
                <w:p w14:paraId="57887854">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both"/>
                    <w:textAlignment w:val="auto"/>
                    <w:rPr>
                      <w:rFonts w:hint="default" w:ascii="Times New Roman" w:hAnsi="Times New Roman" w:eastAsia="宋体" w:cs="Times New Roman"/>
                      <w:b w:val="0"/>
                      <w:bCs w:val="0"/>
                      <w:color w:val="000000"/>
                      <w:kern w:val="2"/>
                      <w:sz w:val="21"/>
                      <w:szCs w:val="21"/>
                      <w:highlight w:val="none"/>
                      <w:lang w:val="en-US" w:eastAsia="zh-CN" w:bidi="ar-SA"/>
                    </w:rPr>
                  </w:pPr>
                  <w:r>
                    <w:rPr>
                      <w:rFonts w:hint="eastAsia" w:ascii="Times New Roman" w:hAnsi="Times New Roman" w:eastAsia="宋体" w:cs="Times New Roman"/>
                      <w:b w:val="0"/>
                      <w:bCs w:val="0"/>
                      <w:color w:val="000000"/>
                      <w:sz w:val="21"/>
                      <w:szCs w:val="21"/>
                      <w:highlight w:val="none"/>
                      <w:lang w:val="en-US" w:eastAsia="zh-CN"/>
                    </w:rPr>
                    <w:t>废防渗透膜</w:t>
                  </w:r>
                </w:p>
              </w:tc>
              <w:tc>
                <w:tcPr>
                  <w:tcW w:w="810" w:type="dxa"/>
                  <w:vAlign w:val="center"/>
                </w:tcPr>
                <w:p w14:paraId="64C06EFE">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袋装</w:t>
                  </w:r>
                </w:p>
              </w:tc>
              <w:tc>
                <w:tcPr>
                  <w:tcW w:w="1590" w:type="dxa"/>
                  <w:vAlign w:val="center"/>
                </w:tcPr>
                <w:p w14:paraId="3C6450FE">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10支</w:t>
                  </w:r>
                  <w:r>
                    <w:rPr>
                      <w:rFonts w:hint="default" w:ascii="Times New Roman" w:hAnsi="Times New Roman" w:eastAsia="宋体" w:cs="Times New Roman"/>
                      <w:color w:val="auto"/>
                      <w:sz w:val="21"/>
                      <w:szCs w:val="21"/>
                      <w:highlight w:val="none"/>
                      <w:lang w:val="en-US" w:eastAsia="zh-CN"/>
                    </w:rPr>
                    <w:t>/3年更换一次</w:t>
                  </w:r>
                </w:p>
              </w:tc>
              <w:tc>
                <w:tcPr>
                  <w:tcW w:w="1662" w:type="dxa"/>
                  <w:vAlign w:val="center"/>
                </w:tcPr>
                <w:p w14:paraId="3C647E47">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20支</w:t>
                  </w:r>
                </w:p>
              </w:tc>
              <w:tc>
                <w:tcPr>
                  <w:tcW w:w="1683" w:type="dxa"/>
                  <w:vMerge w:val="continue"/>
                  <w:vAlign w:val="center"/>
                </w:tcPr>
                <w:p w14:paraId="65CEBC1E">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p>
              </w:tc>
            </w:tr>
            <w:tr w14:paraId="5BB1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586" w:type="dxa"/>
                  <w:vAlign w:val="center"/>
                </w:tcPr>
                <w:p w14:paraId="5E5E80C4">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5</w:t>
                  </w:r>
                </w:p>
              </w:tc>
              <w:tc>
                <w:tcPr>
                  <w:tcW w:w="1526" w:type="dxa"/>
                  <w:vAlign w:val="center"/>
                </w:tcPr>
                <w:p w14:paraId="413AE50C">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沾有油污的废旧手套、抹布</w:t>
                  </w:r>
                </w:p>
              </w:tc>
              <w:tc>
                <w:tcPr>
                  <w:tcW w:w="810" w:type="dxa"/>
                  <w:vAlign w:val="center"/>
                </w:tcPr>
                <w:p w14:paraId="1CFE35D7">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袋装</w:t>
                  </w:r>
                </w:p>
              </w:tc>
              <w:tc>
                <w:tcPr>
                  <w:tcW w:w="1590" w:type="dxa"/>
                  <w:vAlign w:val="center"/>
                </w:tcPr>
                <w:p w14:paraId="7C01814C">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default"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10双（块）/a</w:t>
                  </w:r>
                </w:p>
              </w:tc>
              <w:tc>
                <w:tcPr>
                  <w:tcW w:w="1662" w:type="dxa"/>
                  <w:vAlign w:val="center"/>
                </w:tcPr>
                <w:p w14:paraId="6EC9EECE">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r>
                    <w:rPr>
                      <w:rFonts w:hint="eastAsia" w:cs="Times New Roman"/>
                      <w:b w:val="0"/>
                      <w:bCs w:val="0"/>
                      <w:color w:val="000000"/>
                      <w:sz w:val="21"/>
                      <w:szCs w:val="21"/>
                      <w:highlight w:val="none"/>
                      <w:lang w:val="en-US" w:eastAsia="zh-CN"/>
                    </w:rPr>
                    <w:t>12双（块）/a</w:t>
                  </w:r>
                </w:p>
              </w:tc>
              <w:tc>
                <w:tcPr>
                  <w:tcW w:w="1683" w:type="dxa"/>
                  <w:vMerge w:val="continue"/>
                  <w:vAlign w:val="center"/>
                </w:tcPr>
                <w:p w14:paraId="081DE7E8">
                  <w:pPr>
                    <w:keepNext w:val="0"/>
                    <w:keepLines w:val="0"/>
                    <w:pageBreakBefore w:val="0"/>
                    <w:widowControl w:val="0"/>
                    <w:kinsoku/>
                    <w:wordWrap/>
                    <w:overflowPunct w:val="0"/>
                    <w:topLinePunct w:val="0"/>
                    <w:autoSpaceDE/>
                    <w:autoSpaceDN/>
                    <w:bidi w:val="0"/>
                    <w:adjustRightInd/>
                    <w:snapToGrid w:val="0"/>
                    <w:spacing w:line="240" w:lineRule="auto"/>
                    <w:ind w:firstLine="0" w:firstLineChars="0"/>
                    <w:jc w:val="center"/>
                    <w:textAlignment w:val="auto"/>
                    <w:rPr>
                      <w:rFonts w:hint="eastAsia" w:cs="Times New Roman"/>
                      <w:b w:val="0"/>
                      <w:bCs w:val="0"/>
                      <w:color w:val="000000"/>
                      <w:sz w:val="21"/>
                      <w:szCs w:val="21"/>
                      <w:highlight w:val="none"/>
                      <w:lang w:val="en-US" w:eastAsia="zh-CN"/>
                    </w:rPr>
                  </w:pPr>
                </w:p>
              </w:tc>
            </w:tr>
          </w:tbl>
          <w:p w14:paraId="63E6161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sz w:val="24"/>
                <w:szCs w:val="24"/>
                <w:lang w:val="en-US" w:eastAsia="zh-CN"/>
              </w:rPr>
            </w:pPr>
            <w:r>
              <w:rPr>
                <w:rFonts w:hint="eastAsia" w:cs="Times New Roman"/>
                <w:b/>
                <w:bCs/>
                <w:sz w:val="24"/>
                <w:szCs w:val="24"/>
                <w:lang w:val="en-US" w:eastAsia="zh-CN"/>
              </w:rPr>
              <w:t>3</w:t>
            </w:r>
            <w:r>
              <w:rPr>
                <w:rFonts w:hint="default" w:ascii="Times New Roman" w:hAnsi="Times New Roman" w:eastAsia="宋体" w:cs="Times New Roman"/>
                <w:b/>
                <w:bCs/>
                <w:sz w:val="24"/>
                <w:szCs w:val="24"/>
                <w:lang w:val="en-US" w:eastAsia="zh-CN"/>
              </w:rPr>
              <w:t>、公</w:t>
            </w:r>
            <w:r>
              <w:rPr>
                <w:rFonts w:hint="default" w:ascii="Times New Roman" w:hAnsi="Times New Roman" w:cs="Times New Roman"/>
                <w:b/>
                <w:bCs/>
                <w:sz w:val="24"/>
                <w:szCs w:val="24"/>
                <w:lang w:val="en-US" w:eastAsia="zh-CN"/>
              </w:rPr>
              <w:t>用工程及辅助工程</w:t>
            </w:r>
          </w:p>
          <w:p w14:paraId="5ED717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①供电</w:t>
            </w:r>
          </w:p>
          <w:p w14:paraId="7F4834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本项目供电依托厂区供电系统，供电设施可满足项目需要。</w:t>
            </w:r>
          </w:p>
          <w:p w14:paraId="4C78733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②给、排水工程</w:t>
            </w:r>
          </w:p>
          <w:p w14:paraId="132631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本项目不新增劳动定员，</w:t>
            </w:r>
            <w:r>
              <w:rPr>
                <w:rFonts w:hint="default" w:ascii="Times New Roman" w:hAnsi="Times New Roman" w:cs="Times New Roman"/>
                <w:b w:val="0"/>
                <w:bCs w:val="0"/>
                <w:sz w:val="24"/>
                <w:szCs w:val="24"/>
                <w:lang w:val="en-US" w:eastAsia="zh-CN"/>
              </w:rPr>
              <w:t>危险废物贮存库</w:t>
            </w:r>
            <w:r>
              <w:rPr>
                <w:rFonts w:hint="default" w:ascii="Times New Roman" w:hAnsi="Times New Roman" w:eastAsia="宋体" w:cs="Times New Roman"/>
                <w:b w:val="0"/>
                <w:bCs w:val="0"/>
                <w:sz w:val="24"/>
                <w:szCs w:val="24"/>
                <w:lang w:val="en-US" w:eastAsia="zh-CN"/>
              </w:rPr>
              <w:t>管理人员依托厂区劳动定员，无新增生活用水，无生活废水排放；</w:t>
            </w:r>
            <w:r>
              <w:rPr>
                <w:rFonts w:hint="default" w:ascii="Times New Roman" w:hAnsi="Times New Roman" w:cs="Times New Roman"/>
                <w:b w:val="0"/>
                <w:bCs w:val="0"/>
                <w:sz w:val="24"/>
                <w:szCs w:val="24"/>
                <w:lang w:val="en-US" w:eastAsia="zh-CN"/>
              </w:rPr>
              <w:t>危险废物贮存库</w:t>
            </w:r>
            <w:r>
              <w:rPr>
                <w:rFonts w:hint="default" w:ascii="Times New Roman" w:hAnsi="Times New Roman" w:eastAsia="宋体" w:cs="Times New Roman"/>
                <w:b w:val="0"/>
                <w:bCs w:val="0"/>
                <w:sz w:val="24"/>
                <w:szCs w:val="24"/>
                <w:lang w:val="en-US" w:eastAsia="zh-CN"/>
              </w:rPr>
              <w:t>运行过程不需要生产用水，故本项目运营期无新增用水。</w:t>
            </w:r>
          </w:p>
          <w:p w14:paraId="426467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③供暖</w:t>
            </w:r>
          </w:p>
          <w:p w14:paraId="60B43E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本项目冬季无需供暖。</w:t>
            </w:r>
          </w:p>
          <w:p w14:paraId="309C30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④消防</w:t>
            </w:r>
          </w:p>
          <w:p w14:paraId="4142E4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配置消防沙箱1套，灭火器2个。</w:t>
            </w:r>
          </w:p>
          <w:p w14:paraId="2A32FBA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sz w:val="24"/>
                <w:szCs w:val="24"/>
                <w:lang w:val="en-US" w:eastAsia="zh-CN"/>
              </w:rPr>
            </w:pPr>
            <w:r>
              <w:rPr>
                <w:rFonts w:hint="eastAsia" w:cs="Times New Roman"/>
                <w:b/>
                <w:bCs/>
                <w:sz w:val="24"/>
                <w:szCs w:val="24"/>
                <w:lang w:val="en-US" w:eastAsia="zh-CN"/>
              </w:rPr>
              <w:t>4</w:t>
            </w:r>
            <w:r>
              <w:rPr>
                <w:rFonts w:hint="default" w:ascii="Times New Roman" w:hAnsi="Times New Roman" w:eastAsia="宋体" w:cs="Times New Roman"/>
                <w:b/>
                <w:bCs/>
                <w:sz w:val="24"/>
                <w:szCs w:val="24"/>
                <w:lang w:val="en-US" w:eastAsia="zh-CN"/>
              </w:rPr>
              <w:t>、劳动定员及工作制度</w:t>
            </w:r>
          </w:p>
          <w:p w14:paraId="75C554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本项目不新增劳动定员，由公司内职工调配，负责</w:t>
            </w:r>
            <w:r>
              <w:rPr>
                <w:rFonts w:hint="default" w:ascii="Times New Roman" w:hAnsi="Times New Roman" w:cs="Times New Roman"/>
                <w:b w:val="0"/>
                <w:bCs w:val="0"/>
                <w:sz w:val="24"/>
                <w:szCs w:val="24"/>
                <w:lang w:val="en-US" w:eastAsia="zh-CN"/>
              </w:rPr>
              <w:t>危险废物贮存库</w:t>
            </w:r>
            <w:r>
              <w:rPr>
                <w:rFonts w:hint="default" w:ascii="Times New Roman" w:hAnsi="Times New Roman" w:eastAsia="宋体" w:cs="Times New Roman"/>
                <w:b w:val="0"/>
                <w:bCs w:val="0"/>
                <w:sz w:val="24"/>
                <w:szCs w:val="24"/>
                <w:lang w:val="en-US" w:eastAsia="zh-CN"/>
              </w:rPr>
              <w:t>日常巡检，年工作天数3</w:t>
            </w:r>
            <w:r>
              <w:rPr>
                <w:rFonts w:hint="default" w:ascii="Times New Roman" w:hAnsi="Times New Roman" w:cs="Times New Roman"/>
                <w:b w:val="0"/>
                <w:bCs w:val="0"/>
                <w:sz w:val="24"/>
                <w:szCs w:val="24"/>
                <w:lang w:val="en-US" w:eastAsia="zh-CN"/>
              </w:rPr>
              <w:t>65</w:t>
            </w:r>
            <w:r>
              <w:rPr>
                <w:rFonts w:hint="default" w:ascii="Times New Roman" w:hAnsi="Times New Roman" w:eastAsia="宋体" w:cs="Times New Roman"/>
                <w:b w:val="0"/>
                <w:bCs w:val="0"/>
                <w:sz w:val="24"/>
                <w:szCs w:val="24"/>
                <w:lang w:val="en-US" w:eastAsia="zh-CN"/>
              </w:rPr>
              <w:t>天。</w:t>
            </w:r>
          </w:p>
          <w:p w14:paraId="1F7ADC7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sz w:val="24"/>
                <w:szCs w:val="24"/>
                <w:lang w:val="en-US" w:eastAsia="zh-CN"/>
              </w:rPr>
            </w:pPr>
            <w:r>
              <w:rPr>
                <w:rFonts w:hint="eastAsia" w:cs="Times New Roman"/>
                <w:b/>
                <w:bCs/>
                <w:sz w:val="24"/>
                <w:szCs w:val="24"/>
                <w:lang w:val="en-US" w:eastAsia="zh-CN"/>
              </w:rPr>
              <w:t>5</w:t>
            </w:r>
            <w:r>
              <w:rPr>
                <w:rFonts w:hint="default" w:ascii="Times New Roman" w:hAnsi="Times New Roman" w:eastAsia="宋体" w:cs="Times New Roman"/>
                <w:b/>
                <w:bCs/>
                <w:sz w:val="24"/>
                <w:szCs w:val="24"/>
                <w:lang w:val="en-US" w:eastAsia="zh-CN"/>
              </w:rPr>
              <w:t>、总图布置</w:t>
            </w:r>
          </w:p>
          <w:p w14:paraId="09D2CDAC">
            <w:pPr>
              <w:bidi w:val="0"/>
              <w:rPr>
                <w:rFonts w:hint="default" w:ascii="Times New Roman" w:hAnsi="Times New Roman" w:eastAsia="宋体" w:cs="Times New Roman"/>
                <w:b w:val="0"/>
                <w:bCs w:val="0"/>
                <w:szCs w:val="24"/>
                <w:lang w:val="en-US" w:eastAsia="zh-CN"/>
              </w:rPr>
            </w:pPr>
            <w:r>
              <w:rPr>
                <w:rFonts w:hint="default"/>
                <w:lang w:val="en-US" w:eastAsia="zh-CN"/>
              </w:rPr>
              <w:t>本项目位于</w:t>
            </w:r>
            <w:r>
              <w:rPr>
                <w:rFonts w:hint="eastAsia"/>
                <w:lang w:val="en-US" w:eastAsia="zh-CN"/>
              </w:rPr>
              <w:t>伊金霍洛旗澎源供水有限责任公司实验室工业场地内建设</w:t>
            </w:r>
            <w:r>
              <w:rPr>
                <w:rFonts w:hint="default"/>
                <w:lang w:val="en-US" w:eastAsia="zh-CN"/>
              </w:rPr>
              <w:t>，不新增用地。</w:t>
            </w:r>
            <w:r>
              <w:rPr>
                <w:rFonts w:hint="eastAsia"/>
                <w:lang w:val="en-US" w:eastAsia="zh-CN"/>
              </w:rPr>
              <w:t>用于贮存生产运行过程中产生的实验废液、变质或失效的药剂、废活性炭、废反渗透膜、沾有油污的废旧手套、拖布</w:t>
            </w:r>
            <w:r>
              <w:rPr>
                <w:rFonts w:hint="default"/>
                <w:lang w:val="en-US" w:eastAsia="zh-CN"/>
              </w:rPr>
              <w:t>分区暂存于危险废物贮存库内，不露天堆放。</w:t>
            </w:r>
            <w:r>
              <w:rPr>
                <w:rFonts w:hint="eastAsia"/>
                <w:lang w:val="en-US" w:eastAsia="zh-CN"/>
              </w:rPr>
              <w:t>贮存库</w:t>
            </w:r>
            <w:r>
              <w:rPr>
                <w:rFonts w:hint="default"/>
                <w:lang w:val="en-US" w:eastAsia="zh-CN"/>
              </w:rPr>
              <w:t>门口内侧设置围堰，屋内四周均设置导流渠；设置一个1.0m³集液池。</w:t>
            </w:r>
            <w:r>
              <w:rPr>
                <w:rFonts w:hint="eastAsia"/>
                <w:lang w:val="en-US" w:eastAsia="zh-CN"/>
              </w:rPr>
              <w:t>贮存</w:t>
            </w:r>
            <w:r>
              <w:rPr>
                <w:rFonts w:hint="default"/>
                <w:lang w:val="en-US" w:eastAsia="zh-CN"/>
              </w:rPr>
              <w:t>区设置有安全照明设施。项目危险废物贮存库平面布置图见附图2。</w:t>
            </w:r>
          </w:p>
        </w:tc>
      </w:tr>
      <w:tr w14:paraId="459EEB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noWrap w:val="0"/>
            <w:vAlign w:val="center"/>
          </w:tcPr>
          <w:p w14:paraId="11388843">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工艺流程和产排污环节</w:t>
            </w:r>
          </w:p>
        </w:tc>
        <w:tc>
          <w:tcPr>
            <w:tcW w:w="8161" w:type="dxa"/>
            <w:gridSpan w:val="2"/>
            <w:noWrap w:val="0"/>
            <w:vAlign w:val="top"/>
          </w:tcPr>
          <w:p w14:paraId="2D61E0F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1、工艺流程简述</w:t>
            </w:r>
          </w:p>
          <w:p w14:paraId="7576CB5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sz w:val="24"/>
                <w:szCs w:val="24"/>
                <w:lang w:val="en-US"/>
              </w:rPr>
            </w:pPr>
            <w:r>
              <w:rPr>
                <w:rFonts w:hint="default" w:ascii="Times New Roman" w:hAnsi="Times New Roman" w:cs="Times New Roman"/>
                <w:b/>
                <w:bCs/>
                <w:sz w:val="24"/>
                <w:szCs w:val="24"/>
              </w:rPr>
              <w:t>（</w:t>
            </w:r>
            <w:r>
              <w:rPr>
                <w:rFonts w:hint="default" w:ascii="Times New Roman" w:hAnsi="Times New Roman" w:cs="Times New Roman"/>
                <w:b/>
                <w:bCs/>
                <w:sz w:val="24"/>
                <w:szCs w:val="24"/>
                <w:lang w:val="en-US"/>
              </w:rPr>
              <w:t>1</w:t>
            </w:r>
            <w:r>
              <w:rPr>
                <w:rFonts w:hint="default" w:ascii="Times New Roman" w:hAnsi="Times New Roman" w:cs="Times New Roman"/>
                <w:b/>
                <w:bCs/>
                <w:sz w:val="24"/>
                <w:szCs w:val="24"/>
              </w:rPr>
              <w:t>）</w:t>
            </w:r>
            <w:r>
              <w:rPr>
                <w:rFonts w:hint="default" w:ascii="Times New Roman" w:hAnsi="Times New Roman" w:cs="Times New Roman"/>
                <w:b/>
                <w:bCs/>
                <w:sz w:val="24"/>
                <w:szCs w:val="24"/>
                <w:lang w:val="en-US"/>
              </w:rPr>
              <w:t>施工期</w:t>
            </w:r>
          </w:p>
          <w:p w14:paraId="3EA6E5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本项目施工期建设内容为建筑施工，按照施工工序可分为土建工程、防渗工程、附属工程等阶</w:t>
            </w:r>
            <w:r>
              <w:rPr>
                <w:rFonts w:hint="default" w:ascii="Times New Roman" w:hAnsi="Times New Roman" w:cs="Times New Roman"/>
                <w:b w:val="0"/>
                <w:bCs w:val="0"/>
                <w:sz w:val="24"/>
                <w:szCs w:val="24"/>
                <w:lang w:val="en-US"/>
              </w:rPr>
              <w:t>段</w:t>
            </w:r>
            <w:r>
              <w:rPr>
                <w:rFonts w:hint="default" w:ascii="Times New Roman" w:hAnsi="Times New Roman" w:cs="Times New Roman"/>
                <w:b w:val="0"/>
                <w:bCs w:val="0"/>
                <w:sz w:val="24"/>
                <w:szCs w:val="24"/>
              </w:rPr>
              <w:t>。</w:t>
            </w:r>
          </w:p>
          <w:p w14:paraId="21D21B1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①土建工程：地面平整土建工程；</w:t>
            </w:r>
          </w:p>
          <w:p w14:paraId="2171CE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②地面防渗层铺设：</w:t>
            </w:r>
            <w:r>
              <w:rPr>
                <w:rFonts w:hint="default" w:ascii="Times New Roman" w:hAnsi="Times New Roman" w:cs="Times New Roman"/>
                <w:b w:val="0"/>
                <w:bCs w:val="0"/>
                <w:sz w:val="24"/>
                <w:szCs w:val="24"/>
                <w:lang w:val="en-US" w:eastAsia="zh-CN"/>
              </w:rPr>
              <w:t>危险废物贮存库地面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default" w:ascii="Times New Roman" w:hAnsi="Times New Roman" w:cs="Times New Roman"/>
                <w:b w:val="0"/>
                <w:bCs w:val="0"/>
                <w:sz w:val="24"/>
                <w:szCs w:val="24"/>
                <w:vertAlign w:val="superscript"/>
                <w:lang w:val="en-US" w:eastAsia="zh-CN"/>
              </w:rPr>
              <w:t>-10</w:t>
            </w:r>
            <w:r>
              <w:rPr>
                <w:rFonts w:hint="default" w:ascii="Times New Roman" w:hAnsi="Times New Roman" w:cs="Times New Roman"/>
                <w:b w:val="0"/>
                <w:bCs w:val="0"/>
                <w:sz w:val="24"/>
                <w:szCs w:val="24"/>
                <w:lang w:val="en-US" w:eastAsia="zh-CN"/>
              </w:rPr>
              <w:t>cm/s。</w:t>
            </w:r>
          </w:p>
          <w:p w14:paraId="59660D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③附属设施：附属设施有</w:t>
            </w:r>
            <w:r>
              <w:rPr>
                <w:rFonts w:hint="eastAsia" w:cs="Times New Roman"/>
                <w:b w:val="0"/>
                <w:bCs w:val="0"/>
                <w:sz w:val="24"/>
                <w:szCs w:val="24"/>
                <w:lang w:eastAsia="zh-CN"/>
              </w:rPr>
              <w:t>导流渠</w:t>
            </w:r>
            <w:r>
              <w:rPr>
                <w:rFonts w:hint="default" w:ascii="Times New Roman" w:hAnsi="Times New Roman" w:cs="Times New Roman"/>
                <w:b w:val="0"/>
                <w:bCs w:val="0"/>
                <w:sz w:val="24"/>
                <w:szCs w:val="24"/>
              </w:rPr>
              <w:t>和集液池的建设；安全照明设施和消防设施的安装，标识牌的安装等。</w:t>
            </w:r>
          </w:p>
          <w:p w14:paraId="6CEC9C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sz w:val="24"/>
                <w:szCs w:val="24"/>
              </w:rPr>
            </w:pPr>
            <w:r>
              <w:rPr>
                <w:rFonts w:ascii="宋体" w:cs="宋体"/>
                <w:kern w:val="0"/>
                <w:sz w:val="24"/>
              </w:rPr>
              <w:drawing>
                <wp:inline distT="0" distB="0" distL="114300" distR="114300">
                  <wp:extent cx="4515485" cy="1260475"/>
                  <wp:effectExtent l="0" t="0" r="18415" b="15875"/>
                  <wp:docPr id="34" name="图片 8" descr="$MA1}~9F43JY6$`SVLGI@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descr="$MA1}~9F43JY6$`SVLGI@11"/>
                          <pic:cNvPicPr>
                            <a:picLocks noChangeAspect="1"/>
                          </pic:cNvPicPr>
                        </pic:nvPicPr>
                        <pic:blipFill>
                          <a:blip r:embed="rId17">
                            <a:lum bright="-12000" contrast="23999"/>
                          </a:blip>
                          <a:stretch>
                            <a:fillRect/>
                          </a:stretch>
                        </pic:blipFill>
                        <pic:spPr>
                          <a:xfrm>
                            <a:off x="0" y="0"/>
                            <a:ext cx="4515485" cy="1260475"/>
                          </a:xfrm>
                          <a:prstGeom prst="rect">
                            <a:avLst/>
                          </a:prstGeom>
                          <a:noFill/>
                          <a:ln>
                            <a:noFill/>
                          </a:ln>
                        </pic:spPr>
                      </pic:pic>
                    </a:graphicData>
                  </a:graphic>
                </wp:inline>
              </w:drawing>
            </w:r>
          </w:p>
          <w:p w14:paraId="1C0501E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图2-1施工期工艺流程及产排污节点图</w:t>
            </w:r>
          </w:p>
          <w:p w14:paraId="37384DD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（2）运营期</w:t>
            </w:r>
          </w:p>
          <w:p w14:paraId="1AC7C4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①入库</w:t>
            </w:r>
          </w:p>
          <w:p w14:paraId="0913F2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eastAsia" w:cs="Times New Roman"/>
                <w:b w:val="0"/>
                <w:bCs w:val="0"/>
                <w:sz w:val="24"/>
                <w:szCs w:val="24"/>
                <w:lang w:val="en-US" w:eastAsia="zh-CN"/>
              </w:rPr>
              <w:t>本项目仅对伊金霍洛旗澎源供水有限责任公司实验室</w:t>
            </w:r>
            <w:r>
              <w:rPr>
                <w:rFonts w:hint="default" w:ascii="Times New Roman" w:hAnsi="Times New Roman" w:eastAsia="宋体" w:cs="Times New Roman"/>
                <w:b w:val="0"/>
                <w:bCs w:val="0"/>
                <w:sz w:val="24"/>
                <w:szCs w:val="24"/>
                <w:lang w:val="en-US" w:eastAsia="zh-CN"/>
              </w:rPr>
              <w:t>产生的</w:t>
            </w:r>
            <w:r>
              <w:rPr>
                <w:rFonts w:hint="eastAsia" w:ascii="Times New Roman" w:hAnsi="Times New Roman" w:eastAsia="宋体" w:cs="Times New Roman"/>
                <w:b w:val="0"/>
                <w:bCs w:val="0"/>
                <w:sz w:val="24"/>
                <w:szCs w:val="24"/>
                <w:lang w:val="en-US" w:eastAsia="zh-CN"/>
              </w:rPr>
              <w:t>实验废</w:t>
            </w:r>
            <w:r>
              <w:rPr>
                <w:rFonts w:hint="eastAsia"/>
                <w:lang w:val="en-US" w:eastAsia="zh-CN"/>
              </w:rPr>
              <w:t>液、变质或失效的药剂、废活性炭、废反渗透膜、沾有油污的废旧手套、拖布</w:t>
            </w:r>
            <w:r>
              <w:rPr>
                <w:rFonts w:hint="default"/>
                <w:lang w:val="en-US" w:eastAsia="zh-CN"/>
              </w:rPr>
              <w:t>分区</w:t>
            </w:r>
            <w:r>
              <w:rPr>
                <w:rFonts w:hint="default" w:ascii="Times New Roman" w:hAnsi="Times New Roman" w:eastAsia="宋体" w:cs="Times New Roman"/>
                <w:b w:val="0"/>
                <w:bCs w:val="0"/>
                <w:sz w:val="24"/>
                <w:szCs w:val="24"/>
                <w:lang w:val="en-US" w:eastAsia="zh-CN"/>
              </w:rPr>
              <w:t>暂存于危险废物贮存库内。经检查后由人工卸下，搬运至</w:t>
            </w:r>
            <w:r>
              <w:rPr>
                <w:rFonts w:hint="default" w:ascii="Times New Roman" w:hAnsi="Times New Roman" w:cs="Times New Roman"/>
                <w:b w:val="0"/>
                <w:bCs w:val="0"/>
                <w:sz w:val="24"/>
                <w:szCs w:val="24"/>
                <w:lang w:val="en-US" w:eastAsia="zh-CN"/>
              </w:rPr>
              <w:t>危险废物贮存库</w:t>
            </w:r>
            <w:r>
              <w:rPr>
                <w:rFonts w:hint="default" w:ascii="Times New Roman" w:hAnsi="Times New Roman" w:eastAsia="宋体" w:cs="Times New Roman"/>
                <w:b w:val="0"/>
                <w:bCs w:val="0"/>
                <w:sz w:val="24"/>
                <w:szCs w:val="24"/>
                <w:lang w:val="en-US" w:eastAsia="zh-CN"/>
              </w:rPr>
              <w:t>内相应分区，规则地堆放在托盘架上，同时填写好记录台账，并在相应位置粘贴好符合标准的标签，注明废物种类和编号。仓库人员定期检查是否存在泄漏情况。</w:t>
            </w:r>
          </w:p>
          <w:p w14:paraId="07A24D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②出库</w:t>
            </w:r>
          </w:p>
          <w:p w14:paraId="09D39D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当确定危险废物的最终去向并确定外运处置后，应填写危废出库单，并由专门的危险废物转运车辆拉运至指定的有资质单位进行处置。本项目危废贮存天数不超过一年。</w:t>
            </w:r>
          </w:p>
          <w:p w14:paraId="1137C9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lang w:val="en-US" w:eastAsia="zh-CN"/>
              </w:rPr>
              <w:t>本项目仅对危险废物进行收集和</w:t>
            </w:r>
            <w:r>
              <w:rPr>
                <w:rFonts w:hint="eastAsia" w:cs="Times New Roman"/>
                <w:b w:val="0"/>
                <w:bCs w:val="0"/>
                <w:sz w:val="24"/>
                <w:szCs w:val="24"/>
                <w:lang w:val="en-US" w:eastAsia="zh-CN"/>
              </w:rPr>
              <w:t>贮存</w:t>
            </w:r>
            <w:r>
              <w:rPr>
                <w:rFonts w:hint="default" w:ascii="Times New Roman" w:hAnsi="Times New Roman" w:eastAsia="宋体" w:cs="Times New Roman"/>
                <w:b w:val="0"/>
                <w:bCs w:val="0"/>
                <w:sz w:val="24"/>
                <w:szCs w:val="24"/>
                <w:lang w:val="en-US" w:eastAsia="zh-CN"/>
              </w:rPr>
              <w:t>，不进行处置，故工艺流程较为简单。</w:t>
            </w:r>
            <w:r>
              <w:rPr>
                <w:rFonts w:hint="default" w:ascii="Times New Roman" w:hAnsi="Times New Roman" w:eastAsia="宋体" w:cs="Times New Roman"/>
                <w:b w:val="0"/>
                <w:bCs w:val="0"/>
                <w:sz w:val="24"/>
                <w:szCs w:val="24"/>
                <w:highlight w:val="none"/>
                <w:lang w:val="en-US" w:eastAsia="zh-CN"/>
              </w:rPr>
              <w:t>危险废物从收集、运输至</w:t>
            </w:r>
            <w:r>
              <w:rPr>
                <w:rFonts w:hint="eastAsia" w:ascii="Times New Roman" w:hAnsi="Times New Roman" w:eastAsia="宋体" w:cs="Times New Roman"/>
                <w:b w:val="0"/>
                <w:bCs w:val="0"/>
                <w:sz w:val="24"/>
                <w:szCs w:val="24"/>
                <w:highlight w:val="none"/>
                <w:lang w:val="en-US" w:eastAsia="zh-CN"/>
              </w:rPr>
              <w:t>贮存</w:t>
            </w:r>
            <w:r>
              <w:rPr>
                <w:rFonts w:hint="default" w:ascii="Times New Roman" w:hAnsi="Times New Roman" w:eastAsia="宋体" w:cs="Times New Roman"/>
                <w:b w:val="0"/>
                <w:bCs w:val="0"/>
                <w:sz w:val="24"/>
                <w:szCs w:val="24"/>
                <w:highlight w:val="none"/>
                <w:lang w:val="en-US" w:eastAsia="zh-CN"/>
              </w:rPr>
              <w:t>过程中均采用密闭</w:t>
            </w:r>
            <w:r>
              <w:rPr>
                <w:rFonts w:hint="eastAsia" w:ascii="Times New Roman" w:hAnsi="Times New Roman" w:eastAsia="宋体" w:cs="Times New Roman"/>
                <w:b w:val="0"/>
                <w:bCs w:val="0"/>
                <w:sz w:val="24"/>
                <w:szCs w:val="24"/>
                <w:highlight w:val="none"/>
                <w:lang w:val="en-US" w:eastAsia="zh-CN"/>
              </w:rPr>
              <w:t>桶。</w:t>
            </w:r>
            <w:r>
              <w:rPr>
                <w:rFonts w:hint="default" w:ascii="Times New Roman" w:hAnsi="Times New Roman" w:eastAsia="宋体" w:cs="Times New Roman"/>
                <w:b w:val="0"/>
                <w:bCs w:val="0"/>
                <w:sz w:val="24"/>
                <w:szCs w:val="24"/>
                <w:highlight w:val="none"/>
                <w:lang w:val="en-US" w:eastAsia="zh-CN"/>
              </w:rPr>
              <w:t>经专用车辆运至厂区后，直接入库贮存。运出时由有资质的危废处置单位的槽罐车进行运输。最终交由有危废处置资质的单位进行处理。</w:t>
            </w:r>
          </w:p>
          <w:p w14:paraId="7C12892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val="0"/>
                <w:bCs w:val="0"/>
                <w:snapToGrid w:val="0"/>
                <w:color w:val="C0504D"/>
                <w:kern w:val="0"/>
                <w:sz w:val="24"/>
                <w:szCs w:val="24"/>
              </w:rPr>
              <w:drawing>
                <wp:inline distT="0" distB="0" distL="114300" distR="114300">
                  <wp:extent cx="5027295" cy="1092200"/>
                  <wp:effectExtent l="0" t="0" r="1905" b="12700"/>
                  <wp:docPr id="3" name="图片 7" descr="@O({P2P@L~``VE8}I4SPLZ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O({P2P@L~``VE8}I4SPLZQ"/>
                          <pic:cNvPicPr>
                            <a:picLocks noChangeAspect="1"/>
                          </pic:cNvPicPr>
                        </pic:nvPicPr>
                        <pic:blipFill>
                          <a:blip r:embed="rId18"/>
                          <a:stretch>
                            <a:fillRect/>
                          </a:stretch>
                        </pic:blipFill>
                        <pic:spPr>
                          <a:xfrm>
                            <a:off x="0" y="0"/>
                            <a:ext cx="5027295" cy="1092200"/>
                          </a:xfrm>
                          <a:prstGeom prst="rect">
                            <a:avLst/>
                          </a:prstGeom>
                          <a:noFill/>
                          <a:ln>
                            <a:noFill/>
                          </a:ln>
                        </pic:spPr>
                      </pic:pic>
                    </a:graphicData>
                  </a:graphic>
                </wp:inline>
              </w:drawing>
            </w:r>
            <w:r>
              <w:rPr>
                <w:rFonts w:hint="default" w:ascii="Times New Roman" w:hAnsi="Times New Roman" w:eastAsia="宋体" w:cs="Times New Roman"/>
                <w:b/>
                <w:bCs/>
                <w:sz w:val="24"/>
                <w:szCs w:val="24"/>
                <w:lang w:val="en-US" w:eastAsia="zh-CN"/>
              </w:rPr>
              <w:t>图2-2运营期工艺流程及产排污节点图</w:t>
            </w:r>
          </w:p>
          <w:p w14:paraId="009A4B2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2、产排污环节</w:t>
            </w:r>
          </w:p>
          <w:p w14:paraId="1FF0FA4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（1）施工期</w:t>
            </w:r>
          </w:p>
          <w:p w14:paraId="685981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①废气</w:t>
            </w:r>
          </w:p>
          <w:p w14:paraId="2008CF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施工期大气</w:t>
            </w:r>
            <w:r>
              <w:rPr>
                <w:rFonts w:hint="eastAsia" w:cs="Times New Roman"/>
                <w:b w:val="0"/>
                <w:bCs w:val="0"/>
                <w:sz w:val="24"/>
                <w:szCs w:val="24"/>
                <w:lang w:val="en-US" w:eastAsia="zh-CN"/>
              </w:rPr>
              <w:t>污染</w:t>
            </w:r>
            <w:r>
              <w:rPr>
                <w:rFonts w:hint="default" w:ascii="Times New Roman" w:hAnsi="Times New Roman" w:eastAsia="宋体" w:cs="Times New Roman"/>
                <w:b w:val="0"/>
                <w:bCs w:val="0"/>
                <w:sz w:val="24"/>
                <w:szCs w:val="24"/>
                <w:lang w:val="en-US" w:eastAsia="zh-CN"/>
              </w:rPr>
              <w:t>源主要为施工扬尘、施工机械废气、车辆废气等。</w:t>
            </w:r>
          </w:p>
          <w:p w14:paraId="5378EB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②废水</w:t>
            </w:r>
          </w:p>
          <w:p w14:paraId="7C9643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本工程施工过程中产生的废水主要为施工人员的生活污水和施工废水。</w:t>
            </w:r>
          </w:p>
          <w:p w14:paraId="73F289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③噪声</w:t>
            </w:r>
          </w:p>
          <w:p w14:paraId="11CC4F4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施工期噪声来源于施工中的机械设备运行和车辆运输噪声。</w:t>
            </w:r>
          </w:p>
          <w:p w14:paraId="06E2CB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④固废</w:t>
            </w:r>
          </w:p>
          <w:p w14:paraId="5A0B34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本项目的固体废弃物包括施工人员的生活垃圾和施工产生的建筑垃圾。</w:t>
            </w:r>
          </w:p>
          <w:p w14:paraId="6599756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（2）运营期主要污染工序</w:t>
            </w:r>
          </w:p>
          <w:p w14:paraId="6E9200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①废气</w:t>
            </w:r>
          </w:p>
          <w:p w14:paraId="78B01C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项目存储的危险废物均密闭保存，性质稳定不易挥发。不进行倒灌、分装等，因此在存储过程中正常情况下无废气排放</w:t>
            </w:r>
            <w:r>
              <w:rPr>
                <w:rFonts w:hint="eastAsia" w:cs="Times New Roman"/>
                <w:b w:val="0"/>
                <w:bCs w:val="0"/>
                <w:sz w:val="24"/>
                <w:szCs w:val="24"/>
                <w:lang w:val="en-US" w:eastAsia="zh-CN"/>
              </w:rPr>
              <w:t>。</w:t>
            </w:r>
          </w:p>
          <w:p w14:paraId="3AFDE5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②废水</w:t>
            </w:r>
          </w:p>
          <w:p w14:paraId="1943ACE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本项目不新增劳动定员故无生活污水产生；运营过程无生产废水产生及排放。</w:t>
            </w:r>
          </w:p>
          <w:p w14:paraId="674783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③噪声</w:t>
            </w:r>
          </w:p>
          <w:p w14:paraId="498D7B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本项目噪声源主要有风机和车辆运输噪声，轴流风机运行时噪声值在60-80dB(A)之间。车辆运输时噪声值在50-70dB(A)之间。</w:t>
            </w:r>
          </w:p>
          <w:p w14:paraId="0C0F286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④固废</w:t>
            </w:r>
          </w:p>
          <w:p w14:paraId="75429D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本项目运营期无工作人员新增，无生活垃圾新增。本项目为</w:t>
            </w:r>
            <w:r>
              <w:rPr>
                <w:rFonts w:hint="default" w:ascii="Times New Roman" w:hAnsi="Times New Roman" w:cs="Times New Roman"/>
                <w:b w:val="0"/>
                <w:bCs w:val="0"/>
                <w:sz w:val="24"/>
                <w:szCs w:val="24"/>
                <w:lang w:val="en-US" w:eastAsia="zh-CN"/>
              </w:rPr>
              <w:t>危险废物贮存库</w:t>
            </w:r>
            <w:r>
              <w:rPr>
                <w:rFonts w:hint="default" w:ascii="Times New Roman" w:hAnsi="Times New Roman" w:eastAsia="宋体" w:cs="Times New Roman"/>
                <w:b w:val="0"/>
                <w:bCs w:val="0"/>
                <w:sz w:val="24"/>
                <w:szCs w:val="24"/>
                <w:lang w:val="en-US" w:eastAsia="zh-CN"/>
              </w:rPr>
              <w:t>房建设项目，</w:t>
            </w:r>
            <w:r>
              <w:rPr>
                <w:rFonts w:hint="default" w:ascii="Times New Roman" w:hAnsi="Times New Roman" w:eastAsia="宋体" w:cs="Times New Roman"/>
                <w:b w:val="0"/>
                <w:bCs w:val="0"/>
                <w:sz w:val="24"/>
                <w:szCs w:val="24"/>
                <w:highlight w:val="none"/>
                <w:lang w:val="en-US" w:eastAsia="zh-CN"/>
              </w:rPr>
              <w:t>产生</w:t>
            </w:r>
            <w:r>
              <w:rPr>
                <w:rFonts w:hint="eastAsia"/>
                <w:lang w:val="en-US" w:eastAsia="zh-CN"/>
              </w:rPr>
              <w:t>实验废液、变质或失效的药剂、废活性炭、废反渗透膜、沾有油污的废旧手套、拖布</w:t>
            </w:r>
            <w:r>
              <w:rPr>
                <w:rFonts w:hint="default"/>
                <w:lang w:val="en-US" w:eastAsia="zh-CN"/>
              </w:rPr>
              <w:t>分区暂存</w:t>
            </w:r>
            <w:r>
              <w:rPr>
                <w:rFonts w:hint="eastAsia"/>
                <w:lang w:val="en-US" w:eastAsia="zh-CN"/>
              </w:rPr>
              <w:t>，</w:t>
            </w:r>
            <w:r>
              <w:rPr>
                <w:rFonts w:hint="default" w:ascii="Times New Roman" w:hAnsi="Times New Roman" w:cs="Times New Roman"/>
                <w:b w:val="0"/>
                <w:bCs w:val="0"/>
                <w:sz w:val="24"/>
                <w:szCs w:val="24"/>
                <w:highlight w:val="none"/>
                <w:lang w:val="en-US" w:eastAsia="zh-CN"/>
              </w:rPr>
              <w:t>收集后，交由有资质的单位处置。非正常情况下泄露的废液通过导流渠进入集液池中，收集后，交由有资质的单位处置。</w:t>
            </w:r>
          </w:p>
        </w:tc>
      </w:tr>
      <w:tr w14:paraId="0EA3A4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983" w:type="dxa"/>
            <w:gridSpan w:val="2"/>
            <w:noWrap w:val="0"/>
            <w:vAlign w:val="center"/>
          </w:tcPr>
          <w:p w14:paraId="026DB3B2">
            <w:pPr>
              <w:pStyle w:val="13"/>
              <w:keepNext w:val="0"/>
              <w:keepLines w:val="0"/>
              <w:pageBreakBefore w:val="0"/>
              <w:widowControl/>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kern w:val="2"/>
                <w:sz w:val="24"/>
                <w:szCs w:val="24"/>
              </w:rPr>
              <w:t>与项目有关的原有环境污染问题</w:t>
            </w:r>
          </w:p>
        </w:tc>
        <w:tc>
          <w:tcPr>
            <w:tcW w:w="7001" w:type="dxa"/>
            <w:noWrap w:val="0"/>
            <w:vAlign w:val="center"/>
          </w:tcPr>
          <w:p w14:paraId="104CB18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center"/>
              <w:textAlignment w:val="auto"/>
              <w:rPr>
                <w:rFonts w:hint="default" w:ascii="Times New Roman" w:hAnsi="Times New Roman" w:eastAsia="宋体" w:cs="Times New Roman"/>
                <w:b w:val="0"/>
                <w:bCs w:val="0"/>
                <w:sz w:val="24"/>
                <w:szCs w:val="24"/>
                <w:lang w:val="en-US" w:eastAsia="zh-CN"/>
              </w:rPr>
            </w:pPr>
            <w:r>
              <w:rPr>
                <w:rFonts w:hint="eastAsia" w:cs="Times New Roman"/>
                <w:b w:val="0"/>
                <w:bCs w:val="0"/>
                <w:sz w:val="24"/>
                <w:szCs w:val="24"/>
                <w:lang w:val="en-US" w:eastAsia="zh-CN"/>
              </w:rPr>
              <w:t>无</w:t>
            </w:r>
          </w:p>
        </w:tc>
      </w:tr>
    </w:tbl>
    <w:p w14:paraId="26AC0745">
      <w:pPr>
        <w:pStyle w:val="13"/>
        <w:jc w:val="center"/>
        <w:rPr>
          <w:rFonts w:hint="default" w:ascii="Times New Roman" w:hAnsi="Times New Roman" w:eastAsia="黑体" w:cs="Times New Roman"/>
          <w:snapToGrid w:val="0"/>
          <w:sz w:val="36"/>
          <w:szCs w:val="36"/>
        </w:rPr>
        <w:sectPr>
          <w:footerReference r:id="rId12"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1A7B651E">
      <w:pPr>
        <w:pStyle w:val="13"/>
        <w:ind w:left="0" w:leftChars="0" w:firstLine="0" w:firstLineChars="0"/>
        <w:jc w:val="center"/>
        <w:outlineLvl w:val="0"/>
        <w:rPr>
          <w:rFonts w:hint="default" w:ascii="Times New Roman" w:hAnsi="Times New Roman" w:eastAsia="黑体" w:cs="Times New Roman"/>
          <w:snapToGrid w:val="0"/>
          <w:sz w:val="30"/>
          <w:szCs w:val="30"/>
        </w:rPr>
      </w:pPr>
      <w:r>
        <w:rPr>
          <w:rFonts w:hint="default" w:ascii="Times New Roman" w:hAnsi="Times New Roman" w:eastAsia="黑体" w:cs="Times New Roman"/>
          <w:snapToGrid w:val="0"/>
          <w:sz w:val="30"/>
          <w:szCs w:val="30"/>
        </w:rPr>
        <w:t>三、区域环境质量现状、环境保护目标及评价标准</w:t>
      </w:r>
    </w:p>
    <w:tbl>
      <w:tblPr>
        <w:tblStyle w:val="15"/>
        <w:tblW w:w="8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310"/>
        <w:gridCol w:w="6880"/>
      </w:tblGrid>
      <w:tr w14:paraId="7541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jc w:val="center"/>
        </w:trPr>
        <w:tc>
          <w:tcPr>
            <w:tcW w:w="800" w:type="dxa"/>
            <w:noWrap w:val="0"/>
            <w:vAlign w:val="center"/>
          </w:tcPr>
          <w:p w14:paraId="219203F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区域</w:t>
            </w:r>
          </w:p>
          <w:p w14:paraId="74B4E07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环境</w:t>
            </w:r>
          </w:p>
          <w:p w14:paraId="43B78AD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质量</w:t>
            </w:r>
          </w:p>
          <w:p w14:paraId="14E38765">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现状</w:t>
            </w:r>
          </w:p>
        </w:tc>
        <w:tc>
          <w:tcPr>
            <w:tcW w:w="8190" w:type="dxa"/>
            <w:gridSpan w:val="2"/>
            <w:noWrap w:val="0"/>
            <w:vAlign w:val="center"/>
          </w:tcPr>
          <w:p w14:paraId="1C8657C1">
            <w:pPr>
              <w:bidi w:val="0"/>
              <w:rPr>
                <w:rFonts w:hint="default"/>
                <w:b/>
                <w:bCs/>
              </w:rPr>
            </w:pPr>
            <w:r>
              <w:rPr>
                <w:rFonts w:hint="default"/>
                <w:b/>
                <w:bCs/>
              </w:rPr>
              <w:t>1、环境空气质量现状</w:t>
            </w:r>
          </w:p>
          <w:p w14:paraId="2673CB6E">
            <w:pPr>
              <w:bidi w:val="0"/>
              <w:rPr>
                <w:rFonts w:hint="default"/>
                <w:b/>
                <w:bCs/>
                <w:lang w:val="en-US" w:eastAsia="zh-CN"/>
              </w:rPr>
            </w:pPr>
            <w:r>
              <w:rPr>
                <w:rFonts w:hint="default"/>
                <w:b/>
                <w:bCs/>
                <w:lang w:eastAsia="zh-CN"/>
              </w:rPr>
              <w:t>（</w:t>
            </w:r>
            <w:r>
              <w:rPr>
                <w:rFonts w:hint="default"/>
                <w:b/>
                <w:bCs/>
                <w:lang w:val="en-US" w:eastAsia="zh-CN"/>
              </w:rPr>
              <w:t>1</w:t>
            </w:r>
            <w:r>
              <w:rPr>
                <w:rFonts w:hint="default"/>
                <w:b/>
                <w:bCs/>
                <w:lang w:eastAsia="zh-CN"/>
              </w:rPr>
              <w:t>）</w:t>
            </w:r>
            <w:r>
              <w:rPr>
                <w:rFonts w:hint="default"/>
                <w:b/>
                <w:bCs/>
                <w:lang w:val="en-US" w:eastAsia="zh-CN"/>
              </w:rPr>
              <w:t>区域环境质量达标分析</w:t>
            </w:r>
          </w:p>
          <w:p w14:paraId="04E68BCD">
            <w:pPr>
              <w:bidi w:val="0"/>
              <w:rPr>
                <w:rFonts w:hint="default"/>
              </w:rPr>
            </w:pPr>
            <w:r>
              <w:rPr>
                <w:rFonts w:hint="default"/>
              </w:rPr>
              <w:t>根据内蒙古自治区生态环境厅2024年6月3日公布的2023年《内蒙古自治区生态环境状况公报》中“全区城市环境空气质量”结论：“2023年，全区12盟市中，除乌海市，其他11个盟市环境空气质量均达标”。</w:t>
            </w:r>
            <w:r>
              <w:rPr>
                <w:rFonts w:hint="eastAsia"/>
                <w:lang w:val="en-US" w:eastAsia="zh-CN"/>
              </w:rPr>
              <w:t>本</w:t>
            </w:r>
            <w:r>
              <w:rPr>
                <w:rFonts w:hint="default"/>
              </w:rPr>
              <w:t>项目位于内蒙古自治区鄂尔多斯市</w:t>
            </w:r>
            <w:r>
              <w:rPr>
                <w:rFonts w:hint="eastAsia"/>
                <w:lang w:val="en-US" w:eastAsia="zh-CN"/>
              </w:rPr>
              <w:t>东胜区</w:t>
            </w:r>
            <w:r>
              <w:rPr>
                <w:rFonts w:hint="default"/>
              </w:rPr>
              <w:t>，因此项目所在区域环境空气质量属于达标区。</w:t>
            </w:r>
          </w:p>
          <w:p w14:paraId="27F544B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cs="Times New Roman"/>
                <w:b/>
                <w:bCs/>
                <w:kern w:val="0"/>
                <w:sz w:val="24"/>
                <w:szCs w:val="24"/>
                <w:lang w:val="en-US" w:eastAsia="zh-CN"/>
              </w:rPr>
            </w:pPr>
            <w:r>
              <w:rPr>
                <w:rFonts w:hint="default" w:ascii="Times New Roman" w:hAnsi="Times New Roman" w:cs="Times New Roman"/>
                <w:b/>
                <w:bCs/>
                <w:kern w:val="0"/>
                <w:sz w:val="24"/>
                <w:szCs w:val="24"/>
                <w:lang w:val="en-US" w:eastAsia="zh-CN"/>
              </w:rPr>
              <w:t>2、声环境质量现状</w:t>
            </w:r>
          </w:p>
          <w:p w14:paraId="6FCD9F3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b w:val="0"/>
                <w:bCs w:val="0"/>
                <w:kern w:val="0"/>
                <w:sz w:val="24"/>
                <w:szCs w:val="24"/>
                <w:lang w:val="en-US" w:eastAsia="zh-CN"/>
              </w:rPr>
            </w:pPr>
            <w:r>
              <w:rPr>
                <w:rFonts w:hint="default" w:ascii="Times New Roman" w:hAnsi="Times New Roman" w:cs="Times New Roman"/>
                <w:b w:val="0"/>
                <w:bCs w:val="0"/>
                <w:kern w:val="0"/>
                <w:sz w:val="24"/>
                <w:szCs w:val="24"/>
                <w:lang w:val="en-US" w:eastAsia="zh-CN"/>
              </w:rPr>
              <w:t>根据《建设项目环境影响报告表编制技术指南（污染影响类）》（试行），厂界外周边50米范围内存在声环境保护目标的建设项目，应监测保护目标声环境质量现状并评价达标情况。根据现场踏勘本项目厂界范围50米范围内无声环境保护目标，因此本次不对声环境质量现状进行评价。</w:t>
            </w:r>
          </w:p>
          <w:p w14:paraId="017E8EC7">
            <w:pPr>
              <w:bidi w:val="0"/>
              <w:rPr>
                <w:rFonts w:hint="default"/>
                <w:b/>
                <w:bCs/>
                <w:lang w:val="en-US" w:eastAsia="zh-CN"/>
              </w:rPr>
            </w:pPr>
            <w:r>
              <w:rPr>
                <w:rFonts w:hint="eastAsia"/>
                <w:b/>
                <w:bCs/>
                <w:lang w:val="en-US" w:eastAsia="zh-CN"/>
              </w:rPr>
              <w:t>3、地下水环境质量现状</w:t>
            </w:r>
          </w:p>
          <w:p w14:paraId="5B453FF3">
            <w:pPr>
              <w:bidi w:val="0"/>
              <w:rPr>
                <w:rFonts w:hint="default"/>
                <w:lang w:val="en-US" w:eastAsia="zh-CN"/>
              </w:rPr>
            </w:pPr>
            <w:r>
              <w:rPr>
                <w:rFonts w:hint="default"/>
                <w:lang w:val="en-US" w:eastAsia="zh-CN"/>
              </w:rPr>
              <w:t>依照《建设项目环境影响报告表编制技术指南（污染影响类）》（试行），地下水环境原则上不开展环境质量现状调查。建设项目存在地下水污染途径的，应结合污染源、保护目标分布情况开展现状调查以留作背景值。经调查，产生的实验废液、变质或失效的药剂、废活性炭、废反渗透膜、沾有油污的废旧手套、拖布分区暂存</w:t>
            </w:r>
            <w:r>
              <w:rPr>
                <w:rFonts w:hint="default"/>
                <w:highlight w:val="none"/>
                <w:lang w:val="en-US" w:eastAsia="zh-CN"/>
              </w:rPr>
              <w:t>，厂区内设有</w:t>
            </w:r>
            <w:r>
              <w:rPr>
                <w:rFonts w:hint="eastAsia"/>
                <w:highlight w:val="none"/>
                <w:lang w:val="en-US" w:eastAsia="zh-CN"/>
              </w:rPr>
              <w:t>导流渠</w:t>
            </w:r>
            <w:r>
              <w:rPr>
                <w:rFonts w:hint="default"/>
                <w:highlight w:val="none"/>
                <w:lang w:val="en-US" w:eastAsia="zh-CN"/>
              </w:rPr>
              <w:t>和</w:t>
            </w:r>
            <w:r>
              <w:rPr>
                <w:rFonts w:hint="eastAsia"/>
                <w:highlight w:val="none"/>
                <w:lang w:val="en-US" w:eastAsia="zh-CN"/>
              </w:rPr>
              <w:t>集液池</w:t>
            </w:r>
            <w:r>
              <w:rPr>
                <w:rFonts w:hint="default"/>
                <w:highlight w:val="none"/>
                <w:lang w:val="en-US" w:eastAsia="zh-CN"/>
              </w:rPr>
              <w:t>，因此事故情况下废液能够及时收集清理，</w:t>
            </w:r>
            <w:r>
              <w:rPr>
                <w:rFonts w:hint="eastAsia"/>
                <w:highlight w:val="none"/>
                <w:lang w:val="en-US" w:eastAsia="zh-CN"/>
              </w:rPr>
              <w:t>危险废物贮存库地面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eastAsia"/>
                <w:highlight w:val="none"/>
                <w:vertAlign w:val="superscript"/>
                <w:lang w:val="en-US" w:eastAsia="zh-CN"/>
              </w:rPr>
              <w:t>-10</w:t>
            </w:r>
            <w:r>
              <w:rPr>
                <w:rFonts w:hint="eastAsia"/>
                <w:highlight w:val="none"/>
                <w:lang w:val="en-US" w:eastAsia="zh-CN"/>
              </w:rPr>
              <w:t>cm/s。</w:t>
            </w:r>
            <w:r>
              <w:rPr>
                <w:rFonts w:hint="default"/>
                <w:lang w:val="en-US" w:eastAsia="zh-CN"/>
              </w:rPr>
              <w:t>并在危险废物贮存库内四周设置导流渠，同时设置集液池1座</w:t>
            </w:r>
            <w:r>
              <w:rPr>
                <w:rFonts w:hint="eastAsia"/>
                <w:lang w:val="en-US" w:eastAsia="zh-CN"/>
              </w:rPr>
              <w:t>（1m³）</w:t>
            </w:r>
            <w:r>
              <w:rPr>
                <w:rFonts w:hint="default"/>
                <w:lang w:val="en-US" w:eastAsia="zh-CN"/>
              </w:rPr>
              <w:t>，均采取与地面相同的防渗措施，保证防渗渗透系数</w:t>
            </w:r>
            <w:r>
              <w:rPr>
                <w:rFonts w:hint="eastAsia"/>
                <w:lang w:val="en-US" w:eastAsia="zh-CN"/>
              </w:rPr>
              <w:t>≤</w:t>
            </w:r>
            <w:r>
              <w:rPr>
                <w:rFonts w:hint="default"/>
                <w:lang w:val="en-US" w:eastAsia="zh-CN"/>
              </w:rPr>
              <w:t>1.0×10</w:t>
            </w:r>
            <w:r>
              <w:rPr>
                <w:rFonts w:hint="default"/>
                <w:vertAlign w:val="superscript"/>
                <w:lang w:val="en-US" w:eastAsia="zh-CN"/>
              </w:rPr>
              <w:t>-10</w:t>
            </w:r>
            <w:r>
              <w:rPr>
                <w:rFonts w:hint="default"/>
                <w:lang w:val="en-US" w:eastAsia="zh-CN"/>
              </w:rPr>
              <w:t>cm/s。本项目在采取严格的防渗条件下，不存在地下水污染途径，项目厂界外500m范围内无地下水集中式饮用水水源和热水、矿泉水、温泉等特殊地下水资源，因此本项目无地下水环境保护目标。</w:t>
            </w:r>
          </w:p>
          <w:p w14:paraId="46BCAC48">
            <w:pPr>
              <w:bidi w:val="0"/>
              <w:rPr>
                <w:rFonts w:hint="default"/>
                <w:lang w:val="en-US" w:eastAsia="zh-CN"/>
              </w:rPr>
            </w:pPr>
            <w:r>
              <w:rPr>
                <w:rFonts w:hint="default"/>
                <w:lang w:val="en-US" w:eastAsia="zh-CN"/>
              </w:rPr>
              <w:t>综合考虑，本次评价不开展地下水环境质量现状监测。</w:t>
            </w:r>
          </w:p>
          <w:p w14:paraId="1E4DE833">
            <w:pPr>
              <w:bidi w:val="0"/>
              <w:rPr>
                <w:rFonts w:hint="default"/>
                <w:b/>
                <w:bCs/>
                <w:lang w:val="en-US" w:eastAsia="zh-CN"/>
              </w:rPr>
            </w:pPr>
            <w:r>
              <w:rPr>
                <w:rFonts w:hint="default"/>
                <w:b/>
                <w:bCs/>
                <w:lang w:val="en-US" w:eastAsia="zh-CN"/>
              </w:rPr>
              <w:t>4、土壤</w:t>
            </w:r>
            <w:r>
              <w:rPr>
                <w:rFonts w:hint="eastAsia"/>
                <w:b/>
                <w:bCs/>
                <w:lang w:val="en-US" w:eastAsia="zh-CN"/>
              </w:rPr>
              <w:t>环境质量现状</w:t>
            </w:r>
          </w:p>
          <w:p w14:paraId="7A28C818">
            <w:pPr>
              <w:bidi w:val="0"/>
              <w:rPr>
                <w:rFonts w:hint="default"/>
                <w:lang w:val="en-US" w:eastAsia="zh-CN"/>
              </w:rPr>
            </w:pPr>
            <w:r>
              <w:rPr>
                <w:rFonts w:hint="default"/>
                <w:lang w:val="en-US" w:eastAsia="zh-CN"/>
              </w:rPr>
              <w:t>本项目依照《建设项目环境影响报告表编制技术指南（污染影响类）》（试行），土壤环境原则上不开展环境质量现状调查。</w:t>
            </w:r>
            <w:r>
              <w:rPr>
                <w:rFonts w:hint="default" w:ascii="Times New Roman" w:hAnsi="Times New Roman" w:eastAsia="宋体" w:cs="Times New Roman"/>
                <w:b w:val="0"/>
                <w:bCs w:val="0"/>
                <w:sz w:val="24"/>
                <w:szCs w:val="24"/>
                <w:highlight w:val="none"/>
                <w:lang w:val="en-US" w:eastAsia="zh-CN"/>
              </w:rPr>
              <w:t>危险废物贮存库地面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default" w:ascii="Times New Roman" w:hAnsi="Times New Roman" w:eastAsia="宋体" w:cs="Times New Roman"/>
                <w:b w:val="0"/>
                <w:bCs w:val="0"/>
                <w:sz w:val="24"/>
                <w:szCs w:val="24"/>
                <w:highlight w:val="none"/>
                <w:vertAlign w:val="superscript"/>
                <w:lang w:val="en-US" w:eastAsia="zh-CN"/>
              </w:rPr>
              <w:t>-10</w:t>
            </w:r>
            <w:r>
              <w:rPr>
                <w:rFonts w:hint="default" w:ascii="Times New Roman" w:hAnsi="Times New Roman" w:eastAsia="宋体" w:cs="Times New Roman"/>
                <w:b w:val="0"/>
                <w:bCs w:val="0"/>
                <w:sz w:val="24"/>
                <w:szCs w:val="24"/>
                <w:highlight w:val="none"/>
                <w:lang w:val="en-US" w:eastAsia="zh-CN"/>
              </w:rPr>
              <w:t>cm/s</w:t>
            </w:r>
            <w:r>
              <w:rPr>
                <w:rFonts w:hint="default"/>
                <w:lang w:val="en-US" w:eastAsia="zh-CN"/>
              </w:rPr>
              <w:t>，同时设置集液池1座，均采取与地面相同的防渗措施，保证防渗渗透系数</w:t>
            </w:r>
            <w:r>
              <w:rPr>
                <w:rFonts w:hint="eastAsia"/>
                <w:lang w:val="en-US" w:eastAsia="zh-CN"/>
              </w:rPr>
              <w:t>≤</w:t>
            </w:r>
            <w:r>
              <w:rPr>
                <w:rFonts w:hint="default"/>
                <w:lang w:val="en-US" w:eastAsia="zh-CN"/>
              </w:rPr>
              <w:t>1.0×10</w:t>
            </w:r>
            <w:r>
              <w:rPr>
                <w:rFonts w:hint="default"/>
                <w:vertAlign w:val="superscript"/>
                <w:lang w:val="en-US" w:eastAsia="zh-CN"/>
              </w:rPr>
              <w:t>-10</w:t>
            </w:r>
            <w:r>
              <w:rPr>
                <w:rFonts w:hint="default"/>
                <w:lang w:val="en-US" w:eastAsia="zh-CN"/>
              </w:rPr>
              <w:t>cm/s</w:t>
            </w:r>
            <w:r>
              <w:rPr>
                <w:rFonts w:hint="eastAsia"/>
                <w:lang w:val="en-US" w:eastAsia="zh-CN"/>
              </w:rPr>
              <w:t>。</w:t>
            </w:r>
            <w:r>
              <w:rPr>
                <w:rFonts w:hint="default"/>
                <w:lang w:val="en-US" w:eastAsia="zh-CN"/>
              </w:rPr>
              <w:t>本项目在采取严格的防渗条件下，不存在土壤污染途径。</w:t>
            </w:r>
          </w:p>
          <w:p w14:paraId="0C7EDBF5">
            <w:pPr>
              <w:bidi w:val="0"/>
              <w:rPr>
                <w:rFonts w:hint="default"/>
                <w:lang w:val="en-US" w:eastAsia="zh-CN"/>
              </w:rPr>
            </w:pPr>
            <w:r>
              <w:rPr>
                <w:rFonts w:hint="default"/>
                <w:lang w:val="en-US" w:eastAsia="zh-CN"/>
              </w:rPr>
              <w:t>因此本次评价不开展土壤环境质量现状监测。</w:t>
            </w:r>
          </w:p>
          <w:p w14:paraId="351E9392">
            <w:pPr>
              <w:bidi w:val="0"/>
              <w:rPr>
                <w:rFonts w:hint="default"/>
                <w:lang w:val="en-US" w:eastAsia="zh-CN"/>
              </w:rPr>
            </w:pPr>
            <w:r>
              <w:rPr>
                <w:rFonts w:hint="default"/>
                <w:b/>
                <w:bCs/>
                <w:lang w:val="en-US" w:eastAsia="zh-CN"/>
              </w:rPr>
              <w:t>5、地表水、生态环境</w:t>
            </w:r>
            <w:r>
              <w:rPr>
                <w:rFonts w:hint="eastAsia"/>
                <w:b/>
                <w:bCs/>
                <w:lang w:val="en-US" w:eastAsia="zh-CN"/>
              </w:rPr>
              <w:t>质量现状</w:t>
            </w:r>
          </w:p>
          <w:p w14:paraId="679086B7">
            <w:pPr>
              <w:bidi w:val="0"/>
              <w:rPr>
                <w:rFonts w:hint="default"/>
                <w:lang w:val="en-US" w:eastAsia="zh-CN"/>
              </w:rPr>
            </w:pPr>
            <w:r>
              <w:rPr>
                <w:rFonts w:hint="default"/>
                <w:lang w:val="en-US" w:eastAsia="zh-CN"/>
              </w:rPr>
              <w:t>地表水：本项目周围不存在地表水体。生态环境：依照《建设项目环境影响报告表编制技术指南（污染影响类）》（试行）要求，产业园区外建设项目新增用地且用地范围内还有生态环境保护目标时，应开展现状调查。本项目位于</w:t>
            </w:r>
            <w:r>
              <w:rPr>
                <w:rFonts w:hint="eastAsia"/>
                <w:lang w:val="en-US" w:eastAsia="zh-CN"/>
              </w:rPr>
              <w:t>伊金霍洛旗澎源供水有限责任公司工业场地内建设，</w:t>
            </w:r>
            <w:r>
              <w:rPr>
                <w:rFonts w:hint="default"/>
                <w:lang w:val="en-US" w:eastAsia="zh-CN"/>
              </w:rPr>
              <w:t>不新增用地，占地范围内不存在生态环境保护目标，因此不开展生态环境现状调查。</w:t>
            </w:r>
          </w:p>
        </w:tc>
      </w:tr>
      <w:tr w14:paraId="2405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00" w:type="dxa"/>
            <w:noWrap w:val="0"/>
            <w:vAlign w:val="center"/>
          </w:tcPr>
          <w:p w14:paraId="71B89D3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环境</w:t>
            </w:r>
          </w:p>
          <w:p w14:paraId="138279D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保护</w:t>
            </w:r>
          </w:p>
          <w:p w14:paraId="2208EC8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目标</w:t>
            </w:r>
          </w:p>
        </w:tc>
        <w:tc>
          <w:tcPr>
            <w:tcW w:w="8190" w:type="dxa"/>
            <w:gridSpan w:val="2"/>
            <w:noWrap w:val="0"/>
            <w:vAlign w:val="center"/>
          </w:tcPr>
          <w:p w14:paraId="5106E5C9">
            <w:pPr>
              <w:autoSpaceDE w:val="0"/>
              <w:autoSpaceDN w:val="0"/>
              <w:adjustRightInd w:val="0"/>
              <w:spacing w:line="360" w:lineRule="auto"/>
              <w:ind w:firstLine="480" w:firstLineChars="200"/>
              <w:rPr>
                <w:rFonts w:hint="default" w:ascii="Times New Roman" w:hAnsi="Times New Roman" w:eastAsia="宋体" w:cs="Times New Roman"/>
                <w:b w:val="0"/>
                <w:bCs w:val="0"/>
                <w:sz w:val="24"/>
                <w:szCs w:val="24"/>
                <w:lang w:eastAsia="zh-CN"/>
              </w:rPr>
            </w:pPr>
            <w:r>
              <w:rPr>
                <w:rFonts w:hint="default" w:ascii="Times New Roman" w:hAnsi="Times New Roman" w:cs="Times New Roman"/>
                <w:b w:val="0"/>
                <w:bCs w:val="0"/>
                <w:sz w:val="24"/>
                <w:szCs w:val="24"/>
              </w:rPr>
              <w:t>根据现场</w:t>
            </w:r>
            <w:r>
              <w:rPr>
                <w:rFonts w:hint="eastAsia" w:cs="Times New Roman"/>
                <w:b w:val="0"/>
                <w:bCs w:val="0"/>
                <w:sz w:val="24"/>
                <w:szCs w:val="24"/>
                <w:lang w:eastAsia="zh-CN"/>
              </w:rPr>
              <w:t>勘查</w:t>
            </w:r>
            <w:r>
              <w:rPr>
                <w:rFonts w:hint="default" w:ascii="Times New Roman" w:hAnsi="Times New Roman" w:cs="Times New Roman"/>
                <w:b w:val="0"/>
                <w:bCs w:val="0"/>
                <w:sz w:val="24"/>
                <w:szCs w:val="24"/>
              </w:rPr>
              <w:t>，本项目所在区域及其附近没有自然保护区、水源地、重点文物、珍稀动植物资源等重点保护目标。根据项目性质及周围环境特征，本次调查重点保护对象为调查范围内的村庄散户（居民点），主要保护目标见表3-</w:t>
            </w:r>
            <w:r>
              <w:rPr>
                <w:rFonts w:hint="eastAsia" w:cs="Times New Roman"/>
                <w:b w:val="0"/>
                <w:bCs w:val="0"/>
                <w:sz w:val="24"/>
                <w:szCs w:val="24"/>
                <w:lang w:val="en-US" w:eastAsia="zh-CN"/>
              </w:rPr>
              <w:t>2</w:t>
            </w:r>
            <w:r>
              <w:rPr>
                <w:rFonts w:hint="default" w:ascii="Times New Roman" w:hAnsi="Times New Roman" w:cs="Times New Roman"/>
                <w:b w:val="0"/>
                <w:bCs w:val="0"/>
                <w:sz w:val="24"/>
                <w:szCs w:val="24"/>
              </w:rPr>
              <w:t>。</w:t>
            </w:r>
          </w:p>
          <w:p w14:paraId="7FB6BE5C">
            <w:pPr>
              <w:autoSpaceDE w:val="0"/>
              <w:autoSpaceDN w:val="0"/>
              <w:adjustRightInd w:val="0"/>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表3-</w:t>
            </w:r>
            <w:r>
              <w:rPr>
                <w:rFonts w:hint="eastAsia" w:cs="Times New Roman"/>
                <w:b/>
                <w:bCs/>
                <w:sz w:val="24"/>
                <w:szCs w:val="24"/>
                <w:lang w:val="en-US" w:eastAsia="zh-CN"/>
              </w:rPr>
              <w:t>2</w:t>
            </w:r>
            <w:r>
              <w:rPr>
                <w:rFonts w:hint="default" w:ascii="Times New Roman" w:hAnsi="Times New Roman" w:cs="Times New Roman"/>
                <w:b/>
                <w:bCs/>
                <w:sz w:val="24"/>
                <w:szCs w:val="24"/>
              </w:rPr>
              <w:t>环境保护目标一览表</w:t>
            </w:r>
          </w:p>
          <w:tbl>
            <w:tblPr>
              <w:tblStyle w:val="15"/>
              <w:tblW w:w="791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625"/>
              <w:gridCol w:w="688"/>
              <w:gridCol w:w="1263"/>
              <w:gridCol w:w="790"/>
              <w:gridCol w:w="2364"/>
            </w:tblGrid>
            <w:tr w14:paraId="7608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187" w:type="dxa"/>
                  <w:noWrap w:val="0"/>
                  <w:vAlign w:val="center"/>
                </w:tcPr>
                <w:p w14:paraId="3EF63E0E">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环境要素</w:t>
                  </w:r>
                </w:p>
              </w:tc>
              <w:tc>
                <w:tcPr>
                  <w:tcW w:w="1625" w:type="dxa"/>
                  <w:noWrap w:val="0"/>
                  <w:vAlign w:val="center"/>
                </w:tcPr>
                <w:p w14:paraId="57C8A1BE">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环境保护</w:t>
                  </w:r>
                </w:p>
                <w:p w14:paraId="2BFFFE56">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对象名称</w:t>
                  </w:r>
                </w:p>
              </w:tc>
              <w:tc>
                <w:tcPr>
                  <w:tcW w:w="688" w:type="dxa"/>
                  <w:noWrap w:val="0"/>
                  <w:vAlign w:val="center"/>
                </w:tcPr>
                <w:p w14:paraId="0CA984B2">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方位</w:t>
                  </w:r>
                </w:p>
              </w:tc>
              <w:tc>
                <w:tcPr>
                  <w:tcW w:w="1263" w:type="dxa"/>
                  <w:noWrap w:val="0"/>
                  <w:vAlign w:val="center"/>
                </w:tcPr>
                <w:p w14:paraId="6F459E0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与本项目距离（m）</w:t>
                  </w:r>
                </w:p>
              </w:tc>
              <w:tc>
                <w:tcPr>
                  <w:tcW w:w="790" w:type="dxa"/>
                  <w:noWrap w:val="0"/>
                  <w:vAlign w:val="center"/>
                </w:tcPr>
                <w:p w14:paraId="666EFC7A">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规模</w:t>
                  </w:r>
                </w:p>
              </w:tc>
              <w:tc>
                <w:tcPr>
                  <w:tcW w:w="2364" w:type="dxa"/>
                  <w:noWrap w:val="0"/>
                  <w:vAlign w:val="center"/>
                </w:tcPr>
                <w:p w14:paraId="63739A06">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环境功能区划</w:t>
                  </w:r>
                </w:p>
              </w:tc>
            </w:tr>
            <w:tr w14:paraId="62C9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187" w:type="dxa"/>
                  <w:noWrap w:val="0"/>
                  <w:vAlign w:val="center"/>
                </w:tcPr>
                <w:p w14:paraId="4CF20671">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环境空气</w:t>
                  </w:r>
                </w:p>
              </w:tc>
              <w:tc>
                <w:tcPr>
                  <w:tcW w:w="4366" w:type="dxa"/>
                  <w:gridSpan w:val="4"/>
                  <w:noWrap w:val="0"/>
                  <w:vAlign w:val="center"/>
                </w:tcPr>
                <w:p w14:paraId="4C36C853">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cs="Times New Roman"/>
                      <w:b w:val="0"/>
                      <w:bCs w:val="0"/>
                      <w:sz w:val="24"/>
                      <w:szCs w:val="24"/>
                      <w:lang w:val="en-US" w:eastAsia="zh-CN"/>
                    </w:rPr>
                    <w:t>项目厂界外500m范围内无环境空气保护目标</w:t>
                  </w:r>
                </w:p>
              </w:tc>
              <w:tc>
                <w:tcPr>
                  <w:tcW w:w="2364" w:type="dxa"/>
                  <w:noWrap w:val="0"/>
                  <w:vAlign w:val="center"/>
                </w:tcPr>
                <w:p w14:paraId="799253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《环境空气质量标准》(GB3095-2012)二类区</w:t>
                  </w:r>
                </w:p>
              </w:tc>
            </w:tr>
            <w:tr w14:paraId="594B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187" w:type="dxa"/>
                  <w:noWrap w:val="0"/>
                  <w:vAlign w:val="center"/>
                </w:tcPr>
                <w:p w14:paraId="3A045CE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声环境</w:t>
                  </w:r>
                </w:p>
              </w:tc>
              <w:tc>
                <w:tcPr>
                  <w:tcW w:w="4366" w:type="dxa"/>
                  <w:gridSpan w:val="4"/>
                  <w:noWrap w:val="0"/>
                  <w:vAlign w:val="center"/>
                </w:tcPr>
                <w:p w14:paraId="0DC00816">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项目外50m范围内无声环境保护目标</w:t>
                  </w:r>
                </w:p>
              </w:tc>
              <w:tc>
                <w:tcPr>
                  <w:tcW w:w="2364" w:type="dxa"/>
                  <w:noWrap w:val="0"/>
                  <w:vAlign w:val="center"/>
                </w:tcPr>
                <w:p w14:paraId="3EDEEAA5">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《声环境质量标准》(GB3096-2008)</w:t>
                  </w:r>
                  <w:r>
                    <w:rPr>
                      <w:rFonts w:hint="eastAsia" w:cs="Times New Roman"/>
                      <w:b w:val="0"/>
                      <w:bCs w:val="0"/>
                      <w:sz w:val="24"/>
                      <w:szCs w:val="24"/>
                      <w:lang w:val="en-US" w:eastAsia="zh-CN"/>
                    </w:rPr>
                    <w:t>2类</w:t>
                  </w:r>
                  <w:r>
                    <w:rPr>
                      <w:rFonts w:hint="default" w:ascii="Times New Roman" w:hAnsi="Times New Roman" w:cs="Times New Roman"/>
                      <w:b w:val="0"/>
                      <w:bCs w:val="0"/>
                      <w:sz w:val="24"/>
                      <w:szCs w:val="24"/>
                    </w:rPr>
                    <w:t>标准</w:t>
                  </w:r>
                </w:p>
              </w:tc>
            </w:tr>
            <w:tr w14:paraId="6DC6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187" w:type="dxa"/>
                  <w:noWrap w:val="0"/>
                  <w:vAlign w:val="center"/>
                </w:tcPr>
                <w:p w14:paraId="34BA06D4">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水环境</w:t>
                  </w:r>
                </w:p>
              </w:tc>
              <w:tc>
                <w:tcPr>
                  <w:tcW w:w="4366" w:type="dxa"/>
                  <w:gridSpan w:val="4"/>
                  <w:noWrap w:val="0"/>
                  <w:vAlign w:val="center"/>
                </w:tcPr>
                <w:p w14:paraId="0C8167AC">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项目外500m范围内无地下水集中式饮用水水源和热水、矿泉水、温水等特殊地下水资源</w:t>
                  </w:r>
                </w:p>
              </w:tc>
              <w:tc>
                <w:tcPr>
                  <w:tcW w:w="2364" w:type="dxa"/>
                  <w:noWrap w:val="0"/>
                  <w:vAlign w:val="center"/>
                </w:tcPr>
                <w:p w14:paraId="0F380A61">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《地下水质量标准》（GB/T14848-2017）中Ⅲ类标准</w:t>
                  </w:r>
                </w:p>
              </w:tc>
            </w:tr>
            <w:tr w14:paraId="4839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1187" w:type="dxa"/>
                  <w:noWrap w:val="0"/>
                  <w:vAlign w:val="center"/>
                </w:tcPr>
                <w:p w14:paraId="442EC858">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生态环境</w:t>
                  </w:r>
                </w:p>
              </w:tc>
              <w:tc>
                <w:tcPr>
                  <w:tcW w:w="6730" w:type="dxa"/>
                  <w:gridSpan w:val="5"/>
                  <w:noWrap w:val="0"/>
                  <w:vAlign w:val="center"/>
                </w:tcPr>
                <w:p w14:paraId="505B18B9">
                  <w:pPr>
                    <w:keepNext w:val="0"/>
                    <w:keepLines w:val="0"/>
                    <w:pageBreakBefore w:val="0"/>
                    <w:kinsoku/>
                    <w:wordWrap/>
                    <w:overflowPunct/>
                    <w:topLinePunct w:val="0"/>
                    <w:autoSpaceDE/>
                    <w:autoSpaceDN/>
                    <w:bidi w:val="0"/>
                    <w:adjustRightInd w:val="0"/>
                    <w:snapToGrid w:val="0"/>
                    <w:spacing w:line="240" w:lineRule="auto"/>
                    <w:ind w:firstLine="0" w:firstLineChars="0"/>
                    <w:contextualSpacing/>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本项目</w:t>
                  </w:r>
                  <w:r>
                    <w:rPr>
                      <w:rFonts w:hint="default" w:ascii="Times New Roman" w:hAnsi="Times New Roman" w:cs="Times New Roman"/>
                      <w:b w:val="0"/>
                      <w:bCs w:val="0"/>
                      <w:sz w:val="24"/>
                      <w:szCs w:val="24"/>
                      <w:lang w:val="en-US" w:eastAsia="zh-CN"/>
                    </w:rPr>
                    <w:t>于</w:t>
                  </w:r>
                  <w:r>
                    <w:rPr>
                      <w:rFonts w:hint="eastAsia" w:cs="Times New Roman"/>
                      <w:b w:val="0"/>
                      <w:bCs w:val="0"/>
                      <w:kern w:val="0"/>
                      <w:sz w:val="24"/>
                      <w:szCs w:val="24"/>
                      <w:lang w:val="en-US" w:eastAsia="zh-CN"/>
                    </w:rPr>
                    <w:t>伊金霍洛旗澎源供水有限责任公司工业场地的内实验室共用建设工程</w:t>
                  </w:r>
                  <w:r>
                    <w:rPr>
                      <w:rFonts w:hint="default" w:ascii="Times New Roman" w:hAnsi="Times New Roman" w:cs="Times New Roman"/>
                      <w:b w:val="0"/>
                      <w:bCs w:val="0"/>
                      <w:sz w:val="24"/>
                      <w:szCs w:val="24"/>
                    </w:rPr>
                    <w:t>厂区内</w:t>
                  </w:r>
                  <w:r>
                    <w:rPr>
                      <w:rFonts w:hint="default" w:ascii="Times New Roman" w:hAnsi="Times New Roman" w:cs="Times New Roman"/>
                      <w:b w:val="0"/>
                      <w:bCs w:val="0"/>
                      <w:sz w:val="24"/>
                      <w:szCs w:val="24"/>
                      <w:lang w:val="en-US" w:eastAsia="zh-CN"/>
                    </w:rPr>
                    <w:t>建设</w:t>
                  </w:r>
                  <w:r>
                    <w:rPr>
                      <w:rFonts w:hint="default" w:ascii="Times New Roman" w:hAnsi="Times New Roman" w:cs="Times New Roman"/>
                      <w:b w:val="0"/>
                      <w:bCs w:val="0"/>
                      <w:sz w:val="24"/>
                      <w:szCs w:val="24"/>
                    </w:rPr>
                    <w:t>，不新增用地，不会对周围生态环境产生影响</w:t>
                  </w:r>
                </w:p>
              </w:tc>
            </w:tr>
          </w:tbl>
          <w:p w14:paraId="2E21305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kern w:val="0"/>
                <w:sz w:val="24"/>
                <w:szCs w:val="24"/>
              </w:rPr>
            </w:pPr>
          </w:p>
        </w:tc>
      </w:tr>
      <w:tr w14:paraId="6AC2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800" w:type="dxa"/>
            <w:noWrap w:val="0"/>
            <w:tcMar>
              <w:left w:w="28" w:type="dxa"/>
              <w:right w:w="28" w:type="dxa"/>
            </w:tcMar>
            <w:vAlign w:val="center"/>
          </w:tcPr>
          <w:p w14:paraId="5728F12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污染</w:t>
            </w:r>
          </w:p>
          <w:p w14:paraId="7514FC6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物排</w:t>
            </w:r>
          </w:p>
          <w:p w14:paraId="3F58357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放控</w:t>
            </w:r>
          </w:p>
          <w:p w14:paraId="36E2FE0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制标</w:t>
            </w:r>
          </w:p>
          <w:p w14:paraId="24C701EF">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准</w:t>
            </w:r>
          </w:p>
        </w:tc>
        <w:tc>
          <w:tcPr>
            <w:tcW w:w="8190" w:type="dxa"/>
            <w:gridSpan w:val="2"/>
            <w:noWrap w:val="0"/>
            <w:vAlign w:val="center"/>
          </w:tcPr>
          <w:p w14:paraId="36B00C3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cs="Times New Roman"/>
                <w:b/>
                <w:bCs/>
                <w:kern w:val="0"/>
                <w:sz w:val="24"/>
                <w:szCs w:val="24"/>
              </w:rPr>
            </w:pPr>
            <w:r>
              <w:rPr>
                <w:rFonts w:hint="eastAsia" w:cs="Times New Roman"/>
                <w:b/>
                <w:bCs/>
                <w:kern w:val="0"/>
                <w:sz w:val="24"/>
                <w:szCs w:val="24"/>
                <w:lang w:val="en-US" w:eastAsia="zh-CN"/>
              </w:rPr>
              <w:t>1</w:t>
            </w:r>
            <w:r>
              <w:rPr>
                <w:rFonts w:hint="default" w:ascii="Times New Roman" w:hAnsi="Times New Roman" w:cs="Times New Roman"/>
                <w:b/>
                <w:bCs/>
                <w:kern w:val="0"/>
                <w:sz w:val="24"/>
                <w:szCs w:val="24"/>
              </w:rPr>
              <w:t>、噪声排放标准</w:t>
            </w:r>
          </w:p>
          <w:p w14:paraId="435955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运营期噪声执行《工业企业厂界环境噪声排放标准》(GB12348-2008)中</w:t>
            </w:r>
            <w:r>
              <w:rPr>
                <w:rFonts w:hint="eastAsia" w:cs="Times New Roman"/>
                <w:b w:val="0"/>
                <w:bCs w:val="0"/>
                <w:kern w:val="0"/>
                <w:sz w:val="24"/>
                <w:szCs w:val="24"/>
                <w:lang w:val="en-US" w:eastAsia="zh-CN"/>
              </w:rPr>
              <w:t>2类</w:t>
            </w:r>
            <w:r>
              <w:rPr>
                <w:rFonts w:hint="default" w:ascii="Times New Roman" w:hAnsi="Times New Roman" w:cs="Times New Roman"/>
                <w:b w:val="0"/>
                <w:bCs w:val="0"/>
                <w:kern w:val="0"/>
                <w:sz w:val="24"/>
                <w:szCs w:val="24"/>
              </w:rPr>
              <w:t>标准，具体标准见表3-</w:t>
            </w:r>
            <w:r>
              <w:rPr>
                <w:rFonts w:hint="eastAsia" w:cs="Times New Roman"/>
                <w:b w:val="0"/>
                <w:bCs w:val="0"/>
                <w:kern w:val="0"/>
                <w:sz w:val="24"/>
                <w:szCs w:val="24"/>
                <w:lang w:val="en-US" w:eastAsia="zh-CN"/>
              </w:rPr>
              <w:t>3</w:t>
            </w:r>
            <w:r>
              <w:rPr>
                <w:rFonts w:hint="default" w:ascii="Times New Roman" w:hAnsi="Times New Roman" w:cs="Times New Roman"/>
                <w:b w:val="0"/>
                <w:bCs w:val="0"/>
                <w:kern w:val="0"/>
                <w:sz w:val="24"/>
                <w:szCs w:val="24"/>
              </w:rPr>
              <w:t>。</w:t>
            </w:r>
          </w:p>
          <w:p w14:paraId="3A4595F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表3-</w:t>
            </w:r>
            <w:r>
              <w:rPr>
                <w:rFonts w:hint="eastAsia" w:cs="Times New Roman"/>
                <w:b/>
                <w:bCs/>
                <w:kern w:val="0"/>
                <w:sz w:val="24"/>
                <w:szCs w:val="24"/>
                <w:lang w:val="en-US" w:eastAsia="zh-CN"/>
              </w:rPr>
              <w:t>3</w:t>
            </w:r>
            <w:r>
              <w:rPr>
                <w:rFonts w:hint="default" w:ascii="Times New Roman" w:hAnsi="Times New Roman" w:eastAsia="宋体" w:cs="Times New Roman"/>
                <w:b/>
                <w:bCs/>
                <w:kern w:val="0"/>
                <w:sz w:val="24"/>
                <w:szCs w:val="24"/>
              </w:rPr>
              <w:t>《工业企业厂界环境噪声排放标准》（GB12348-2008）</w:t>
            </w:r>
          </w:p>
          <w:tbl>
            <w:tblPr>
              <w:tblStyle w:val="15"/>
              <w:tblW w:w="7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4"/>
              <w:gridCol w:w="2722"/>
              <w:gridCol w:w="2723"/>
            </w:tblGrid>
            <w:tr w14:paraId="15BD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exact"/>
                <w:jc w:val="center"/>
              </w:trPr>
              <w:tc>
                <w:tcPr>
                  <w:tcW w:w="2294" w:type="dxa"/>
                  <w:vMerge w:val="restart"/>
                  <w:noWrap w:val="0"/>
                  <w:vAlign w:val="center"/>
                </w:tcPr>
                <w:p w14:paraId="1A5703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类别</w:t>
                  </w:r>
                </w:p>
              </w:tc>
              <w:tc>
                <w:tcPr>
                  <w:tcW w:w="5445" w:type="dxa"/>
                  <w:gridSpan w:val="2"/>
                  <w:noWrap w:val="0"/>
                  <w:vAlign w:val="center"/>
                </w:tcPr>
                <w:p w14:paraId="75009D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kern w:val="0"/>
                      <w:sz w:val="24"/>
                      <w:szCs w:val="24"/>
                      <w:highlight w:val="none"/>
                      <w:lang w:eastAsia="zh-CN"/>
                    </w:rPr>
                  </w:pPr>
                  <w:r>
                    <w:rPr>
                      <w:rFonts w:hint="default" w:ascii="Times New Roman" w:hAnsi="Times New Roman" w:cs="Times New Roman"/>
                      <w:b w:val="0"/>
                      <w:bCs w:val="0"/>
                      <w:kern w:val="0"/>
                      <w:sz w:val="24"/>
                      <w:szCs w:val="24"/>
                      <w:highlight w:val="none"/>
                    </w:rPr>
                    <w:t>噪声限值Leq</w:t>
                  </w:r>
                  <w:r>
                    <w:rPr>
                      <w:rFonts w:hint="default" w:ascii="Times New Roman" w:hAnsi="Times New Roman" w:cs="Times New Roman"/>
                      <w:b w:val="0"/>
                      <w:bCs w:val="0"/>
                      <w:kern w:val="0"/>
                      <w:sz w:val="24"/>
                      <w:szCs w:val="24"/>
                      <w:highlight w:val="none"/>
                      <w:lang w:eastAsia="zh-CN"/>
                    </w:rPr>
                    <w:t>〔</w:t>
                  </w:r>
                  <w:r>
                    <w:rPr>
                      <w:rFonts w:hint="default" w:ascii="Times New Roman" w:hAnsi="Times New Roman" w:cs="Times New Roman"/>
                      <w:b w:val="0"/>
                      <w:bCs w:val="0"/>
                      <w:kern w:val="0"/>
                      <w:sz w:val="24"/>
                      <w:szCs w:val="24"/>
                      <w:highlight w:val="none"/>
                    </w:rPr>
                    <w:t>dB（A）</w:t>
                  </w:r>
                  <w:r>
                    <w:rPr>
                      <w:rFonts w:hint="default" w:ascii="Times New Roman" w:hAnsi="Times New Roman" w:cs="Times New Roman"/>
                      <w:b w:val="0"/>
                      <w:bCs w:val="0"/>
                      <w:kern w:val="0"/>
                      <w:sz w:val="24"/>
                      <w:szCs w:val="24"/>
                      <w:highlight w:val="none"/>
                      <w:lang w:eastAsia="zh-CN"/>
                    </w:rPr>
                    <w:t>〕</w:t>
                  </w:r>
                </w:p>
              </w:tc>
            </w:tr>
            <w:tr w14:paraId="2536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jc w:val="center"/>
              </w:trPr>
              <w:tc>
                <w:tcPr>
                  <w:tcW w:w="2294" w:type="dxa"/>
                  <w:vMerge w:val="continue"/>
                  <w:noWrap w:val="0"/>
                  <w:vAlign w:val="center"/>
                </w:tcPr>
                <w:p w14:paraId="68FCB3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p>
              </w:tc>
              <w:tc>
                <w:tcPr>
                  <w:tcW w:w="2722" w:type="dxa"/>
                  <w:noWrap w:val="0"/>
                  <w:vAlign w:val="center"/>
                </w:tcPr>
                <w:p w14:paraId="3EA81B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昼间</w:t>
                  </w:r>
                </w:p>
              </w:tc>
              <w:tc>
                <w:tcPr>
                  <w:tcW w:w="2723" w:type="dxa"/>
                  <w:noWrap w:val="0"/>
                  <w:vAlign w:val="center"/>
                </w:tcPr>
                <w:p w14:paraId="216F83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kern w:val="0"/>
                      <w:sz w:val="24"/>
                      <w:szCs w:val="24"/>
                      <w:highlight w:val="none"/>
                    </w:rPr>
                  </w:pPr>
                  <w:r>
                    <w:rPr>
                      <w:rFonts w:hint="default" w:ascii="Times New Roman" w:hAnsi="Times New Roman" w:cs="Times New Roman"/>
                      <w:b w:val="0"/>
                      <w:bCs w:val="0"/>
                      <w:kern w:val="0"/>
                      <w:sz w:val="24"/>
                      <w:szCs w:val="24"/>
                      <w:highlight w:val="none"/>
                    </w:rPr>
                    <w:t>夜间</w:t>
                  </w:r>
                </w:p>
              </w:tc>
            </w:tr>
            <w:tr w14:paraId="1DD8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2294" w:type="dxa"/>
                  <w:noWrap w:val="0"/>
                  <w:vAlign w:val="center"/>
                </w:tcPr>
                <w:p w14:paraId="76D7D5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kern w:val="0"/>
                      <w:sz w:val="24"/>
                      <w:szCs w:val="24"/>
                      <w:highlight w:val="none"/>
                      <w:lang w:eastAsia="zh-CN"/>
                    </w:rPr>
                  </w:pPr>
                  <w:r>
                    <w:rPr>
                      <w:rFonts w:hint="eastAsia" w:cs="Times New Roman"/>
                      <w:b w:val="0"/>
                      <w:bCs w:val="0"/>
                      <w:kern w:val="0"/>
                      <w:sz w:val="24"/>
                      <w:szCs w:val="24"/>
                      <w:highlight w:val="none"/>
                      <w:lang w:val="en-US" w:eastAsia="zh-CN"/>
                    </w:rPr>
                    <w:t>2</w:t>
                  </w:r>
                </w:p>
              </w:tc>
              <w:tc>
                <w:tcPr>
                  <w:tcW w:w="2722" w:type="dxa"/>
                  <w:noWrap w:val="0"/>
                  <w:vAlign w:val="center"/>
                </w:tcPr>
                <w:p w14:paraId="1C5DB2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kern w:val="0"/>
                      <w:sz w:val="24"/>
                      <w:szCs w:val="24"/>
                      <w:highlight w:val="none"/>
                      <w:lang w:val="en-US" w:eastAsia="zh-CN"/>
                    </w:rPr>
                  </w:pPr>
                  <w:r>
                    <w:rPr>
                      <w:rFonts w:hint="eastAsia" w:cs="Times New Roman"/>
                      <w:b w:val="0"/>
                      <w:bCs w:val="0"/>
                      <w:kern w:val="0"/>
                      <w:sz w:val="24"/>
                      <w:szCs w:val="24"/>
                      <w:highlight w:val="none"/>
                      <w:lang w:val="en-US" w:eastAsia="zh-CN"/>
                    </w:rPr>
                    <w:t>60</w:t>
                  </w:r>
                </w:p>
              </w:tc>
              <w:tc>
                <w:tcPr>
                  <w:tcW w:w="2723" w:type="dxa"/>
                  <w:noWrap w:val="0"/>
                  <w:vAlign w:val="center"/>
                </w:tcPr>
                <w:p w14:paraId="357D67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kern w:val="0"/>
                      <w:sz w:val="24"/>
                      <w:szCs w:val="24"/>
                      <w:highlight w:val="none"/>
                      <w:lang w:val="en-US" w:eastAsia="zh-CN"/>
                    </w:rPr>
                  </w:pPr>
                  <w:r>
                    <w:rPr>
                      <w:rFonts w:hint="eastAsia" w:cs="Times New Roman"/>
                      <w:b w:val="0"/>
                      <w:bCs w:val="0"/>
                      <w:kern w:val="0"/>
                      <w:sz w:val="24"/>
                      <w:szCs w:val="24"/>
                      <w:highlight w:val="none"/>
                      <w:lang w:val="en-US" w:eastAsia="zh-CN"/>
                    </w:rPr>
                    <w:t>50</w:t>
                  </w:r>
                </w:p>
              </w:tc>
            </w:tr>
          </w:tbl>
          <w:p w14:paraId="17E54C3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cs="Times New Roman"/>
                <w:b/>
                <w:bCs/>
                <w:kern w:val="0"/>
                <w:sz w:val="24"/>
                <w:szCs w:val="24"/>
              </w:rPr>
            </w:pPr>
            <w:r>
              <w:rPr>
                <w:rFonts w:hint="eastAsia" w:cs="Times New Roman"/>
                <w:b/>
                <w:bCs/>
                <w:kern w:val="0"/>
                <w:sz w:val="24"/>
                <w:szCs w:val="24"/>
                <w:lang w:val="en-US" w:eastAsia="zh-CN"/>
              </w:rPr>
              <w:t>2</w:t>
            </w:r>
            <w:r>
              <w:rPr>
                <w:rFonts w:hint="default" w:ascii="Times New Roman" w:hAnsi="Times New Roman" w:cs="Times New Roman"/>
                <w:b/>
                <w:bCs/>
                <w:kern w:val="0"/>
                <w:sz w:val="24"/>
                <w:szCs w:val="24"/>
              </w:rPr>
              <w:t>、固体废弃物</w:t>
            </w:r>
          </w:p>
          <w:p w14:paraId="3CC3C0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危险废物</w:t>
            </w:r>
            <w:r>
              <w:rPr>
                <w:rFonts w:hint="eastAsia" w:cs="Times New Roman"/>
                <w:b w:val="0"/>
                <w:bCs w:val="0"/>
                <w:kern w:val="0"/>
                <w:sz w:val="24"/>
                <w:szCs w:val="24"/>
                <w:lang w:eastAsia="zh-CN"/>
              </w:rPr>
              <w:t>贮存</w:t>
            </w:r>
            <w:r>
              <w:rPr>
                <w:rFonts w:hint="default" w:ascii="Times New Roman" w:hAnsi="Times New Roman" w:cs="Times New Roman"/>
                <w:b w:val="0"/>
                <w:bCs w:val="0"/>
                <w:kern w:val="0"/>
                <w:sz w:val="24"/>
                <w:szCs w:val="24"/>
              </w:rPr>
              <w:t>执行《危险废物贮存污染控制标准》</w:t>
            </w:r>
            <w:r>
              <w:rPr>
                <w:rFonts w:hint="default" w:ascii="Times New Roman" w:hAnsi="Times New Roman" w:cs="Times New Roman"/>
                <w:b w:val="0"/>
                <w:bCs w:val="0"/>
                <w:kern w:val="0"/>
                <w:sz w:val="24"/>
                <w:szCs w:val="24"/>
                <w:lang w:eastAsia="zh-CN"/>
              </w:rPr>
              <w:t>（GB18597-2023）</w:t>
            </w:r>
            <w:r>
              <w:rPr>
                <w:rFonts w:hint="default" w:ascii="Times New Roman" w:hAnsi="Times New Roman" w:cs="Times New Roman"/>
                <w:b w:val="0"/>
                <w:bCs w:val="0"/>
                <w:kern w:val="0"/>
                <w:sz w:val="24"/>
                <w:szCs w:val="24"/>
                <w:lang w:val="en-US" w:eastAsia="zh-CN"/>
              </w:rPr>
              <w:t>中相关规定</w:t>
            </w:r>
            <w:r>
              <w:rPr>
                <w:rFonts w:hint="default" w:ascii="Times New Roman" w:hAnsi="Times New Roman" w:cs="Times New Roman"/>
                <w:b w:val="0"/>
                <w:bCs w:val="0"/>
                <w:kern w:val="0"/>
                <w:sz w:val="24"/>
                <w:szCs w:val="24"/>
              </w:rPr>
              <w:t>。</w:t>
            </w:r>
          </w:p>
        </w:tc>
      </w:tr>
      <w:tr w14:paraId="23F0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110" w:type="dxa"/>
            <w:gridSpan w:val="2"/>
            <w:noWrap w:val="0"/>
            <w:vAlign w:val="center"/>
          </w:tcPr>
          <w:p w14:paraId="7E985A0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cs="Times New Roman"/>
                <w:b w:val="0"/>
                <w:bCs w:val="0"/>
                <w:kern w:val="0"/>
                <w:sz w:val="24"/>
                <w:szCs w:val="24"/>
              </w:rPr>
            </w:pPr>
            <w:r>
              <w:rPr>
                <w:rFonts w:hint="default" w:ascii="Times New Roman" w:hAnsi="Times New Roman" w:cs="Times New Roman"/>
                <w:b w:val="0"/>
                <w:bCs w:val="0"/>
                <w:kern w:val="0"/>
                <w:sz w:val="24"/>
                <w:szCs w:val="24"/>
              </w:rPr>
              <w:t>总量控制指标</w:t>
            </w:r>
          </w:p>
        </w:tc>
        <w:tc>
          <w:tcPr>
            <w:tcW w:w="6880" w:type="dxa"/>
            <w:noWrap w:val="0"/>
            <w:vAlign w:val="center"/>
          </w:tcPr>
          <w:p w14:paraId="2A6773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eastAsia="宋体" w:cs="Times New Roman"/>
                <w:b w:val="0"/>
                <w:bCs w:val="0"/>
                <w:kern w:val="0"/>
                <w:sz w:val="24"/>
                <w:szCs w:val="24"/>
                <w:lang w:val="en-US" w:eastAsia="zh-CN"/>
              </w:rPr>
            </w:pPr>
            <w:r>
              <w:rPr>
                <w:rFonts w:hint="eastAsia" w:cs="Times New Roman"/>
                <w:b w:val="0"/>
                <w:bCs w:val="0"/>
                <w:kern w:val="0"/>
                <w:sz w:val="24"/>
                <w:szCs w:val="24"/>
                <w:lang w:val="en-US" w:eastAsia="zh-CN"/>
              </w:rPr>
              <w:t>无</w:t>
            </w:r>
          </w:p>
        </w:tc>
      </w:tr>
    </w:tbl>
    <w:p w14:paraId="201EB71F">
      <w:pPr>
        <w:pStyle w:val="13"/>
        <w:ind w:left="0" w:leftChars="0" w:firstLine="0" w:firstLineChars="0"/>
        <w:jc w:val="center"/>
        <w:outlineLvl w:val="0"/>
        <w:rPr>
          <w:rFonts w:hint="default" w:ascii="Times New Roman" w:hAnsi="Times New Roman" w:eastAsia="黑体" w:cs="Times New Roman"/>
          <w:snapToGrid w:val="0"/>
          <w:sz w:val="30"/>
          <w:szCs w:val="30"/>
        </w:rPr>
      </w:pPr>
      <w:r>
        <w:rPr>
          <w:rFonts w:hint="default" w:ascii="Times New Roman" w:hAnsi="Times New Roman" w:eastAsia="黑体" w:cs="Times New Roman"/>
          <w:snapToGrid w:val="0"/>
          <w:sz w:val="36"/>
          <w:szCs w:val="36"/>
        </w:rPr>
        <w:br w:type="page"/>
      </w:r>
      <w:r>
        <w:rPr>
          <w:rFonts w:hint="default" w:ascii="Times New Roman" w:hAnsi="Times New Roman" w:eastAsia="黑体" w:cs="Times New Roman"/>
          <w:snapToGrid w:val="0"/>
          <w:sz w:val="30"/>
          <w:szCs w:val="30"/>
        </w:rPr>
        <w:t>四、主要环境影响和保护措施</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1CFE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746" w:type="dxa"/>
            <w:noWrap w:val="0"/>
            <w:tcMar>
              <w:left w:w="28" w:type="dxa"/>
              <w:right w:w="28" w:type="dxa"/>
            </w:tcMar>
            <w:vAlign w:val="center"/>
          </w:tcPr>
          <w:p w14:paraId="02265F55">
            <w:pPr>
              <w:pStyle w:val="13"/>
              <w:keepNext w:val="0"/>
              <w:keepLines w:val="0"/>
              <w:pageBreakBefore w:val="0"/>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 w:val="0"/>
                <w:bCs w:val="0"/>
                <w:kern w:val="2"/>
                <w:sz w:val="24"/>
                <w:szCs w:val="24"/>
              </w:rPr>
            </w:pPr>
            <w:r>
              <w:rPr>
                <w:rFonts w:hint="default" w:ascii="Times New Roman" w:hAnsi="Times New Roman" w:cs="Times New Roman"/>
                <w:b w:val="0"/>
                <w:bCs w:val="0"/>
                <w:kern w:val="2"/>
                <w:sz w:val="24"/>
                <w:szCs w:val="24"/>
              </w:rPr>
              <w:t>施工</w:t>
            </w:r>
          </w:p>
          <w:p w14:paraId="304E5800">
            <w:pPr>
              <w:pStyle w:val="13"/>
              <w:keepNext w:val="0"/>
              <w:keepLines w:val="0"/>
              <w:pageBreakBefore w:val="0"/>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 w:val="0"/>
                <w:bCs w:val="0"/>
                <w:kern w:val="2"/>
                <w:sz w:val="24"/>
                <w:szCs w:val="24"/>
              </w:rPr>
            </w:pPr>
            <w:r>
              <w:rPr>
                <w:rFonts w:hint="default" w:ascii="Times New Roman" w:hAnsi="Times New Roman" w:cs="Times New Roman"/>
                <w:b w:val="0"/>
                <w:bCs w:val="0"/>
                <w:kern w:val="2"/>
                <w:sz w:val="24"/>
                <w:szCs w:val="24"/>
              </w:rPr>
              <w:t>期环</w:t>
            </w:r>
          </w:p>
          <w:p w14:paraId="03F00BB5">
            <w:pPr>
              <w:pStyle w:val="13"/>
              <w:keepNext w:val="0"/>
              <w:keepLines w:val="0"/>
              <w:pageBreakBefore w:val="0"/>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 w:val="0"/>
                <w:bCs w:val="0"/>
                <w:kern w:val="2"/>
                <w:sz w:val="24"/>
                <w:szCs w:val="24"/>
              </w:rPr>
            </w:pPr>
            <w:r>
              <w:rPr>
                <w:rFonts w:hint="default" w:ascii="Times New Roman" w:hAnsi="Times New Roman" w:cs="Times New Roman"/>
                <w:b w:val="0"/>
                <w:bCs w:val="0"/>
                <w:kern w:val="2"/>
                <w:sz w:val="24"/>
                <w:szCs w:val="24"/>
              </w:rPr>
              <w:t>境保</w:t>
            </w:r>
          </w:p>
          <w:p w14:paraId="3948FEE0">
            <w:pPr>
              <w:pStyle w:val="13"/>
              <w:keepNext w:val="0"/>
              <w:keepLines w:val="0"/>
              <w:pageBreakBefore w:val="0"/>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 w:val="0"/>
                <w:bCs w:val="0"/>
                <w:kern w:val="2"/>
                <w:sz w:val="24"/>
                <w:szCs w:val="24"/>
              </w:rPr>
            </w:pPr>
            <w:r>
              <w:rPr>
                <w:rFonts w:hint="default" w:ascii="Times New Roman" w:hAnsi="Times New Roman" w:cs="Times New Roman"/>
                <w:b w:val="0"/>
                <w:bCs w:val="0"/>
                <w:kern w:val="2"/>
                <w:sz w:val="24"/>
                <w:szCs w:val="24"/>
              </w:rPr>
              <w:t>护措</w:t>
            </w:r>
          </w:p>
          <w:p w14:paraId="581F8558">
            <w:pPr>
              <w:pStyle w:val="13"/>
              <w:keepNext w:val="0"/>
              <w:keepLines w:val="0"/>
              <w:pageBreakBefore w:val="0"/>
              <w:kinsoku/>
              <w:wordWrap/>
              <w:overflowPunct/>
              <w:topLinePunct w:val="0"/>
              <w:autoSpaceDE/>
              <w:autoSpaceDN/>
              <w:bidi w:val="0"/>
              <w:adjustRightInd w:val="0"/>
              <w:snapToGrid w:val="0"/>
              <w:spacing w:before="0" w:beforeAutospacing="0" w:after="0" w:afterAutospacing="0"/>
              <w:ind w:firstLine="0" w:firstLineChars="0"/>
              <w:jc w:val="center"/>
              <w:textAlignment w:val="auto"/>
              <w:rPr>
                <w:rFonts w:hint="default" w:ascii="Times New Roman" w:hAnsi="Times New Roman" w:cs="Times New Roman"/>
                <w:b w:val="0"/>
                <w:bCs w:val="0"/>
                <w:kern w:val="2"/>
                <w:sz w:val="24"/>
                <w:szCs w:val="24"/>
              </w:rPr>
            </w:pPr>
            <w:r>
              <w:rPr>
                <w:rFonts w:hint="default" w:ascii="Times New Roman" w:hAnsi="Times New Roman" w:cs="Times New Roman"/>
                <w:b w:val="0"/>
                <w:bCs w:val="0"/>
                <w:kern w:val="2"/>
                <w:sz w:val="24"/>
                <w:szCs w:val="24"/>
              </w:rPr>
              <w:t>施</w:t>
            </w:r>
          </w:p>
        </w:tc>
        <w:tc>
          <w:tcPr>
            <w:tcW w:w="8162" w:type="dxa"/>
            <w:noWrap w:val="0"/>
            <w:vAlign w:val="center"/>
          </w:tcPr>
          <w:p w14:paraId="378A40C7">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cs="Times New Roman"/>
                <w:b/>
                <w:bCs/>
                <w:spacing w:val="-10"/>
                <w:sz w:val="24"/>
                <w:szCs w:val="24"/>
                <w:lang w:val="en-US" w:eastAsia="zh-CN"/>
              </w:rPr>
            </w:pPr>
            <w:r>
              <w:rPr>
                <w:rFonts w:hint="default" w:ascii="Times New Roman" w:hAnsi="Times New Roman" w:cs="Times New Roman"/>
                <w:b/>
                <w:bCs/>
                <w:spacing w:val="-10"/>
                <w:sz w:val="24"/>
                <w:szCs w:val="24"/>
                <w:lang w:val="en-US" w:eastAsia="zh-CN"/>
              </w:rPr>
              <w:t>1.</w:t>
            </w:r>
            <w:r>
              <w:rPr>
                <w:rFonts w:hint="eastAsia" w:cs="Times New Roman"/>
                <w:b/>
                <w:bCs/>
                <w:spacing w:val="-10"/>
                <w:sz w:val="24"/>
                <w:szCs w:val="24"/>
                <w:lang w:val="en-US" w:eastAsia="zh-CN"/>
              </w:rPr>
              <w:t>施工期</w:t>
            </w:r>
            <w:r>
              <w:rPr>
                <w:rFonts w:hint="default" w:ascii="Times New Roman" w:hAnsi="Times New Roman" w:cs="Times New Roman"/>
                <w:b/>
                <w:bCs/>
                <w:spacing w:val="-10"/>
                <w:sz w:val="24"/>
                <w:szCs w:val="24"/>
                <w:lang w:val="en-US" w:eastAsia="zh-CN"/>
              </w:rPr>
              <w:t>大气环境影响分析</w:t>
            </w:r>
          </w:p>
          <w:p w14:paraId="5B15ECB3">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highlight w:val="none"/>
                <w:lang w:val="en-US" w:eastAsia="zh-CN"/>
              </w:rPr>
            </w:pPr>
            <w:r>
              <w:rPr>
                <w:rFonts w:hint="default" w:ascii="Times New Roman" w:hAnsi="Times New Roman" w:cs="Times New Roman"/>
                <w:b w:val="0"/>
                <w:bCs w:val="0"/>
                <w:spacing w:val="-10"/>
                <w:sz w:val="24"/>
                <w:szCs w:val="24"/>
                <w:highlight w:val="none"/>
                <w:lang w:val="en-US" w:eastAsia="zh-CN"/>
              </w:rPr>
              <w:t>整个施工期而言，施工产生的扬尘主要为土建施工和运输车辆。按起尘的原因可分为风力起尘和动力起尘，其中风力起尘是由于堆放的建材及裸露的施工区表层浮尘因天气干燥大风，产生风尘扬尘；动力起尘，主要是在建材的装卸、搅拌过程中，由于外力而产生的尘粒在悬浮而造成的，其中在施工及装卸车辆造成的扬尘最为严重。采取以下措施减少扬尘的产生。</w:t>
            </w:r>
          </w:p>
          <w:p w14:paraId="5861FEEC">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highlight w:val="none"/>
                <w:lang w:val="en-US" w:eastAsia="zh-CN"/>
              </w:rPr>
            </w:pPr>
            <w:r>
              <w:rPr>
                <w:rFonts w:hint="default" w:ascii="Times New Roman" w:hAnsi="Times New Roman" w:cs="Times New Roman"/>
                <w:b w:val="0"/>
                <w:bCs w:val="0"/>
                <w:spacing w:val="-10"/>
                <w:sz w:val="24"/>
                <w:szCs w:val="24"/>
                <w:highlight w:val="none"/>
                <w:lang w:val="en-US" w:eastAsia="zh-CN"/>
              </w:rPr>
              <w:t>（1）施工期间建设围挡，施工现场、运输道路应当适当的洒水或喷水，保持潮湿；</w:t>
            </w:r>
          </w:p>
          <w:p w14:paraId="0EA9D13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highlight w:val="none"/>
                <w:lang w:val="en-US" w:eastAsia="zh-CN"/>
              </w:rPr>
            </w:pPr>
            <w:r>
              <w:rPr>
                <w:rFonts w:hint="default" w:ascii="Times New Roman" w:hAnsi="Times New Roman" w:cs="Times New Roman"/>
                <w:b w:val="0"/>
                <w:bCs w:val="0"/>
                <w:spacing w:val="-10"/>
                <w:sz w:val="24"/>
                <w:szCs w:val="24"/>
                <w:highlight w:val="none"/>
                <w:lang w:val="en-US" w:eastAsia="zh-CN"/>
              </w:rPr>
              <w:t>（2）物料的存放必须加盖苫布，防止二次产尘；</w:t>
            </w:r>
          </w:p>
          <w:p w14:paraId="73D232F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highlight w:val="none"/>
                <w:lang w:val="en-US" w:eastAsia="zh-CN"/>
              </w:rPr>
            </w:pPr>
            <w:r>
              <w:rPr>
                <w:rFonts w:hint="default" w:ascii="Times New Roman" w:hAnsi="Times New Roman" w:cs="Times New Roman"/>
                <w:b w:val="0"/>
                <w:bCs w:val="0"/>
                <w:spacing w:val="-10"/>
                <w:sz w:val="24"/>
                <w:szCs w:val="24"/>
                <w:highlight w:val="none"/>
                <w:lang w:val="en-US" w:eastAsia="zh-CN"/>
              </w:rPr>
              <w:t>（3）限制运输车辆车速，场地内行驶车速不得超过20km/h。</w:t>
            </w:r>
          </w:p>
          <w:p w14:paraId="07614AA1">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highlight w:val="none"/>
                <w:lang w:val="en-US" w:eastAsia="zh-CN"/>
              </w:rPr>
            </w:pPr>
            <w:r>
              <w:rPr>
                <w:rFonts w:hint="default" w:ascii="Times New Roman" w:hAnsi="Times New Roman" w:cs="Times New Roman"/>
                <w:b w:val="0"/>
                <w:bCs w:val="0"/>
                <w:spacing w:val="-10"/>
                <w:sz w:val="24"/>
                <w:szCs w:val="24"/>
                <w:highlight w:val="none"/>
                <w:lang w:val="en-US" w:eastAsia="zh-CN"/>
              </w:rPr>
              <w:t>通过采取以上措施后，施工期的扬尘量可减少70%-80%，则施工期产生的大气污染物对周围环境空气影响较小。</w:t>
            </w:r>
          </w:p>
          <w:p w14:paraId="4C28826E">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cs="Times New Roman"/>
                <w:b/>
                <w:bCs/>
                <w:spacing w:val="-10"/>
                <w:sz w:val="24"/>
                <w:szCs w:val="24"/>
                <w:lang w:val="en-US" w:eastAsia="zh-CN"/>
              </w:rPr>
            </w:pPr>
            <w:r>
              <w:rPr>
                <w:rFonts w:hint="default" w:ascii="Times New Roman" w:hAnsi="Times New Roman" w:cs="Times New Roman"/>
                <w:b/>
                <w:bCs/>
                <w:spacing w:val="-10"/>
                <w:sz w:val="24"/>
                <w:szCs w:val="24"/>
                <w:lang w:val="en-US" w:eastAsia="zh-CN"/>
              </w:rPr>
              <w:t>2.</w:t>
            </w:r>
            <w:r>
              <w:rPr>
                <w:rFonts w:hint="eastAsia" w:cs="Times New Roman"/>
                <w:b/>
                <w:bCs/>
                <w:spacing w:val="-10"/>
                <w:sz w:val="24"/>
                <w:szCs w:val="24"/>
                <w:lang w:val="en-US" w:eastAsia="zh-CN"/>
              </w:rPr>
              <w:t>施工期</w:t>
            </w:r>
            <w:r>
              <w:rPr>
                <w:rFonts w:hint="default" w:ascii="Times New Roman" w:hAnsi="Times New Roman" w:cs="Times New Roman"/>
                <w:b/>
                <w:bCs/>
                <w:spacing w:val="-10"/>
                <w:sz w:val="24"/>
                <w:szCs w:val="24"/>
                <w:lang w:val="en-US" w:eastAsia="zh-CN"/>
              </w:rPr>
              <w:t>水环境影响分析</w:t>
            </w:r>
          </w:p>
          <w:p w14:paraId="7279547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highlight w:val="none"/>
                <w:lang w:val="en-US" w:eastAsia="zh-CN"/>
              </w:rPr>
            </w:pPr>
            <w:r>
              <w:rPr>
                <w:rFonts w:hint="default" w:ascii="Times New Roman" w:hAnsi="Times New Roman" w:cs="Times New Roman"/>
                <w:b w:val="0"/>
                <w:bCs w:val="0"/>
                <w:spacing w:val="-10"/>
                <w:sz w:val="24"/>
                <w:szCs w:val="24"/>
                <w:lang w:val="en-US" w:eastAsia="zh-CN"/>
              </w:rPr>
              <w:t>本项目施工期的废水主要为施工废水及生活人员的生活污水。施工期间施工人员产生的生活污水量较少，依托厂区污水处理设施处理。</w:t>
            </w:r>
            <w:r>
              <w:rPr>
                <w:rFonts w:hint="default" w:ascii="Times New Roman" w:hAnsi="Times New Roman" w:cs="Times New Roman"/>
                <w:b w:val="0"/>
                <w:bCs w:val="0"/>
                <w:spacing w:val="-10"/>
                <w:sz w:val="24"/>
                <w:szCs w:val="24"/>
                <w:highlight w:val="none"/>
                <w:lang w:val="en-US" w:eastAsia="zh-CN"/>
              </w:rPr>
              <w:t>少量的施工废水经沉淀后全部回用，不外排。由于施工期较短，所排废水是暂时的，其影响将随工程的结束而消失，因此施工期产生的施工废水及生活污水对项目周边水环境影响较小。</w:t>
            </w:r>
          </w:p>
          <w:p w14:paraId="6E67D0D8">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cs="Times New Roman"/>
                <w:b/>
                <w:bCs/>
                <w:spacing w:val="-10"/>
                <w:sz w:val="24"/>
                <w:szCs w:val="24"/>
                <w:lang w:val="en-US" w:eastAsia="zh-CN"/>
              </w:rPr>
            </w:pPr>
            <w:r>
              <w:rPr>
                <w:rFonts w:hint="default" w:ascii="Times New Roman" w:hAnsi="Times New Roman" w:cs="Times New Roman"/>
                <w:b/>
                <w:bCs/>
                <w:spacing w:val="-10"/>
                <w:sz w:val="24"/>
                <w:szCs w:val="24"/>
                <w:lang w:val="en-US" w:eastAsia="zh-CN"/>
              </w:rPr>
              <w:t>3.</w:t>
            </w:r>
            <w:r>
              <w:rPr>
                <w:rFonts w:hint="eastAsia" w:cs="Times New Roman"/>
                <w:b/>
                <w:bCs/>
                <w:spacing w:val="-10"/>
                <w:sz w:val="24"/>
                <w:szCs w:val="24"/>
                <w:lang w:val="en-US" w:eastAsia="zh-CN"/>
              </w:rPr>
              <w:t>施工期</w:t>
            </w:r>
            <w:r>
              <w:rPr>
                <w:rFonts w:hint="default" w:ascii="Times New Roman" w:hAnsi="Times New Roman" w:cs="Times New Roman"/>
                <w:b/>
                <w:bCs/>
                <w:spacing w:val="-10"/>
                <w:sz w:val="24"/>
                <w:szCs w:val="24"/>
                <w:lang w:val="en-US" w:eastAsia="zh-CN"/>
              </w:rPr>
              <w:t>声环境影响分析</w:t>
            </w:r>
          </w:p>
          <w:p w14:paraId="4C4A0512">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lang w:val="en-US" w:eastAsia="zh-CN"/>
              </w:rPr>
            </w:pPr>
            <w:r>
              <w:rPr>
                <w:rFonts w:hint="default" w:ascii="Times New Roman" w:hAnsi="Times New Roman" w:cs="Times New Roman"/>
                <w:b w:val="0"/>
                <w:bCs w:val="0"/>
                <w:spacing w:val="-10"/>
                <w:sz w:val="24"/>
                <w:szCs w:val="24"/>
                <w:lang w:val="en-US" w:eastAsia="zh-CN"/>
              </w:rPr>
              <w:t>施工期间的主要声环境影响为建筑施工噪声和交通噪声两类。施工期间的施工机械噪声值为70-80dB（A）之间。应加强施工管理，用噪声比较低的环保型设备。对建筑外部采用围挡，禁止夜间施工，加强工地的噪声管理措施，严格限制过往车辆的车速等措施降低噪声影响，项目周边200m范围内无居民居住，施工期间噪声影响对周围环境影响较小。</w:t>
            </w:r>
          </w:p>
          <w:p w14:paraId="1CF432A2">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cs="Times New Roman"/>
                <w:b/>
                <w:bCs/>
                <w:spacing w:val="-10"/>
                <w:sz w:val="24"/>
                <w:szCs w:val="24"/>
                <w:lang w:val="en-US" w:eastAsia="zh-CN"/>
              </w:rPr>
            </w:pPr>
            <w:r>
              <w:rPr>
                <w:rFonts w:hint="default" w:ascii="Times New Roman" w:hAnsi="Times New Roman" w:cs="Times New Roman"/>
                <w:b/>
                <w:bCs/>
                <w:spacing w:val="-10"/>
                <w:sz w:val="24"/>
                <w:szCs w:val="24"/>
                <w:lang w:val="en-US" w:eastAsia="zh-CN"/>
              </w:rPr>
              <w:t>4.</w:t>
            </w:r>
            <w:r>
              <w:rPr>
                <w:rFonts w:hint="eastAsia" w:cs="Times New Roman"/>
                <w:b/>
                <w:bCs/>
                <w:spacing w:val="-10"/>
                <w:sz w:val="24"/>
                <w:szCs w:val="24"/>
                <w:lang w:val="en-US" w:eastAsia="zh-CN"/>
              </w:rPr>
              <w:t>施工期</w:t>
            </w:r>
            <w:r>
              <w:rPr>
                <w:rFonts w:hint="default" w:ascii="Times New Roman" w:hAnsi="Times New Roman" w:cs="Times New Roman"/>
                <w:b/>
                <w:bCs/>
                <w:spacing w:val="-10"/>
                <w:sz w:val="24"/>
                <w:szCs w:val="24"/>
                <w:lang w:val="en-US" w:eastAsia="zh-CN"/>
              </w:rPr>
              <w:t>固体废弃物</w:t>
            </w:r>
          </w:p>
          <w:p w14:paraId="4F0AD38B">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lang w:val="en-US" w:eastAsia="zh-CN"/>
              </w:rPr>
            </w:pPr>
            <w:r>
              <w:rPr>
                <w:rFonts w:hint="default" w:ascii="Times New Roman" w:hAnsi="Times New Roman" w:cs="Times New Roman"/>
                <w:b w:val="0"/>
                <w:bCs w:val="0"/>
                <w:spacing w:val="-10"/>
                <w:sz w:val="24"/>
                <w:szCs w:val="24"/>
                <w:lang w:val="en-US" w:eastAsia="zh-CN"/>
              </w:rPr>
              <w:t>施工期间的固体废弃物主要为施工人员的生活垃圾及建筑垃圾。项目建设期间建筑垃圾由施工单位统一收集后，拉运至指定地点进行处理处置。生活垃圾依托项目厂区的垃圾收集系统统一收集后处理。施工期间的固废得到妥善处置，因此，施工期间的固体废弃物对周围环境影响较小。</w:t>
            </w:r>
          </w:p>
          <w:p w14:paraId="3D2042D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rPr>
            </w:pPr>
            <w:r>
              <w:rPr>
                <w:rFonts w:hint="default" w:ascii="Times New Roman" w:hAnsi="Times New Roman" w:cs="Times New Roman"/>
                <w:b w:val="0"/>
                <w:bCs w:val="0"/>
                <w:spacing w:val="-10"/>
                <w:sz w:val="24"/>
                <w:szCs w:val="24"/>
                <w:lang w:val="en-US" w:eastAsia="zh-CN"/>
              </w:rPr>
              <w:t>综上所述，本施工期间虽然会对周围环境产生一些影响，但在落实了环保措施及加强施工管理的前提下，可使施工期间的影响降低到</w:t>
            </w:r>
            <w:r>
              <w:rPr>
                <w:rFonts w:hint="eastAsia" w:cs="Times New Roman"/>
                <w:b w:val="0"/>
                <w:bCs w:val="0"/>
                <w:spacing w:val="-10"/>
                <w:sz w:val="24"/>
                <w:szCs w:val="24"/>
                <w:lang w:val="en-US" w:eastAsia="zh-CN"/>
              </w:rPr>
              <w:t>最低</w:t>
            </w:r>
            <w:r>
              <w:rPr>
                <w:rFonts w:hint="default" w:ascii="Times New Roman" w:hAnsi="Times New Roman" w:cs="Times New Roman"/>
                <w:b w:val="0"/>
                <w:bCs w:val="0"/>
                <w:spacing w:val="-10"/>
                <w:sz w:val="24"/>
                <w:szCs w:val="24"/>
                <w:lang w:val="en-US" w:eastAsia="zh-CN"/>
              </w:rPr>
              <w:t>程度，且施工过程是短暂的，其影响将随着施工结束而消失，对周围环境的影响是在可接受范围内的。</w:t>
            </w:r>
          </w:p>
        </w:tc>
      </w:tr>
      <w:tr w14:paraId="79BF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38D49F1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运营</w:t>
            </w:r>
          </w:p>
          <w:p w14:paraId="43519BB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期环</w:t>
            </w:r>
          </w:p>
          <w:p w14:paraId="5A70641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境影</w:t>
            </w:r>
          </w:p>
          <w:p w14:paraId="748D24F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响和</w:t>
            </w:r>
          </w:p>
          <w:p w14:paraId="29842CB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保护</w:t>
            </w:r>
          </w:p>
          <w:p w14:paraId="710AA9A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措施</w:t>
            </w:r>
          </w:p>
        </w:tc>
        <w:tc>
          <w:tcPr>
            <w:tcW w:w="8162" w:type="dxa"/>
            <w:noWrap w:val="0"/>
            <w:vAlign w:val="center"/>
          </w:tcPr>
          <w:p w14:paraId="3672E7CF">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cs="Times New Roman"/>
                <w:b/>
                <w:bCs/>
                <w:spacing w:val="-10"/>
                <w:sz w:val="24"/>
                <w:szCs w:val="24"/>
              </w:rPr>
            </w:pPr>
            <w:r>
              <w:rPr>
                <w:rFonts w:hint="default" w:ascii="Times New Roman" w:hAnsi="Times New Roman" w:cs="Times New Roman"/>
                <w:b/>
                <w:bCs/>
                <w:spacing w:val="-10"/>
                <w:sz w:val="24"/>
                <w:szCs w:val="24"/>
                <w:lang w:val="en-US" w:eastAsia="zh-CN"/>
              </w:rPr>
              <w:t>1、</w:t>
            </w:r>
            <w:r>
              <w:rPr>
                <w:rFonts w:hint="eastAsia" w:cs="Times New Roman"/>
                <w:b/>
                <w:bCs/>
                <w:spacing w:val="-10"/>
                <w:sz w:val="24"/>
                <w:szCs w:val="24"/>
                <w:lang w:val="en-US" w:eastAsia="zh-CN"/>
              </w:rPr>
              <w:t>运营期</w:t>
            </w:r>
            <w:r>
              <w:rPr>
                <w:rFonts w:hint="default" w:ascii="Times New Roman" w:hAnsi="Times New Roman" w:cs="Times New Roman"/>
                <w:b/>
                <w:bCs/>
                <w:spacing w:val="-10"/>
                <w:sz w:val="24"/>
                <w:szCs w:val="24"/>
              </w:rPr>
              <w:t>大气环境影响分析</w:t>
            </w:r>
          </w:p>
          <w:p w14:paraId="031D37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eastAsia="宋体" w:cs="Times New Roman"/>
                <w:b w:val="0"/>
                <w:bCs w:val="0"/>
                <w:spacing w:val="-10"/>
                <w:sz w:val="24"/>
                <w:szCs w:val="24"/>
                <w:lang w:val="en-US" w:eastAsia="zh-CN"/>
              </w:rPr>
            </w:pPr>
            <w:r>
              <w:rPr>
                <w:rFonts w:hint="default"/>
                <w:lang w:eastAsia="zh-CN"/>
              </w:rPr>
              <w:t>本项目主要</w:t>
            </w:r>
            <w:r>
              <w:rPr>
                <w:rFonts w:hint="eastAsia"/>
                <w:lang w:eastAsia="zh-CN"/>
              </w:rPr>
              <w:t>贮存</w:t>
            </w:r>
            <w:r>
              <w:rPr>
                <w:rFonts w:hint="eastAsia"/>
                <w:lang w:val="en-US" w:eastAsia="zh-CN"/>
              </w:rPr>
              <w:t>实验废液、变质或失效的药剂、废活性炭、废反渗透膜、沾有油污的废旧手套、拖布</w:t>
            </w:r>
            <w:r>
              <w:rPr>
                <w:rFonts w:hint="default"/>
                <w:lang w:val="en-US" w:eastAsia="zh-CN"/>
              </w:rPr>
              <w:t>分区暂存</w:t>
            </w:r>
            <w:r>
              <w:rPr>
                <w:rFonts w:hint="default"/>
                <w:lang w:eastAsia="zh-CN"/>
              </w:rPr>
              <w:t>，根据企业提供资料，项目</w:t>
            </w:r>
            <w:r>
              <w:rPr>
                <w:rFonts w:hint="eastAsia"/>
                <w:lang w:eastAsia="zh-CN"/>
              </w:rPr>
              <w:t>贮存</w:t>
            </w:r>
            <w:r>
              <w:rPr>
                <w:rFonts w:hint="default"/>
                <w:lang w:eastAsia="zh-CN"/>
              </w:rPr>
              <w:t>的废液均使用塑料桶密封包装，性质稳定，不易挥发。项目废液经密封桶装送至危废库暂存，不进行倒罐、分装等，因此在</w:t>
            </w:r>
            <w:r>
              <w:rPr>
                <w:rFonts w:hint="eastAsia"/>
                <w:lang w:eastAsia="zh-CN"/>
              </w:rPr>
              <w:t>贮存</w:t>
            </w:r>
            <w:r>
              <w:rPr>
                <w:rFonts w:hint="default"/>
                <w:lang w:eastAsia="zh-CN"/>
              </w:rPr>
              <w:t>过程中正常情况下没有废气排放</w:t>
            </w:r>
            <w:r>
              <w:rPr>
                <w:rFonts w:hint="eastAsia"/>
                <w:lang w:eastAsia="zh-CN"/>
              </w:rPr>
              <w:t>，</w:t>
            </w:r>
            <w:r>
              <w:rPr>
                <w:rFonts w:hint="default"/>
                <w:lang w:eastAsia="zh-CN"/>
              </w:rPr>
              <w:t>危险废物按照《危险废物贮存污染控制标准》</w:t>
            </w:r>
            <w:r>
              <w:rPr>
                <w:rFonts w:hint="eastAsia"/>
                <w:lang w:eastAsia="zh-CN"/>
              </w:rPr>
              <w:t>（</w:t>
            </w:r>
            <w:r>
              <w:rPr>
                <w:rFonts w:hint="default"/>
                <w:lang w:eastAsia="zh-CN"/>
              </w:rPr>
              <w:t>GB18597-20</w:t>
            </w:r>
            <w:r>
              <w:rPr>
                <w:rFonts w:hint="eastAsia"/>
                <w:lang w:val="en-US" w:eastAsia="zh-CN"/>
              </w:rPr>
              <w:t>23</w:t>
            </w:r>
            <w:r>
              <w:rPr>
                <w:rFonts w:hint="eastAsia"/>
                <w:lang w:eastAsia="zh-CN"/>
              </w:rPr>
              <w:t>）</w:t>
            </w:r>
            <w:r>
              <w:rPr>
                <w:rFonts w:hint="default"/>
                <w:lang w:eastAsia="zh-CN"/>
              </w:rPr>
              <w:t>和《危险废物收集贮存运输技术规范》</w:t>
            </w:r>
            <w:r>
              <w:rPr>
                <w:rFonts w:hint="eastAsia"/>
                <w:lang w:eastAsia="zh-CN"/>
              </w:rPr>
              <w:t>（</w:t>
            </w:r>
            <w:r>
              <w:rPr>
                <w:rFonts w:hint="default"/>
                <w:lang w:eastAsia="zh-CN"/>
              </w:rPr>
              <w:t>HJ2025-2012</w:t>
            </w:r>
            <w:r>
              <w:rPr>
                <w:rFonts w:hint="eastAsia"/>
                <w:lang w:eastAsia="zh-CN"/>
              </w:rPr>
              <w:t>）</w:t>
            </w:r>
            <w:r>
              <w:rPr>
                <w:rFonts w:hint="default"/>
                <w:lang w:eastAsia="zh-CN"/>
              </w:rPr>
              <w:t>中相关规定进行</w:t>
            </w:r>
            <w:r>
              <w:rPr>
                <w:rFonts w:hint="eastAsia"/>
                <w:lang w:eastAsia="zh-CN"/>
              </w:rPr>
              <w:t>贮存</w:t>
            </w:r>
            <w:r>
              <w:rPr>
                <w:rFonts w:hint="default"/>
                <w:lang w:eastAsia="zh-CN"/>
              </w:rPr>
              <w:t>，在</w:t>
            </w:r>
            <w:r>
              <w:rPr>
                <w:rFonts w:hint="eastAsia"/>
                <w:lang w:eastAsia="zh-CN"/>
              </w:rPr>
              <w:t>贮存</w:t>
            </w:r>
            <w:r>
              <w:rPr>
                <w:rFonts w:hint="default"/>
                <w:lang w:eastAsia="zh-CN"/>
              </w:rPr>
              <w:t>过程中正常情况下没有废气排放。</w:t>
            </w:r>
          </w:p>
          <w:p w14:paraId="7942D9D4">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cs="Times New Roman"/>
                <w:b/>
                <w:bCs/>
                <w:spacing w:val="-10"/>
                <w:sz w:val="24"/>
                <w:szCs w:val="24"/>
                <w:lang w:val="en-US" w:eastAsia="zh-CN"/>
              </w:rPr>
            </w:pPr>
            <w:r>
              <w:rPr>
                <w:rFonts w:hint="default" w:ascii="Times New Roman" w:hAnsi="Times New Roman" w:cs="Times New Roman"/>
                <w:b/>
                <w:bCs/>
                <w:spacing w:val="-10"/>
                <w:sz w:val="24"/>
                <w:szCs w:val="24"/>
                <w:lang w:val="en-US" w:eastAsia="zh-CN"/>
              </w:rPr>
              <w:t>2、</w:t>
            </w:r>
            <w:r>
              <w:rPr>
                <w:rFonts w:hint="eastAsia" w:cs="Times New Roman"/>
                <w:b/>
                <w:bCs/>
                <w:spacing w:val="-10"/>
                <w:sz w:val="24"/>
                <w:szCs w:val="24"/>
                <w:lang w:val="en-US" w:eastAsia="zh-CN"/>
              </w:rPr>
              <w:t>运营期废水</w:t>
            </w:r>
            <w:r>
              <w:rPr>
                <w:rFonts w:hint="default" w:ascii="Times New Roman" w:hAnsi="Times New Roman" w:eastAsia="宋体" w:cs="Times New Roman"/>
                <w:b/>
                <w:bCs/>
                <w:spacing w:val="-10"/>
                <w:sz w:val="24"/>
                <w:szCs w:val="24"/>
                <w:lang w:val="en-US" w:eastAsia="zh-CN"/>
              </w:rPr>
              <w:t>影响分析</w:t>
            </w:r>
          </w:p>
          <w:p w14:paraId="645F7772">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lang w:val="en-US" w:eastAsia="zh-CN"/>
              </w:rPr>
            </w:pPr>
            <w:r>
              <w:rPr>
                <w:rFonts w:hint="default" w:ascii="Times New Roman" w:hAnsi="Times New Roman" w:cs="Times New Roman"/>
                <w:b w:val="0"/>
                <w:bCs w:val="0"/>
                <w:spacing w:val="-10"/>
                <w:sz w:val="24"/>
                <w:szCs w:val="24"/>
                <w:lang w:val="en-US" w:eastAsia="zh-CN"/>
              </w:rPr>
              <w:t>本项目运行管理人员由</w:t>
            </w:r>
            <w:r>
              <w:rPr>
                <w:rFonts w:hint="eastAsia" w:cs="Times New Roman"/>
                <w:b w:val="0"/>
                <w:bCs w:val="0"/>
                <w:spacing w:val="-10"/>
                <w:sz w:val="24"/>
                <w:szCs w:val="24"/>
                <w:lang w:val="en-US" w:eastAsia="zh-CN"/>
              </w:rPr>
              <w:t>伊金霍洛旗澎源供水有限责任公司现有</w:t>
            </w:r>
            <w:r>
              <w:rPr>
                <w:rFonts w:hint="default" w:ascii="Times New Roman" w:hAnsi="Times New Roman" w:cs="Times New Roman"/>
                <w:b w:val="0"/>
                <w:bCs w:val="0"/>
                <w:spacing w:val="-10"/>
                <w:sz w:val="24"/>
                <w:szCs w:val="24"/>
                <w:lang w:val="en-US" w:eastAsia="zh-CN"/>
              </w:rPr>
              <w:t>人员调配，无新增工作人员，无新增生活污水；本项目为仓储项目，运营期不产生生产废水。</w:t>
            </w:r>
          </w:p>
          <w:p w14:paraId="5C5223A4">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eastAsia="宋体" w:cs="Times New Roman"/>
                <w:b/>
                <w:bCs/>
                <w:spacing w:val="-10"/>
                <w:sz w:val="24"/>
                <w:szCs w:val="24"/>
                <w:lang w:val="en-US" w:eastAsia="zh-CN"/>
              </w:rPr>
            </w:pPr>
            <w:r>
              <w:rPr>
                <w:rFonts w:hint="eastAsia" w:ascii="Times New Roman" w:hAnsi="Times New Roman" w:cs="Times New Roman"/>
                <w:b/>
                <w:bCs/>
                <w:spacing w:val="-10"/>
                <w:sz w:val="24"/>
                <w:szCs w:val="24"/>
                <w:lang w:val="en-US" w:eastAsia="zh-CN"/>
              </w:rPr>
              <w:t>3</w:t>
            </w:r>
            <w:r>
              <w:rPr>
                <w:rFonts w:hint="default" w:ascii="Times New Roman" w:hAnsi="Times New Roman" w:eastAsia="宋体" w:cs="Times New Roman"/>
                <w:b/>
                <w:bCs/>
                <w:spacing w:val="-10"/>
                <w:sz w:val="24"/>
                <w:szCs w:val="24"/>
                <w:lang w:val="en-US" w:eastAsia="zh-CN"/>
              </w:rPr>
              <w:t>、</w:t>
            </w:r>
            <w:r>
              <w:rPr>
                <w:rFonts w:hint="eastAsia" w:cs="Times New Roman"/>
                <w:b/>
                <w:bCs/>
                <w:spacing w:val="-10"/>
                <w:sz w:val="24"/>
                <w:szCs w:val="24"/>
                <w:lang w:val="en-US" w:eastAsia="zh-CN"/>
              </w:rPr>
              <w:t>运营期</w:t>
            </w:r>
            <w:r>
              <w:rPr>
                <w:rFonts w:hint="default" w:ascii="Times New Roman" w:hAnsi="Times New Roman" w:eastAsia="宋体" w:cs="Times New Roman"/>
                <w:b/>
                <w:bCs/>
                <w:spacing w:val="-10"/>
                <w:sz w:val="24"/>
                <w:szCs w:val="24"/>
                <w:lang w:val="en-US" w:eastAsia="zh-CN"/>
              </w:rPr>
              <w:t>噪声环境影响分析</w:t>
            </w:r>
          </w:p>
          <w:p w14:paraId="53F4CA6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项目运营期噪声主要为叉车转运危废、危险废物专用车辆以及风机产生的噪声。项目拟采取以下噪声防治措施：</w:t>
            </w:r>
          </w:p>
          <w:p w14:paraId="4A25D509">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1）设备的选型尽可能选用噪声低、</w:t>
            </w:r>
            <w:r>
              <w:rPr>
                <w:rFonts w:hint="eastAsia" w:cs="Times New Roman"/>
                <w:b w:val="0"/>
                <w:bCs w:val="0"/>
                <w:spacing w:val="-10"/>
                <w:sz w:val="24"/>
                <w:szCs w:val="24"/>
                <w:lang w:val="en-US" w:eastAsia="zh-CN"/>
              </w:rPr>
              <w:t>振</w:t>
            </w:r>
            <w:r>
              <w:rPr>
                <w:rFonts w:hint="default" w:ascii="Times New Roman" w:hAnsi="Times New Roman" w:eastAsia="宋体" w:cs="Times New Roman"/>
                <w:b w:val="0"/>
                <w:bCs w:val="0"/>
                <w:spacing w:val="-10"/>
                <w:sz w:val="24"/>
                <w:szCs w:val="24"/>
                <w:lang w:val="en-US" w:eastAsia="zh-CN"/>
              </w:rPr>
              <w:t>动小的设备；</w:t>
            </w:r>
          </w:p>
          <w:p w14:paraId="3FEBF055">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2）所有有振动的设备均设减振基础或吊架，接管设柔性减振接头；对于传输设备的旋转和传动部分以及接近地面的</w:t>
            </w:r>
            <w:r>
              <w:rPr>
                <w:rFonts w:hint="eastAsia" w:cs="Times New Roman"/>
                <w:b w:val="0"/>
                <w:bCs w:val="0"/>
                <w:spacing w:val="-10"/>
                <w:sz w:val="24"/>
                <w:szCs w:val="24"/>
                <w:lang w:val="en-US" w:eastAsia="zh-CN"/>
              </w:rPr>
              <w:t>联轴节</w:t>
            </w:r>
            <w:r>
              <w:rPr>
                <w:rFonts w:hint="default" w:ascii="Times New Roman" w:hAnsi="Times New Roman" w:eastAsia="宋体" w:cs="Times New Roman"/>
                <w:b w:val="0"/>
                <w:bCs w:val="0"/>
                <w:spacing w:val="-10"/>
                <w:sz w:val="24"/>
                <w:szCs w:val="24"/>
                <w:lang w:val="en-US" w:eastAsia="zh-CN"/>
              </w:rPr>
              <w:t>、传动轴、皮带轮等均装设防护装置；</w:t>
            </w:r>
          </w:p>
          <w:p w14:paraId="005D36FD">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3）机械设备应加强日常定期检修和维护，特别是那些会因为部件松动而产生噪声的机械，以及那些降噪部件容易损坏而导致强噪声产生的机械设备；</w:t>
            </w:r>
          </w:p>
          <w:p w14:paraId="55F97E99">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4）在厂区内植树种草，加强周边绿化树木防护带的降噪作用；</w:t>
            </w:r>
          </w:p>
          <w:p w14:paraId="0C1C27F1">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5）加强对出入车辆的管理，车辆进出停车场严格禁鸣喇叭，保持车流畅通。</w:t>
            </w:r>
          </w:p>
          <w:p w14:paraId="10193855">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该项目各高噪声设备经采取有效控制措施，再经距离衰减后厂界噪声排放满足《工业企业厂界环境噪声排放标准》（GB12348-2008）中</w:t>
            </w:r>
            <w:r>
              <w:rPr>
                <w:rFonts w:hint="eastAsia" w:cs="Times New Roman"/>
                <w:b w:val="0"/>
                <w:bCs w:val="0"/>
                <w:spacing w:val="-10"/>
                <w:sz w:val="24"/>
                <w:szCs w:val="24"/>
                <w:lang w:val="en-US" w:eastAsia="zh-CN"/>
              </w:rPr>
              <w:t>2类</w:t>
            </w:r>
            <w:r>
              <w:rPr>
                <w:rFonts w:hint="default" w:ascii="Times New Roman" w:hAnsi="Times New Roman" w:eastAsia="宋体" w:cs="Times New Roman"/>
                <w:b w:val="0"/>
                <w:bCs w:val="0"/>
                <w:spacing w:val="-10"/>
                <w:sz w:val="24"/>
                <w:szCs w:val="24"/>
                <w:lang w:val="en-US" w:eastAsia="zh-CN"/>
              </w:rPr>
              <w:t>噪声排放标准要求。</w:t>
            </w:r>
          </w:p>
          <w:p w14:paraId="330F9CEC">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综上，项目运营期操作位于厂区内，间歇作业，经过隔声、衰减后，对周围环境影响较小。项目运营期间产生的噪声经过隔声、衰减后，厂界满足《工业企业厂界环境噪声排放标准》（GB12348-2008）中</w:t>
            </w:r>
            <w:r>
              <w:rPr>
                <w:rFonts w:hint="eastAsia" w:cs="Times New Roman"/>
                <w:b w:val="0"/>
                <w:bCs w:val="0"/>
                <w:spacing w:val="-10"/>
                <w:sz w:val="24"/>
                <w:szCs w:val="24"/>
                <w:lang w:val="en-US" w:eastAsia="zh-CN"/>
              </w:rPr>
              <w:t>2类</w:t>
            </w:r>
            <w:r>
              <w:rPr>
                <w:rFonts w:hint="default" w:ascii="Times New Roman" w:hAnsi="Times New Roman" w:eastAsia="宋体" w:cs="Times New Roman"/>
                <w:b w:val="0"/>
                <w:bCs w:val="0"/>
                <w:spacing w:val="-10"/>
                <w:sz w:val="24"/>
                <w:szCs w:val="24"/>
                <w:lang w:val="en-US" w:eastAsia="zh-CN"/>
              </w:rPr>
              <w:t>标准限值要求。但从环境保护的角度考虑，为降低生产噪声对员工的影响，项目应加强设备的维护，确保设备处于良好的运转状态，杜绝因设备不正常运转产生的高噪声现象。同时，项目可通过植树绿化的方法，降低车辆进出检测站造成的噪声影响。</w:t>
            </w:r>
          </w:p>
          <w:p w14:paraId="57177A46">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eastAsia="宋体" w:cs="Times New Roman"/>
                <w:b/>
                <w:bCs/>
                <w:spacing w:val="-10"/>
                <w:sz w:val="24"/>
                <w:szCs w:val="24"/>
                <w:lang w:val="en-US" w:eastAsia="zh-CN"/>
              </w:rPr>
            </w:pPr>
            <w:r>
              <w:rPr>
                <w:rFonts w:hint="eastAsia" w:ascii="Times New Roman" w:hAnsi="Times New Roman" w:cs="Times New Roman"/>
                <w:b/>
                <w:bCs/>
                <w:spacing w:val="-10"/>
                <w:sz w:val="24"/>
                <w:szCs w:val="24"/>
                <w:lang w:val="en-US" w:eastAsia="zh-CN"/>
              </w:rPr>
              <w:t>4</w:t>
            </w:r>
            <w:r>
              <w:rPr>
                <w:rFonts w:hint="default" w:ascii="Times New Roman" w:hAnsi="Times New Roman" w:eastAsia="宋体" w:cs="Times New Roman"/>
                <w:b/>
                <w:bCs/>
                <w:spacing w:val="-10"/>
                <w:sz w:val="24"/>
                <w:szCs w:val="24"/>
                <w:lang w:val="en-US" w:eastAsia="zh-CN"/>
              </w:rPr>
              <w:t>、</w:t>
            </w:r>
            <w:r>
              <w:rPr>
                <w:rFonts w:hint="eastAsia" w:cs="Times New Roman"/>
                <w:b/>
                <w:bCs/>
                <w:spacing w:val="-10"/>
                <w:sz w:val="24"/>
                <w:szCs w:val="24"/>
                <w:lang w:val="en-US" w:eastAsia="zh-CN"/>
              </w:rPr>
              <w:t>运营期</w:t>
            </w:r>
            <w:r>
              <w:rPr>
                <w:rFonts w:hint="default" w:ascii="Times New Roman" w:hAnsi="Times New Roman" w:eastAsia="宋体" w:cs="Times New Roman"/>
                <w:b/>
                <w:bCs/>
                <w:spacing w:val="-10"/>
                <w:sz w:val="24"/>
                <w:szCs w:val="24"/>
                <w:lang w:val="en-US" w:eastAsia="zh-CN"/>
              </w:rPr>
              <w:t>固体废物影响分析</w:t>
            </w:r>
          </w:p>
          <w:p w14:paraId="250B4FF3">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本项目建成后不新增劳动定员，故不新增生活垃圾。本项目产生的固废主要为人工搬运</w:t>
            </w:r>
            <w:r>
              <w:rPr>
                <w:rFonts w:hint="default" w:ascii="Times New Roman" w:hAnsi="Times New Roman" w:cs="Times New Roman"/>
                <w:b w:val="0"/>
                <w:bCs w:val="0"/>
                <w:spacing w:val="-10"/>
                <w:sz w:val="24"/>
                <w:szCs w:val="24"/>
                <w:lang w:val="en-US" w:eastAsia="zh-CN"/>
              </w:rPr>
              <w:t>危险废物</w:t>
            </w:r>
            <w:r>
              <w:rPr>
                <w:rFonts w:hint="default" w:ascii="Times New Roman" w:hAnsi="Times New Roman" w:eastAsia="宋体" w:cs="Times New Roman"/>
                <w:b w:val="0"/>
                <w:bCs w:val="0"/>
                <w:spacing w:val="-10"/>
                <w:sz w:val="24"/>
                <w:szCs w:val="24"/>
                <w:lang w:val="en-US" w:eastAsia="zh-CN"/>
              </w:rPr>
              <w:t>过程中产生的</w:t>
            </w:r>
            <w:r>
              <w:rPr>
                <w:rFonts w:hint="eastAsia" w:cs="Times New Roman"/>
                <w:b w:val="0"/>
                <w:bCs w:val="0"/>
                <w:spacing w:val="-10"/>
                <w:sz w:val="24"/>
                <w:szCs w:val="24"/>
                <w:lang w:val="en-US" w:eastAsia="zh-CN"/>
              </w:rPr>
              <w:t>沾有油污的废旧手套、抹布</w:t>
            </w:r>
            <w:r>
              <w:rPr>
                <w:rFonts w:hint="default" w:ascii="Times New Roman" w:hAnsi="Times New Roman" w:eastAsia="宋体" w:cs="Times New Roman"/>
                <w:b w:val="0"/>
                <w:bCs w:val="0"/>
                <w:spacing w:val="-10"/>
                <w:sz w:val="24"/>
                <w:szCs w:val="24"/>
                <w:lang w:val="en-US" w:eastAsia="zh-CN"/>
              </w:rPr>
              <w:t>共计</w:t>
            </w:r>
            <w:r>
              <w:rPr>
                <w:rFonts w:hint="eastAsia" w:cs="Times New Roman"/>
                <w:b w:val="0"/>
                <w:bCs w:val="0"/>
                <w:spacing w:val="-10"/>
                <w:sz w:val="24"/>
                <w:szCs w:val="24"/>
                <w:lang w:val="en-US" w:eastAsia="zh-CN"/>
              </w:rPr>
              <w:t>10块（双）/年</w:t>
            </w:r>
            <w:r>
              <w:rPr>
                <w:rFonts w:hint="default" w:ascii="Times New Roman" w:hAnsi="Times New Roman" w:eastAsia="宋体" w:cs="Times New Roman"/>
                <w:b w:val="0"/>
                <w:bCs w:val="0"/>
                <w:spacing w:val="-10"/>
                <w:sz w:val="24"/>
                <w:szCs w:val="24"/>
                <w:lang w:val="en-US" w:eastAsia="zh-CN"/>
              </w:rPr>
              <w:t>，与危险废物一同处置</w:t>
            </w:r>
            <w:r>
              <w:rPr>
                <w:rFonts w:hint="eastAsia" w:cs="Times New Roman"/>
                <w:b w:val="0"/>
                <w:bCs w:val="0"/>
                <w:spacing w:val="-10"/>
                <w:sz w:val="24"/>
                <w:szCs w:val="24"/>
                <w:lang w:val="en-US" w:eastAsia="zh-CN"/>
              </w:rPr>
              <w:t>，集中收集后，交由有资质单位进行处置；</w:t>
            </w:r>
            <w:r>
              <w:rPr>
                <w:rFonts w:hint="default" w:ascii="Times New Roman" w:hAnsi="Times New Roman" w:eastAsia="宋体" w:cs="Times New Roman"/>
                <w:b w:val="0"/>
                <w:bCs w:val="0"/>
                <w:spacing w:val="-10"/>
                <w:sz w:val="24"/>
                <w:szCs w:val="24"/>
                <w:lang w:val="en-US" w:eastAsia="zh-CN"/>
              </w:rPr>
              <w:t>非正常情况下泄露的废液通过导流渠进入集液池中，收集后，交由有资质的单位处置。伊金霍洛旗澎源供水有限责任公司实验室产生的实验废液、变质或者失效的药剂、废活性炭、废反渗透膜暂存于危险废物贮存库内，定期交由有资质单位进行处置</w:t>
            </w:r>
            <w:r>
              <w:rPr>
                <w:rFonts w:hint="eastAsia" w:cs="Times New Roman"/>
                <w:b w:val="0"/>
                <w:bCs w:val="0"/>
                <w:spacing w:val="-10"/>
                <w:sz w:val="24"/>
                <w:szCs w:val="24"/>
                <w:lang w:val="en-US" w:eastAsia="zh-CN"/>
              </w:rPr>
              <w:t>。</w:t>
            </w:r>
          </w:p>
          <w:p w14:paraId="0CDBD480">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eastAsia" w:cs="Times New Roman"/>
                <w:b/>
                <w:bCs/>
                <w:spacing w:val="-10"/>
                <w:sz w:val="24"/>
                <w:szCs w:val="24"/>
                <w:lang w:val="en-US" w:eastAsia="zh-CN"/>
              </w:rPr>
            </w:pPr>
            <w:r>
              <w:rPr>
                <w:rFonts w:hint="eastAsia" w:cs="Times New Roman"/>
                <w:b/>
                <w:bCs/>
                <w:spacing w:val="-10"/>
                <w:sz w:val="24"/>
                <w:szCs w:val="24"/>
                <w:lang w:val="en-US" w:eastAsia="zh-CN"/>
              </w:rPr>
              <w:t>5、地下水、土壤环境</w:t>
            </w:r>
          </w:p>
          <w:p w14:paraId="0D9273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spacing w:val="-10"/>
                <w:sz w:val="24"/>
                <w:szCs w:val="24"/>
                <w:lang w:val="en-US" w:eastAsia="zh-CN"/>
              </w:rPr>
            </w:pPr>
            <w:r>
              <w:rPr>
                <w:kern w:val="0"/>
                <w:sz w:val="24"/>
                <w:szCs w:val="20"/>
              </w:rPr>
              <w:t>本项目正常状况下无废水产生，不会对地下水环境和土壤环境产生影响。</w:t>
            </w:r>
            <w:r>
              <w:rPr>
                <w:rFonts w:hint="default" w:ascii="Times New Roman" w:hAnsi="Times New Roman" w:cs="Times New Roman"/>
                <w:b w:val="0"/>
                <w:bCs w:val="0"/>
                <w:spacing w:val="-10"/>
                <w:sz w:val="24"/>
                <w:szCs w:val="24"/>
                <w:lang w:val="en-US" w:eastAsia="zh-CN"/>
              </w:rPr>
              <w:t>本项目不产生生活污水及生产废水，但是</w:t>
            </w:r>
            <w:r>
              <w:rPr>
                <w:rFonts w:hint="eastAsia" w:cs="Times New Roman"/>
                <w:b w:val="0"/>
                <w:bCs w:val="0"/>
                <w:spacing w:val="-10"/>
                <w:sz w:val="24"/>
                <w:szCs w:val="24"/>
                <w:lang w:val="en-US" w:eastAsia="zh-CN"/>
              </w:rPr>
              <w:t>贮存</w:t>
            </w:r>
            <w:r>
              <w:rPr>
                <w:rFonts w:hint="default" w:ascii="Times New Roman" w:hAnsi="Times New Roman" w:cs="Times New Roman"/>
                <w:b w:val="0"/>
                <w:bCs w:val="0"/>
                <w:spacing w:val="-10"/>
                <w:sz w:val="24"/>
                <w:szCs w:val="24"/>
                <w:highlight w:val="none"/>
                <w:lang w:val="en-US" w:eastAsia="zh-CN"/>
              </w:rPr>
              <w:t>的</w:t>
            </w:r>
            <w:r>
              <w:rPr>
                <w:rFonts w:hint="eastAsia" w:ascii="Times New Roman" w:hAnsi="Times New Roman" w:cs="Times New Roman"/>
                <w:b w:val="0"/>
                <w:bCs w:val="0"/>
                <w:spacing w:val="-10"/>
                <w:sz w:val="24"/>
                <w:szCs w:val="24"/>
                <w:highlight w:val="none"/>
                <w:lang w:val="en-US" w:eastAsia="zh-CN"/>
              </w:rPr>
              <w:t>危险废物</w:t>
            </w:r>
            <w:r>
              <w:rPr>
                <w:rFonts w:hint="default" w:ascii="Times New Roman" w:hAnsi="Times New Roman" w:cs="Times New Roman"/>
                <w:b w:val="0"/>
                <w:bCs w:val="0"/>
                <w:spacing w:val="-10"/>
                <w:sz w:val="24"/>
                <w:szCs w:val="24"/>
                <w:highlight w:val="none"/>
                <w:lang w:val="en-US" w:eastAsia="zh-CN"/>
              </w:rPr>
              <w:t>的</w:t>
            </w:r>
            <w:r>
              <w:rPr>
                <w:rFonts w:hint="eastAsia" w:cs="Times New Roman"/>
                <w:b w:val="0"/>
                <w:bCs w:val="0"/>
                <w:spacing w:val="-10"/>
                <w:sz w:val="24"/>
                <w:szCs w:val="24"/>
                <w:highlight w:val="none"/>
                <w:lang w:val="en-US" w:eastAsia="zh-CN"/>
              </w:rPr>
              <w:t>泄漏</w:t>
            </w:r>
            <w:r>
              <w:rPr>
                <w:rFonts w:hint="default" w:ascii="Times New Roman" w:hAnsi="Times New Roman" w:cs="Times New Roman"/>
                <w:b w:val="0"/>
                <w:bCs w:val="0"/>
                <w:spacing w:val="-10"/>
                <w:sz w:val="24"/>
                <w:szCs w:val="24"/>
                <w:highlight w:val="none"/>
                <w:lang w:val="en-US" w:eastAsia="zh-CN"/>
              </w:rPr>
              <w:t>可</w:t>
            </w:r>
            <w:r>
              <w:rPr>
                <w:rFonts w:hint="default" w:ascii="Times New Roman" w:hAnsi="Times New Roman" w:cs="Times New Roman"/>
                <w:b w:val="0"/>
                <w:bCs w:val="0"/>
                <w:spacing w:val="-10"/>
                <w:sz w:val="24"/>
                <w:szCs w:val="24"/>
                <w:lang w:val="en-US" w:eastAsia="zh-CN"/>
              </w:rPr>
              <w:t>能对周围地下水造成影响。</w:t>
            </w:r>
          </w:p>
          <w:p w14:paraId="19CC5F34">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lang w:val="en-US" w:eastAsia="zh-CN"/>
              </w:rPr>
            </w:pPr>
            <w:r>
              <w:rPr>
                <w:rFonts w:hint="default" w:ascii="Times New Roman" w:hAnsi="Times New Roman" w:cs="Times New Roman"/>
                <w:b w:val="0"/>
                <w:bCs w:val="0"/>
                <w:spacing w:val="-10"/>
                <w:sz w:val="24"/>
                <w:szCs w:val="24"/>
                <w:lang w:val="en-US" w:eastAsia="zh-CN"/>
              </w:rPr>
              <w:t>非正常工况下，</w:t>
            </w:r>
            <w:r>
              <w:rPr>
                <w:rFonts w:hint="eastAsia" w:cs="Times New Roman"/>
                <w:b w:val="0"/>
                <w:bCs w:val="0"/>
                <w:spacing w:val="-10"/>
                <w:sz w:val="24"/>
                <w:szCs w:val="24"/>
                <w:lang w:val="en-US" w:eastAsia="zh-CN"/>
              </w:rPr>
              <w:t>危险废物</w:t>
            </w:r>
            <w:r>
              <w:rPr>
                <w:rFonts w:hint="default" w:ascii="Times New Roman" w:hAnsi="Times New Roman" w:cs="Times New Roman"/>
                <w:b w:val="0"/>
                <w:bCs w:val="0"/>
                <w:spacing w:val="-10"/>
                <w:sz w:val="24"/>
                <w:szCs w:val="24"/>
                <w:lang w:val="en-US" w:eastAsia="zh-CN"/>
              </w:rPr>
              <w:t>发生泄漏，泄漏物料通过</w:t>
            </w:r>
            <w:r>
              <w:rPr>
                <w:rFonts w:hint="eastAsia" w:cs="Times New Roman"/>
                <w:b w:val="0"/>
                <w:bCs w:val="0"/>
                <w:spacing w:val="-10"/>
                <w:sz w:val="24"/>
                <w:szCs w:val="24"/>
                <w:lang w:val="en-US" w:eastAsia="zh-CN"/>
              </w:rPr>
              <w:t>导流渠</w:t>
            </w:r>
            <w:r>
              <w:rPr>
                <w:rFonts w:hint="default" w:ascii="Times New Roman" w:hAnsi="Times New Roman" w:cs="Times New Roman"/>
                <w:b w:val="0"/>
                <w:bCs w:val="0"/>
                <w:spacing w:val="-10"/>
                <w:sz w:val="24"/>
                <w:szCs w:val="24"/>
                <w:lang w:val="en-US" w:eastAsia="zh-CN"/>
              </w:rPr>
              <w:t>收集到集液池中，此时如果集液池底部防渗系统发生破损，废液可能会渗入土壤，在包气带中垂直向下迁移，并进入到含水层中。污染物进入地下水后，以对流作用和弥散作用为主对地下水产生污染。按照分区防控的要求，本项目属于重点防渗区，本次按照《危险废物贮存污染控制标准》（GB18597-2023）中防渗要求，采取相应的防渗措施。</w:t>
            </w:r>
          </w:p>
          <w:p w14:paraId="7094812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lang w:val="en-US" w:eastAsia="zh-CN"/>
              </w:rPr>
            </w:pPr>
            <w:r>
              <w:rPr>
                <w:rFonts w:hint="default" w:ascii="Times New Roman" w:hAnsi="Times New Roman" w:cs="Times New Roman"/>
                <w:b w:val="0"/>
                <w:bCs w:val="0"/>
                <w:spacing w:val="-10"/>
                <w:sz w:val="24"/>
                <w:szCs w:val="24"/>
                <w:lang w:val="en-US" w:eastAsia="zh-CN"/>
              </w:rPr>
              <w:t>（2）分区防治措施</w:t>
            </w:r>
          </w:p>
          <w:p w14:paraId="1CB42339">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lang w:val="en-US" w:eastAsia="zh-CN"/>
              </w:rPr>
            </w:pPr>
            <w:r>
              <w:rPr>
                <w:rFonts w:hint="default" w:ascii="Times New Roman" w:hAnsi="Times New Roman" w:cs="Times New Roman"/>
                <w:b w:val="0"/>
                <w:bCs w:val="0"/>
                <w:spacing w:val="-10"/>
                <w:sz w:val="24"/>
                <w:szCs w:val="24"/>
                <w:lang w:val="en-US" w:eastAsia="zh-CN"/>
              </w:rPr>
              <w:t>结合本项目特点，本项目危险废物</w:t>
            </w:r>
            <w:r>
              <w:rPr>
                <w:rFonts w:hint="eastAsia" w:cs="Times New Roman"/>
                <w:b w:val="0"/>
                <w:bCs w:val="0"/>
                <w:spacing w:val="-10"/>
                <w:sz w:val="24"/>
                <w:szCs w:val="24"/>
                <w:lang w:val="en-US" w:eastAsia="zh-CN"/>
              </w:rPr>
              <w:t>贮存库</w:t>
            </w:r>
            <w:r>
              <w:rPr>
                <w:rFonts w:hint="default" w:ascii="Times New Roman" w:hAnsi="Times New Roman" w:cs="Times New Roman"/>
                <w:b w:val="0"/>
                <w:bCs w:val="0"/>
                <w:spacing w:val="-10"/>
                <w:sz w:val="24"/>
                <w:szCs w:val="24"/>
                <w:lang w:val="en-US" w:eastAsia="zh-CN"/>
              </w:rPr>
              <w:t>地面全部采取重点防渗区要求防渗。根据《环境影响评价技术导则地下水环境》（HJ610-2016）中地下水环境保护措施及对策的要求，危险废物</w:t>
            </w:r>
            <w:r>
              <w:rPr>
                <w:rFonts w:hint="eastAsia" w:cs="Times New Roman"/>
                <w:b w:val="0"/>
                <w:bCs w:val="0"/>
                <w:spacing w:val="-10"/>
                <w:sz w:val="24"/>
                <w:szCs w:val="24"/>
                <w:lang w:val="en-US" w:eastAsia="zh-CN"/>
              </w:rPr>
              <w:t>贮存库</w:t>
            </w:r>
            <w:r>
              <w:rPr>
                <w:rFonts w:hint="default" w:ascii="Times New Roman" w:hAnsi="Times New Roman" w:cs="Times New Roman"/>
                <w:b w:val="0"/>
                <w:bCs w:val="0"/>
                <w:spacing w:val="-10"/>
                <w:sz w:val="24"/>
                <w:szCs w:val="24"/>
                <w:lang w:val="en-US" w:eastAsia="zh-CN"/>
              </w:rPr>
              <w:t>及事故废液收集池防渗性能应满足《危险废物贮存污染控制标准》（GB18597-2023）中防渗要求。采取的防渗措施如下：</w:t>
            </w:r>
          </w:p>
          <w:p w14:paraId="02BCDB3A">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jc w:val="center"/>
              <w:textAlignment w:val="auto"/>
              <w:rPr>
                <w:rFonts w:hint="default" w:ascii="Times New Roman" w:hAnsi="Times New Roman" w:cs="Times New Roman"/>
                <w:b/>
                <w:bCs/>
                <w:spacing w:val="-10"/>
                <w:sz w:val="24"/>
                <w:szCs w:val="24"/>
                <w:lang w:val="en-US" w:eastAsia="zh-CN"/>
              </w:rPr>
            </w:pPr>
            <w:r>
              <w:rPr>
                <w:rFonts w:hint="default" w:ascii="Times New Roman" w:hAnsi="Times New Roman" w:cs="Times New Roman"/>
                <w:b/>
                <w:bCs/>
                <w:spacing w:val="-10"/>
                <w:sz w:val="24"/>
                <w:szCs w:val="24"/>
                <w:lang w:val="en-US" w:eastAsia="zh-CN"/>
              </w:rPr>
              <w:t>表4-</w:t>
            </w:r>
            <w:r>
              <w:rPr>
                <w:rFonts w:hint="eastAsia" w:cs="Times New Roman"/>
                <w:b/>
                <w:bCs/>
                <w:spacing w:val="-10"/>
                <w:sz w:val="24"/>
                <w:szCs w:val="24"/>
                <w:lang w:val="en-US" w:eastAsia="zh-CN"/>
              </w:rPr>
              <w:t>1</w:t>
            </w:r>
            <w:r>
              <w:rPr>
                <w:rFonts w:hint="default" w:ascii="Times New Roman" w:hAnsi="Times New Roman" w:cs="Times New Roman"/>
                <w:b/>
                <w:bCs/>
                <w:spacing w:val="-10"/>
                <w:sz w:val="24"/>
                <w:szCs w:val="24"/>
                <w:lang w:val="en-US" w:eastAsia="zh-CN"/>
              </w:rPr>
              <w:t>项目分区防渗要求表</w:t>
            </w:r>
          </w:p>
          <w:tbl>
            <w:tblPr>
              <w:tblStyle w:val="15"/>
              <w:tblW w:w="7898"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1082"/>
              <w:gridCol w:w="5709"/>
            </w:tblGrid>
            <w:tr w14:paraId="67F2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7" w:type="dxa"/>
                  <w:noWrap w:val="0"/>
                  <w:vAlign w:val="center"/>
                </w:tcPr>
                <w:p w14:paraId="7D34E6D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lang w:val="en-US" w:eastAsia="zh-CN"/>
                    </w:rPr>
                  </w:pPr>
                  <w:r>
                    <w:rPr>
                      <w:rFonts w:hint="default"/>
                      <w:lang w:val="en-US" w:eastAsia="zh-CN"/>
                    </w:rPr>
                    <w:t>防渗区域</w:t>
                  </w:r>
                </w:p>
              </w:tc>
              <w:tc>
                <w:tcPr>
                  <w:tcW w:w="1082" w:type="dxa"/>
                  <w:noWrap w:val="0"/>
                  <w:vAlign w:val="center"/>
                </w:tcPr>
                <w:p w14:paraId="6247262F">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lang w:val="en-US" w:eastAsia="zh-CN"/>
                    </w:rPr>
                  </w:pPr>
                  <w:r>
                    <w:rPr>
                      <w:rFonts w:hint="default"/>
                      <w:lang w:val="en-US" w:eastAsia="zh-CN"/>
                    </w:rPr>
                    <w:t>防渗等级</w:t>
                  </w:r>
                </w:p>
              </w:tc>
              <w:tc>
                <w:tcPr>
                  <w:tcW w:w="5709" w:type="dxa"/>
                  <w:noWrap w:val="0"/>
                  <w:vAlign w:val="center"/>
                </w:tcPr>
                <w:p w14:paraId="37F226F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lang w:val="en-US" w:eastAsia="zh-CN"/>
                    </w:rPr>
                  </w:pPr>
                  <w:r>
                    <w:rPr>
                      <w:rFonts w:hint="default"/>
                      <w:lang w:val="en-US" w:eastAsia="zh-CN"/>
                    </w:rPr>
                    <w:t>防渗技术要求</w:t>
                  </w:r>
                </w:p>
              </w:tc>
            </w:tr>
            <w:tr w14:paraId="5F9B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7" w:type="dxa"/>
                  <w:noWrap w:val="0"/>
                  <w:vAlign w:val="center"/>
                </w:tcPr>
                <w:p w14:paraId="428DB81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lang w:val="en-US" w:eastAsia="zh-CN"/>
                    </w:rPr>
                  </w:pPr>
                  <w:r>
                    <w:rPr>
                      <w:rFonts w:hint="eastAsia"/>
                      <w:lang w:val="en-US" w:eastAsia="zh-CN"/>
                    </w:rPr>
                    <w:t>危险废物贮存库</w:t>
                  </w:r>
                </w:p>
              </w:tc>
              <w:tc>
                <w:tcPr>
                  <w:tcW w:w="1082" w:type="dxa"/>
                  <w:noWrap w:val="0"/>
                  <w:vAlign w:val="center"/>
                </w:tcPr>
                <w:p w14:paraId="5EF76FC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lang w:val="en-US" w:eastAsia="zh-CN"/>
                    </w:rPr>
                  </w:pPr>
                  <w:r>
                    <w:rPr>
                      <w:rFonts w:hint="default"/>
                      <w:lang w:val="en-US" w:eastAsia="zh-CN"/>
                    </w:rPr>
                    <w:t>重点防渗区</w:t>
                  </w:r>
                </w:p>
              </w:tc>
              <w:tc>
                <w:tcPr>
                  <w:tcW w:w="5709" w:type="dxa"/>
                  <w:noWrap w:val="0"/>
                  <w:vAlign w:val="center"/>
                </w:tcPr>
                <w:p w14:paraId="0F1B639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lang w:val="en-US" w:eastAsia="zh-CN"/>
                    </w:rPr>
                  </w:pPr>
                  <w:r>
                    <w:rPr>
                      <w:rFonts w:hint="default" w:ascii="Times New Roman" w:hAnsi="Times New Roman" w:eastAsia="宋体" w:cs="Times New Roman"/>
                      <w:b w:val="0"/>
                      <w:bCs w:val="0"/>
                      <w:sz w:val="24"/>
                      <w:szCs w:val="24"/>
                      <w:highlight w:val="none"/>
                      <w:lang w:val="en-US" w:eastAsia="zh-CN"/>
                    </w:rPr>
                    <w:t>地面</w:t>
                  </w:r>
                  <w:r>
                    <w:rPr>
                      <w:rFonts w:hint="eastAsia" w:cs="Times New Roman"/>
                      <w:b w:val="0"/>
                      <w:bCs w:val="0"/>
                      <w:sz w:val="24"/>
                      <w:szCs w:val="24"/>
                      <w:highlight w:val="none"/>
                      <w:lang w:val="en-US" w:eastAsia="zh-CN"/>
                    </w:rPr>
                    <w:t>、</w:t>
                  </w:r>
                  <w:r>
                    <w:rPr>
                      <w:rFonts w:hint="eastAsia" w:ascii="Times New Roman" w:hAnsi="Times New Roman" w:eastAsia="宋体" w:cs="Times New Roman"/>
                      <w:b w:val="0"/>
                      <w:bCs w:val="0"/>
                      <w:sz w:val="24"/>
                      <w:szCs w:val="24"/>
                      <w:highlight w:val="none"/>
                      <w:lang w:val="en-US" w:eastAsia="zh-CN"/>
                    </w:rPr>
                    <w:t>导流渠、集液池</w:t>
                  </w:r>
                  <w:r>
                    <w:rPr>
                      <w:rFonts w:hint="default" w:ascii="Times New Roman" w:hAnsi="Times New Roman" w:eastAsia="宋体" w:cs="Times New Roman"/>
                      <w:b w:val="0"/>
                      <w:bCs w:val="0"/>
                      <w:sz w:val="24"/>
                      <w:szCs w:val="24"/>
                      <w:highlight w:val="none"/>
                      <w:lang w:val="en-US" w:eastAsia="zh-CN"/>
                    </w:rPr>
                    <w:t>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default" w:ascii="Times New Roman" w:hAnsi="Times New Roman" w:eastAsia="宋体" w:cs="Times New Roman"/>
                      <w:b w:val="0"/>
                      <w:bCs w:val="0"/>
                      <w:sz w:val="24"/>
                      <w:szCs w:val="24"/>
                      <w:highlight w:val="none"/>
                      <w:vertAlign w:val="superscript"/>
                      <w:lang w:val="en-US" w:eastAsia="zh-CN"/>
                    </w:rPr>
                    <w:t>-10</w:t>
                  </w:r>
                  <w:r>
                    <w:rPr>
                      <w:rFonts w:hint="default" w:ascii="Times New Roman" w:hAnsi="Times New Roman" w:eastAsia="宋体" w:cs="Times New Roman"/>
                      <w:b w:val="0"/>
                      <w:bCs w:val="0"/>
                      <w:sz w:val="24"/>
                      <w:szCs w:val="24"/>
                      <w:highlight w:val="none"/>
                      <w:lang w:val="en-US" w:eastAsia="zh-CN"/>
                    </w:rPr>
                    <w:t>cm/s。</w:t>
                  </w:r>
                </w:p>
              </w:tc>
            </w:tr>
          </w:tbl>
          <w:p w14:paraId="3B34407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val="0"/>
                <w:spacing w:val="-10"/>
                <w:sz w:val="24"/>
                <w:szCs w:val="24"/>
                <w:lang w:val="en-US" w:eastAsia="zh-CN"/>
              </w:rPr>
            </w:pPr>
            <w:r>
              <w:rPr>
                <w:rFonts w:hint="default" w:ascii="Times New Roman" w:hAnsi="Times New Roman" w:cs="Times New Roman"/>
                <w:b w:val="0"/>
                <w:bCs w:val="0"/>
                <w:spacing w:val="-10"/>
                <w:sz w:val="24"/>
                <w:szCs w:val="24"/>
                <w:lang w:val="en-US" w:eastAsia="zh-CN"/>
              </w:rPr>
              <w:t>综上所述，在采取必要的地下水污染防治措施后，该项目的运营对地下水和土壤环境影响是可以接受的。</w:t>
            </w:r>
          </w:p>
          <w:p w14:paraId="1D398385">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eastAsia="宋体" w:cs="Times New Roman"/>
                <w:b/>
                <w:bCs/>
                <w:spacing w:val="-10"/>
                <w:sz w:val="24"/>
                <w:szCs w:val="24"/>
                <w:lang w:val="en-US" w:eastAsia="zh-CN"/>
              </w:rPr>
            </w:pPr>
            <w:r>
              <w:rPr>
                <w:rFonts w:hint="default" w:ascii="Times New Roman" w:hAnsi="Times New Roman" w:eastAsia="宋体" w:cs="Times New Roman"/>
                <w:b/>
                <w:bCs/>
                <w:spacing w:val="-10"/>
                <w:sz w:val="24"/>
                <w:szCs w:val="24"/>
                <w:lang w:val="en-US" w:eastAsia="zh-CN"/>
              </w:rPr>
              <w:t>6.环境风险分析</w:t>
            </w:r>
          </w:p>
          <w:p w14:paraId="14600B8E">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根据《建设项目环境风险评价技术导则》（HJ169-2018）要求，对于涉及有毒有害和易燃易爆物质的生产、使用、贮存等新建、改建和技术改造项目进行环境风险影响评价。</w:t>
            </w:r>
          </w:p>
          <w:p w14:paraId="52113BA1">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项目环境风险评价的目的是分析和预测项目存在的潜在危险，有害因素，项目运行期间可能发生的突发性事件（一般不包括人为破坏及自然灾害），引起有毒有害和易燃易爆等物质泄漏，所造成的人身安全与环境影响和损害程度，提出合理可行的防范、应急与减缓措施。以使建设项目事故率达到可接受水平、损失和环境影响达到</w:t>
            </w:r>
            <w:r>
              <w:rPr>
                <w:rFonts w:hint="eastAsia" w:cs="Times New Roman"/>
                <w:b w:val="0"/>
                <w:bCs w:val="0"/>
                <w:spacing w:val="-10"/>
                <w:sz w:val="24"/>
                <w:szCs w:val="24"/>
                <w:lang w:val="en-US" w:eastAsia="zh-CN"/>
              </w:rPr>
              <w:t>最低</w:t>
            </w:r>
            <w:r>
              <w:rPr>
                <w:rFonts w:hint="default" w:ascii="Times New Roman" w:hAnsi="Times New Roman" w:eastAsia="宋体" w:cs="Times New Roman"/>
                <w:b w:val="0"/>
                <w:bCs w:val="0"/>
                <w:spacing w:val="-10"/>
                <w:sz w:val="24"/>
                <w:szCs w:val="24"/>
                <w:lang w:val="en-US" w:eastAsia="zh-CN"/>
              </w:rPr>
              <w:t>。</w:t>
            </w:r>
          </w:p>
          <w:p w14:paraId="0A63A60B">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环境风险评价基本内容包括风险调查、环境风险潜势初判、风险识别、风险事故情形分析、风险预测与评价、环境风险管理等，为建设项目的风险管理决策提供科学依据，以期达到</w:t>
            </w:r>
            <w:r>
              <w:rPr>
                <w:rFonts w:hint="eastAsia" w:cs="Times New Roman"/>
                <w:b w:val="0"/>
                <w:bCs w:val="0"/>
                <w:spacing w:val="-10"/>
                <w:sz w:val="24"/>
                <w:szCs w:val="24"/>
                <w:lang w:val="en-US" w:eastAsia="zh-CN"/>
              </w:rPr>
              <w:t>降低</w:t>
            </w:r>
            <w:r>
              <w:rPr>
                <w:rFonts w:hint="default" w:ascii="Times New Roman" w:hAnsi="Times New Roman" w:eastAsia="宋体" w:cs="Times New Roman"/>
                <w:b w:val="0"/>
                <w:bCs w:val="0"/>
                <w:spacing w:val="-10"/>
                <w:sz w:val="24"/>
                <w:szCs w:val="24"/>
                <w:lang w:val="en-US" w:eastAsia="zh-CN"/>
              </w:rPr>
              <w:t>危险、减少公害的目的。</w:t>
            </w:r>
          </w:p>
          <w:p w14:paraId="04A874C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（1）评价依据</w:t>
            </w:r>
          </w:p>
          <w:p w14:paraId="56DD6F7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①风险调查</w:t>
            </w:r>
          </w:p>
          <w:p w14:paraId="354348CD">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本项目风险源主要是危险废物</w:t>
            </w:r>
            <w:r>
              <w:rPr>
                <w:rFonts w:hint="eastAsia" w:cs="Times New Roman"/>
                <w:b w:val="0"/>
                <w:bCs w:val="0"/>
                <w:spacing w:val="-10"/>
                <w:sz w:val="24"/>
                <w:szCs w:val="24"/>
                <w:lang w:val="en-US" w:eastAsia="zh-CN"/>
              </w:rPr>
              <w:t>贮存</w:t>
            </w:r>
            <w:r>
              <w:rPr>
                <w:rFonts w:hint="default" w:ascii="Times New Roman" w:hAnsi="Times New Roman" w:eastAsia="宋体" w:cs="Times New Roman"/>
                <w:b w:val="0"/>
                <w:bCs w:val="0"/>
                <w:spacing w:val="-10"/>
                <w:sz w:val="24"/>
                <w:szCs w:val="24"/>
                <w:lang w:val="en-US" w:eastAsia="zh-CN"/>
              </w:rPr>
              <w:t>间</w:t>
            </w:r>
            <w:r>
              <w:rPr>
                <w:rFonts w:hint="eastAsia" w:ascii="Times New Roman" w:hAnsi="Times New Roman" w:cs="Times New Roman"/>
                <w:b w:val="0"/>
                <w:bCs w:val="0"/>
                <w:spacing w:val="-10"/>
                <w:sz w:val="24"/>
                <w:szCs w:val="24"/>
                <w:lang w:val="en-US" w:eastAsia="zh-CN"/>
              </w:rPr>
              <w:t>危险废物</w:t>
            </w:r>
            <w:r>
              <w:rPr>
                <w:rFonts w:hint="default" w:ascii="Times New Roman" w:hAnsi="Times New Roman" w:eastAsia="宋体" w:cs="Times New Roman"/>
                <w:b w:val="0"/>
                <w:bCs w:val="0"/>
                <w:spacing w:val="-10"/>
                <w:sz w:val="24"/>
                <w:szCs w:val="24"/>
                <w:lang w:val="en-US" w:eastAsia="zh-CN"/>
              </w:rPr>
              <w:t>泄漏。</w:t>
            </w:r>
          </w:p>
          <w:p w14:paraId="24CD7AE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②环境风险潜势初判</w:t>
            </w:r>
          </w:p>
          <w:p w14:paraId="74A8FF0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本项目涉及的主要危险物质为</w:t>
            </w:r>
            <w:r>
              <w:rPr>
                <w:rFonts w:hint="eastAsia" w:cs="Times New Roman"/>
                <w:b w:val="0"/>
                <w:bCs w:val="0"/>
                <w:spacing w:val="-10"/>
                <w:sz w:val="24"/>
                <w:szCs w:val="24"/>
                <w:lang w:val="en-US" w:eastAsia="zh-CN"/>
              </w:rPr>
              <w:t>废液</w:t>
            </w:r>
            <w:r>
              <w:rPr>
                <w:rFonts w:hint="default" w:ascii="Times New Roman" w:hAnsi="Times New Roman" w:eastAsia="宋体" w:cs="Times New Roman"/>
                <w:b w:val="0"/>
                <w:bCs w:val="0"/>
                <w:spacing w:val="-10"/>
                <w:sz w:val="24"/>
                <w:szCs w:val="24"/>
                <w:lang w:val="en-US" w:eastAsia="zh-CN"/>
              </w:rPr>
              <w:t>。根据《建设项目环境风险价技术导则》（H169-2018）表B.1、表B.2和《危险化学品重大危险源辨识》（GB18218-2018）中规定的临界量P的分级确定，按下式计算物质总量与其临界量比值（Q）。</w:t>
            </w:r>
          </w:p>
          <w:p w14:paraId="7E2751E2">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Q=q</w:t>
            </w:r>
            <w:r>
              <w:rPr>
                <w:rFonts w:hint="default" w:ascii="Times New Roman" w:hAnsi="Times New Roman" w:eastAsia="宋体" w:cs="Times New Roman"/>
                <w:b w:val="0"/>
                <w:bCs w:val="0"/>
                <w:spacing w:val="-10"/>
                <w:sz w:val="24"/>
                <w:szCs w:val="24"/>
                <w:vertAlign w:val="subscript"/>
                <w:lang w:val="en-US" w:eastAsia="zh-CN"/>
              </w:rPr>
              <w:t>1</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1</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2</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2</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n</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n</w:t>
            </w:r>
          </w:p>
          <w:p w14:paraId="1593CAD9">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式中：q</w:t>
            </w:r>
            <w:r>
              <w:rPr>
                <w:rFonts w:hint="default" w:ascii="Times New Roman" w:hAnsi="Times New Roman" w:eastAsia="宋体" w:cs="Times New Roman"/>
                <w:b w:val="0"/>
                <w:bCs w:val="0"/>
                <w:spacing w:val="-10"/>
                <w:sz w:val="24"/>
                <w:szCs w:val="24"/>
                <w:vertAlign w:val="subscript"/>
                <w:lang w:val="en-US" w:eastAsia="zh-CN"/>
              </w:rPr>
              <w:t>1</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2</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n</w:t>
            </w:r>
            <w:r>
              <w:rPr>
                <w:rFonts w:hint="default" w:ascii="Times New Roman" w:hAnsi="Times New Roman" w:eastAsia="宋体" w:cs="Times New Roman"/>
                <w:b w:val="0"/>
                <w:bCs w:val="0"/>
                <w:spacing w:val="-10"/>
                <w:sz w:val="24"/>
                <w:szCs w:val="24"/>
                <w:lang w:val="en-US" w:eastAsia="zh-CN"/>
              </w:rPr>
              <w:t>—每种危险物质的最大存在量，t；</w:t>
            </w:r>
          </w:p>
          <w:p w14:paraId="70A2134F">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1</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2</w:t>
            </w:r>
            <w:r>
              <w:rPr>
                <w:rFonts w:hint="default" w:ascii="Times New Roman" w:hAnsi="Times New Roman" w:eastAsia="宋体" w:cs="Times New Roman"/>
                <w:b w:val="0"/>
                <w:bCs w:val="0"/>
                <w:spacing w:val="-10"/>
                <w:sz w:val="24"/>
                <w:szCs w:val="24"/>
                <w:lang w:val="en-US" w:eastAsia="zh-CN"/>
              </w:rPr>
              <w:t>···Q</w:t>
            </w:r>
            <w:r>
              <w:rPr>
                <w:rFonts w:hint="default" w:ascii="Times New Roman" w:hAnsi="Times New Roman" w:eastAsia="宋体" w:cs="Times New Roman"/>
                <w:b w:val="0"/>
                <w:bCs w:val="0"/>
                <w:spacing w:val="-10"/>
                <w:sz w:val="24"/>
                <w:szCs w:val="24"/>
                <w:vertAlign w:val="subscript"/>
                <w:lang w:val="en-US" w:eastAsia="zh-CN"/>
              </w:rPr>
              <w:t>n</w:t>
            </w:r>
            <w:r>
              <w:rPr>
                <w:rFonts w:hint="default" w:ascii="Times New Roman" w:hAnsi="Times New Roman" w:eastAsia="宋体" w:cs="Times New Roman"/>
                <w:b w:val="0"/>
                <w:bCs w:val="0"/>
                <w:spacing w:val="-10"/>
                <w:sz w:val="24"/>
                <w:szCs w:val="24"/>
                <w:lang w:val="en-US" w:eastAsia="zh-CN"/>
              </w:rPr>
              <w:t>—与各种危险物质</w:t>
            </w:r>
            <w:r>
              <w:rPr>
                <w:rFonts w:hint="eastAsia" w:cs="Times New Roman"/>
                <w:b w:val="0"/>
                <w:bCs w:val="0"/>
                <w:spacing w:val="-10"/>
                <w:sz w:val="24"/>
                <w:szCs w:val="24"/>
                <w:lang w:val="en-US" w:eastAsia="zh-CN"/>
              </w:rPr>
              <w:t>相</w:t>
            </w:r>
            <w:r>
              <w:rPr>
                <w:rFonts w:hint="default" w:ascii="Times New Roman" w:hAnsi="Times New Roman" w:eastAsia="宋体" w:cs="Times New Roman"/>
                <w:b w:val="0"/>
                <w:bCs w:val="0"/>
                <w:spacing w:val="-10"/>
                <w:sz w:val="24"/>
                <w:szCs w:val="24"/>
                <w:lang w:val="en-US" w:eastAsia="zh-CN"/>
              </w:rPr>
              <w:t>对应的临界量，t。</w:t>
            </w:r>
          </w:p>
          <w:p w14:paraId="0A921892">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当Q＜1时，该项目环境风险潜势为</w:t>
            </w:r>
            <w:r>
              <w:rPr>
                <w:rFonts w:hint="default" w:ascii="Times New Roman" w:hAnsi="Times New Roman" w:eastAsia="宋体" w:cs="Times New Roman"/>
                <w:b w:val="0"/>
                <w:bCs w:val="0"/>
                <w:spacing w:val="-10"/>
                <w:sz w:val="24"/>
                <w:szCs w:val="24"/>
                <w:lang w:val="en-US" w:eastAsia="zh-CN"/>
              </w:rPr>
              <w:fldChar w:fldCharType="begin"/>
            </w:r>
            <w:r>
              <w:rPr>
                <w:rFonts w:hint="default" w:ascii="Times New Roman" w:hAnsi="Times New Roman" w:eastAsia="宋体" w:cs="Times New Roman"/>
                <w:b w:val="0"/>
                <w:bCs w:val="0"/>
                <w:spacing w:val="-10"/>
                <w:sz w:val="24"/>
                <w:szCs w:val="24"/>
                <w:lang w:val="en-US" w:eastAsia="zh-CN"/>
              </w:rPr>
              <w:instrText xml:space="preserve"> = 1 \* ROMAN </w:instrText>
            </w:r>
            <w:r>
              <w:rPr>
                <w:rFonts w:hint="default" w:ascii="Times New Roman" w:hAnsi="Times New Roman" w:eastAsia="宋体" w:cs="Times New Roman"/>
                <w:b w:val="0"/>
                <w:bCs w:val="0"/>
                <w:spacing w:val="-10"/>
                <w:sz w:val="24"/>
                <w:szCs w:val="24"/>
                <w:lang w:val="en-US" w:eastAsia="zh-CN"/>
              </w:rPr>
              <w:fldChar w:fldCharType="separate"/>
            </w:r>
            <w:r>
              <w:rPr>
                <w:rFonts w:hint="default" w:ascii="Times New Roman" w:hAnsi="Times New Roman" w:eastAsia="宋体" w:cs="Times New Roman"/>
                <w:b w:val="0"/>
                <w:bCs w:val="0"/>
                <w:spacing w:val="-10"/>
                <w:sz w:val="24"/>
                <w:szCs w:val="24"/>
                <w:lang w:val="en-US" w:eastAsia="zh-CN"/>
              </w:rPr>
              <w:t>I</w:t>
            </w:r>
            <w:r>
              <w:rPr>
                <w:rFonts w:hint="default" w:ascii="Times New Roman" w:hAnsi="Times New Roman" w:eastAsia="宋体" w:cs="Times New Roman"/>
                <w:b w:val="0"/>
                <w:bCs w:val="0"/>
                <w:spacing w:val="-10"/>
                <w:sz w:val="24"/>
                <w:szCs w:val="24"/>
                <w:lang w:val="en-US" w:eastAsia="zh-CN"/>
              </w:rPr>
              <w:fldChar w:fldCharType="end"/>
            </w:r>
            <w:r>
              <w:rPr>
                <w:rFonts w:hint="default" w:ascii="Times New Roman" w:hAnsi="Times New Roman" w:eastAsia="宋体" w:cs="Times New Roman"/>
                <w:b w:val="0"/>
                <w:bCs w:val="0"/>
                <w:spacing w:val="-10"/>
                <w:sz w:val="24"/>
                <w:szCs w:val="24"/>
                <w:lang w:val="en-US" w:eastAsia="zh-CN"/>
              </w:rPr>
              <w:t>。</w:t>
            </w:r>
          </w:p>
          <w:p w14:paraId="2A45FA0C">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当Q</w:t>
            </w:r>
            <w:r>
              <w:rPr>
                <w:rFonts w:hint="default" w:ascii="Times New Roman" w:hAnsi="Times New Roman" w:cs="Times New Roman"/>
                <w:b w:val="0"/>
                <w:bCs w:val="0"/>
                <w:spacing w:val="-10"/>
                <w:sz w:val="24"/>
                <w:szCs w:val="24"/>
                <w:lang w:val="en-US" w:eastAsia="zh-CN"/>
              </w:rPr>
              <w:t>≥</w:t>
            </w:r>
            <w:r>
              <w:rPr>
                <w:rFonts w:hint="default" w:ascii="Times New Roman" w:hAnsi="Times New Roman" w:eastAsia="宋体" w:cs="Times New Roman"/>
                <w:b w:val="0"/>
                <w:bCs w:val="0"/>
                <w:spacing w:val="-10"/>
                <w:sz w:val="24"/>
                <w:szCs w:val="24"/>
                <w:lang w:val="en-US" w:eastAsia="zh-CN"/>
              </w:rPr>
              <w:t>1时，将值划分为：（1）1</w:t>
            </w:r>
            <w:r>
              <w:rPr>
                <w:rFonts w:hint="eastAsia" w:cs="Times New Roman"/>
                <w:b w:val="0"/>
                <w:bCs w:val="0"/>
                <w:spacing w:val="-10"/>
                <w:sz w:val="24"/>
                <w:szCs w:val="24"/>
                <w:lang w:val="en-US" w:eastAsia="zh-CN"/>
              </w:rPr>
              <w:t>≤</w:t>
            </w:r>
            <w:r>
              <w:rPr>
                <w:rFonts w:hint="default" w:ascii="Times New Roman" w:hAnsi="Times New Roman" w:eastAsia="宋体" w:cs="Times New Roman"/>
                <w:b w:val="0"/>
                <w:bCs w:val="0"/>
                <w:spacing w:val="-10"/>
                <w:sz w:val="24"/>
                <w:szCs w:val="24"/>
                <w:lang w:val="en-US" w:eastAsia="zh-CN"/>
              </w:rPr>
              <w:t>Q＜10；（2）10</w:t>
            </w:r>
            <w:r>
              <w:rPr>
                <w:rFonts w:hint="eastAsia" w:cs="Times New Roman"/>
                <w:b w:val="0"/>
                <w:bCs w:val="0"/>
                <w:spacing w:val="-10"/>
                <w:sz w:val="24"/>
                <w:szCs w:val="24"/>
                <w:lang w:val="en-US" w:eastAsia="zh-CN"/>
              </w:rPr>
              <w:t>≤</w:t>
            </w:r>
            <w:r>
              <w:rPr>
                <w:rFonts w:hint="default" w:ascii="Times New Roman" w:hAnsi="Times New Roman" w:eastAsia="宋体" w:cs="Times New Roman"/>
                <w:b w:val="0"/>
                <w:bCs w:val="0"/>
                <w:spacing w:val="-10"/>
                <w:sz w:val="24"/>
                <w:szCs w:val="24"/>
                <w:lang w:val="en-US" w:eastAsia="zh-CN"/>
              </w:rPr>
              <w:t>Q＜100；（3）Q</w:t>
            </w:r>
            <w:r>
              <w:rPr>
                <w:rFonts w:hint="default" w:ascii="Times New Roman" w:hAnsi="Times New Roman" w:cs="Times New Roman"/>
                <w:b w:val="0"/>
                <w:bCs w:val="0"/>
                <w:spacing w:val="-10"/>
                <w:sz w:val="24"/>
                <w:szCs w:val="24"/>
                <w:lang w:val="en-US" w:eastAsia="zh-CN"/>
              </w:rPr>
              <w:t>≥</w:t>
            </w:r>
            <w:r>
              <w:rPr>
                <w:rFonts w:hint="default" w:ascii="Times New Roman" w:hAnsi="Times New Roman" w:eastAsia="宋体" w:cs="Times New Roman"/>
                <w:b w:val="0"/>
                <w:bCs w:val="0"/>
                <w:spacing w:val="-10"/>
                <w:sz w:val="24"/>
                <w:szCs w:val="24"/>
                <w:lang w:val="en-US" w:eastAsia="zh-CN"/>
              </w:rPr>
              <w:t>100。</w:t>
            </w:r>
          </w:p>
          <w:p w14:paraId="33DD3E0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spacing w:val="-10"/>
                <w:sz w:val="24"/>
                <w:szCs w:val="24"/>
                <w:lang w:val="en-US" w:eastAsia="zh-CN"/>
              </w:rPr>
            </w:pPr>
            <w:r>
              <w:rPr>
                <w:rFonts w:hint="default" w:ascii="Times New Roman" w:hAnsi="Times New Roman" w:eastAsia="宋体" w:cs="Times New Roman"/>
                <w:b/>
                <w:bCs/>
                <w:spacing w:val="-10"/>
                <w:sz w:val="24"/>
                <w:szCs w:val="24"/>
                <w:lang w:val="en-US" w:eastAsia="zh-CN"/>
              </w:rPr>
              <w:t>表</w:t>
            </w:r>
            <w:r>
              <w:rPr>
                <w:rFonts w:hint="default" w:ascii="Times New Roman" w:hAnsi="Times New Roman" w:cs="Times New Roman"/>
                <w:b/>
                <w:bCs/>
                <w:spacing w:val="-10"/>
                <w:sz w:val="24"/>
                <w:szCs w:val="24"/>
                <w:lang w:val="en-US" w:eastAsia="zh-CN"/>
              </w:rPr>
              <w:t>4-</w:t>
            </w:r>
            <w:r>
              <w:rPr>
                <w:rFonts w:hint="eastAsia" w:cs="Times New Roman"/>
                <w:b/>
                <w:bCs/>
                <w:spacing w:val="-10"/>
                <w:sz w:val="24"/>
                <w:szCs w:val="24"/>
                <w:lang w:val="en-US" w:eastAsia="zh-CN"/>
              </w:rPr>
              <w:t>2</w:t>
            </w:r>
            <w:r>
              <w:rPr>
                <w:rFonts w:hint="default" w:ascii="Times New Roman" w:hAnsi="Times New Roman" w:eastAsia="宋体" w:cs="Times New Roman"/>
                <w:b/>
                <w:bCs/>
                <w:spacing w:val="-10"/>
                <w:sz w:val="24"/>
                <w:szCs w:val="24"/>
                <w:lang w:val="en-US" w:eastAsia="zh-CN"/>
              </w:rPr>
              <w:t>危险废物数量与临界量比值</w:t>
            </w:r>
          </w:p>
          <w:tbl>
            <w:tblPr>
              <w:tblStyle w:val="15"/>
              <w:tblW w:w="7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2074"/>
              <w:gridCol w:w="1955"/>
              <w:gridCol w:w="1334"/>
              <w:gridCol w:w="1866"/>
            </w:tblGrid>
            <w:tr w14:paraId="74DC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69" w:type="dxa"/>
                  <w:noWrap w:val="0"/>
                  <w:vAlign w:val="center"/>
                </w:tcPr>
                <w:p w14:paraId="11A193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序号</w:t>
                  </w:r>
                </w:p>
              </w:tc>
              <w:tc>
                <w:tcPr>
                  <w:tcW w:w="2074" w:type="dxa"/>
                  <w:noWrap w:val="0"/>
                  <w:vAlign w:val="center"/>
                </w:tcPr>
                <w:p w14:paraId="2E296F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危险物质</w:t>
                  </w:r>
                </w:p>
              </w:tc>
              <w:tc>
                <w:tcPr>
                  <w:tcW w:w="1955" w:type="dxa"/>
                  <w:noWrap w:val="0"/>
                  <w:vAlign w:val="center"/>
                </w:tcPr>
                <w:p w14:paraId="5678B7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最大</w:t>
                  </w:r>
                  <w:r>
                    <w:rPr>
                      <w:rFonts w:hint="eastAsia" w:cs="Times New Roman"/>
                      <w:b w:val="0"/>
                      <w:bCs w:val="0"/>
                      <w:spacing w:val="-10"/>
                      <w:sz w:val="24"/>
                      <w:szCs w:val="24"/>
                      <w:highlight w:val="none"/>
                      <w:lang w:val="en-US" w:eastAsia="zh-CN"/>
                    </w:rPr>
                    <w:t>贮存</w:t>
                  </w:r>
                  <w:r>
                    <w:rPr>
                      <w:rFonts w:hint="default" w:ascii="Times New Roman" w:hAnsi="Times New Roman" w:eastAsia="宋体" w:cs="Times New Roman"/>
                      <w:b w:val="0"/>
                      <w:bCs w:val="0"/>
                      <w:spacing w:val="-10"/>
                      <w:sz w:val="24"/>
                      <w:szCs w:val="24"/>
                      <w:highlight w:val="none"/>
                      <w:lang w:val="en-US" w:eastAsia="zh-CN"/>
                    </w:rPr>
                    <w:t>量（t）</w:t>
                  </w:r>
                </w:p>
              </w:tc>
              <w:tc>
                <w:tcPr>
                  <w:tcW w:w="1334" w:type="dxa"/>
                  <w:noWrap w:val="0"/>
                  <w:vAlign w:val="center"/>
                </w:tcPr>
                <w:p w14:paraId="254318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临界量（t）</w:t>
                  </w:r>
                </w:p>
              </w:tc>
              <w:tc>
                <w:tcPr>
                  <w:tcW w:w="1866" w:type="dxa"/>
                  <w:noWrap w:val="0"/>
                  <w:vAlign w:val="center"/>
                </w:tcPr>
                <w:p w14:paraId="199C4B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Q</w:t>
                  </w:r>
                </w:p>
              </w:tc>
            </w:tr>
            <w:tr w14:paraId="15B4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69" w:type="dxa"/>
                  <w:shd w:val="clear" w:color="auto" w:fill="auto"/>
                  <w:noWrap w:val="0"/>
                  <w:vAlign w:val="center"/>
                </w:tcPr>
                <w:p w14:paraId="5A1B6F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1</w:t>
                  </w:r>
                </w:p>
              </w:tc>
              <w:tc>
                <w:tcPr>
                  <w:tcW w:w="2074" w:type="dxa"/>
                  <w:shd w:val="clear" w:color="auto" w:fill="auto"/>
                  <w:noWrap w:val="0"/>
                  <w:vAlign w:val="center"/>
                </w:tcPr>
                <w:p w14:paraId="6A093F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eastAsia" w:cs="Times New Roman"/>
                      <w:b w:val="0"/>
                      <w:bCs w:val="0"/>
                      <w:spacing w:val="-10"/>
                      <w:sz w:val="24"/>
                      <w:szCs w:val="24"/>
                      <w:highlight w:val="none"/>
                      <w:lang w:val="en-US" w:eastAsia="zh-CN"/>
                    </w:rPr>
                    <w:t>实验室废液</w:t>
                  </w:r>
                </w:p>
              </w:tc>
              <w:tc>
                <w:tcPr>
                  <w:tcW w:w="1955" w:type="dxa"/>
                  <w:shd w:val="clear" w:color="auto" w:fill="auto"/>
                  <w:noWrap w:val="0"/>
                  <w:vAlign w:val="center"/>
                </w:tcPr>
                <w:p w14:paraId="343834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eastAsia" w:cs="Times New Roman"/>
                      <w:b w:val="0"/>
                      <w:bCs w:val="0"/>
                      <w:spacing w:val="-10"/>
                      <w:sz w:val="24"/>
                      <w:szCs w:val="24"/>
                      <w:highlight w:val="none"/>
                      <w:lang w:val="en-US" w:eastAsia="zh-CN"/>
                    </w:rPr>
                    <w:t>1.0</w:t>
                  </w:r>
                  <w:r>
                    <w:rPr>
                      <w:rFonts w:hint="default" w:ascii="Times New Roman" w:hAnsi="Times New Roman" w:eastAsia="宋体" w:cs="Times New Roman"/>
                      <w:b w:val="0"/>
                      <w:bCs w:val="0"/>
                      <w:spacing w:val="-10"/>
                      <w:sz w:val="24"/>
                      <w:szCs w:val="24"/>
                      <w:highlight w:val="none"/>
                      <w:lang w:val="en-US" w:eastAsia="zh-CN"/>
                    </w:rPr>
                    <w:t>t</w:t>
                  </w:r>
                </w:p>
              </w:tc>
              <w:tc>
                <w:tcPr>
                  <w:tcW w:w="1334" w:type="dxa"/>
                  <w:shd w:val="clear" w:color="auto" w:fill="auto"/>
                  <w:noWrap w:val="0"/>
                  <w:vAlign w:val="center"/>
                </w:tcPr>
                <w:p w14:paraId="4898B3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eastAsia" w:cs="Times New Roman"/>
                      <w:b w:val="0"/>
                      <w:bCs w:val="0"/>
                      <w:spacing w:val="-10"/>
                      <w:sz w:val="24"/>
                      <w:szCs w:val="24"/>
                      <w:highlight w:val="none"/>
                      <w:lang w:val="en-US" w:eastAsia="zh-CN"/>
                    </w:rPr>
                    <w:t>1</w:t>
                  </w:r>
                  <w:r>
                    <w:rPr>
                      <w:rFonts w:hint="default" w:ascii="Times New Roman" w:hAnsi="Times New Roman" w:eastAsia="宋体" w:cs="Times New Roman"/>
                      <w:b w:val="0"/>
                      <w:bCs w:val="0"/>
                      <w:spacing w:val="-10"/>
                      <w:sz w:val="24"/>
                      <w:szCs w:val="24"/>
                      <w:highlight w:val="none"/>
                      <w:lang w:val="en-US" w:eastAsia="zh-CN"/>
                    </w:rPr>
                    <w:t>0</w:t>
                  </w:r>
                </w:p>
              </w:tc>
              <w:tc>
                <w:tcPr>
                  <w:tcW w:w="1866" w:type="dxa"/>
                  <w:shd w:val="clear" w:color="auto" w:fill="auto"/>
                  <w:noWrap w:val="0"/>
                  <w:vAlign w:val="center"/>
                </w:tcPr>
                <w:p w14:paraId="68E907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eastAsia" w:cs="Times New Roman"/>
                      <w:b w:val="0"/>
                      <w:bCs w:val="0"/>
                      <w:spacing w:val="-10"/>
                      <w:sz w:val="24"/>
                      <w:szCs w:val="24"/>
                      <w:highlight w:val="none"/>
                      <w:lang w:val="en-US" w:eastAsia="zh-CN"/>
                    </w:rPr>
                    <w:t>0.1</w:t>
                  </w:r>
                </w:p>
              </w:tc>
            </w:tr>
          </w:tbl>
          <w:p w14:paraId="0DD92969">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经上表计算，Q</w:t>
            </w:r>
            <w:r>
              <w:rPr>
                <w:rFonts w:hint="eastAsia" w:cs="Times New Roman"/>
                <w:b w:val="0"/>
                <w:bCs w:val="0"/>
                <w:spacing w:val="-10"/>
                <w:sz w:val="24"/>
                <w:szCs w:val="24"/>
                <w:lang w:val="en-US" w:eastAsia="zh-CN"/>
              </w:rPr>
              <w:t>=0.1</w:t>
            </w:r>
            <w:r>
              <w:rPr>
                <w:rFonts w:hint="default" w:ascii="Times New Roman" w:hAnsi="Times New Roman" w:eastAsia="宋体" w:cs="Times New Roman"/>
                <w:b w:val="0"/>
                <w:bCs w:val="0"/>
                <w:spacing w:val="-10"/>
                <w:sz w:val="24"/>
                <w:szCs w:val="24"/>
                <w:lang w:val="en-US" w:eastAsia="zh-CN"/>
              </w:rPr>
              <w:t>＜1范围，该项目环境风险潜势为</w:t>
            </w:r>
            <w:r>
              <w:rPr>
                <w:rFonts w:hint="default" w:ascii="Times New Roman" w:hAnsi="Times New Roman" w:eastAsia="宋体" w:cs="Times New Roman"/>
                <w:b w:val="0"/>
                <w:bCs w:val="0"/>
                <w:spacing w:val="-10"/>
                <w:sz w:val="24"/>
                <w:szCs w:val="24"/>
                <w:lang w:val="en-US" w:eastAsia="zh-CN"/>
              </w:rPr>
              <w:fldChar w:fldCharType="begin"/>
            </w:r>
            <w:r>
              <w:rPr>
                <w:rFonts w:hint="default" w:ascii="Times New Roman" w:hAnsi="Times New Roman" w:eastAsia="宋体" w:cs="Times New Roman"/>
                <w:b w:val="0"/>
                <w:bCs w:val="0"/>
                <w:spacing w:val="-10"/>
                <w:sz w:val="24"/>
                <w:szCs w:val="24"/>
                <w:lang w:val="en-US" w:eastAsia="zh-CN"/>
              </w:rPr>
              <w:instrText xml:space="preserve"> = 1 \* ROMAN </w:instrText>
            </w:r>
            <w:r>
              <w:rPr>
                <w:rFonts w:hint="default" w:ascii="Times New Roman" w:hAnsi="Times New Roman" w:eastAsia="宋体" w:cs="Times New Roman"/>
                <w:b w:val="0"/>
                <w:bCs w:val="0"/>
                <w:spacing w:val="-10"/>
                <w:sz w:val="24"/>
                <w:szCs w:val="24"/>
                <w:lang w:val="en-US" w:eastAsia="zh-CN"/>
              </w:rPr>
              <w:fldChar w:fldCharType="separate"/>
            </w:r>
            <w:r>
              <w:rPr>
                <w:rFonts w:hint="default" w:ascii="Times New Roman" w:hAnsi="Times New Roman" w:eastAsia="宋体" w:cs="Times New Roman"/>
                <w:b w:val="0"/>
                <w:bCs w:val="0"/>
                <w:spacing w:val="-10"/>
                <w:sz w:val="24"/>
                <w:szCs w:val="24"/>
                <w:lang w:val="en-US" w:eastAsia="zh-CN"/>
              </w:rPr>
              <w:t>I</w:t>
            </w:r>
            <w:r>
              <w:rPr>
                <w:rFonts w:hint="default" w:ascii="Times New Roman" w:hAnsi="Times New Roman" w:eastAsia="宋体" w:cs="Times New Roman"/>
                <w:b w:val="0"/>
                <w:bCs w:val="0"/>
                <w:spacing w:val="-10"/>
                <w:sz w:val="24"/>
                <w:szCs w:val="24"/>
                <w:lang w:val="en-US" w:eastAsia="zh-CN"/>
              </w:rPr>
              <w:fldChar w:fldCharType="end"/>
            </w:r>
            <w:r>
              <w:rPr>
                <w:rFonts w:hint="default" w:ascii="Times New Roman" w:hAnsi="Times New Roman" w:eastAsia="宋体" w:cs="Times New Roman"/>
                <w:b w:val="0"/>
                <w:bCs w:val="0"/>
                <w:spacing w:val="-10"/>
                <w:sz w:val="24"/>
                <w:szCs w:val="24"/>
                <w:lang w:val="en-US" w:eastAsia="zh-CN"/>
              </w:rPr>
              <w:t>。</w:t>
            </w:r>
          </w:p>
          <w:p w14:paraId="33E81068">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③评价工作等级划分</w:t>
            </w:r>
          </w:p>
          <w:p w14:paraId="1A6B791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bCs/>
                <w:spacing w:val="-10"/>
                <w:sz w:val="24"/>
                <w:szCs w:val="24"/>
                <w:lang w:val="en-US" w:eastAsia="zh-CN"/>
              </w:rPr>
              <w:t>表</w:t>
            </w:r>
            <w:r>
              <w:rPr>
                <w:rFonts w:hint="default" w:ascii="Times New Roman" w:hAnsi="Times New Roman" w:cs="Times New Roman"/>
                <w:b/>
                <w:bCs/>
                <w:spacing w:val="-10"/>
                <w:sz w:val="24"/>
                <w:szCs w:val="24"/>
                <w:lang w:val="en-US" w:eastAsia="zh-CN"/>
              </w:rPr>
              <w:t>4-</w:t>
            </w:r>
            <w:r>
              <w:rPr>
                <w:rFonts w:hint="eastAsia" w:cs="Times New Roman"/>
                <w:b/>
                <w:bCs/>
                <w:spacing w:val="-10"/>
                <w:sz w:val="24"/>
                <w:szCs w:val="24"/>
                <w:lang w:val="en-US" w:eastAsia="zh-CN"/>
              </w:rPr>
              <w:t>3</w:t>
            </w:r>
            <w:r>
              <w:rPr>
                <w:rFonts w:hint="default" w:ascii="Times New Roman" w:hAnsi="Times New Roman" w:eastAsia="宋体" w:cs="Times New Roman"/>
                <w:b/>
                <w:bCs/>
                <w:spacing w:val="-10"/>
                <w:sz w:val="24"/>
                <w:szCs w:val="24"/>
                <w:lang w:val="en-US" w:eastAsia="zh-CN"/>
              </w:rPr>
              <w:t>评价工作等级划分</w:t>
            </w:r>
          </w:p>
          <w:tbl>
            <w:tblPr>
              <w:tblStyle w:val="15"/>
              <w:tblW w:w="8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5"/>
              <w:gridCol w:w="1582"/>
              <w:gridCol w:w="1577"/>
              <w:gridCol w:w="1577"/>
              <w:gridCol w:w="1506"/>
            </w:tblGrid>
            <w:tr w14:paraId="3A54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835" w:type="dxa"/>
                  <w:noWrap w:val="0"/>
                  <w:vAlign w:val="center"/>
                </w:tcPr>
                <w:p w14:paraId="450920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环境风险潜势</w:t>
                  </w:r>
                </w:p>
              </w:tc>
              <w:tc>
                <w:tcPr>
                  <w:tcW w:w="1582" w:type="dxa"/>
                  <w:noWrap w:val="0"/>
                  <w:vAlign w:val="center"/>
                </w:tcPr>
                <w:p w14:paraId="5248A8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fldChar w:fldCharType="begin"/>
                  </w:r>
                  <w:r>
                    <w:rPr>
                      <w:rFonts w:hint="default" w:ascii="Times New Roman" w:hAnsi="Times New Roman" w:eastAsia="宋体" w:cs="Times New Roman"/>
                      <w:b w:val="0"/>
                      <w:bCs w:val="0"/>
                      <w:spacing w:val="-10"/>
                      <w:sz w:val="24"/>
                      <w:szCs w:val="24"/>
                      <w:lang w:val="en-US" w:eastAsia="zh-CN"/>
                    </w:rPr>
                    <w:instrText xml:space="preserve"> = 4 \* ROMAN </w:instrText>
                  </w:r>
                  <w:r>
                    <w:rPr>
                      <w:rFonts w:hint="default" w:ascii="Times New Roman" w:hAnsi="Times New Roman" w:eastAsia="宋体" w:cs="Times New Roman"/>
                      <w:b w:val="0"/>
                      <w:bCs w:val="0"/>
                      <w:spacing w:val="-10"/>
                      <w:sz w:val="24"/>
                      <w:szCs w:val="24"/>
                      <w:lang w:val="en-US" w:eastAsia="zh-CN"/>
                    </w:rPr>
                    <w:fldChar w:fldCharType="separate"/>
                  </w:r>
                  <w:r>
                    <w:rPr>
                      <w:rFonts w:hint="default" w:ascii="Times New Roman" w:hAnsi="Times New Roman" w:eastAsia="宋体" w:cs="Times New Roman"/>
                      <w:b w:val="0"/>
                      <w:bCs w:val="0"/>
                      <w:spacing w:val="-10"/>
                      <w:sz w:val="24"/>
                      <w:szCs w:val="24"/>
                      <w:lang w:val="en-US" w:eastAsia="zh-CN"/>
                    </w:rPr>
                    <w:t>IV</w:t>
                  </w:r>
                  <w:r>
                    <w:rPr>
                      <w:rFonts w:hint="default" w:ascii="Times New Roman" w:hAnsi="Times New Roman" w:eastAsia="宋体" w:cs="Times New Roman"/>
                      <w:b w:val="0"/>
                      <w:bCs w:val="0"/>
                      <w:spacing w:val="-10"/>
                      <w:sz w:val="24"/>
                      <w:szCs w:val="24"/>
                      <w:lang w:val="en-US" w:eastAsia="zh-CN"/>
                    </w:rPr>
                    <w:fldChar w:fldCharType="end"/>
                  </w:r>
                  <w:r>
                    <w:rPr>
                      <w:rFonts w:hint="default" w:ascii="Times New Roman" w:hAnsi="Times New Roman" w:eastAsia="宋体" w:cs="Times New Roman"/>
                      <w:b w:val="0"/>
                      <w:bCs w:val="0"/>
                      <w:spacing w:val="-10"/>
                      <w:sz w:val="24"/>
                      <w:szCs w:val="24"/>
                      <w:lang w:val="en-US" w:eastAsia="zh-CN"/>
                    </w:rPr>
                    <w:t>、</w:t>
                  </w:r>
                  <w:r>
                    <w:rPr>
                      <w:rFonts w:hint="default" w:ascii="Times New Roman" w:hAnsi="Times New Roman" w:eastAsia="宋体" w:cs="Times New Roman"/>
                      <w:b w:val="0"/>
                      <w:bCs w:val="0"/>
                      <w:spacing w:val="-10"/>
                      <w:sz w:val="24"/>
                      <w:szCs w:val="24"/>
                      <w:lang w:val="en-US" w:eastAsia="zh-CN"/>
                    </w:rPr>
                    <w:fldChar w:fldCharType="begin"/>
                  </w:r>
                  <w:r>
                    <w:rPr>
                      <w:rFonts w:hint="default" w:ascii="Times New Roman" w:hAnsi="Times New Roman" w:eastAsia="宋体" w:cs="Times New Roman"/>
                      <w:b w:val="0"/>
                      <w:bCs w:val="0"/>
                      <w:spacing w:val="-10"/>
                      <w:sz w:val="24"/>
                      <w:szCs w:val="24"/>
                      <w:lang w:val="en-US" w:eastAsia="zh-CN"/>
                    </w:rPr>
                    <w:instrText xml:space="preserve"> = 4 \* ROMAN </w:instrText>
                  </w:r>
                  <w:r>
                    <w:rPr>
                      <w:rFonts w:hint="default" w:ascii="Times New Roman" w:hAnsi="Times New Roman" w:eastAsia="宋体" w:cs="Times New Roman"/>
                      <w:b w:val="0"/>
                      <w:bCs w:val="0"/>
                      <w:spacing w:val="-10"/>
                      <w:sz w:val="24"/>
                      <w:szCs w:val="24"/>
                      <w:lang w:val="en-US" w:eastAsia="zh-CN"/>
                    </w:rPr>
                    <w:fldChar w:fldCharType="separate"/>
                  </w:r>
                  <w:r>
                    <w:rPr>
                      <w:rFonts w:hint="default" w:ascii="Times New Roman" w:hAnsi="Times New Roman" w:eastAsia="宋体" w:cs="Times New Roman"/>
                      <w:b w:val="0"/>
                      <w:bCs w:val="0"/>
                      <w:spacing w:val="-10"/>
                      <w:sz w:val="24"/>
                      <w:szCs w:val="24"/>
                      <w:lang w:val="en-US" w:eastAsia="zh-CN"/>
                    </w:rPr>
                    <w:t>IV</w:t>
                  </w:r>
                  <w:r>
                    <w:rPr>
                      <w:rFonts w:hint="default" w:ascii="Times New Roman" w:hAnsi="Times New Roman" w:eastAsia="宋体" w:cs="Times New Roman"/>
                      <w:b w:val="0"/>
                      <w:bCs w:val="0"/>
                      <w:spacing w:val="-10"/>
                      <w:sz w:val="24"/>
                      <w:szCs w:val="24"/>
                      <w:lang w:val="en-US" w:eastAsia="zh-CN"/>
                    </w:rPr>
                    <w:fldChar w:fldCharType="end"/>
                  </w:r>
                  <w:r>
                    <w:rPr>
                      <w:rFonts w:hint="default" w:ascii="Times New Roman" w:hAnsi="Times New Roman" w:eastAsia="宋体" w:cs="Times New Roman"/>
                      <w:b w:val="0"/>
                      <w:bCs w:val="0"/>
                      <w:spacing w:val="-10"/>
                      <w:sz w:val="24"/>
                      <w:szCs w:val="24"/>
                      <w:lang w:val="en-US" w:eastAsia="zh-CN"/>
                    </w:rPr>
                    <w:t>+</w:t>
                  </w:r>
                </w:p>
              </w:tc>
              <w:tc>
                <w:tcPr>
                  <w:tcW w:w="1577" w:type="dxa"/>
                  <w:noWrap w:val="0"/>
                  <w:vAlign w:val="center"/>
                </w:tcPr>
                <w:p w14:paraId="4FD189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fldChar w:fldCharType="begin"/>
                  </w:r>
                  <w:r>
                    <w:rPr>
                      <w:rFonts w:hint="default" w:ascii="Times New Roman" w:hAnsi="Times New Roman" w:eastAsia="宋体" w:cs="Times New Roman"/>
                      <w:b w:val="0"/>
                      <w:bCs w:val="0"/>
                      <w:spacing w:val="-10"/>
                      <w:sz w:val="24"/>
                      <w:szCs w:val="24"/>
                      <w:lang w:val="en-US" w:eastAsia="zh-CN"/>
                    </w:rPr>
                    <w:instrText xml:space="preserve"> = 3 \* ROMAN </w:instrText>
                  </w:r>
                  <w:r>
                    <w:rPr>
                      <w:rFonts w:hint="default" w:ascii="Times New Roman" w:hAnsi="Times New Roman" w:eastAsia="宋体" w:cs="Times New Roman"/>
                      <w:b w:val="0"/>
                      <w:bCs w:val="0"/>
                      <w:spacing w:val="-10"/>
                      <w:sz w:val="24"/>
                      <w:szCs w:val="24"/>
                      <w:lang w:val="en-US" w:eastAsia="zh-CN"/>
                    </w:rPr>
                    <w:fldChar w:fldCharType="separate"/>
                  </w:r>
                  <w:r>
                    <w:rPr>
                      <w:rFonts w:hint="default" w:ascii="Times New Roman" w:hAnsi="Times New Roman" w:eastAsia="宋体" w:cs="Times New Roman"/>
                      <w:b w:val="0"/>
                      <w:bCs w:val="0"/>
                      <w:spacing w:val="-10"/>
                      <w:sz w:val="24"/>
                      <w:szCs w:val="24"/>
                      <w:lang w:val="en-US" w:eastAsia="zh-CN"/>
                    </w:rPr>
                    <w:t>III</w:t>
                  </w:r>
                  <w:r>
                    <w:rPr>
                      <w:rFonts w:hint="default" w:ascii="Times New Roman" w:hAnsi="Times New Roman" w:eastAsia="宋体" w:cs="Times New Roman"/>
                      <w:b w:val="0"/>
                      <w:bCs w:val="0"/>
                      <w:spacing w:val="-10"/>
                      <w:sz w:val="24"/>
                      <w:szCs w:val="24"/>
                      <w:lang w:val="en-US" w:eastAsia="zh-CN"/>
                    </w:rPr>
                    <w:fldChar w:fldCharType="end"/>
                  </w:r>
                </w:p>
              </w:tc>
              <w:tc>
                <w:tcPr>
                  <w:tcW w:w="1577" w:type="dxa"/>
                  <w:noWrap w:val="0"/>
                  <w:vAlign w:val="center"/>
                </w:tcPr>
                <w:p w14:paraId="2D172F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fldChar w:fldCharType="begin"/>
                  </w:r>
                  <w:r>
                    <w:rPr>
                      <w:rFonts w:hint="default" w:ascii="Times New Roman" w:hAnsi="Times New Roman" w:eastAsia="宋体" w:cs="Times New Roman"/>
                      <w:b w:val="0"/>
                      <w:bCs w:val="0"/>
                      <w:spacing w:val="-10"/>
                      <w:sz w:val="24"/>
                      <w:szCs w:val="24"/>
                      <w:lang w:val="en-US" w:eastAsia="zh-CN"/>
                    </w:rPr>
                    <w:instrText xml:space="preserve"> = 2 \* ROMAN </w:instrText>
                  </w:r>
                  <w:r>
                    <w:rPr>
                      <w:rFonts w:hint="default" w:ascii="Times New Roman" w:hAnsi="Times New Roman" w:eastAsia="宋体" w:cs="Times New Roman"/>
                      <w:b w:val="0"/>
                      <w:bCs w:val="0"/>
                      <w:spacing w:val="-10"/>
                      <w:sz w:val="24"/>
                      <w:szCs w:val="24"/>
                      <w:lang w:val="en-US" w:eastAsia="zh-CN"/>
                    </w:rPr>
                    <w:fldChar w:fldCharType="separate"/>
                  </w:r>
                  <w:r>
                    <w:rPr>
                      <w:rFonts w:hint="default" w:ascii="Times New Roman" w:hAnsi="Times New Roman" w:eastAsia="宋体" w:cs="Times New Roman"/>
                      <w:b w:val="0"/>
                      <w:bCs w:val="0"/>
                      <w:spacing w:val="-10"/>
                      <w:sz w:val="24"/>
                      <w:szCs w:val="24"/>
                      <w:lang w:val="en-US" w:eastAsia="zh-CN"/>
                    </w:rPr>
                    <w:t>II</w:t>
                  </w:r>
                  <w:r>
                    <w:rPr>
                      <w:rFonts w:hint="default" w:ascii="Times New Roman" w:hAnsi="Times New Roman" w:eastAsia="宋体" w:cs="Times New Roman"/>
                      <w:b w:val="0"/>
                      <w:bCs w:val="0"/>
                      <w:spacing w:val="-10"/>
                      <w:sz w:val="24"/>
                      <w:szCs w:val="24"/>
                      <w:lang w:val="en-US" w:eastAsia="zh-CN"/>
                    </w:rPr>
                    <w:fldChar w:fldCharType="end"/>
                  </w:r>
                </w:p>
              </w:tc>
              <w:tc>
                <w:tcPr>
                  <w:tcW w:w="1506" w:type="dxa"/>
                  <w:noWrap w:val="0"/>
                  <w:vAlign w:val="center"/>
                </w:tcPr>
                <w:p w14:paraId="6BD531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fldChar w:fldCharType="begin"/>
                  </w:r>
                  <w:r>
                    <w:rPr>
                      <w:rFonts w:hint="default" w:ascii="Times New Roman" w:hAnsi="Times New Roman" w:eastAsia="宋体" w:cs="Times New Roman"/>
                      <w:b w:val="0"/>
                      <w:bCs w:val="0"/>
                      <w:spacing w:val="-10"/>
                      <w:sz w:val="24"/>
                      <w:szCs w:val="24"/>
                      <w:lang w:val="en-US" w:eastAsia="zh-CN"/>
                    </w:rPr>
                    <w:instrText xml:space="preserve"> = 1 \* ROMAN </w:instrText>
                  </w:r>
                  <w:r>
                    <w:rPr>
                      <w:rFonts w:hint="default" w:ascii="Times New Roman" w:hAnsi="Times New Roman" w:eastAsia="宋体" w:cs="Times New Roman"/>
                      <w:b w:val="0"/>
                      <w:bCs w:val="0"/>
                      <w:spacing w:val="-10"/>
                      <w:sz w:val="24"/>
                      <w:szCs w:val="24"/>
                      <w:lang w:val="en-US" w:eastAsia="zh-CN"/>
                    </w:rPr>
                    <w:fldChar w:fldCharType="separate"/>
                  </w:r>
                  <w:r>
                    <w:rPr>
                      <w:rFonts w:hint="default" w:ascii="Times New Roman" w:hAnsi="Times New Roman" w:eastAsia="宋体" w:cs="Times New Roman"/>
                      <w:b w:val="0"/>
                      <w:bCs w:val="0"/>
                      <w:spacing w:val="-10"/>
                      <w:sz w:val="24"/>
                      <w:szCs w:val="24"/>
                      <w:lang w:val="en-US" w:eastAsia="zh-CN"/>
                    </w:rPr>
                    <w:t>I</w:t>
                  </w:r>
                  <w:r>
                    <w:rPr>
                      <w:rFonts w:hint="default" w:ascii="Times New Roman" w:hAnsi="Times New Roman" w:eastAsia="宋体" w:cs="Times New Roman"/>
                      <w:b w:val="0"/>
                      <w:bCs w:val="0"/>
                      <w:spacing w:val="-10"/>
                      <w:sz w:val="24"/>
                      <w:szCs w:val="24"/>
                      <w:lang w:val="en-US" w:eastAsia="zh-CN"/>
                    </w:rPr>
                    <w:fldChar w:fldCharType="end"/>
                  </w:r>
                </w:p>
              </w:tc>
            </w:tr>
            <w:tr w14:paraId="4CD2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835" w:type="dxa"/>
                  <w:noWrap w:val="0"/>
                  <w:vAlign w:val="center"/>
                </w:tcPr>
                <w:p w14:paraId="7DCC8B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评价工作等级</w:t>
                  </w:r>
                </w:p>
              </w:tc>
              <w:tc>
                <w:tcPr>
                  <w:tcW w:w="1582" w:type="dxa"/>
                  <w:noWrap w:val="0"/>
                  <w:vAlign w:val="center"/>
                </w:tcPr>
                <w:p w14:paraId="625F4A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一</w:t>
                  </w:r>
                </w:p>
              </w:tc>
              <w:tc>
                <w:tcPr>
                  <w:tcW w:w="1577" w:type="dxa"/>
                  <w:noWrap w:val="0"/>
                  <w:vAlign w:val="center"/>
                </w:tcPr>
                <w:p w14:paraId="4D29C7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二</w:t>
                  </w:r>
                </w:p>
              </w:tc>
              <w:tc>
                <w:tcPr>
                  <w:tcW w:w="1577" w:type="dxa"/>
                  <w:noWrap w:val="0"/>
                  <w:vAlign w:val="center"/>
                </w:tcPr>
                <w:p w14:paraId="5BD4FD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三</w:t>
                  </w:r>
                </w:p>
              </w:tc>
              <w:tc>
                <w:tcPr>
                  <w:tcW w:w="1506" w:type="dxa"/>
                  <w:shd w:val="clear" w:color="auto" w:fill="BEBEBE" w:themeFill="background1" w:themeFillShade="BF"/>
                  <w:noWrap w:val="0"/>
                  <w:vAlign w:val="center"/>
                </w:tcPr>
                <w:p w14:paraId="7D9BDD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简单分析</w:t>
                  </w:r>
                </w:p>
              </w:tc>
            </w:tr>
          </w:tbl>
          <w:p w14:paraId="2BE0FE58">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根据《建设项目环境风险评价技术导则》</w:t>
            </w:r>
            <w:r>
              <w:rPr>
                <w:rFonts w:hint="eastAsia" w:ascii="Times New Roman" w:hAnsi="Times New Roman" w:eastAsia="宋体" w:cs="Times New Roman"/>
                <w:b w:val="0"/>
                <w:bCs w:val="0"/>
                <w:spacing w:val="-10"/>
                <w:sz w:val="24"/>
                <w:szCs w:val="24"/>
                <w:lang w:val="en-US" w:eastAsia="zh-CN"/>
              </w:rPr>
              <w:t>（</w:t>
            </w:r>
            <w:r>
              <w:rPr>
                <w:rFonts w:hint="default" w:ascii="Times New Roman" w:hAnsi="Times New Roman" w:eastAsia="宋体" w:cs="Times New Roman"/>
                <w:b w:val="0"/>
                <w:bCs w:val="0"/>
                <w:spacing w:val="-10"/>
                <w:sz w:val="24"/>
                <w:szCs w:val="24"/>
                <w:lang w:val="en-US" w:eastAsia="zh-CN"/>
              </w:rPr>
              <w:t>HJ169-2018</w:t>
            </w:r>
            <w:r>
              <w:rPr>
                <w:rFonts w:hint="eastAsia" w:ascii="Times New Roman" w:hAnsi="Times New Roman" w:eastAsia="宋体" w:cs="Times New Roman"/>
                <w:b w:val="0"/>
                <w:bCs w:val="0"/>
                <w:spacing w:val="-10"/>
                <w:sz w:val="24"/>
                <w:szCs w:val="24"/>
                <w:lang w:val="en-US" w:eastAsia="zh-CN"/>
              </w:rPr>
              <w:t>）</w:t>
            </w:r>
            <w:r>
              <w:rPr>
                <w:rFonts w:hint="default" w:ascii="Times New Roman" w:hAnsi="Times New Roman" w:eastAsia="宋体" w:cs="Times New Roman"/>
                <w:b w:val="0"/>
                <w:bCs w:val="0"/>
                <w:spacing w:val="-10"/>
                <w:sz w:val="24"/>
                <w:szCs w:val="24"/>
                <w:lang w:val="en-US" w:eastAsia="zh-CN"/>
              </w:rPr>
              <w:t>，本项目只进行简单分析。</w:t>
            </w:r>
          </w:p>
          <w:p w14:paraId="3C65BB1E">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（2）环境敏感目标概况</w:t>
            </w:r>
          </w:p>
          <w:p w14:paraId="0E95F34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项目选址位于由现场调查可知，该区域内没有珍稀动植物资源、饮用水源保护区、自然保护区、重点文物等重点保护目标。</w:t>
            </w:r>
          </w:p>
          <w:p w14:paraId="7BB1BA0B">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（3）环境风险识别</w:t>
            </w:r>
          </w:p>
          <w:p w14:paraId="756F00E8">
            <w:pPr>
              <w:bidi w:val="0"/>
              <w:rPr>
                <w:rFonts w:hint="default" w:ascii="Times New Roman" w:hAnsi="Times New Roman" w:cs="Times New Roman"/>
                <w:lang w:val="en-US" w:eastAsia="zh-CN"/>
              </w:rPr>
            </w:pPr>
            <w:r>
              <w:rPr>
                <w:rFonts w:hint="default" w:ascii="Times New Roman" w:hAnsi="Times New Roman" w:cs="Times New Roman"/>
                <w:lang w:val="en-US" w:eastAsia="zh-CN"/>
              </w:rPr>
              <w:t>①生产系统危险性识别</w:t>
            </w:r>
          </w:p>
          <w:p w14:paraId="75893E74">
            <w:pPr>
              <w:bidi w:val="0"/>
              <w:rPr>
                <w:rFonts w:hint="default" w:ascii="Times New Roman" w:hAnsi="Times New Roman" w:cs="Times New Roman"/>
                <w:lang w:val="en-US" w:eastAsia="zh-CN"/>
              </w:rPr>
            </w:pPr>
            <w:r>
              <w:rPr>
                <w:rFonts w:hint="default" w:ascii="Times New Roman" w:hAnsi="Times New Roman" w:cs="Times New Roman"/>
                <w:lang w:val="en-US" w:eastAsia="zh-CN"/>
              </w:rPr>
              <w:t>本项目生产系统危险性主要存在于危废贮存库的实验废液、</w:t>
            </w:r>
            <w:r>
              <w:rPr>
                <w:rFonts w:hint="eastAsia" w:cs="Times New Roman"/>
                <w:lang w:val="en-US" w:eastAsia="zh-CN"/>
              </w:rPr>
              <w:t>变质或失效的药剂</w:t>
            </w:r>
            <w:r>
              <w:rPr>
                <w:rFonts w:hint="default" w:ascii="Times New Roman" w:hAnsi="Times New Roman" w:cs="Times New Roman"/>
                <w:lang w:val="en-US" w:eastAsia="zh-CN"/>
              </w:rPr>
              <w:t>、废活性炭</w:t>
            </w:r>
            <w:r>
              <w:rPr>
                <w:rFonts w:hint="eastAsia" w:cs="Times New Roman"/>
                <w:lang w:val="en-US" w:eastAsia="zh-CN"/>
              </w:rPr>
              <w:t>、废防渗透膜</w:t>
            </w:r>
            <w:r>
              <w:rPr>
                <w:rFonts w:hint="default" w:ascii="Times New Roman" w:hAnsi="Times New Roman" w:cs="Times New Roman"/>
                <w:lang w:val="en-US" w:eastAsia="zh-CN"/>
              </w:rPr>
              <w:t>等危险废物。</w:t>
            </w:r>
          </w:p>
          <w:p w14:paraId="4B7C2EED">
            <w:pPr>
              <w:bidi w:val="0"/>
              <w:rPr>
                <w:rFonts w:hint="default" w:ascii="Times New Roman" w:hAnsi="Times New Roman" w:cs="Times New Roman"/>
                <w:lang w:val="en-US" w:eastAsia="zh-CN"/>
              </w:rPr>
            </w:pPr>
            <w:r>
              <w:rPr>
                <w:rFonts w:hint="default" w:ascii="Times New Roman" w:hAnsi="Times New Roman" w:cs="Times New Roman"/>
                <w:lang w:val="en-US" w:eastAsia="zh-CN"/>
              </w:rPr>
              <w:t>本项目用于危险废物的临时堆放，危险废物</w:t>
            </w:r>
            <w:r>
              <w:rPr>
                <w:rFonts w:hint="eastAsia" w:cs="Times New Roman"/>
                <w:lang w:val="en-US" w:eastAsia="zh-CN"/>
              </w:rPr>
              <w:t>贮存库</w:t>
            </w:r>
            <w:r>
              <w:rPr>
                <w:rFonts w:hint="default" w:ascii="Times New Roman" w:hAnsi="Times New Roman" w:cs="Times New Roman"/>
                <w:lang w:val="en-US" w:eastAsia="zh-CN"/>
              </w:rPr>
              <w:t>内按《危险废物贮存污染控制标准》(GB18597-2023)要求。确认在厂区的平面布置及防渗设计。本项目危险废物委托有资质单位收集运走，且有防渗设计，因此出现环境事故的可能性较小。</w:t>
            </w:r>
          </w:p>
          <w:p w14:paraId="417CBCB8">
            <w:pPr>
              <w:bidi w:val="0"/>
              <w:rPr>
                <w:rFonts w:hint="default" w:ascii="Times New Roman" w:hAnsi="Times New Roman" w:cs="Times New Roman"/>
                <w:lang w:val="en-US" w:eastAsia="zh-CN"/>
              </w:rPr>
            </w:pPr>
            <w:r>
              <w:rPr>
                <w:rFonts w:hint="default" w:ascii="Times New Roman" w:hAnsi="Times New Roman" w:cs="Times New Roman"/>
                <w:lang w:val="en-US" w:eastAsia="zh-CN"/>
              </w:rPr>
              <w:t>②伴生/次生影响及环境转移途径识别</w:t>
            </w:r>
          </w:p>
          <w:p w14:paraId="124CF020">
            <w:pPr>
              <w:bidi w:val="0"/>
              <w:rPr>
                <w:rFonts w:hint="default" w:ascii="Times New Roman" w:hAnsi="Times New Roman" w:cs="Times New Roman"/>
                <w:lang w:val="en-US" w:eastAsia="zh-CN"/>
              </w:rPr>
            </w:pPr>
            <w:r>
              <w:rPr>
                <w:rFonts w:hint="default" w:ascii="Times New Roman" w:hAnsi="Times New Roman" w:cs="Times New Roman"/>
                <w:lang w:val="en-US" w:eastAsia="zh-CN"/>
              </w:rPr>
              <w:t>本项目贮存的危险物质有实验废液、</w:t>
            </w:r>
            <w:r>
              <w:rPr>
                <w:rFonts w:hint="eastAsia" w:cs="Times New Roman"/>
                <w:lang w:val="en-US" w:eastAsia="zh-CN"/>
              </w:rPr>
              <w:t>变质或失效的药剂</w:t>
            </w:r>
            <w:r>
              <w:rPr>
                <w:rFonts w:hint="default" w:ascii="Times New Roman" w:hAnsi="Times New Roman" w:cs="Times New Roman"/>
                <w:lang w:val="en-US" w:eastAsia="zh-CN"/>
              </w:rPr>
              <w:t>、废活性炭</w:t>
            </w:r>
            <w:r>
              <w:rPr>
                <w:rFonts w:hint="eastAsia" w:cs="Times New Roman"/>
                <w:lang w:val="en-US" w:eastAsia="zh-CN"/>
              </w:rPr>
              <w:t>、废防渗透膜</w:t>
            </w:r>
            <w:r>
              <w:rPr>
                <w:rFonts w:hint="default" w:ascii="Times New Roman" w:hAnsi="Times New Roman" w:cs="Times New Roman"/>
                <w:lang w:val="en-US" w:eastAsia="zh-CN"/>
              </w:rPr>
              <w:t>等，在运输和贮存过程中若发生泄漏事故，</w:t>
            </w:r>
            <w:r>
              <w:rPr>
                <w:rFonts w:hint="eastAsia" w:cs="Times New Roman"/>
                <w:lang w:val="en-US" w:eastAsia="zh-CN"/>
              </w:rPr>
              <w:t>泄漏</w:t>
            </w:r>
            <w:r>
              <w:rPr>
                <w:rFonts w:hint="default" w:ascii="Times New Roman" w:hAnsi="Times New Roman" w:cs="Times New Roman"/>
                <w:lang w:val="en-US" w:eastAsia="zh-CN"/>
              </w:rPr>
              <w:t>渗入地下，可对土壤和地下水造成一定影响</w:t>
            </w:r>
            <w:r>
              <w:rPr>
                <w:rFonts w:hint="eastAsia" w:cs="Times New Roman"/>
                <w:lang w:val="en-US" w:eastAsia="zh-CN"/>
              </w:rPr>
              <w:t>；</w:t>
            </w:r>
            <w:r>
              <w:rPr>
                <w:rFonts w:hint="default" w:ascii="Times New Roman" w:hAnsi="Times New Roman" w:cs="Times New Roman"/>
                <w:lang w:val="en-US" w:eastAsia="zh-CN"/>
              </w:rPr>
              <w:t>地面防渗层破损，造成泄漏渗入地下污染土壤和地下水环境。</w:t>
            </w:r>
          </w:p>
          <w:p w14:paraId="0163DE1D">
            <w:pPr>
              <w:bidi w:val="0"/>
              <w:rPr>
                <w:rFonts w:hint="default" w:ascii="Times New Roman" w:hAnsi="Times New Roman" w:cs="Times New Roman"/>
                <w:b w:val="0"/>
                <w:bCs w:val="0"/>
                <w:lang w:val="en-US" w:eastAsia="zh-CN"/>
              </w:rPr>
            </w:pPr>
            <w:r>
              <w:rPr>
                <w:rFonts w:hint="default" w:ascii="Times New Roman" w:hAnsi="Times New Roman" w:cs="Times New Roman"/>
                <w:b w:val="0"/>
                <w:bCs w:val="0"/>
                <w:lang w:val="en-US" w:eastAsia="zh-CN"/>
              </w:rPr>
              <w:t>（4）环境风险影响途径及影响后果</w:t>
            </w:r>
          </w:p>
          <w:p w14:paraId="7521FAF7">
            <w:pPr>
              <w:bidi w:val="0"/>
              <w:rPr>
                <w:rFonts w:hint="default" w:ascii="Times New Roman" w:hAnsi="Times New Roman" w:cs="Times New Roman"/>
                <w:lang w:val="en-US" w:eastAsia="zh-CN"/>
              </w:rPr>
            </w:pPr>
            <w:r>
              <w:rPr>
                <w:rFonts w:hint="default" w:ascii="Times New Roman" w:hAnsi="Times New Roman" w:cs="Times New Roman"/>
                <w:lang w:val="en-US" w:eastAsia="zh-CN"/>
              </w:rPr>
              <w:t>①水环境</w:t>
            </w:r>
          </w:p>
          <w:p w14:paraId="7E3F5F71">
            <w:pPr>
              <w:bidi w:val="0"/>
              <w:rPr>
                <w:rFonts w:hint="default" w:ascii="Times New Roman" w:hAnsi="Times New Roman" w:cs="Times New Roman"/>
                <w:lang w:val="en-US" w:eastAsia="zh-CN"/>
              </w:rPr>
            </w:pPr>
            <w:r>
              <w:rPr>
                <w:rFonts w:hint="default" w:ascii="Times New Roman" w:hAnsi="Times New Roman" w:cs="Times New Roman"/>
                <w:lang w:val="en-US" w:eastAsia="zh-CN"/>
              </w:rPr>
              <w:t>本项目在废液一旦发生泄漏，危险物质渗入地表，将对项目所在地周围地表水环境产生一定影响。</w:t>
            </w:r>
          </w:p>
          <w:p w14:paraId="061C12BD">
            <w:pPr>
              <w:bidi w:val="0"/>
              <w:rPr>
                <w:rFonts w:hint="default" w:ascii="Times New Roman" w:hAnsi="Times New Roman" w:cs="Times New Roman"/>
                <w:lang w:val="en-US" w:eastAsia="zh-CN"/>
              </w:rPr>
            </w:pPr>
            <w:r>
              <w:rPr>
                <w:rFonts w:hint="default" w:ascii="Times New Roman" w:hAnsi="Times New Roman" w:cs="Times New Roman"/>
                <w:lang w:val="en-US" w:eastAsia="zh-CN"/>
              </w:rPr>
              <w:t>②土壤</w:t>
            </w:r>
          </w:p>
          <w:p w14:paraId="1D86C251">
            <w:pPr>
              <w:bidi w:val="0"/>
              <w:rPr>
                <w:rFonts w:hint="default" w:ascii="Times New Roman" w:hAnsi="Times New Roman" w:cs="Times New Roman"/>
                <w:lang w:val="en-US" w:eastAsia="zh-CN"/>
              </w:rPr>
            </w:pPr>
            <w:r>
              <w:rPr>
                <w:rFonts w:hint="default" w:ascii="Times New Roman" w:hAnsi="Times New Roman" w:cs="Times New Roman"/>
                <w:lang w:val="en-US" w:eastAsia="zh-CN"/>
              </w:rPr>
              <w:t>本项目废液等危废一旦发生泄漏，危险物质渗入地表，将对项目所在地周围土壤环境产生一定影响。</w:t>
            </w:r>
          </w:p>
          <w:p w14:paraId="763EF88E">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（5）环境风险防</w:t>
            </w:r>
            <w:r>
              <w:rPr>
                <w:rFonts w:hint="eastAsia" w:cs="Times New Roman"/>
                <w:b w:val="0"/>
                <w:bCs w:val="0"/>
                <w:spacing w:val="-10"/>
                <w:sz w:val="24"/>
                <w:szCs w:val="24"/>
                <w:lang w:val="en-US" w:eastAsia="zh-CN"/>
              </w:rPr>
              <w:t>范</w:t>
            </w:r>
            <w:r>
              <w:rPr>
                <w:rFonts w:hint="default" w:ascii="Times New Roman" w:hAnsi="Times New Roman" w:eastAsia="宋体" w:cs="Times New Roman"/>
                <w:b w:val="0"/>
                <w:bCs w:val="0"/>
                <w:spacing w:val="-10"/>
                <w:sz w:val="24"/>
                <w:szCs w:val="24"/>
                <w:lang w:val="en-US" w:eastAsia="zh-CN"/>
              </w:rPr>
              <w:t>措施</w:t>
            </w:r>
          </w:p>
          <w:p w14:paraId="55637FA9">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①风险防范管理</w:t>
            </w:r>
          </w:p>
          <w:p w14:paraId="0037F061">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环境风险管理的核心是降低风险度，可以从两个方面采取措施，一是降低事故发生概率，二是减轻事故危害强度，此外预先制定好切实可行的事故应急计划，可以大大减轻事故来临时可能受到的损失，针对本项目具体情况提出以下环境风险管理对策。</w:t>
            </w:r>
          </w:p>
          <w:p w14:paraId="078268D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加强安全、消防和环保管理，建立健全环保、安全、消防各项制度，设置环保、安全、消防设施专职管理人员，保证设施正常运行或处于良好的待命状态。</w:t>
            </w:r>
          </w:p>
          <w:p w14:paraId="407D8E0F">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eastAsia" w:cs="Times New Roman"/>
                <w:b w:val="0"/>
                <w:bCs w:val="0"/>
                <w:spacing w:val="-10"/>
                <w:sz w:val="24"/>
                <w:szCs w:val="24"/>
                <w:lang w:val="en-US" w:eastAsia="zh-CN"/>
              </w:rPr>
              <w:t>A.</w:t>
            </w:r>
            <w:r>
              <w:rPr>
                <w:rFonts w:hint="default" w:ascii="Times New Roman" w:hAnsi="Times New Roman" w:eastAsia="宋体" w:cs="Times New Roman"/>
                <w:b w:val="0"/>
                <w:bCs w:val="0"/>
                <w:spacing w:val="-10"/>
                <w:sz w:val="24"/>
                <w:szCs w:val="24"/>
                <w:lang w:val="en-US" w:eastAsia="zh-CN"/>
              </w:rPr>
              <w:t>加强安全教育，企业内全体人员都认识安全、杜绝事故的意义和重要性，了解事故处理程序和要求，了解处理事故的措施和器材的使用方法，特别是明确自己在处理事故中的职责。</w:t>
            </w:r>
          </w:p>
          <w:p w14:paraId="7768EE2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eastAsia" w:cs="Times New Roman"/>
                <w:b w:val="0"/>
                <w:bCs w:val="0"/>
                <w:spacing w:val="-10"/>
                <w:sz w:val="24"/>
                <w:szCs w:val="24"/>
                <w:lang w:val="en-US" w:eastAsia="zh-CN"/>
              </w:rPr>
              <w:t>B</w:t>
            </w:r>
            <w:r>
              <w:rPr>
                <w:rFonts w:hint="default" w:ascii="Times New Roman" w:hAnsi="Times New Roman" w:eastAsia="宋体" w:cs="Times New Roman"/>
                <w:b w:val="0"/>
                <w:bCs w:val="0"/>
                <w:spacing w:val="-10"/>
                <w:sz w:val="24"/>
                <w:szCs w:val="24"/>
                <w:lang w:val="en-US" w:eastAsia="zh-CN"/>
              </w:rPr>
              <w:t>.在危险废物</w:t>
            </w:r>
            <w:r>
              <w:rPr>
                <w:rFonts w:hint="eastAsia" w:cs="Times New Roman"/>
                <w:b w:val="0"/>
                <w:bCs w:val="0"/>
                <w:spacing w:val="-10"/>
                <w:sz w:val="24"/>
                <w:szCs w:val="24"/>
                <w:lang w:val="en-US" w:eastAsia="zh-CN"/>
              </w:rPr>
              <w:t>贮存</w:t>
            </w:r>
            <w:r>
              <w:rPr>
                <w:rFonts w:hint="default" w:ascii="Times New Roman" w:hAnsi="Times New Roman" w:eastAsia="宋体" w:cs="Times New Roman"/>
                <w:b w:val="0"/>
                <w:bCs w:val="0"/>
                <w:spacing w:val="-10"/>
                <w:sz w:val="24"/>
                <w:szCs w:val="24"/>
                <w:lang w:val="en-US" w:eastAsia="zh-CN"/>
              </w:rPr>
              <w:t>间非操作人员不得随意进出；入口处应有</w:t>
            </w:r>
            <w:r>
              <w:rPr>
                <w:rFonts w:hint="eastAsia" w:cs="Times New Roman"/>
                <w:b w:val="0"/>
                <w:bCs w:val="0"/>
                <w:spacing w:val="-10"/>
                <w:sz w:val="24"/>
                <w:szCs w:val="24"/>
                <w:lang w:val="en-US" w:eastAsia="zh-CN"/>
              </w:rPr>
              <w:t>标识牌</w:t>
            </w:r>
            <w:r>
              <w:rPr>
                <w:rFonts w:hint="default" w:ascii="Times New Roman" w:hAnsi="Times New Roman" w:eastAsia="宋体" w:cs="Times New Roman"/>
                <w:b w:val="0"/>
                <w:bCs w:val="0"/>
                <w:spacing w:val="-10"/>
                <w:sz w:val="24"/>
                <w:szCs w:val="24"/>
                <w:lang w:val="en-US" w:eastAsia="zh-CN"/>
              </w:rPr>
              <w:t>和安全使用说明。</w:t>
            </w:r>
          </w:p>
          <w:p w14:paraId="49841433">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eastAsia" w:cs="Times New Roman"/>
                <w:b w:val="0"/>
                <w:bCs w:val="0"/>
                <w:spacing w:val="-10"/>
                <w:sz w:val="24"/>
                <w:szCs w:val="24"/>
                <w:lang w:val="en-US" w:eastAsia="zh-CN"/>
              </w:rPr>
              <w:t>C</w:t>
            </w:r>
            <w:r>
              <w:rPr>
                <w:rFonts w:hint="default" w:ascii="Times New Roman" w:hAnsi="Times New Roman" w:eastAsia="宋体" w:cs="Times New Roman"/>
                <w:b w:val="0"/>
                <w:bCs w:val="0"/>
                <w:spacing w:val="-10"/>
                <w:sz w:val="24"/>
                <w:szCs w:val="24"/>
                <w:lang w:val="en-US" w:eastAsia="zh-CN"/>
              </w:rPr>
              <w:t>.加强管理，设有专人管理，制定严格的制度，进、出、存放和使用都必须有严格的记录，防止流失造成危害。</w:t>
            </w:r>
          </w:p>
          <w:p w14:paraId="6BF48E3F">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eastAsia" w:cs="Times New Roman"/>
                <w:b w:val="0"/>
                <w:bCs w:val="0"/>
                <w:spacing w:val="-10"/>
                <w:sz w:val="24"/>
                <w:szCs w:val="24"/>
                <w:lang w:val="en-US" w:eastAsia="zh-CN"/>
              </w:rPr>
              <w:t>D</w:t>
            </w:r>
            <w:r>
              <w:rPr>
                <w:rFonts w:hint="default" w:ascii="Times New Roman" w:hAnsi="Times New Roman" w:eastAsia="宋体" w:cs="Times New Roman"/>
                <w:b w:val="0"/>
                <w:bCs w:val="0"/>
                <w:spacing w:val="-10"/>
                <w:sz w:val="24"/>
                <w:szCs w:val="24"/>
                <w:lang w:val="en-US" w:eastAsia="zh-CN"/>
              </w:rPr>
              <w:t>.危险废物必须有专门的运输车辆运输，要求押运人员持有押运证，并携带安全资料表，装卸过程要轻装轻放，避免撞击、重压和摩擦。</w:t>
            </w:r>
          </w:p>
          <w:p w14:paraId="1850A70F">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eastAsia" w:cs="Times New Roman"/>
                <w:b w:val="0"/>
                <w:bCs w:val="0"/>
                <w:spacing w:val="-10"/>
                <w:sz w:val="24"/>
                <w:szCs w:val="24"/>
                <w:lang w:val="en-US" w:eastAsia="zh-CN"/>
              </w:rPr>
              <w:t>E.</w:t>
            </w:r>
            <w:r>
              <w:rPr>
                <w:rFonts w:hint="default" w:ascii="Times New Roman" w:hAnsi="Times New Roman" w:eastAsia="宋体" w:cs="Times New Roman"/>
                <w:b w:val="0"/>
                <w:bCs w:val="0"/>
                <w:spacing w:val="-10"/>
                <w:sz w:val="24"/>
                <w:szCs w:val="24"/>
                <w:lang w:val="en-US" w:eastAsia="zh-CN"/>
              </w:rPr>
              <w:t>危险废物必须堆放在专用的场所，并按有关协议规定定期转移给有资质和有处理能力的固废处置中心处理。</w:t>
            </w:r>
          </w:p>
          <w:p w14:paraId="1A82AAA2">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eastAsia" w:cs="Times New Roman"/>
                <w:b w:val="0"/>
                <w:bCs w:val="0"/>
                <w:spacing w:val="-10"/>
                <w:sz w:val="24"/>
                <w:szCs w:val="24"/>
                <w:lang w:val="en-US" w:eastAsia="zh-CN"/>
              </w:rPr>
              <w:t>F</w:t>
            </w:r>
            <w:r>
              <w:rPr>
                <w:rFonts w:hint="default" w:ascii="Times New Roman" w:hAnsi="Times New Roman" w:eastAsia="宋体" w:cs="Times New Roman"/>
                <w:b w:val="0"/>
                <w:bCs w:val="0"/>
                <w:spacing w:val="-10"/>
                <w:sz w:val="24"/>
                <w:szCs w:val="24"/>
                <w:lang w:val="en-US" w:eastAsia="zh-CN"/>
              </w:rPr>
              <w:t>.设立急救指挥小组，并和当地事故应急救援部门建立正常联系，一旦出现事故能立刻采取有效救援措施。</w:t>
            </w:r>
          </w:p>
          <w:p w14:paraId="087458C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②风险防范措施</w:t>
            </w:r>
          </w:p>
          <w:p w14:paraId="3D2FC03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A.加强危险废物</w:t>
            </w:r>
            <w:r>
              <w:rPr>
                <w:rFonts w:hint="eastAsia" w:cs="Times New Roman"/>
                <w:b w:val="0"/>
                <w:bCs w:val="0"/>
                <w:spacing w:val="-10"/>
                <w:sz w:val="24"/>
                <w:szCs w:val="24"/>
                <w:lang w:val="en-US" w:eastAsia="zh-CN"/>
              </w:rPr>
              <w:t>贮存</w:t>
            </w:r>
            <w:r>
              <w:rPr>
                <w:rFonts w:hint="default" w:ascii="Times New Roman" w:hAnsi="Times New Roman" w:eastAsia="宋体" w:cs="Times New Roman"/>
                <w:b w:val="0"/>
                <w:bCs w:val="0"/>
                <w:spacing w:val="-10"/>
                <w:sz w:val="24"/>
                <w:szCs w:val="24"/>
                <w:lang w:val="en-US" w:eastAsia="zh-CN"/>
              </w:rPr>
              <w:t>间巡查，发现问题及时处理。</w:t>
            </w:r>
          </w:p>
          <w:p w14:paraId="14A1810E">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B.强化管理，加强搬运人员的业务培训，完善各项规章制度，尽量避免</w:t>
            </w:r>
            <w:r>
              <w:rPr>
                <w:rFonts w:hint="eastAsia" w:cs="Times New Roman"/>
                <w:b w:val="0"/>
                <w:bCs w:val="0"/>
                <w:spacing w:val="-10"/>
                <w:sz w:val="24"/>
                <w:szCs w:val="24"/>
                <w:lang w:val="en-US" w:eastAsia="zh-CN"/>
              </w:rPr>
              <w:t>贮存</w:t>
            </w:r>
            <w:r>
              <w:rPr>
                <w:rFonts w:hint="default" w:ascii="Times New Roman" w:hAnsi="Times New Roman" w:eastAsia="宋体" w:cs="Times New Roman"/>
                <w:b w:val="0"/>
                <w:bCs w:val="0"/>
                <w:spacing w:val="-10"/>
                <w:sz w:val="24"/>
                <w:szCs w:val="24"/>
                <w:lang w:val="en-US" w:eastAsia="zh-CN"/>
              </w:rPr>
              <w:t>容器在搬运过程中磕碰造成损坏。</w:t>
            </w:r>
          </w:p>
          <w:p w14:paraId="2AB62CCB">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C.危险废物</w:t>
            </w:r>
            <w:r>
              <w:rPr>
                <w:rFonts w:hint="eastAsia" w:cs="Times New Roman"/>
                <w:b w:val="0"/>
                <w:bCs w:val="0"/>
                <w:spacing w:val="-10"/>
                <w:sz w:val="24"/>
                <w:szCs w:val="24"/>
                <w:lang w:val="en-US" w:eastAsia="zh-CN"/>
              </w:rPr>
              <w:t>贮存</w:t>
            </w:r>
            <w:r>
              <w:rPr>
                <w:rFonts w:hint="default" w:ascii="Times New Roman" w:hAnsi="Times New Roman" w:eastAsia="宋体" w:cs="Times New Roman"/>
                <w:b w:val="0"/>
                <w:bCs w:val="0"/>
                <w:spacing w:val="-10"/>
                <w:sz w:val="24"/>
                <w:szCs w:val="24"/>
                <w:lang w:val="en-US" w:eastAsia="zh-CN"/>
              </w:rPr>
              <w:t>间设置液体</w:t>
            </w:r>
            <w:r>
              <w:rPr>
                <w:rFonts w:hint="eastAsia" w:cs="Times New Roman"/>
                <w:b w:val="0"/>
                <w:bCs w:val="0"/>
                <w:spacing w:val="-10"/>
                <w:sz w:val="24"/>
                <w:szCs w:val="24"/>
                <w:lang w:val="en-US" w:eastAsia="zh-CN"/>
              </w:rPr>
              <w:t>导流渠</w:t>
            </w:r>
            <w:r>
              <w:rPr>
                <w:rFonts w:hint="default" w:ascii="Times New Roman" w:hAnsi="Times New Roman" w:eastAsia="宋体" w:cs="Times New Roman"/>
                <w:b w:val="0"/>
                <w:bCs w:val="0"/>
                <w:spacing w:val="-10"/>
                <w:sz w:val="24"/>
                <w:szCs w:val="24"/>
                <w:lang w:val="en-US" w:eastAsia="zh-CN"/>
              </w:rPr>
              <w:t>及集液池，对发生泄漏的危险物质进行及时回收，并</w:t>
            </w:r>
            <w:r>
              <w:rPr>
                <w:rFonts w:hint="eastAsia" w:cs="Times New Roman"/>
                <w:b w:val="0"/>
                <w:bCs w:val="0"/>
                <w:spacing w:val="-10"/>
                <w:sz w:val="24"/>
                <w:szCs w:val="24"/>
                <w:lang w:val="en-US" w:eastAsia="zh-CN"/>
              </w:rPr>
              <w:t>贮存</w:t>
            </w:r>
            <w:r>
              <w:rPr>
                <w:rFonts w:hint="default" w:ascii="Times New Roman" w:hAnsi="Times New Roman" w:eastAsia="宋体" w:cs="Times New Roman"/>
                <w:b w:val="0"/>
                <w:bCs w:val="0"/>
                <w:spacing w:val="-10"/>
                <w:sz w:val="24"/>
                <w:szCs w:val="24"/>
                <w:lang w:val="en-US" w:eastAsia="zh-CN"/>
              </w:rPr>
              <w:t>于防腐防渗容器中。</w:t>
            </w:r>
          </w:p>
          <w:p w14:paraId="249522C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③事故应急预案</w:t>
            </w:r>
          </w:p>
          <w:p w14:paraId="44C6504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A.结合</w:t>
            </w:r>
            <w:r>
              <w:rPr>
                <w:rFonts w:hint="eastAsia"/>
                <w:lang w:val="en-US" w:eastAsia="zh-CN"/>
              </w:rPr>
              <w:t>伊金霍洛旗澎源供水有限责任公司</w:t>
            </w:r>
            <w:r>
              <w:rPr>
                <w:rFonts w:hint="default" w:ascii="Times New Roman" w:hAnsi="Times New Roman" w:eastAsia="宋体" w:cs="Times New Roman"/>
                <w:b w:val="0"/>
                <w:bCs w:val="0"/>
                <w:spacing w:val="-10"/>
                <w:sz w:val="24"/>
                <w:szCs w:val="24"/>
                <w:lang w:val="en-US" w:eastAsia="zh-CN"/>
              </w:rPr>
              <w:t>突发环境事件应急预案完善本项目应急预案。应急预案主要内容汇总见表</w:t>
            </w:r>
            <w:r>
              <w:rPr>
                <w:rFonts w:hint="default" w:ascii="Times New Roman" w:hAnsi="Times New Roman" w:cs="Times New Roman"/>
                <w:b w:val="0"/>
                <w:bCs w:val="0"/>
                <w:spacing w:val="-10"/>
                <w:sz w:val="24"/>
                <w:szCs w:val="24"/>
                <w:lang w:val="en-US" w:eastAsia="zh-CN"/>
              </w:rPr>
              <w:t>4-</w:t>
            </w:r>
            <w:r>
              <w:rPr>
                <w:rFonts w:hint="eastAsia" w:cs="Times New Roman"/>
                <w:b w:val="0"/>
                <w:bCs w:val="0"/>
                <w:spacing w:val="-10"/>
                <w:sz w:val="24"/>
                <w:szCs w:val="24"/>
                <w:lang w:val="en-US" w:eastAsia="zh-CN"/>
              </w:rPr>
              <w:t>4</w:t>
            </w:r>
            <w:r>
              <w:rPr>
                <w:rFonts w:hint="default" w:ascii="Times New Roman" w:hAnsi="Times New Roman" w:eastAsia="宋体" w:cs="Times New Roman"/>
                <w:b w:val="0"/>
                <w:bCs w:val="0"/>
                <w:spacing w:val="-10"/>
                <w:sz w:val="24"/>
                <w:szCs w:val="24"/>
                <w:lang w:val="en-US" w:eastAsia="zh-CN"/>
              </w:rPr>
              <w:t>。</w:t>
            </w:r>
          </w:p>
          <w:p w14:paraId="4743E75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spacing w:val="-10"/>
                <w:sz w:val="24"/>
                <w:szCs w:val="24"/>
                <w:lang w:val="en-US" w:eastAsia="zh-CN"/>
              </w:rPr>
            </w:pPr>
            <w:r>
              <w:rPr>
                <w:rFonts w:hint="default" w:ascii="Times New Roman" w:hAnsi="Times New Roman" w:eastAsia="宋体" w:cs="Times New Roman"/>
                <w:b/>
                <w:bCs/>
                <w:spacing w:val="-10"/>
                <w:sz w:val="24"/>
                <w:szCs w:val="24"/>
                <w:lang w:val="en-US" w:eastAsia="zh-CN"/>
              </w:rPr>
              <w:t>表</w:t>
            </w:r>
            <w:r>
              <w:rPr>
                <w:rFonts w:hint="default" w:ascii="Times New Roman" w:hAnsi="Times New Roman" w:cs="Times New Roman"/>
                <w:b/>
                <w:bCs/>
                <w:spacing w:val="-10"/>
                <w:sz w:val="24"/>
                <w:szCs w:val="24"/>
                <w:lang w:val="en-US" w:eastAsia="zh-CN"/>
              </w:rPr>
              <w:t>4-</w:t>
            </w:r>
            <w:r>
              <w:rPr>
                <w:rFonts w:hint="eastAsia" w:cs="Times New Roman"/>
                <w:b/>
                <w:bCs/>
                <w:spacing w:val="-10"/>
                <w:sz w:val="24"/>
                <w:szCs w:val="24"/>
                <w:lang w:val="en-US" w:eastAsia="zh-CN"/>
              </w:rPr>
              <w:t>4</w:t>
            </w:r>
            <w:r>
              <w:rPr>
                <w:rFonts w:hint="default" w:ascii="Times New Roman" w:hAnsi="Times New Roman" w:eastAsia="宋体" w:cs="Times New Roman"/>
                <w:b/>
                <w:bCs/>
                <w:spacing w:val="-10"/>
                <w:sz w:val="24"/>
                <w:szCs w:val="24"/>
                <w:lang w:val="en-US" w:eastAsia="zh-CN"/>
              </w:rPr>
              <w:t>应急预案编写基本内容</w:t>
            </w:r>
          </w:p>
          <w:tbl>
            <w:tblPr>
              <w:tblStyle w:val="15"/>
              <w:tblW w:w="8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884"/>
              <w:gridCol w:w="5396"/>
            </w:tblGrid>
            <w:tr w14:paraId="5937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58" w:type="dxa"/>
                  <w:noWrap w:val="0"/>
                  <w:vAlign w:val="center"/>
                </w:tcPr>
                <w:p w14:paraId="446C6E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序号</w:t>
                  </w:r>
                </w:p>
              </w:tc>
              <w:tc>
                <w:tcPr>
                  <w:tcW w:w="1884" w:type="dxa"/>
                  <w:noWrap w:val="0"/>
                  <w:vAlign w:val="center"/>
                </w:tcPr>
                <w:p w14:paraId="332D9A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项目</w:t>
                  </w:r>
                </w:p>
              </w:tc>
              <w:tc>
                <w:tcPr>
                  <w:tcW w:w="5396" w:type="dxa"/>
                  <w:noWrap w:val="0"/>
                  <w:vAlign w:val="center"/>
                </w:tcPr>
                <w:p w14:paraId="0289EA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内容及要求</w:t>
                  </w:r>
                </w:p>
              </w:tc>
            </w:tr>
            <w:tr w14:paraId="4CD2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58" w:type="dxa"/>
                  <w:noWrap w:val="0"/>
                  <w:vAlign w:val="center"/>
                </w:tcPr>
                <w:p w14:paraId="2EF664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1</w:t>
                  </w:r>
                </w:p>
              </w:tc>
              <w:tc>
                <w:tcPr>
                  <w:tcW w:w="1884" w:type="dxa"/>
                  <w:noWrap w:val="0"/>
                  <w:vAlign w:val="center"/>
                </w:tcPr>
                <w:p w14:paraId="4C1E86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应急计划区</w:t>
                  </w:r>
                </w:p>
              </w:tc>
              <w:tc>
                <w:tcPr>
                  <w:tcW w:w="5396" w:type="dxa"/>
                  <w:noWrap w:val="0"/>
                  <w:vAlign w:val="center"/>
                </w:tcPr>
                <w:p w14:paraId="412125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危险目标：危险废物</w:t>
                  </w:r>
                  <w:r>
                    <w:rPr>
                      <w:rFonts w:hint="eastAsia" w:cs="Times New Roman"/>
                      <w:b w:val="0"/>
                      <w:bCs w:val="0"/>
                      <w:spacing w:val="-10"/>
                      <w:sz w:val="24"/>
                      <w:szCs w:val="24"/>
                      <w:lang w:val="en-US" w:eastAsia="zh-CN"/>
                    </w:rPr>
                    <w:t>贮存</w:t>
                  </w:r>
                  <w:r>
                    <w:rPr>
                      <w:rFonts w:hint="default" w:ascii="Times New Roman" w:hAnsi="Times New Roman" w:eastAsia="宋体" w:cs="Times New Roman"/>
                      <w:b w:val="0"/>
                      <w:bCs w:val="0"/>
                      <w:spacing w:val="-10"/>
                      <w:sz w:val="24"/>
                      <w:szCs w:val="24"/>
                      <w:lang w:val="en-US" w:eastAsia="zh-CN"/>
                    </w:rPr>
                    <w:t>间</w:t>
                  </w:r>
                </w:p>
              </w:tc>
            </w:tr>
            <w:tr w14:paraId="65D4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58" w:type="dxa"/>
                  <w:noWrap w:val="0"/>
                  <w:vAlign w:val="center"/>
                </w:tcPr>
                <w:p w14:paraId="369D89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2</w:t>
                  </w:r>
                </w:p>
              </w:tc>
              <w:tc>
                <w:tcPr>
                  <w:tcW w:w="1884" w:type="dxa"/>
                  <w:noWrap w:val="0"/>
                  <w:vAlign w:val="center"/>
                </w:tcPr>
                <w:p w14:paraId="2C3D60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应急组织机构、人员</w:t>
                  </w:r>
                </w:p>
              </w:tc>
              <w:tc>
                <w:tcPr>
                  <w:tcW w:w="5396" w:type="dxa"/>
                  <w:noWrap w:val="0"/>
                  <w:vAlign w:val="center"/>
                </w:tcPr>
                <w:p w14:paraId="5FEA22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公司应急组织领导小组</w:t>
                  </w:r>
                </w:p>
              </w:tc>
            </w:tr>
            <w:tr w14:paraId="5214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58" w:type="dxa"/>
                  <w:noWrap w:val="0"/>
                  <w:vAlign w:val="center"/>
                </w:tcPr>
                <w:p w14:paraId="3DE3FD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3</w:t>
                  </w:r>
                </w:p>
              </w:tc>
              <w:tc>
                <w:tcPr>
                  <w:tcW w:w="1884" w:type="dxa"/>
                  <w:noWrap w:val="0"/>
                  <w:vAlign w:val="center"/>
                </w:tcPr>
                <w:p w14:paraId="635A4F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预案分级响应条件</w:t>
                  </w:r>
                </w:p>
              </w:tc>
              <w:tc>
                <w:tcPr>
                  <w:tcW w:w="5396" w:type="dxa"/>
                  <w:noWrap w:val="0"/>
                  <w:vAlign w:val="center"/>
                </w:tcPr>
                <w:p w14:paraId="75C64E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规定预案的级别及分级响应程序</w:t>
                  </w:r>
                </w:p>
              </w:tc>
            </w:tr>
            <w:tr w14:paraId="48D2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58" w:type="dxa"/>
                  <w:noWrap w:val="0"/>
                  <w:vAlign w:val="center"/>
                </w:tcPr>
                <w:p w14:paraId="24AB2D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4</w:t>
                  </w:r>
                </w:p>
              </w:tc>
              <w:tc>
                <w:tcPr>
                  <w:tcW w:w="1884" w:type="dxa"/>
                  <w:noWrap w:val="0"/>
                  <w:vAlign w:val="center"/>
                </w:tcPr>
                <w:p w14:paraId="7DF0C1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应急救援保障</w:t>
                  </w:r>
                </w:p>
              </w:tc>
              <w:tc>
                <w:tcPr>
                  <w:tcW w:w="5396" w:type="dxa"/>
                  <w:noWrap w:val="0"/>
                  <w:vAlign w:val="center"/>
                </w:tcPr>
                <w:p w14:paraId="45680D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应急设施，设备与器材等</w:t>
                  </w:r>
                </w:p>
              </w:tc>
            </w:tr>
            <w:tr w14:paraId="4324C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58" w:type="dxa"/>
                  <w:noWrap w:val="0"/>
                  <w:vAlign w:val="center"/>
                </w:tcPr>
                <w:p w14:paraId="67F918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5</w:t>
                  </w:r>
                </w:p>
              </w:tc>
              <w:tc>
                <w:tcPr>
                  <w:tcW w:w="1884" w:type="dxa"/>
                  <w:noWrap w:val="0"/>
                  <w:vAlign w:val="center"/>
                </w:tcPr>
                <w:p w14:paraId="169EEB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报警、通信联络方式</w:t>
                  </w:r>
                </w:p>
              </w:tc>
              <w:tc>
                <w:tcPr>
                  <w:tcW w:w="5396" w:type="dxa"/>
                  <w:noWrap w:val="0"/>
                  <w:vAlign w:val="center"/>
                </w:tcPr>
                <w:p w14:paraId="28FDC9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规定应急状态下的</w:t>
                  </w:r>
                  <w:r>
                    <w:rPr>
                      <w:rFonts w:hint="eastAsia" w:cs="Times New Roman"/>
                      <w:b w:val="0"/>
                      <w:bCs w:val="0"/>
                      <w:spacing w:val="-10"/>
                      <w:sz w:val="24"/>
                      <w:szCs w:val="24"/>
                      <w:lang w:val="en-US" w:eastAsia="zh-CN"/>
                    </w:rPr>
                    <w:t>报警通信</w:t>
                  </w:r>
                  <w:r>
                    <w:rPr>
                      <w:rFonts w:hint="default" w:ascii="Times New Roman" w:hAnsi="Times New Roman" w:eastAsia="宋体" w:cs="Times New Roman"/>
                      <w:b w:val="0"/>
                      <w:bCs w:val="0"/>
                      <w:spacing w:val="-10"/>
                      <w:sz w:val="24"/>
                      <w:szCs w:val="24"/>
                      <w:lang w:val="en-US" w:eastAsia="zh-CN"/>
                    </w:rPr>
                    <w:t>方式、通知方式和交通保障、管制</w:t>
                  </w:r>
                </w:p>
              </w:tc>
            </w:tr>
            <w:tr w14:paraId="3734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758" w:type="dxa"/>
                  <w:noWrap w:val="0"/>
                  <w:vAlign w:val="center"/>
                </w:tcPr>
                <w:p w14:paraId="41855D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6</w:t>
                  </w:r>
                </w:p>
              </w:tc>
              <w:tc>
                <w:tcPr>
                  <w:tcW w:w="1884" w:type="dxa"/>
                  <w:noWrap w:val="0"/>
                  <w:vAlign w:val="center"/>
                </w:tcPr>
                <w:p w14:paraId="51A2CD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应急环境监测、抢险、救援及控制措施</w:t>
                  </w:r>
                </w:p>
              </w:tc>
              <w:tc>
                <w:tcPr>
                  <w:tcW w:w="5396" w:type="dxa"/>
                  <w:noWrap w:val="0"/>
                  <w:vAlign w:val="center"/>
                </w:tcPr>
                <w:p w14:paraId="7671AB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有专业队伍负责对事故现场进行侦查监测，对事故现场进行侦查监测，对事故性质、参数与后果进行评估，为指挥部门提供决策依据</w:t>
                  </w:r>
                </w:p>
              </w:tc>
            </w:tr>
            <w:tr w14:paraId="6D0D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758" w:type="dxa"/>
                  <w:noWrap w:val="0"/>
                  <w:vAlign w:val="center"/>
                </w:tcPr>
                <w:p w14:paraId="393497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7</w:t>
                  </w:r>
                </w:p>
              </w:tc>
              <w:tc>
                <w:tcPr>
                  <w:tcW w:w="1884" w:type="dxa"/>
                  <w:noWrap w:val="0"/>
                  <w:vAlign w:val="center"/>
                </w:tcPr>
                <w:p w14:paraId="3355B1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应急检测、防护措施、清除泄漏措施和器材</w:t>
                  </w:r>
                </w:p>
              </w:tc>
              <w:tc>
                <w:tcPr>
                  <w:tcW w:w="5396" w:type="dxa"/>
                  <w:noWrap w:val="0"/>
                  <w:vAlign w:val="center"/>
                </w:tcPr>
                <w:p w14:paraId="134A43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事故现场、临近区域、控制防火区域，控制和清除污染措施及相应设备</w:t>
                  </w:r>
                </w:p>
              </w:tc>
            </w:tr>
            <w:tr w14:paraId="67DA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758" w:type="dxa"/>
                  <w:noWrap w:val="0"/>
                  <w:vAlign w:val="center"/>
                </w:tcPr>
                <w:p w14:paraId="7C710D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8</w:t>
                  </w:r>
                </w:p>
              </w:tc>
              <w:tc>
                <w:tcPr>
                  <w:tcW w:w="1884" w:type="dxa"/>
                  <w:noWrap w:val="0"/>
                  <w:vAlign w:val="center"/>
                </w:tcPr>
                <w:p w14:paraId="29D045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人员紧急撤离、疏散，应急剂量控制、撤离组织计划</w:t>
                  </w:r>
                </w:p>
              </w:tc>
              <w:tc>
                <w:tcPr>
                  <w:tcW w:w="5396" w:type="dxa"/>
                  <w:noWrap w:val="0"/>
                  <w:vAlign w:val="center"/>
                </w:tcPr>
                <w:p w14:paraId="63BB89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事故现场、厂区临近区、受事故影响的区域人员及公众对有害物应急剂量控制规定，撤离组织计划及救护，医疗救护与公众健康</w:t>
                  </w:r>
                </w:p>
              </w:tc>
            </w:tr>
            <w:tr w14:paraId="749C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758" w:type="dxa"/>
                  <w:noWrap w:val="0"/>
                  <w:vAlign w:val="center"/>
                </w:tcPr>
                <w:p w14:paraId="5C1B35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9</w:t>
                  </w:r>
                </w:p>
              </w:tc>
              <w:tc>
                <w:tcPr>
                  <w:tcW w:w="1884" w:type="dxa"/>
                  <w:noWrap w:val="0"/>
                  <w:vAlign w:val="center"/>
                </w:tcPr>
                <w:p w14:paraId="041E18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事故应急救援关闭程序与恢复措施</w:t>
                  </w:r>
                </w:p>
              </w:tc>
              <w:tc>
                <w:tcPr>
                  <w:tcW w:w="5396" w:type="dxa"/>
                  <w:noWrap w:val="0"/>
                  <w:vAlign w:val="center"/>
                </w:tcPr>
                <w:p w14:paraId="39765E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规定应急状态终止程序，事故现场善后处理，恢复措施，临近区域解除事故警戒及善后恢复措施</w:t>
                  </w:r>
                </w:p>
              </w:tc>
            </w:tr>
            <w:tr w14:paraId="7179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58" w:type="dxa"/>
                  <w:noWrap w:val="0"/>
                  <w:vAlign w:val="center"/>
                </w:tcPr>
                <w:p w14:paraId="18F8BF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10</w:t>
                  </w:r>
                </w:p>
              </w:tc>
              <w:tc>
                <w:tcPr>
                  <w:tcW w:w="1884" w:type="dxa"/>
                  <w:noWrap w:val="0"/>
                  <w:vAlign w:val="center"/>
                </w:tcPr>
                <w:p w14:paraId="3E9236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应急培训计划</w:t>
                  </w:r>
                </w:p>
              </w:tc>
              <w:tc>
                <w:tcPr>
                  <w:tcW w:w="5396" w:type="dxa"/>
                  <w:noWrap w:val="0"/>
                  <w:vAlign w:val="center"/>
                </w:tcPr>
                <w:p w14:paraId="5AB8CF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应急计划制定后，平时安排人员培训与演练</w:t>
                  </w:r>
                </w:p>
              </w:tc>
            </w:tr>
            <w:tr w14:paraId="32E8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58" w:type="dxa"/>
                  <w:noWrap w:val="0"/>
                  <w:vAlign w:val="center"/>
                </w:tcPr>
                <w:p w14:paraId="2A71C5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11</w:t>
                  </w:r>
                </w:p>
              </w:tc>
              <w:tc>
                <w:tcPr>
                  <w:tcW w:w="1884" w:type="dxa"/>
                  <w:noWrap w:val="0"/>
                  <w:vAlign w:val="center"/>
                </w:tcPr>
                <w:p w14:paraId="0109BE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公众教育和信息</w:t>
                  </w:r>
                </w:p>
              </w:tc>
              <w:tc>
                <w:tcPr>
                  <w:tcW w:w="5396" w:type="dxa"/>
                  <w:noWrap w:val="0"/>
                  <w:vAlign w:val="center"/>
                </w:tcPr>
                <w:p w14:paraId="7B0086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对厂区临近地区</w:t>
                  </w:r>
                  <w:r>
                    <w:rPr>
                      <w:rFonts w:hint="eastAsia" w:cs="Times New Roman"/>
                      <w:b w:val="0"/>
                      <w:bCs w:val="0"/>
                      <w:spacing w:val="-10"/>
                      <w:sz w:val="24"/>
                      <w:szCs w:val="24"/>
                      <w:lang w:val="en-US" w:eastAsia="zh-CN"/>
                    </w:rPr>
                    <w:t>开展</w:t>
                  </w:r>
                  <w:r>
                    <w:rPr>
                      <w:rFonts w:hint="default" w:ascii="Times New Roman" w:hAnsi="Times New Roman" w:eastAsia="宋体" w:cs="Times New Roman"/>
                      <w:b w:val="0"/>
                      <w:bCs w:val="0"/>
                      <w:spacing w:val="-10"/>
                      <w:sz w:val="24"/>
                      <w:szCs w:val="24"/>
                      <w:lang w:val="en-US" w:eastAsia="zh-CN"/>
                    </w:rPr>
                    <w:t>公众教育、培训和发布有关信息</w:t>
                  </w:r>
                </w:p>
              </w:tc>
            </w:tr>
          </w:tbl>
          <w:p w14:paraId="5A3E26BB">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建设单位应根据环境污染事故应急预案编制技术指南要求编制应急预案，并经过专家评审，审查合格后实施运行。</w:t>
            </w:r>
          </w:p>
          <w:p w14:paraId="4F9936C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B.应急物资储备</w:t>
            </w:r>
          </w:p>
          <w:p w14:paraId="54CA3B5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在事故现场、临近区域、控制防火区域，要有控制和消除污染措施及相应设备。本项目在危险废物</w:t>
            </w:r>
            <w:r>
              <w:rPr>
                <w:rFonts w:hint="eastAsia" w:cs="Times New Roman"/>
                <w:b w:val="0"/>
                <w:bCs w:val="0"/>
                <w:spacing w:val="-10"/>
                <w:sz w:val="24"/>
                <w:szCs w:val="24"/>
                <w:lang w:val="en-US" w:eastAsia="zh-CN"/>
              </w:rPr>
              <w:t>贮存</w:t>
            </w:r>
            <w:r>
              <w:rPr>
                <w:rFonts w:hint="default" w:ascii="Times New Roman" w:hAnsi="Times New Roman" w:eastAsia="宋体" w:cs="Times New Roman"/>
                <w:b w:val="0"/>
                <w:bCs w:val="0"/>
                <w:spacing w:val="-10"/>
                <w:sz w:val="24"/>
                <w:szCs w:val="24"/>
                <w:lang w:val="en-US" w:eastAsia="zh-CN"/>
              </w:rPr>
              <w:t>间储备灭火器。</w:t>
            </w:r>
          </w:p>
          <w:p w14:paraId="384C89F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C.应急系统</w:t>
            </w:r>
          </w:p>
          <w:p w14:paraId="61F9680B">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为防范和应对突发性环境污染事故的发生，要求建立既能对污染隐患进行监控和警告，又能对突发性污染事故实施统一指挥协调、现场快速监测和应急处理的应急系统。应急系统由应急响应、应急监测和应急处理系统三部分组成。</w:t>
            </w:r>
          </w:p>
          <w:p w14:paraId="143DAB8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D.事故应急响应</w:t>
            </w:r>
          </w:p>
          <w:p w14:paraId="30ADE9AC">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突发性环境污染事故应急处置刻不容缓，响应速度至关重要，任何人接到污染事故报警，必须马上报告应急办公室。应急组织各环节相互配合，确保响应迅速。</w:t>
            </w:r>
          </w:p>
          <w:p w14:paraId="6499C31C">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突发性环境污染事故应急通讯系统包括事故报警、应急指挥、应急信息发布三部分。事故报警应设立专用电话，做到24h畅通。电话号码为大众所熟知，同时充分利用社会上的110、119、120等救援电话</w:t>
            </w:r>
            <w:r>
              <w:rPr>
                <w:rFonts w:hint="eastAsia" w:cs="Times New Roman"/>
                <w:b w:val="0"/>
                <w:bCs w:val="0"/>
                <w:spacing w:val="-10"/>
                <w:sz w:val="24"/>
                <w:szCs w:val="24"/>
                <w:lang w:val="en-US" w:eastAsia="zh-CN"/>
              </w:rPr>
              <w:t>。</w:t>
            </w:r>
          </w:p>
          <w:p w14:paraId="144C532E">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E.事故应急监测</w:t>
            </w:r>
          </w:p>
          <w:p w14:paraId="36C0BDD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要求应急监测人员快速赶赴现场，根据事故现场的具体情况布点采样，利用快速监测手段判断污染物的种类，给出定性、半定量和定量监测结果，确认污染事故的危害程度和污染范围等。</w:t>
            </w:r>
          </w:p>
          <w:p w14:paraId="5A780420">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（6）分析结论</w:t>
            </w:r>
          </w:p>
          <w:p w14:paraId="314E680E">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项目涉及的主要危险物质为</w:t>
            </w:r>
            <w:r>
              <w:rPr>
                <w:rFonts w:hint="eastAsia" w:cs="Times New Roman"/>
                <w:b w:val="0"/>
                <w:bCs w:val="0"/>
                <w:spacing w:val="-10"/>
                <w:sz w:val="24"/>
                <w:szCs w:val="24"/>
                <w:lang w:val="en-US" w:eastAsia="zh-CN"/>
              </w:rPr>
              <w:t>废液</w:t>
            </w:r>
            <w:r>
              <w:rPr>
                <w:rFonts w:hint="default" w:ascii="Times New Roman" w:hAnsi="Times New Roman" w:eastAsia="宋体" w:cs="Times New Roman"/>
                <w:b w:val="0"/>
                <w:bCs w:val="0"/>
                <w:spacing w:val="-10"/>
                <w:sz w:val="24"/>
                <w:szCs w:val="24"/>
                <w:lang w:val="en-US" w:eastAsia="zh-CN"/>
              </w:rPr>
              <w:t>，主要事故类型为</w:t>
            </w:r>
            <w:r>
              <w:rPr>
                <w:rFonts w:hint="eastAsia" w:cs="Times New Roman"/>
                <w:b w:val="0"/>
                <w:bCs w:val="0"/>
                <w:spacing w:val="-10"/>
                <w:sz w:val="24"/>
                <w:szCs w:val="24"/>
                <w:lang w:val="en-US" w:eastAsia="zh-CN"/>
              </w:rPr>
              <w:t>废液</w:t>
            </w:r>
            <w:r>
              <w:rPr>
                <w:rFonts w:hint="default" w:ascii="Times New Roman" w:hAnsi="Times New Roman" w:eastAsia="宋体" w:cs="Times New Roman"/>
                <w:b w:val="0"/>
                <w:bCs w:val="0"/>
                <w:spacing w:val="-10"/>
                <w:sz w:val="24"/>
                <w:szCs w:val="24"/>
                <w:lang w:val="en-US" w:eastAsia="zh-CN"/>
              </w:rPr>
              <w:t>泄漏及火灾、爆炸事故。项目的环境风险主要表现在危险废物运输和贮存事故、恶劣自然条件等情况下突发的泄漏、火灾、爆炸事故导致的大气、水体及土壤的环境污染，同时在发生火灾爆炸等事故时会产生一些次生污染物的影响。在泄漏或火灾爆炸事故时必定会对周围环境产生一定的不良影响，但事故影响持续时间不长，由于距离居民点较远，总体来说对周边居民点的村民身体健康不会产生大的影响。企业在生产过程中必须做好的物料的贮存运输工作，严格做好安全生产工作，避免泄漏或火灾爆炸事故发生，同时制定事故应急预案，使事故发生对能及时</w:t>
            </w:r>
            <w:r>
              <w:rPr>
                <w:rFonts w:hint="eastAsia" w:cs="Times New Roman"/>
                <w:b w:val="0"/>
                <w:bCs w:val="0"/>
                <w:spacing w:val="-10"/>
                <w:sz w:val="24"/>
                <w:szCs w:val="24"/>
                <w:lang w:val="en-US" w:eastAsia="zh-CN"/>
              </w:rPr>
              <w:t>有效地</w:t>
            </w:r>
            <w:r>
              <w:rPr>
                <w:rFonts w:hint="default" w:ascii="Times New Roman" w:hAnsi="Times New Roman" w:eastAsia="宋体" w:cs="Times New Roman"/>
                <w:b w:val="0"/>
                <w:bCs w:val="0"/>
                <w:spacing w:val="-10"/>
                <w:sz w:val="24"/>
                <w:szCs w:val="24"/>
                <w:lang w:val="en-US" w:eastAsia="zh-CN"/>
              </w:rPr>
              <w:t>得到控制，缩短事故发生的持续时间，从而降低对周围环境的影响。</w:t>
            </w:r>
          </w:p>
          <w:p w14:paraId="7DFE558A">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eastAsia="宋体" w:cs="Times New Roman"/>
                <w:b/>
                <w:bCs/>
                <w:spacing w:val="-10"/>
                <w:sz w:val="24"/>
                <w:szCs w:val="24"/>
                <w:lang w:val="en-US" w:eastAsia="zh-CN"/>
              </w:rPr>
            </w:pPr>
            <w:r>
              <w:rPr>
                <w:rFonts w:hint="eastAsia" w:cs="Times New Roman"/>
                <w:b/>
                <w:bCs/>
                <w:spacing w:val="-10"/>
                <w:sz w:val="24"/>
                <w:szCs w:val="24"/>
                <w:lang w:val="en-US" w:eastAsia="zh-CN"/>
              </w:rPr>
              <w:t>7</w:t>
            </w:r>
            <w:r>
              <w:rPr>
                <w:rFonts w:hint="default" w:ascii="Times New Roman" w:hAnsi="Times New Roman" w:cs="Times New Roman"/>
                <w:b/>
                <w:bCs/>
                <w:spacing w:val="-10"/>
                <w:sz w:val="24"/>
                <w:szCs w:val="24"/>
                <w:lang w:val="en-US" w:eastAsia="zh-CN"/>
              </w:rPr>
              <w:t>、</w:t>
            </w:r>
            <w:r>
              <w:rPr>
                <w:rFonts w:hint="default" w:ascii="Times New Roman" w:hAnsi="Times New Roman" w:eastAsia="宋体" w:cs="Times New Roman"/>
                <w:b/>
                <w:bCs/>
                <w:spacing w:val="-10"/>
                <w:sz w:val="24"/>
                <w:szCs w:val="24"/>
                <w:lang w:val="en-US" w:eastAsia="zh-CN"/>
              </w:rPr>
              <w:t>环保设施投资估算</w:t>
            </w:r>
          </w:p>
          <w:p w14:paraId="5775D08A">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项目总投资10万元，全部为环保投资。</w:t>
            </w:r>
          </w:p>
          <w:p w14:paraId="6C3065C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spacing w:val="-10"/>
                <w:sz w:val="24"/>
                <w:szCs w:val="24"/>
                <w:vertAlign w:val="baseline"/>
                <w:lang w:val="en-US" w:eastAsia="zh-CN"/>
              </w:rPr>
            </w:pPr>
            <w:r>
              <w:rPr>
                <w:rFonts w:hint="default" w:ascii="Times New Roman" w:hAnsi="Times New Roman" w:eastAsia="宋体" w:cs="Times New Roman"/>
                <w:b/>
                <w:bCs/>
                <w:spacing w:val="-10"/>
                <w:sz w:val="24"/>
                <w:szCs w:val="24"/>
                <w:lang w:val="en-US" w:eastAsia="zh-CN"/>
              </w:rPr>
              <w:t>表</w:t>
            </w:r>
            <w:r>
              <w:rPr>
                <w:rFonts w:hint="default" w:ascii="Times New Roman" w:hAnsi="Times New Roman" w:cs="Times New Roman"/>
                <w:b/>
                <w:bCs/>
                <w:spacing w:val="-10"/>
                <w:sz w:val="24"/>
                <w:szCs w:val="24"/>
                <w:lang w:val="en-US" w:eastAsia="zh-CN"/>
              </w:rPr>
              <w:t>4-</w:t>
            </w:r>
            <w:r>
              <w:rPr>
                <w:rFonts w:hint="eastAsia" w:cs="Times New Roman"/>
                <w:b/>
                <w:bCs/>
                <w:spacing w:val="-10"/>
                <w:sz w:val="24"/>
                <w:szCs w:val="24"/>
                <w:lang w:val="en-US" w:eastAsia="zh-CN"/>
              </w:rPr>
              <w:t>6</w:t>
            </w:r>
            <w:r>
              <w:rPr>
                <w:rFonts w:hint="default" w:ascii="Times New Roman" w:hAnsi="Times New Roman" w:eastAsia="宋体" w:cs="Times New Roman"/>
                <w:b/>
                <w:bCs/>
                <w:spacing w:val="-10"/>
                <w:sz w:val="24"/>
                <w:szCs w:val="24"/>
                <w:lang w:val="en-US" w:eastAsia="zh-CN"/>
              </w:rPr>
              <w:t>环保措施及投资一览表</w:t>
            </w:r>
          </w:p>
          <w:tbl>
            <w:tblPr>
              <w:tblStyle w:val="16"/>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9"/>
              <w:gridCol w:w="4288"/>
              <w:gridCol w:w="1619"/>
            </w:tblGrid>
            <w:tr w14:paraId="204A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9" w:type="dxa"/>
                  <w:vAlign w:val="center"/>
                </w:tcPr>
                <w:p w14:paraId="691486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default" w:ascii="Times New Roman" w:hAnsi="Times New Roman" w:eastAsia="宋体" w:cs="Times New Roman"/>
                      <w:b w:val="0"/>
                      <w:bCs w:val="0"/>
                      <w:spacing w:val="-10"/>
                      <w:sz w:val="24"/>
                      <w:szCs w:val="24"/>
                      <w:lang w:val="en-US" w:eastAsia="zh-CN"/>
                    </w:rPr>
                    <w:t>项目</w:t>
                  </w:r>
                </w:p>
              </w:tc>
              <w:tc>
                <w:tcPr>
                  <w:tcW w:w="4288" w:type="dxa"/>
                  <w:vAlign w:val="center"/>
                </w:tcPr>
                <w:p w14:paraId="7B5FAB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default" w:ascii="Times New Roman" w:hAnsi="Times New Roman" w:eastAsia="宋体" w:cs="Times New Roman"/>
                      <w:b w:val="0"/>
                      <w:bCs w:val="0"/>
                      <w:spacing w:val="-10"/>
                      <w:sz w:val="24"/>
                      <w:szCs w:val="24"/>
                      <w:lang w:val="en-US" w:eastAsia="zh-CN"/>
                    </w:rPr>
                    <w:t>环保措施内容</w:t>
                  </w:r>
                </w:p>
              </w:tc>
              <w:tc>
                <w:tcPr>
                  <w:tcW w:w="1619" w:type="dxa"/>
                  <w:vAlign w:val="center"/>
                </w:tcPr>
                <w:p w14:paraId="7BDDA6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default" w:ascii="Times New Roman" w:hAnsi="Times New Roman" w:eastAsia="宋体" w:cs="Times New Roman"/>
                      <w:b w:val="0"/>
                      <w:bCs w:val="0"/>
                      <w:spacing w:val="-10"/>
                      <w:sz w:val="24"/>
                      <w:szCs w:val="24"/>
                      <w:lang w:val="en-US" w:eastAsia="zh-CN"/>
                    </w:rPr>
                    <w:t>投资（万元）</w:t>
                  </w:r>
                </w:p>
              </w:tc>
            </w:tr>
            <w:tr w14:paraId="7E0D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9" w:type="dxa"/>
                  <w:vAlign w:val="center"/>
                </w:tcPr>
                <w:p w14:paraId="5F0D17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default" w:ascii="Times New Roman" w:hAnsi="Times New Roman" w:eastAsia="宋体" w:cs="Times New Roman"/>
                      <w:b w:val="0"/>
                      <w:bCs w:val="0"/>
                      <w:spacing w:val="-10"/>
                      <w:sz w:val="24"/>
                      <w:szCs w:val="24"/>
                      <w:lang w:val="en-US" w:eastAsia="zh-CN"/>
                    </w:rPr>
                    <w:t>噪声治理措施</w:t>
                  </w:r>
                </w:p>
              </w:tc>
              <w:tc>
                <w:tcPr>
                  <w:tcW w:w="4288" w:type="dxa"/>
                  <w:vAlign w:val="center"/>
                </w:tcPr>
                <w:p w14:paraId="2E63E18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default" w:ascii="Times New Roman" w:hAnsi="Times New Roman" w:eastAsia="宋体" w:cs="Times New Roman"/>
                      <w:b w:val="0"/>
                      <w:bCs w:val="0"/>
                      <w:spacing w:val="-10"/>
                      <w:sz w:val="24"/>
                      <w:szCs w:val="24"/>
                      <w:lang w:val="en-US" w:eastAsia="zh-CN"/>
                    </w:rPr>
                    <w:t>隔声、设备降噪减震装置</w:t>
                  </w:r>
                </w:p>
              </w:tc>
              <w:tc>
                <w:tcPr>
                  <w:tcW w:w="1619" w:type="dxa"/>
                  <w:vAlign w:val="center"/>
                </w:tcPr>
                <w:p w14:paraId="05AAF6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eastAsia" w:cs="Times New Roman"/>
                      <w:b w:val="0"/>
                      <w:bCs w:val="0"/>
                      <w:spacing w:val="-10"/>
                      <w:sz w:val="24"/>
                      <w:szCs w:val="24"/>
                      <w:lang w:val="en-US" w:eastAsia="zh-CN"/>
                    </w:rPr>
                    <w:t>1</w:t>
                  </w:r>
                </w:p>
              </w:tc>
            </w:tr>
            <w:tr w14:paraId="7848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9" w:type="dxa"/>
                  <w:vAlign w:val="center"/>
                </w:tcPr>
                <w:p w14:paraId="35C0EA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eastAsia" w:cs="Times New Roman"/>
                      <w:b w:val="0"/>
                      <w:bCs w:val="0"/>
                      <w:spacing w:val="-10"/>
                      <w:sz w:val="24"/>
                      <w:szCs w:val="24"/>
                      <w:lang w:val="en-US" w:eastAsia="zh-CN"/>
                    </w:rPr>
                    <w:t>防渗</w:t>
                  </w:r>
                </w:p>
              </w:tc>
              <w:tc>
                <w:tcPr>
                  <w:tcW w:w="4288" w:type="dxa"/>
                  <w:vAlign w:val="center"/>
                </w:tcPr>
                <w:p w14:paraId="567ACB27">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val="0"/>
                      <w:bCs w:val="0"/>
                      <w:spacing w:val="-10"/>
                      <w:sz w:val="24"/>
                      <w:szCs w:val="24"/>
                      <w:vertAlign w:val="baseline"/>
                      <w:lang w:val="en-US" w:eastAsia="zh-CN"/>
                    </w:rPr>
                  </w:pPr>
                  <w:r>
                    <w:rPr>
                      <w:rFonts w:hint="default" w:ascii="Times New Roman" w:hAnsi="Times New Roman" w:eastAsia="宋体" w:cs="Times New Roman"/>
                      <w:b w:val="0"/>
                      <w:bCs w:val="0"/>
                      <w:sz w:val="24"/>
                      <w:szCs w:val="24"/>
                      <w:highlight w:val="none"/>
                      <w:lang w:val="en-US" w:eastAsia="zh-CN"/>
                    </w:rPr>
                    <w:t>危险废物贮存库地面</w:t>
                  </w:r>
                  <w:r>
                    <w:rPr>
                      <w:rFonts w:hint="eastAsia" w:cs="Times New Roman"/>
                      <w:b w:val="0"/>
                      <w:bCs w:val="0"/>
                      <w:sz w:val="24"/>
                      <w:szCs w:val="24"/>
                      <w:highlight w:val="none"/>
                      <w:lang w:val="en-US" w:eastAsia="zh-CN"/>
                    </w:rPr>
                    <w:t>、</w:t>
                  </w:r>
                  <w:r>
                    <w:rPr>
                      <w:rFonts w:hint="eastAsia" w:ascii="Times New Roman" w:hAnsi="Times New Roman" w:eastAsia="宋体" w:cs="Times New Roman"/>
                      <w:b w:val="0"/>
                      <w:bCs w:val="0"/>
                      <w:sz w:val="24"/>
                      <w:szCs w:val="24"/>
                      <w:highlight w:val="none"/>
                      <w:lang w:val="en-US" w:eastAsia="zh-CN"/>
                    </w:rPr>
                    <w:t>导流渠、集液池</w:t>
                  </w:r>
                  <w:r>
                    <w:rPr>
                      <w:rFonts w:hint="default" w:ascii="Times New Roman" w:hAnsi="Times New Roman" w:eastAsia="宋体" w:cs="Times New Roman"/>
                      <w:b w:val="0"/>
                      <w:bCs w:val="0"/>
                      <w:sz w:val="24"/>
                      <w:szCs w:val="24"/>
                      <w:highlight w:val="none"/>
                      <w:lang w:val="en-US" w:eastAsia="zh-CN"/>
                    </w:rPr>
                    <w:t>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default" w:ascii="Times New Roman" w:hAnsi="Times New Roman" w:eastAsia="宋体" w:cs="Times New Roman"/>
                      <w:b w:val="0"/>
                      <w:bCs w:val="0"/>
                      <w:sz w:val="24"/>
                      <w:szCs w:val="24"/>
                      <w:highlight w:val="none"/>
                      <w:vertAlign w:val="superscript"/>
                      <w:lang w:val="en-US" w:eastAsia="zh-CN"/>
                    </w:rPr>
                    <w:t>-10</w:t>
                  </w:r>
                  <w:r>
                    <w:rPr>
                      <w:rFonts w:hint="default" w:ascii="Times New Roman" w:hAnsi="Times New Roman" w:eastAsia="宋体" w:cs="Times New Roman"/>
                      <w:b w:val="0"/>
                      <w:bCs w:val="0"/>
                      <w:sz w:val="24"/>
                      <w:szCs w:val="24"/>
                      <w:highlight w:val="none"/>
                      <w:lang w:val="en-US" w:eastAsia="zh-CN"/>
                    </w:rPr>
                    <w:t>cm/s。</w:t>
                  </w:r>
                </w:p>
              </w:tc>
              <w:tc>
                <w:tcPr>
                  <w:tcW w:w="1619" w:type="dxa"/>
                  <w:vAlign w:val="center"/>
                </w:tcPr>
                <w:p w14:paraId="51BF0C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eastAsia" w:cs="Times New Roman"/>
                      <w:b w:val="0"/>
                      <w:bCs w:val="0"/>
                      <w:spacing w:val="-10"/>
                      <w:sz w:val="24"/>
                      <w:szCs w:val="24"/>
                      <w:lang w:val="en-US" w:eastAsia="zh-CN"/>
                    </w:rPr>
                    <w:t>9</w:t>
                  </w:r>
                </w:p>
              </w:tc>
            </w:tr>
            <w:tr w14:paraId="4A51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7" w:type="dxa"/>
                  <w:gridSpan w:val="2"/>
                  <w:vAlign w:val="center"/>
                </w:tcPr>
                <w:p w14:paraId="152B82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default" w:ascii="Times New Roman" w:hAnsi="Times New Roman" w:cs="Times New Roman"/>
                      <w:b w:val="0"/>
                      <w:bCs w:val="0"/>
                      <w:spacing w:val="-10"/>
                      <w:sz w:val="24"/>
                      <w:szCs w:val="24"/>
                      <w:vertAlign w:val="baseline"/>
                      <w:lang w:val="en-US" w:eastAsia="zh-CN"/>
                    </w:rPr>
                    <w:t>合计</w:t>
                  </w:r>
                </w:p>
              </w:tc>
              <w:tc>
                <w:tcPr>
                  <w:tcW w:w="1619" w:type="dxa"/>
                  <w:vAlign w:val="center"/>
                </w:tcPr>
                <w:p w14:paraId="1C79AD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10"/>
                      <w:sz w:val="24"/>
                      <w:szCs w:val="24"/>
                      <w:vertAlign w:val="baseline"/>
                      <w:lang w:val="en-US" w:eastAsia="zh-CN"/>
                    </w:rPr>
                  </w:pPr>
                  <w:r>
                    <w:rPr>
                      <w:rFonts w:hint="default" w:ascii="Times New Roman" w:hAnsi="Times New Roman" w:cs="Times New Roman"/>
                      <w:b w:val="0"/>
                      <w:bCs w:val="0"/>
                      <w:spacing w:val="-10"/>
                      <w:sz w:val="24"/>
                      <w:szCs w:val="24"/>
                      <w:vertAlign w:val="baseline"/>
                      <w:lang w:val="en-US" w:eastAsia="zh-CN"/>
                    </w:rPr>
                    <w:t>10</w:t>
                  </w:r>
                </w:p>
              </w:tc>
            </w:tr>
          </w:tbl>
          <w:p w14:paraId="76512C6F">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textAlignment w:val="auto"/>
              <w:rPr>
                <w:rFonts w:hint="default" w:ascii="Times New Roman" w:hAnsi="Times New Roman" w:eastAsia="宋体" w:cs="Times New Roman"/>
                <w:b w:val="0"/>
                <w:bCs w:val="0"/>
                <w:spacing w:val="-10"/>
                <w:sz w:val="24"/>
                <w:szCs w:val="24"/>
                <w:lang w:val="en-US" w:eastAsia="zh-CN"/>
              </w:rPr>
            </w:pPr>
            <w:r>
              <w:rPr>
                <w:rFonts w:hint="eastAsia" w:cs="Times New Roman"/>
                <w:b/>
                <w:bCs/>
                <w:spacing w:val="-10"/>
                <w:sz w:val="24"/>
                <w:szCs w:val="24"/>
                <w:lang w:val="en-US" w:eastAsia="zh-CN"/>
              </w:rPr>
              <w:t>8</w:t>
            </w:r>
            <w:r>
              <w:rPr>
                <w:rFonts w:hint="default" w:ascii="Times New Roman" w:hAnsi="Times New Roman" w:cs="Times New Roman"/>
                <w:b/>
                <w:bCs/>
                <w:spacing w:val="-10"/>
                <w:sz w:val="24"/>
                <w:szCs w:val="24"/>
                <w:lang w:val="en-US" w:eastAsia="zh-CN"/>
              </w:rPr>
              <w:t>、</w:t>
            </w:r>
            <w:r>
              <w:rPr>
                <w:rFonts w:hint="default" w:ascii="Times New Roman" w:hAnsi="Times New Roman" w:eastAsia="宋体" w:cs="Times New Roman"/>
                <w:b/>
                <w:bCs/>
                <w:spacing w:val="-10"/>
                <w:sz w:val="24"/>
                <w:szCs w:val="24"/>
                <w:lang w:val="en-US" w:eastAsia="zh-CN"/>
              </w:rPr>
              <w:t>“三同时”验收内容</w:t>
            </w:r>
          </w:p>
          <w:p w14:paraId="1107566C">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r>
              <w:rPr>
                <w:rFonts w:hint="default" w:ascii="Times New Roman" w:hAnsi="Times New Roman" w:eastAsia="宋体" w:cs="Times New Roman"/>
                <w:b w:val="0"/>
                <w:bCs w:val="0"/>
                <w:spacing w:val="-10"/>
                <w:sz w:val="24"/>
                <w:szCs w:val="24"/>
                <w:lang w:val="en-US" w:eastAsia="zh-CN"/>
              </w:rPr>
              <w:t>本项目环保“三同时”验收内容见表</w:t>
            </w:r>
            <w:r>
              <w:rPr>
                <w:rFonts w:hint="default" w:ascii="Times New Roman" w:hAnsi="Times New Roman" w:cs="Times New Roman"/>
                <w:b w:val="0"/>
                <w:bCs w:val="0"/>
                <w:spacing w:val="-10"/>
                <w:sz w:val="24"/>
                <w:szCs w:val="24"/>
                <w:lang w:val="en-US" w:eastAsia="zh-CN"/>
              </w:rPr>
              <w:t>4-14</w:t>
            </w:r>
            <w:r>
              <w:rPr>
                <w:rFonts w:hint="default" w:ascii="Times New Roman" w:hAnsi="Times New Roman" w:eastAsia="宋体" w:cs="Times New Roman"/>
                <w:b w:val="0"/>
                <w:bCs w:val="0"/>
                <w:spacing w:val="-10"/>
                <w:sz w:val="24"/>
                <w:szCs w:val="24"/>
                <w:lang w:val="en-US" w:eastAsia="zh-CN"/>
              </w:rPr>
              <w:t>。</w:t>
            </w:r>
          </w:p>
          <w:p w14:paraId="2B99C44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spacing w:val="-10"/>
                <w:sz w:val="24"/>
                <w:szCs w:val="24"/>
                <w:lang w:val="en-US" w:eastAsia="zh-CN"/>
              </w:rPr>
            </w:pPr>
            <w:r>
              <w:rPr>
                <w:rFonts w:hint="default" w:ascii="Times New Roman" w:hAnsi="Times New Roman" w:eastAsia="宋体" w:cs="Times New Roman"/>
                <w:b/>
                <w:bCs/>
                <w:spacing w:val="-10"/>
                <w:sz w:val="24"/>
                <w:szCs w:val="24"/>
                <w:lang w:val="en-US" w:eastAsia="zh-CN"/>
              </w:rPr>
              <w:t>表4</w:t>
            </w:r>
            <w:r>
              <w:rPr>
                <w:rFonts w:hint="default" w:ascii="Times New Roman" w:hAnsi="Times New Roman" w:cs="Times New Roman"/>
                <w:b/>
                <w:bCs/>
                <w:spacing w:val="-10"/>
                <w:sz w:val="24"/>
                <w:szCs w:val="24"/>
                <w:lang w:val="en-US" w:eastAsia="zh-CN"/>
              </w:rPr>
              <w:t>-14</w:t>
            </w:r>
            <w:r>
              <w:rPr>
                <w:rFonts w:hint="default" w:ascii="Times New Roman" w:hAnsi="Times New Roman" w:eastAsia="宋体" w:cs="Times New Roman"/>
                <w:b/>
                <w:bCs/>
                <w:spacing w:val="-10"/>
                <w:sz w:val="24"/>
                <w:szCs w:val="24"/>
                <w:lang w:val="en-US" w:eastAsia="zh-CN"/>
              </w:rPr>
              <w:t>环保“三同时”验收一览表</w:t>
            </w:r>
          </w:p>
          <w:tbl>
            <w:tblPr>
              <w:tblStyle w:val="15"/>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996"/>
              <w:gridCol w:w="1260"/>
              <w:gridCol w:w="1695"/>
              <w:gridCol w:w="3275"/>
            </w:tblGrid>
            <w:tr w14:paraId="4F6C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571" w:type="dxa"/>
                  <w:noWrap w:val="0"/>
                  <w:vAlign w:val="center"/>
                </w:tcPr>
                <w:p w14:paraId="498EDC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类别</w:t>
                  </w:r>
                </w:p>
              </w:tc>
              <w:tc>
                <w:tcPr>
                  <w:tcW w:w="996" w:type="dxa"/>
                  <w:noWrap w:val="0"/>
                  <w:vAlign w:val="center"/>
                </w:tcPr>
                <w:p w14:paraId="3D5BB1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污染物</w:t>
                  </w:r>
                </w:p>
              </w:tc>
              <w:tc>
                <w:tcPr>
                  <w:tcW w:w="1260" w:type="dxa"/>
                  <w:noWrap w:val="0"/>
                  <w:vAlign w:val="center"/>
                </w:tcPr>
                <w:p w14:paraId="0878D62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验收内容</w:t>
                  </w:r>
                </w:p>
              </w:tc>
              <w:tc>
                <w:tcPr>
                  <w:tcW w:w="1695" w:type="dxa"/>
                  <w:noWrap w:val="0"/>
                  <w:vAlign w:val="center"/>
                </w:tcPr>
                <w:p w14:paraId="781D55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污染防治措施</w:t>
                  </w:r>
                </w:p>
              </w:tc>
              <w:tc>
                <w:tcPr>
                  <w:tcW w:w="3275" w:type="dxa"/>
                  <w:noWrap w:val="0"/>
                  <w:vAlign w:val="center"/>
                </w:tcPr>
                <w:p w14:paraId="5305A0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验收标准</w:t>
                  </w:r>
                </w:p>
              </w:tc>
            </w:tr>
            <w:tr w14:paraId="470E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571" w:type="dxa"/>
                  <w:noWrap w:val="0"/>
                  <w:vAlign w:val="center"/>
                </w:tcPr>
                <w:p w14:paraId="6C1FB3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废水</w:t>
                  </w:r>
                </w:p>
              </w:tc>
              <w:tc>
                <w:tcPr>
                  <w:tcW w:w="996" w:type="dxa"/>
                  <w:noWrap w:val="0"/>
                  <w:vAlign w:val="center"/>
                </w:tcPr>
                <w:p w14:paraId="706614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生活污水</w:t>
                  </w:r>
                </w:p>
              </w:tc>
              <w:tc>
                <w:tcPr>
                  <w:tcW w:w="1260" w:type="dxa"/>
                  <w:noWrap w:val="0"/>
                  <w:vAlign w:val="center"/>
                </w:tcPr>
                <w:p w14:paraId="14EED6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依托原有</w:t>
                  </w:r>
                </w:p>
              </w:tc>
              <w:tc>
                <w:tcPr>
                  <w:tcW w:w="1695" w:type="dxa"/>
                  <w:noWrap w:val="0"/>
                  <w:vAlign w:val="center"/>
                </w:tcPr>
                <w:p w14:paraId="553112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w:t>
                  </w:r>
                </w:p>
              </w:tc>
              <w:tc>
                <w:tcPr>
                  <w:tcW w:w="3275" w:type="dxa"/>
                  <w:noWrap w:val="0"/>
                  <w:vAlign w:val="center"/>
                </w:tcPr>
                <w:p w14:paraId="2002B9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w:t>
                  </w:r>
                </w:p>
              </w:tc>
            </w:tr>
            <w:tr w14:paraId="4904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571" w:type="dxa"/>
                  <w:noWrap w:val="0"/>
                  <w:vAlign w:val="center"/>
                </w:tcPr>
                <w:p w14:paraId="27F72B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噪声</w:t>
                  </w:r>
                </w:p>
              </w:tc>
              <w:tc>
                <w:tcPr>
                  <w:tcW w:w="996" w:type="dxa"/>
                  <w:noWrap w:val="0"/>
                  <w:vAlign w:val="center"/>
                </w:tcPr>
                <w:p w14:paraId="0473EE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厂界噪声</w:t>
                  </w:r>
                </w:p>
              </w:tc>
              <w:tc>
                <w:tcPr>
                  <w:tcW w:w="1260" w:type="dxa"/>
                  <w:noWrap w:val="0"/>
                  <w:vAlign w:val="center"/>
                </w:tcPr>
                <w:p w14:paraId="7E433B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等效连续A声级</w:t>
                  </w:r>
                </w:p>
              </w:tc>
              <w:tc>
                <w:tcPr>
                  <w:tcW w:w="1695" w:type="dxa"/>
                  <w:noWrap w:val="0"/>
                  <w:vAlign w:val="center"/>
                </w:tcPr>
                <w:p w14:paraId="7C16A5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运输车辆限速，选用低噪声设备</w:t>
                  </w:r>
                </w:p>
              </w:tc>
              <w:tc>
                <w:tcPr>
                  <w:tcW w:w="3275" w:type="dxa"/>
                  <w:noWrap w:val="0"/>
                  <w:vAlign w:val="center"/>
                </w:tcPr>
                <w:p w14:paraId="313246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《工业企业厂界环境噪声排放标准》（GB12348-2008）中的</w:t>
                  </w:r>
                  <w:r>
                    <w:rPr>
                      <w:rFonts w:hint="eastAsia" w:cs="Times New Roman"/>
                      <w:b w:val="0"/>
                      <w:bCs w:val="0"/>
                      <w:spacing w:val="-10"/>
                      <w:sz w:val="24"/>
                      <w:szCs w:val="24"/>
                      <w:highlight w:val="none"/>
                      <w:lang w:val="en-US" w:eastAsia="zh-CN"/>
                    </w:rPr>
                    <w:t>2类</w:t>
                  </w:r>
                </w:p>
              </w:tc>
            </w:tr>
            <w:tr w14:paraId="657C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571" w:type="dxa"/>
                  <w:noWrap w:val="0"/>
                  <w:vAlign w:val="center"/>
                </w:tcPr>
                <w:p w14:paraId="1F05A1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固废</w:t>
                  </w:r>
                </w:p>
              </w:tc>
              <w:tc>
                <w:tcPr>
                  <w:tcW w:w="7226" w:type="dxa"/>
                  <w:gridSpan w:val="4"/>
                  <w:noWrap w:val="0"/>
                  <w:vAlign w:val="center"/>
                </w:tcPr>
                <w:p w14:paraId="6A72A7B3">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val="0"/>
                      <w:bCs w:val="0"/>
                      <w:spacing w:val="-10"/>
                      <w:sz w:val="24"/>
                      <w:szCs w:val="24"/>
                      <w:highlight w:val="none"/>
                      <w:lang w:val="en-US" w:eastAsia="zh-CN"/>
                    </w:rPr>
                  </w:pPr>
                  <w:r>
                    <w:rPr>
                      <w:rFonts w:hint="eastAsia" w:cs="Times New Roman"/>
                      <w:b w:val="0"/>
                      <w:bCs w:val="0"/>
                      <w:sz w:val="24"/>
                      <w:szCs w:val="24"/>
                      <w:highlight w:val="none"/>
                      <w:lang w:val="en-US" w:eastAsia="zh-CN"/>
                    </w:rPr>
                    <w:t>本项目无新增生活垃圾产生，</w:t>
                  </w:r>
                  <w:r>
                    <w:rPr>
                      <w:rFonts w:hint="default" w:ascii="Times New Roman" w:hAnsi="Times New Roman" w:cs="Times New Roman"/>
                      <w:b w:val="0"/>
                      <w:bCs w:val="0"/>
                      <w:sz w:val="24"/>
                      <w:szCs w:val="24"/>
                      <w:highlight w:val="none"/>
                      <w:lang w:val="en-US" w:eastAsia="zh-CN"/>
                    </w:rPr>
                    <w:t>人工搬运</w:t>
                  </w:r>
                  <w:r>
                    <w:rPr>
                      <w:rFonts w:hint="eastAsia" w:cs="Times New Roman"/>
                      <w:b w:val="0"/>
                      <w:bCs w:val="0"/>
                      <w:sz w:val="24"/>
                      <w:szCs w:val="24"/>
                      <w:highlight w:val="none"/>
                      <w:lang w:val="en-US" w:eastAsia="zh-CN"/>
                    </w:rPr>
                    <w:t>危险废物</w:t>
                  </w:r>
                  <w:r>
                    <w:rPr>
                      <w:rFonts w:hint="default" w:ascii="Times New Roman" w:hAnsi="Times New Roman" w:cs="Times New Roman"/>
                      <w:b w:val="0"/>
                      <w:bCs w:val="0"/>
                      <w:sz w:val="24"/>
                      <w:szCs w:val="24"/>
                      <w:highlight w:val="none"/>
                      <w:lang w:val="en-US" w:eastAsia="zh-CN"/>
                    </w:rPr>
                    <w:t>中产生的</w:t>
                  </w:r>
                  <w:r>
                    <w:rPr>
                      <w:rFonts w:hint="eastAsia" w:cs="Times New Roman"/>
                      <w:b w:val="0"/>
                      <w:bCs w:val="0"/>
                      <w:sz w:val="24"/>
                      <w:szCs w:val="24"/>
                      <w:highlight w:val="none"/>
                      <w:lang w:val="en-US" w:eastAsia="zh-CN"/>
                    </w:rPr>
                    <w:t>沾有油污的废旧手套、抹布</w:t>
                  </w:r>
                  <w:r>
                    <w:rPr>
                      <w:rFonts w:hint="default" w:ascii="Times New Roman" w:hAnsi="Times New Roman" w:cs="Times New Roman"/>
                      <w:b w:val="0"/>
                      <w:bCs w:val="0"/>
                      <w:sz w:val="24"/>
                      <w:szCs w:val="24"/>
                      <w:highlight w:val="none"/>
                      <w:lang w:val="en-US" w:eastAsia="zh-CN"/>
                    </w:rPr>
                    <w:t>共计</w:t>
                  </w:r>
                  <w:r>
                    <w:rPr>
                      <w:rFonts w:hint="eastAsia" w:cs="Times New Roman"/>
                      <w:b w:val="0"/>
                      <w:bCs w:val="0"/>
                      <w:sz w:val="24"/>
                      <w:szCs w:val="24"/>
                      <w:highlight w:val="none"/>
                      <w:lang w:val="en-US" w:eastAsia="zh-CN"/>
                    </w:rPr>
                    <w:t>10块（双）/年</w:t>
                  </w:r>
                  <w:r>
                    <w:rPr>
                      <w:rFonts w:hint="default" w:ascii="Times New Roman" w:hAnsi="Times New Roman" w:cs="Times New Roman"/>
                      <w:b w:val="0"/>
                      <w:bCs w:val="0"/>
                      <w:sz w:val="24"/>
                      <w:szCs w:val="24"/>
                      <w:highlight w:val="none"/>
                      <w:lang w:val="en-US" w:eastAsia="zh-CN"/>
                    </w:rPr>
                    <w:t>，与危险废物一同处置。非正常情况下泄露的废液通过导流渠进入集液池中，收集后，交由有资质的单位处置。</w:t>
                  </w:r>
                </w:p>
              </w:tc>
            </w:tr>
            <w:tr w14:paraId="0CD1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571" w:type="dxa"/>
                  <w:noWrap w:val="0"/>
                  <w:vAlign w:val="center"/>
                </w:tcPr>
                <w:p w14:paraId="0F8D7C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风险</w:t>
                  </w:r>
                </w:p>
              </w:tc>
              <w:tc>
                <w:tcPr>
                  <w:tcW w:w="7226" w:type="dxa"/>
                  <w:gridSpan w:val="4"/>
                  <w:noWrap w:val="0"/>
                  <w:vAlign w:val="center"/>
                </w:tcPr>
                <w:p w14:paraId="170274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cs="Times New Roman"/>
                      <w:b w:val="0"/>
                      <w:bCs w:val="0"/>
                      <w:spacing w:val="-10"/>
                      <w:sz w:val="24"/>
                      <w:szCs w:val="24"/>
                      <w:highlight w:val="none"/>
                      <w:lang w:val="en-US" w:eastAsia="zh-CN"/>
                    </w:rPr>
                    <w:t>危险废物贮存库</w:t>
                  </w:r>
                  <w:r>
                    <w:rPr>
                      <w:rFonts w:hint="default" w:ascii="Times New Roman" w:hAnsi="Times New Roman" w:eastAsia="宋体" w:cs="Times New Roman"/>
                      <w:b w:val="0"/>
                      <w:bCs w:val="0"/>
                      <w:spacing w:val="-10"/>
                      <w:sz w:val="24"/>
                      <w:szCs w:val="24"/>
                      <w:highlight w:val="none"/>
                      <w:lang w:val="en-US" w:eastAsia="zh-CN"/>
                    </w:rPr>
                    <w:t>设置导流渠、集液池，导流渠与集液池相连，收集事故状态下的</w:t>
                  </w:r>
                  <w:r>
                    <w:rPr>
                      <w:rFonts w:hint="eastAsia" w:cs="Times New Roman"/>
                      <w:b w:val="0"/>
                      <w:bCs w:val="0"/>
                      <w:spacing w:val="-10"/>
                      <w:sz w:val="24"/>
                      <w:szCs w:val="24"/>
                      <w:highlight w:val="none"/>
                      <w:lang w:val="en-US" w:eastAsia="zh-CN"/>
                    </w:rPr>
                    <w:t>废液</w:t>
                  </w:r>
                  <w:r>
                    <w:rPr>
                      <w:rFonts w:hint="default" w:ascii="Times New Roman" w:hAnsi="Times New Roman" w:eastAsia="宋体" w:cs="Times New Roman"/>
                      <w:b w:val="0"/>
                      <w:bCs w:val="0"/>
                      <w:spacing w:val="-10"/>
                      <w:sz w:val="24"/>
                      <w:szCs w:val="24"/>
                      <w:highlight w:val="none"/>
                      <w:lang w:val="en-US" w:eastAsia="zh-CN"/>
                    </w:rPr>
                    <w:t>，危险废物贮存库设置警示标志，</w:t>
                  </w:r>
                  <w:r>
                    <w:rPr>
                      <w:rFonts w:hint="default" w:ascii="Times New Roman" w:hAnsi="Times New Roman" w:cs="Times New Roman"/>
                      <w:b w:val="0"/>
                      <w:bCs w:val="0"/>
                      <w:spacing w:val="-10"/>
                      <w:sz w:val="24"/>
                      <w:szCs w:val="24"/>
                      <w:highlight w:val="none"/>
                      <w:lang w:val="en-US" w:eastAsia="zh-CN"/>
                    </w:rPr>
                    <w:t>危险废物标识参照《危险废物识别标志设置技术规范》（HJ1276-2022）设置。</w:t>
                  </w:r>
                </w:p>
              </w:tc>
            </w:tr>
            <w:tr w14:paraId="6B31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571" w:type="dxa"/>
                  <w:noWrap w:val="0"/>
                  <w:vAlign w:val="center"/>
                </w:tcPr>
                <w:p w14:paraId="65C419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pacing w:val="-10"/>
                      <w:sz w:val="24"/>
                      <w:szCs w:val="24"/>
                      <w:highlight w:val="none"/>
                      <w:lang w:val="en-US" w:eastAsia="zh-CN"/>
                    </w:rPr>
                    <w:t>防渗</w:t>
                  </w:r>
                </w:p>
              </w:tc>
              <w:tc>
                <w:tcPr>
                  <w:tcW w:w="7226" w:type="dxa"/>
                  <w:gridSpan w:val="4"/>
                  <w:noWrap w:val="0"/>
                  <w:vAlign w:val="center"/>
                </w:tcPr>
                <w:p w14:paraId="197C3A21">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val="0"/>
                      <w:bCs w:val="0"/>
                      <w:spacing w:val="-1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危险废物贮存库地面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default" w:ascii="Times New Roman" w:hAnsi="Times New Roman" w:eastAsia="宋体" w:cs="Times New Roman"/>
                      <w:b w:val="0"/>
                      <w:bCs w:val="0"/>
                      <w:sz w:val="24"/>
                      <w:szCs w:val="24"/>
                      <w:highlight w:val="none"/>
                      <w:vertAlign w:val="superscript"/>
                      <w:lang w:val="en-US" w:eastAsia="zh-CN"/>
                    </w:rPr>
                    <w:t>-10</w:t>
                  </w:r>
                  <w:r>
                    <w:rPr>
                      <w:rFonts w:hint="default" w:ascii="Times New Roman" w:hAnsi="Times New Roman" w:eastAsia="宋体" w:cs="Times New Roman"/>
                      <w:b w:val="0"/>
                      <w:bCs w:val="0"/>
                      <w:sz w:val="24"/>
                      <w:szCs w:val="24"/>
                      <w:highlight w:val="none"/>
                      <w:lang w:val="en-US" w:eastAsia="zh-CN"/>
                    </w:rPr>
                    <w:t>cm/s。</w:t>
                  </w:r>
                </w:p>
              </w:tc>
            </w:tr>
          </w:tbl>
          <w:p w14:paraId="7146D0BD">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 w:val="0"/>
                <w:bCs w:val="0"/>
                <w:spacing w:val="-10"/>
                <w:sz w:val="24"/>
                <w:szCs w:val="24"/>
                <w:lang w:val="en-US" w:eastAsia="zh-CN"/>
              </w:rPr>
            </w:pPr>
          </w:p>
        </w:tc>
      </w:tr>
    </w:tbl>
    <w:p w14:paraId="037D2D6D">
      <w:pPr>
        <w:adjustRightInd w:val="0"/>
        <w:snapToGrid w:val="0"/>
        <w:spacing w:line="360" w:lineRule="auto"/>
        <w:rPr>
          <w:rFonts w:hint="default" w:ascii="Times New Roman" w:hAnsi="Times New Roman" w:cs="Times New Roman"/>
          <w:b/>
          <w:kern w:val="0"/>
          <w:sz w:val="28"/>
          <w:szCs w:val="28"/>
        </w:rPr>
        <w:sectPr>
          <w:pgSz w:w="11907" w:h="16840"/>
          <w:pgMar w:top="1440" w:right="1800" w:bottom="1440" w:left="1800" w:header="851" w:footer="1077" w:gutter="0"/>
          <w:pgBorders>
            <w:top w:val="none" w:sz="0" w:space="0"/>
            <w:left w:val="none" w:sz="0" w:space="0"/>
            <w:bottom w:val="none" w:sz="0" w:space="0"/>
            <w:right w:val="none" w:sz="0" w:space="0"/>
          </w:pgBorders>
          <w:pgNumType w:fmt="numberInDash"/>
          <w:cols w:space="720" w:num="1"/>
          <w:docGrid w:linePitch="312" w:charSpace="0"/>
        </w:sectPr>
      </w:pPr>
    </w:p>
    <w:p w14:paraId="355CFBBB">
      <w:pPr>
        <w:pStyle w:val="13"/>
        <w:ind w:left="0" w:leftChars="0" w:firstLine="0" w:firstLineChars="0"/>
        <w:jc w:val="center"/>
        <w:outlineLvl w:val="0"/>
        <w:rPr>
          <w:rFonts w:hint="default" w:ascii="Times New Roman" w:hAnsi="Times New Roman" w:eastAsia="黑体" w:cs="Times New Roman"/>
          <w:snapToGrid w:val="0"/>
          <w:sz w:val="30"/>
          <w:szCs w:val="30"/>
        </w:rPr>
      </w:pPr>
      <w:r>
        <w:rPr>
          <w:rFonts w:hint="default" w:ascii="Times New Roman" w:hAnsi="Times New Roman" w:eastAsia="黑体" w:cs="Times New Roman"/>
          <w:snapToGrid w:val="0"/>
          <w:sz w:val="30"/>
          <w:szCs w:val="30"/>
        </w:rPr>
        <w:t>五、</w:t>
      </w:r>
      <w:bookmarkStart w:id="2" w:name="_Hlk54167917"/>
      <w:r>
        <w:rPr>
          <w:rFonts w:hint="default" w:ascii="Times New Roman" w:hAnsi="Times New Roman" w:eastAsia="黑体" w:cs="Times New Roman"/>
          <w:snapToGrid w:val="0"/>
          <w:sz w:val="30"/>
          <w:szCs w:val="30"/>
        </w:rPr>
        <w:t>环境保护措施监督检查清单</w:t>
      </w:r>
      <w:bookmarkEnd w:id="2"/>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1745"/>
        <w:gridCol w:w="1500"/>
        <w:gridCol w:w="1678"/>
        <w:gridCol w:w="2279"/>
      </w:tblGrid>
      <w:tr w14:paraId="448380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98" w:type="dxa"/>
            <w:tcBorders>
              <w:tl2br w:val="single" w:color="auto" w:sz="4" w:space="0"/>
            </w:tcBorders>
            <w:noWrap w:val="0"/>
            <w:vAlign w:val="top"/>
          </w:tcPr>
          <w:p w14:paraId="4F6E6422">
            <w:pPr>
              <w:keepNext w:val="0"/>
              <w:keepLines w:val="0"/>
              <w:pageBreakBefore w:val="0"/>
              <w:widowControl w:val="0"/>
              <w:kinsoku/>
              <w:wordWrap/>
              <w:overflowPunct/>
              <w:topLinePunct w:val="0"/>
              <w:autoSpaceDE/>
              <w:autoSpaceDN/>
              <w:bidi w:val="0"/>
              <w:adjustRightInd w:val="0"/>
              <w:snapToGrid w:val="0"/>
              <w:spacing w:line="240" w:lineRule="auto"/>
              <w:ind w:firstLine="720" w:firstLineChars="300"/>
              <w:textAlignment w:val="auto"/>
              <w:rPr>
                <w:rFonts w:hint="default" w:ascii="Times New Roman" w:hAnsi="Times New Roman" w:cs="Times New Roman"/>
                <w:sz w:val="24"/>
                <w:szCs w:val="24"/>
              </w:rPr>
            </w:pPr>
            <w:r>
              <w:rPr>
                <w:rFonts w:hint="default" w:ascii="Times New Roman" w:hAnsi="Times New Roman" w:cs="Times New Roman"/>
                <w:sz w:val="24"/>
                <w:szCs w:val="24"/>
              </w:rPr>
              <w:t>内容</w:t>
            </w:r>
          </w:p>
          <w:p w14:paraId="5FEFAA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要素</w:t>
            </w:r>
          </w:p>
        </w:tc>
        <w:tc>
          <w:tcPr>
            <w:tcW w:w="1745" w:type="dxa"/>
            <w:noWrap w:val="0"/>
            <w:vAlign w:val="center"/>
          </w:tcPr>
          <w:p w14:paraId="346BFD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排放口(编号、</w:t>
            </w:r>
          </w:p>
          <w:p w14:paraId="41A1FD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名称)/污染源</w:t>
            </w:r>
          </w:p>
        </w:tc>
        <w:tc>
          <w:tcPr>
            <w:tcW w:w="1500" w:type="dxa"/>
            <w:noWrap w:val="0"/>
            <w:vAlign w:val="center"/>
          </w:tcPr>
          <w:p w14:paraId="75C86A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污染物项目</w:t>
            </w:r>
          </w:p>
        </w:tc>
        <w:tc>
          <w:tcPr>
            <w:tcW w:w="1678" w:type="dxa"/>
            <w:noWrap w:val="0"/>
            <w:vAlign w:val="center"/>
          </w:tcPr>
          <w:p w14:paraId="6C6283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环境保护措施</w:t>
            </w:r>
          </w:p>
        </w:tc>
        <w:tc>
          <w:tcPr>
            <w:tcW w:w="2279" w:type="dxa"/>
            <w:noWrap w:val="0"/>
            <w:vAlign w:val="center"/>
          </w:tcPr>
          <w:p w14:paraId="3F3F13A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执行标准</w:t>
            </w:r>
          </w:p>
        </w:tc>
      </w:tr>
      <w:tr w14:paraId="2B6416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98" w:type="dxa"/>
            <w:noWrap w:val="0"/>
            <w:vAlign w:val="center"/>
          </w:tcPr>
          <w:p w14:paraId="08920A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大气环境</w:t>
            </w:r>
          </w:p>
        </w:tc>
        <w:tc>
          <w:tcPr>
            <w:tcW w:w="1745" w:type="dxa"/>
            <w:noWrap w:val="0"/>
            <w:vAlign w:val="center"/>
          </w:tcPr>
          <w:p w14:paraId="532408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eastAsia" w:cs="Times New Roman"/>
                <w:sz w:val="24"/>
                <w:szCs w:val="24"/>
                <w:lang w:val="en-US" w:eastAsia="zh-CN"/>
              </w:rPr>
              <w:t>/</w:t>
            </w:r>
          </w:p>
        </w:tc>
        <w:tc>
          <w:tcPr>
            <w:tcW w:w="1500" w:type="dxa"/>
            <w:noWrap w:val="0"/>
            <w:vAlign w:val="center"/>
          </w:tcPr>
          <w:p w14:paraId="7607E6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4"/>
                <w:szCs w:val="24"/>
                <w:lang w:val="en-US" w:eastAsia="zh-CN"/>
              </w:rPr>
            </w:pPr>
            <w:r>
              <w:rPr>
                <w:rFonts w:hint="eastAsia" w:cs="Times New Roman"/>
                <w:sz w:val="24"/>
                <w:szCs w:val="24"/>
                <w:lang w:val="en-US" w:eastAsia="zh-CN"/>
              </w:rPr>
              <w:t>/</w:t>
            </w:r>
          </w:p>
        </w:tc>
        <w:tc>
          <w:tcPr>
            <w:tcW w:w="1678" w:type="dxa"/>
            <w:noWrap w:val="0"/>
            <w:vAlign w:val="center"/>
          </w:tcPr>
          <w:p w14:paraId="4AABAA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4"/>
                <w:szCs w:val="24"/>
                <w:lang w:val="en-US" w:eastAsia="zh-CN"/>
              </w:rPr>
            </w:pPr>
            <w:r>
              <w:rPr>
                <w:rFonts w:hint="eastAsia" w:cs="Times New Roman"/>
                <w:sz w:val="24"/>
                <w:szCs w:val="24"/>
                <w:lang w:val="en-US" w:eastAsia="zh-CN"/>
              </w:rPr>
              <w:t>/</w:t>
            </w:r>
          </w:p>
        </w:tc>
        <w:tc>
          <w:tcPr>
            <w:tcW w:w="2279" w:type="dxa"/>
            <w:noWrap w:val="0"/>
            <w:vAlign w:val="center"/>
          </w:tcPr>
          <w:p w14:paraId="6ECF3C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4"/>
                <w:szCs w:val="24"/>
                <w:lang w:val="en-US" w:eastAsia="zh-CN"/>
              </w:rPr>
            </w:pPr>
            <w:r>
              <w:rPr>
                <w:rFonts w:hint="eastAsia" w:cs="Times New Roman"/>
                <w:sz w:val="24"/>
                <w:szCs w:val="24"/>
                <w:lang w:val="en-US" w:eastAsia="zh-CN"/>
              </w:rPr>
              <w:t>/</w:t>
            </w:r>
          </w:p>
        </w:tc>
      </w:tr>
      <w:tr w14:paraId="1610C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98" w:type="dxa"/>
            <w:noWrap w:val="0"/>
            <w:vAlign w:val="center"/>
          </w:tcPr>
          <w:p w14:paraId="74ACEB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地表水环境</w:t>
            </w:r>
          </w:p>
        </w:tc>
        <w:tc>
          <w:tcPr>
            <w:tcW w:w="1745" w:type="dxa"/>
            <w:noWrap w:val="0"/>
            <w:vAlign w:val="center"/>
          </w:tcPr>
          <w:p w14:paraId="3DE7D4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1500" w:type="dxa"/>
            <w:noWrap w:val="0"/>
            <w:vAlign w:val="center"/>
          </w:tcPr>
          <w:p w14:paraId="0E2DE4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1678" w:type="dxa"/>
            <w:noWrap w:val="0"/>
            <w:vAlign w:val="center"/>
          </w:tcPr>
          <w:p w14:paraId="22A245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2279" w:type="dxa"/>
            <w:noWrap w:val="0"/>
            <w:vAlign w:val="center"/>
          </w:tcPr>
          <w:p w14:paraId="20B2C2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r>
      <w:tr w14:paraId="5C98C9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25" w:hRule="atLeast"/>
          <w:jc w:val="center"/>
        </w:trPr>
        <w:tc>
          <w:tcPr>
            <w:tcW w:w="1598" w:type="dxa"/>
            <w:noWrap w:val="0"/>
            <w:vAlign w:val="center"/>
          </w:tcPr>
          <w:p w14:paraId="428E81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声环境</w:t>
            </w:r>
          </w:p>
        </w:tc>
        <w:tc>
          <w:tcPr>
            <w:tcW w:w="1745" w:type="dxa"/>
            <w:noWrap w:val="0"/>
            <w:vAlign w:val="center"/>
          </w:tcPr>
          <w:p w14:paraId="6711BB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rPr>
              <w:t>车辆运输、轴流风机</w:t>
            </w:r>
          </w:p>
        </w:tc>
        <w:tc>
          <w:tcPr>
            <w:tcW w:w="1500" w:type="dxa"/>
            <w:noWrap w:val="0"/>
            <w:vAlign w:val="center"/>
          </w:tcPr>
          <w:p w14:paraId="0D6579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噪声</w:t>
            </w:r>
          </w:p>
        </w:tc>
        <w:tc>
          <w:tcPr>
            <w:tcW w:w="1678" w:type="dxa"/>
            <w:noWrap w:val="0"/>
            <w:vAlign w:val="center"/>
          </w:tcPr>
          <w:p w14:paraId="0FA562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rPr>
              <w:t>选用低噪声设备，减速慢行，禁止鸣笛</w:t>
            </w:r>
          </w:p>
        </w:tc>
        <w:tc>
          <w:tcPr>
            <w:tcW w:w="2279" w:type="dxa"/>
            <w:noWrap w:val="0"/>
            <w:vAlign w:val="center"/>
          </w:tcPr>
          <w:p w14:paraId="19B1FC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rPr>
              <w:t>厂界环境噪声满足《工业企业厂界环境噪声排放标准》(GB12348-2008)中</w:t>
            </w:r>
            <w:r>
              <w:rPr>
                <w:rFonts w:hint="eastAsia" w:cs="Times New Roman"/>
                <w:sz w:val="24"/>
                <w:lang w:val="en-US" w:eastAsia="zh-CN"/>
              </w:rPr>
              <w:t>2类</w:t>
            </w:r>
            <w:r>
              <w:rPr>
                <w:rFonts w:hint="default" w:ascii="Times New Roman" w:hAnsi="Times New Roman" w:cs="Times New Roman"/>
                <w:sz w:val="24"/>
              </w:rPr>
              <w:t>标准</w:t>
            </w:r>
          </w:p>
        </w:tc>
      </w:tr>
      <w:tr w14:paraId="1331FB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1598" w:type="dxa"/>
            <w:noWrap w:val="0"/>
            <w:vAlign w:val="center"/>
          </w:tcPr>
          <w:p w14:paraId="0CE78C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电磁辐射</w:t>
            </w:r>
          </w:p>
        </w:tc>
        <w:tc>
          <w:tcPr>
            <w:tcW w:w="1745" w:type="dxa"/>
            <w:noWrap w:val="0"/>
            <w:vAlign w:val="center"/>
          </w:tcPr>
          <w:p w14:paraId="7FF0E4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1500" w:type="dxa"/>
            <w:noWrap w:val="0"/>
            <w:vAlign w:val="center"/>
          </w:tcPr>
          <w:p w14:paraId="4A5C07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1678" w:type="dxa"/>
            <w:noWrap w:val="0"/>
            <w:vAlign w:val="center"/>
          </w:tcPr>
          <w:p w14:paraId="506111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c>
          <w:tcPr>
            <w:tcW w:w="2279" w:type="dxa"/>
            <w:noWrap w:val="0"/>
            <w:vAlign w:val="center"/>
          </w:tcPr>
          <w:p w14:paraId="793F25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r>
      <w:tr w14:paraId="0AE0E9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598" w:type="dxa"/>
            <w:noWrap w:val="0"/>
            <w:vAlign w:val="center"/>
          </w:tcPr>
          <w:p w14:paraId="2FE2BD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固体废物</w:t>
            </w:r>
          </w:p>
        </w:tc>
        <w:tc>
          <w:tcPr>
            <w:tcW w:w="7202" w:type="dxa"/>
            <w:gridSpan w:val="4"/>
            <w:noWrap w:val="0"/>
            <w:vAlign w:val="center"/>
          </w:tcPr>
          <w:p w14:paraId="3E4C1266">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eastAsia" w:cs="Times New Roman"/>
                <w:b w:val="0"/>
                <w:bCs w:val="0"/>
                <w:sz w:val="24"/>
                <w:szCs w:val="24"/>
                <w:lang w:val="en-US" w:eastAsia="zh-CN"/>
              </w:rPr>
            </w:pPr>
            <w:r>
              <w:rPr>
                <w:rFonts w:hint="eastAsia" w:cs="Times New Roman"/>
                <w:b w:val="0"/>
                <w:bCs w:val="0"/>
                <w:sz w:val="24"/>
                <w:szCs w:val="24"/>
                <w:lang w:val="en-US" w:eastAsia="zh-CN"/>
              </w:rPr>
              <w:t>伊金霍洛旗澎源供水有限责任公司实验室产生的实验废液、变质或者失效的药剂、废活性炭、废反渗透膜暂存于危险废物贮存库内，定期交由有资质单位进行处置；</w:t>
            </w:r>
          </w:p>
          <w:p w14:paraId="039641B5">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val="0"/>
                <w:bCs w:val="0"/>
                <w:kern w:val="18"/>
                <w:sz w:val="24"/>
                <w:szCs w:val="24"/>
                <w:highlight w:val="none"/>
                <w:lang w:val="en-US" w:eastAsia="zh-CN" w:bidi="ar-SA"/>
              </w:rPr>
            </w:pPr>
            <w:r>
              <w:rPr>
                <w:rFonts w:hint="eastAsia" w:cs="Times New Roman"/>
                <w:b w:val="0"/>
                <w:bCs w:val="0"/>
                <w:sz w:val="24"/>
                <w:szCs w:val="24"/>
                <w:highlight w:val="none"/>
                <w:lang w:val="en-US" w:eastAsia="zh-CN"/>
              </w:rPr>
              <w:t>本项目无新增生活垃圾产生，</w:t>
            </w:r>
            <w:r>
              <w:rPr>
                <w:rFonts w:hint="default" w:ascii="Times New Roman" w:hAnsi="Times New Roman" w:cs="Times New Roman"/>
                <w:b w:val="0"/>
                <w:bCs w:val="0"/>
                <w:sz w:val="24"/>
                <w:szCs w:val="24"/>
                <w:highlight w:val="none"/>
                <w:lang w:val="en-US" w:eastAsia="zh-CN"/>
              </w:rPr>
              <w:t>人工搬运</w:t>
            </w:r>
            <w:r>
              <w:rPr>
                <w:rFonts w:hint="eastAsia" w:cs="Times New Roman"/>
                <w:b w:val="0"/>
                <w:bCs w:val="0"/>
                <w:sz w:val="24"/>
                <w:szCs w:val="24"/>
                <w:highlight w:val="none"/>
                <w:lang w:val="en-US" w:eastAsia="zh-CN"/>
              </w:rPr>
              <w:t>危险废物</w:t>
            </w:r>
            <w:r>
              <w:rPr>
                <w:rFonts w:hint="default" w:ascii="Times New Roman" w:hAnsi="Times New Roman" w:cs="Times New Roman"/>
                <w:b w:val="0"/>
                <w:bCs w:val="0"/>
                <w:sz w:val="24"/>
                <w:szCs w:val="24"/>
                <w:highlight w:val="none"/>
                <w:lang w:val="en-US" w:eastAsia="zh-CN"/>
              </w:rPr>
              <w:t>中产生的</w:t>
            </w:r>
            <w:r>
              <w:rPr>
                <w:rFonts w:hint="eastAsia" w:cs="Times New Roman"/>
                <w:b w:val="0"/>
                <w:bCs w:val="0"/>
                <w:sz w:val="24"/>
                <w:szCs w:val="24"/>
                <w:highlight w:val="none"/>
                <w:lang w:val="en-US" w:eastAsia="zh-CN"/>
              </w:rPr>
              <w:t>沾有油污的废旧手套、抹布</w:t>
            </w:r>
            <w:r>
              <w:rPr>
                <w:rFonts w:hint="default" w:ascii="Times New Roman" w:hAnsi="Times New Roman" w:cs="Times New Roman"/>
                <w:b w:val="0"/>
                <w:bCs w:val="0"/>
                <w:sz w:val="24"/>
                <w:szCs w:val="24"/>
                <w:highlight w:val="none"/>
                <w:lang w:val="en-US" w:eastAsia="zh-CN"/>
              </w:rPr>
              <w:t>共计</w:t>
            </w:r>
            <w:r>
              <w:rPr>
                <w:rFonts w:hint="eastAsia" w:cs="Times New Roman"/>
                <w:b w:val="0"/>
                <w:bCs w:val="0"/>
                <w:sz w:val="24"/>
                <w:szCs w:val="24"/>
                <w:highlight w:val="none"/>
                <w:lang w:val="en-US" w:eastAsia="zh-CN"/>
              </w:rPr>
              <w:t>10块（双）/年</w:t>
            </w:r>
            <w:r>
              <w:rPr>
                <w:rFonts w:hint="default" w:ascii="Times New Roman" w:hAnsi="Times New Roman" w:cs="Times New Roman"/>
                <w:b w:val="0"/>
                <w:bCs w:val="0"/>
                <w:sz w:val="24"/>
                <w:szCs w:val="24"/>
                <w:highlight w:val="none"/>
                <w:lang w:val="en-US" w:eastAsia="zh-CN"/>
              </w:rPr>
              <w:t>，与危险废物一同处置。非正常情况下泄露的废液通过导流渠进入集液池中，收集后，交由有资质的单位处置。</w:t>
            </w:r>
          </w:p>
        </w:tc>
      </w:tr>
      <w:tr w14:paraId="0E5201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598" w:type="dxa"/>
            <w:noWrap w:val="0"/>
            <w:vAlign w:val="center"/>
          </w:tcPr>
          <w:p w14:paraId="0203B2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土壤及地下水污染防治措施</w:t>
            </w:r>
          </w:p>
        </w:tc>
        <w:tc>
          <w:tcPr>
            <w:tcW w:w="7202" w:type="dxa"/>
            <w:gridSpan w:val="4"/>
            <w:noWrap w:val="0"/>
            <w:vAlign w:val="center"/>
          </w:tcPr>
          <w:p w14:paraId="6E780842">
            <w:pPr>
              <w:pStyle w:val="22"/>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val="0"/>
                <w:bCs w:val="0"/>
                <w:kern w:val="18"/>
                <w:sz w:val="24"/>
                <w:szCs w:val="24"/>
                <w:highlight w:val="none"/>
                <w:lang w:val="en-US" w:eastAsia="zh-CN" w:bidi="ar-SA"/>
              </w:rPr>
            </w:pPr>
            <w:r>
              <w:rPr>
                <w:rFonts w:hint="default" w:ascii="Times New Roman" w:hAnsi="Times New Roman" w:eastAsia="宋体" w:cs="Times New Roman"/>
                <w:b w:val="0"/>
                <w:bCs w:val="0"/>
                <w:sz w:val="24"/>
                <w:szCs w:val="24"/>
                <w:highlight w:val="none"/>
                <w:lang w:val="en-US" w:eastAsia="zh-CN"/>
              </w:rPr>
              <w:t>危险废物贮存库地面</w:t>
            </w:r>
            <w:r>
              <w:rPr>
                <w:rFonts w:hint="eastAsia" w:ascii="Times New Roman" w:hAnsi="Times New Roman" w:eastAsia="宋体" w:cs="Times New Roman"/>
                <w:b w:val="0"/>
                <w:bCs w:val="0"/>
                <w:sz w:val="24"/>
                <w:szCs w:val="24"/>
                <w:highlight w:val="none"/>
                <w:lang w:val="en-US" w:eastAsia="zh-CN"/>
              </w:rPr>
              <w:t>、导流渠、集液池</w:t>
            </w:r>
            <w:r>
              <w:rPr>
                <w:rFonts w:hint="default" w:ascii="Times New Roman" w:hAnsi="Times New Roman" w:eastAsia="宋体" w:cs="Times New Roman"/>
                <w:b w:val="0"/>
                <w:bCs w:val="0"/>
                <w:sz w:val="24"/>
                <w:szCs w:val="24"/>
                <w:highlight w:val="none"/>
                <w:lang w:val="en-US" w:eastAsia="zh-CN"/>
              </w:rPr>
              <w:t>要求硬化、耐腐蚀、防渗漏，且表面无裂隙。最下层用三合土夯实，上面铺设2mm厚HDPE高密度聚乙烯防渗膜，上面浇筑抗渗混凝土，然后做2-4mm厚环氧树脂防腐，库内设70cm高墙裙作为围堰，地面与墙裙自流平，地面预留伸缩缝。保证构筑物渗透系数不大于1.0×10</w:t>
            </w:r>
            <w:r>
              <w:rPr>
                <w:rFonts w:hint="default" w:ascii="Times New Roman" w:hAnsi="Times New Roman" w:eastAsia="宋体" w:cs="Times New Roman"/>
                <w:b w:val="0"/>
                <w:bCs w:val="0"/>
                <w:sz w:val="24"/>
                <w:szCs w:val="24"/>
                <w:highlight w:val="none"/>
                <w:vertAlign w:val="superscript"/>
                <w:lang w:val="en-US" w:eastAsia="zh-CN"/>
              </w:rPr>
              <w:t>-10</w:t>
            </w:r>
            <w:r>
              <w:rPr>
                <w:rFonts w:hint="default" w:ascii="Times New Roman" w:hAnsi="Times New Roman" w:eastAsia="宋体" w:cs="Times New Roman"/>
                <w:b w:val="0"/>
                <w:bCs w:val="0"/>
                <w:sz w:val="24"/>
                <w:szCs w:val="24"/>
                <w:highlight w:val="none"/>
                <w:lang w:val="en-US" w:eastAsia="zh-CN"/>
              </w:rPr>
              <w:t>cm/s。</w:t>
            </w:r>
          </w:p>
        </w:tc>
      </w:tr>
      <w:tr w14:paraId="511307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598" w:type="dxa"/>
            <w:noWrap w:val="0"/>
            <w:vAlign w:val="center"/>
          </w:tcPr>
          <w:p w14:paraId="203999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生态保护措施</w:t>
            </w:r>
          </w:p>
        </w:tc>
        <w:tc>
          <w:tcPr>
            <w:tcW w:w="7202" w:type="dxa"/>
            <w:gridSpan w:val="4"/>
            <w:noWrap w:val="0"/>
            <w:vAlign w:val="center"/>
          </w:tcPr>
          <w:p w14:paraId="5DC5DC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w:t>
            </w:r>
          </w:p>
        </w:tc>
      </w:tr>
      <w:tr w14:paraId="004399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598" w:type="dxa"/>
            <w:noWrap w:val="0"/>
            <w:vAlign w:val="center"/>
          </w:tcPr>
          <w:p w14:paraId="695713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pacing w:val="-8"/>
                <w:sz w:val="24"/>
                <w:szCs w:val="24"/>
              </w:rPr>
            </w:pPr>
            <w:r>
              <w:rPr>
                <w:rFonts w:hint="default" w:ascii="Times New Roman" w:hAnsi="Times New Roman" w:cs="Times New Roman"/>
                <w:spacing w:val="-8"/>
                <w:sz w:val="24"/>
                <w:szCs w:val="24"/>
              </w:rPr>
              <w:t>环境风险</w:t>
            </w:r>
          </w:p>
          <w:p w14:paraId="3FAFAA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pacing w:val="-8"/>
                <w:sz w:val="24"/>
                <w:szCs w:val="24"/>
              </w:rPr>
            </w:pPr>
            <w:r>
              <w:rPr>
                <w:rFonts w:hint="default" w:ascii="Times New Roman" w:hAnsi="Times New Roman" w:cs="Times New Roman"/>
                <w:spacing w:val="-8"/>
                <w:sz w:val="24"/>
                <w:szCs w:val="24"/>
              </w:rPr>
              <w:t>防范措施</w:t>
            </w:r>
          </w:p>
        </w:tc>
        <w:tc>
          <w:tcPr>
            <w:tcW w:w="7202" w:type="dxa"/>
            <w:gridSpan w:val="4"/>
            <w:noWrap w:val="0"/>
            <w:vAlign w:val="center"/>
          </w:tcPr>
          <w:p w14:paraId="1880EA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sz w:val="24"/>
              </w:rPr>
            </w:pPr>
            <w:r>
              <w:rPr>
                <w:rFonts w:hint="default" w:ascii="Times New Roman" w:hAnsi="Times New Roman" w:cs="Times New Roman"/>
                <w:sz w:val="24"/>
              </w:rPr>
              <w:t>①划定禁火区域，禁绝一切火源。</w:t>
            </w:r>
          </w:p>
          <w:p w14:paraId="52CE13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sz w:val="24"/>
              </w:rPr>
            </w:pPr>
            <w:r>
              <w:rPr>
                <w:rFonts w:hint="default" w:ascii="Times New Roman" w:hAnsi="Times New Roman" w:cs="Times New Roman"/>
                <w:sz w:val="24"/>
              </w:rPr>
              <w:t>②配置消防器材、加强防爆电气设备的日常巡视和检查工作。</w:t>
            </w:r>
          </w:p>
          <w:p w14:paraId="2D246D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sz w:val="24"/>
              </w:rPr>
            </w:pPr>
            <w:r>
              <w:rPr>
                <w:rFonts w:hint="default" w:ascii="Times New Roman" w:hAnsi="Times New Roman" w:cs="Times New Roman"/>
                <w:sz w:val="24"/>
              </w:rPr>
              <w:t>③应保证有减轻事故危害与确保现场人员有足够的抢救或撤离时间等方面的技术措施。</w:t>
            </w:r>
          </w:p>
          <w:p w14:paraId="770E5F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sz w:val="24"/>
              </w:rPr>
            </w:pPr>
            <w:r>
              <w:rPr>
                <w:rFonts w:hint="default" w:ascii="Times New Roman" w:hAnsi="Times New Roman" w:cs="Times New Roman"/>
                <w:sz w:val="24"/>
              </w:rPr>
              <w:t>④</w:t>
            </w:r>
            <w:r>
              <w:rPr>
                <w:rFonts w:hint="default" w:ascii="Times New Roman" w:hAnsi="Times New Roman" w:cs="Times New Roman"/>
                <w:sz w:val="24"/>
                <w:lang w:eastAsia="zh-CN"/>
              </w:rPr>
              <w:t>危险废物贮存库</w:t>
            </w:r>
            <w:r>
              <w:rPr>
                <w:rFonts w:hint="default" w:ascii="Times New Roman" w:hAnsi="Times New Roman" w:cs="Times New Roman"/>
                <w:sz w:val="24"/>
              </w:rPr>
              <w:t>内设置集液池，用来收集库内发生泄漏时产生的废液，渗透系数</w:t>
            </w:r>
            <w:r>
              <w:rPr>
                <w:rFonts w:hint="eastAsia" w:cs="Times New Roman"/>
                <w:sz w:val="24"/>
                <w:lang w:eastAsia="zh-CN"/>
              </w:rPr>
              <w:t>≤</w:t>
            </w:r>
            <w:r>
              <w:rPr>
                <w:rFonts w:hint="default" w:ascii="Times New Roman" w:hAnsi="Times New Roman" w:cs="Times New Roman"/>
                <w:sz w:val="24"/>
              </w:rPr>
              <w:t>10</w:t>
            </w:r>
            <w:r>
              <w:rPr>
                <w:rFonts w:hint="default" w:ascii="Times New Roman" w:hAnsi="Times New Roman" w:cs="Times New Roman"/>
                <w:sz w:val="24"/>
                <w:vertAlign w:val="superscript"/>
              </w:rPr>
              <w:t>-10</w:t>
            </w:r>
            <w:r>
              <w:rPr>
                <w:rFonts w:hint="default" w:ascii="Times New Roman" w:hAnsi="Times New Roman" w:cs="Times New Roman"/>
                <w:sz w:val="24"/>
              </w:rPr>
              <w:t>cm/s。</w:t>
            </w:r>
          </w:p>
          <w:p w14:paraId="57F04D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rPr>
              <w:t>⑤在事故状态下，废液经集液池收集、消防废水经集液池收集后委托有资质的单位处理。</w:t>
            </w:r>
          </w:p>
        </w:tc>
      </w:tr>
      <w:tr w14:paraId="26FF4C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598" w:type="dxa"/>
            <w:noWrap w:val="0"/>
            <w:vAlign w:val="center"/>
          </w:tcPr>
          <w:p w14:paraId="46A210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pacing w:val="-8"/>
                <w:sz w:val="24"/>
                <w:szCs w:val="24"/>
              </w:rPr>
            </w:pPr>
            <w:r>
              <w:rPr>
                <w:rFonts w:hint="default" w:ascii="Times New Roman" w:hAnsi="Times New Roman" w:cs="Times New Roman"/>
                <w:spacing w:val="-8"/>
                <w:sz w:val="24"/>
                <w:szCs w:val="24"/>
              </w:rPr>
              <w:t>其他环境</w:t>
            </w:r>
          </w:p>
          <w:p w14:paraId="2A3389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pacing w:val="-8"/>
                <w:sz w:val="24"/>
                <w:szCs w:val="24"/>
              </w:rPr>
            </w:pPr>
            <w:r>
              <w:rPr>
                <w:rFonts w:hint="default" w:ascii="Times New Roman" w:hAnsi="Times New Roman" w:cs="Times New Roman"/>
                <w:spacing w:val="-8"/>
                <w:sz w:val="24"/>
                <w:szCs w:val="24"/>
              </w:rPr>
              <w:t>管理要求</w:t>
            </w:r>
          </w:p>
        </w:tc>
        <w:tc>
          <w:tcPr>
            <w:tcW w:w="7202" w:type="dxa"/>
            <w:gridSpan w:val="4"/>
            <w:noWrap w:val="0"/>
            <w:vAlign w:val="center"/>
          </w:tcPr>
          <w:p w14:paraId="79E4F2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rPr>
              <w:t>定期对</w:t>
            </w:r>
            <w:r>
              <w:rPr>
                <w:rFonts w:hint="default" w:ascii="Times New Roman" w:hAnsi="Times New Roman" w:cs="Times New Roman"/>
                <w:sz w:val="24"/>
                <w:lang w:eastAsia="zh-CN"/>
              </w:rPr>
              <w:t>危险废物贮存库</w:t>
            </w:r>
            <w:r>
              <w:rPr>
                <w:rFonts w:hint="default" w:ascii="Times New Roman" w:hAnsi="Times New Roman" w:cs="Times New Roman"/>
                <w:sz w:val="24"/>
              </w:rPr>
              <w:t>房内所贮存的危险废物包装容器及贮存设施及盛装容器进行检查，发现破损及时采取措施清理更换</w:t>
            </w:r>
          </w:p>
        </w:tc>
      </w:tr>
    </w:tbl>
    <w:p w14:paraId="6CAEB089">
      <w:pPr>
        <w:pStyle w:val="13"/>
        <w:ind w:left="0" w:leftChars="0" w:firstLine="0" w:firstLineChars="0"/>
        <w:jc w:val="center"/>
        <w:outlineLvl w:val="0"/>
        <w:rPr>
          <w:rFonts w:hint="default" w:ascii="Times New Roman" w:hAnsi="Times New Roman" w:eastAsia="黑体" w:cs="Times New Roman"/>
          <w:snapToGrid w:val="0"/>
          <w:sz w:val="30"/>
          <w:szCs w:val="30"/>
        </w:rPr>
      </w:pPr>
      <w:r>
        <w:rPr>
          <w:rFonts w:hint="default" w:ascii="Times New Roman" w:hAnsi="Times New Roman" w:cs="Times New Roman"/>
          <w:snapToGrid w:val="0"/>
        </w:rPr>
        <w:br w:type="page"/>
      </w:r>
      <w:r>
        <w:rPr>
          <w:rFonts w:hint="default" w:ascii="Times New Roman" w:hAnsi="Times New Roman" w:eastAsia="黑体" w:cs="Times New Roman"/>
          <w:snapToGrid w:val="0"/>
          <w:sz w:val="30"/>
          <w:szCs w:val="30"/>
        </w:rPr>
        <w:t>六、结论</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8483E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25723927">
            <w:pPr>
              <w:pStyle w:val="4"/>
              <w:rPr>
                <w:rFonts w:hint="default" w:ascii="Times New Roman" w:hAnsi="Times New Roman" w:cs="Times New Roman"/>
                <w:sz w:val="24"/>
                <w:szCs w:val="24"/>
              </w:rPr>
            </w:pPr>
            <w:r>
              <w:rPr>
                <w:rFonts w:hint="default" w:ascii="Times New Roman" w:hAnsi="Times New Roman" w:cs="Times New Roman"/>
                <w:sz w:val="24"/>
                <w:szCs w:val="24"/>
              </w:rPr>
              <w:t>本项目</w:t>
            </w:r>
            <w:r>
              <w:rPr>
                <w:rFonts w:hint="default" w:ascii="Times New Roman" w:hAnsi="Times New Roman" w:cs="Times New Roman"/>
                <w:sz w:val="24"/>
                <w:szCs w:val="24"/>
                <w:lang w:eastAsia="zh-CN"/>
              </w:rPr>
              <w:t>危险废物贮存库</w:t>
            </w:r>
            <w:r>
              <w:rPr>
                <w:rFonts w:hint="default" w:ascii="Times New Roman" w:hAnsi="Times New Roman" w:cs="Times New Roman"/>
                <w:sz w:val="24"/>
                <w:szCs w:val="24"/>
              </w:rPr>
              <w:t>的建设符合国家产业政策，满足区域环境功能区划要求，项目选址可行。本项目在严格落实本报告中提出的施工期和运营期各项污染控制对策和措施后，项目各项污染物可达标排放，对周边环境和居民生活影响较小。评价认为项目建设从环境保护角度分析是可行的。</w:t>
            </w:r>
          </w:p>
        </w:tc>
      </w:tr>
    </w:tbl>
    <w:p w14:paraId="35433A66">
      <w:pPr>
        <w:rPr>
          <w:rFonts w:hint="default" w:ascii="Times New Roman" w:hAnsi="Times New Roman" w:cs="Times New Roman"/>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29F87D4B">
      <w:pPr>
        <w:pStyle w:val="13"/>
        <w:adjustRightInd w:val="0"/>
        <w:snapToGrid w:val="0"/>
        <w:spacing w:before="0" w:beforeAutospacing="0" w:after="0" w:afterAutospacing="0" w:line="648" w:lineRule="auto"/>
        <w:ind w:left="0" w:leftChars="0" w:firstLine="0" w:firstLineChars="0"/>
        <w:outlineLvl w:val="0"/>
        <w:rPr>
          <w:rFonts w:hint="default" w:ascii="Times New Roman" w:hAnsi="Times New Roman" w:eastAsia="黑体" w:cs="Times New Roman"/>
          <w:snapToGrid w:val="0"/>
          <w:sz w:val="32"/>
          <w:szCs w:val="32"/>
        </w:rPr>
      </w:pPr>
      <w:r>
        <w:rPr>
          <w:rFonts w:hint="default" w:ascii="Times New Roman" w:hAnsi="Times New Roman" w:eastAsia="黑体" w:cs="Times New Roman"/>
          <w:snapToGrid w:val="0"/>
          <w:sz w:val="32"/>
          <w:szCs w:val="32"/>
        </w:rPr>
        <w:t>附表</w:t>
      </w:r>
    </w:p>
    <w:p w14:paraId="1E7E3304">
      <w:pPr>
        <w:pStyle w:val="13"/>
        <w:adjustRightInd w:val="0"/>
        <w:snapToGrid w:val="0"/>
        <w:spacing w:before="0" w:beforeAutospacing="0" w:after="0" w:afterAutospacing="0" w:line="552" w:lineRule="auto"/>
        <w:ind w:left="0" w:leftChars="0" w:firstLine="0" w:firstLineChars="0"/>
        <w:jc w:val="center"/>
        <w:outlineLvl w:val="0"/>
        <w:rPr>
          <w:rFonts w:hint="default" w:ascii="Times New Roman" w:hAnsi="Times New Roman" w:eastAsia="方正小标宋_GBK" w:cs="Times New Roman"/>
          <w:snapToGrid w:val="0"/>
          <w:sz w:val="38"/>
          <w:szCs w:val="38"/>
        </w:rPr>
      </w:pPr>
      <w:r>
        <w:rPr>
          <w:rFonts w:hint="default" w:ascii="Times New Roman" w:hAnsi="Times New Roman" w:eastAsia="方正小标宋_GBK" w:cs="Times New Roman"/>
          <w:snapToGrid w:val="0"/>
          <w:sz w:val="38"/>
          <w:szCs w:val="38"/>
        </w:rPr>
        <w:t>建设项目污染物排放量汇总表</w:t>
      </w:r>
    </w:p>
    <w:tbl>
      <w:tblPr>
        <w:tblStyle w:val="1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716"/>
        <w:gridCol w:w="1604"/>
        <w:gridCol w:w="1811"/>
        <w:gridCol w:w="974"/>
      </w:tblGrid>
      <w:tr w14:paraId="3593D7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666BFBEE">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right"/>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项目</w:t>
            </w:r>
          </w:p>
          <w:p w14:paraId="24A03341">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分类</w:t>
            </w:r>
          </w:p>
        </w:tc>
        <w:tc>
          <w:tcPr>
            <w:tcW w:w="1417" w:type="dxa"/>
            <w:noWrap w:val="0"/>
            <w:tcMar>
              <w:left w:w="28" w:type="dxa"/>
              <w:right w:w="28" w:type="dxa"/>
            </w:tcMar>
            <w:vAlign w:val="center"/>
          </w:tcPr>
          <w:p w14:paraId="0D3884C2">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污染物名称</w:t>
            </w:r>
          </w:p>
        </w:tc>
        <w:tc>
          <w:tcPr>
            <w:tcW w:w="1701" w:type="dxa"/>
            <w:noWrap w:val="0"/>
            <w:tcMar>
              <w:left w:w="28" w:type="dxa"/>
              <w:right w:w="28" w:type="dxa"/>
            </w:tcMar>
            <w:vAlign w:val="center"/>
          </w:tcPr>
          <w:p w14:paraId="57B5511E">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工程</w:t>
            </w:r>
          </w:p>
          <w:p w14:paraId="3CA8BA42">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排放量（固体废物产生量）</w:t>
            </w:r>
            <w:r>
              <w:rPr>
                <w:rFonts w:hint="default" w:ascii="Times New Roman" w:hAnsi="Times New Roman" w:eastAsia="黑体" w:cs="Times New Roman"/>
                <w:snapToGrid w:val="0"/>
                <w:color w:val="000000"/>
                <w:spacing w:val="-6"/>
                <w:kern w:val="21"/>
                <w:szCs w:val="21"/>
              </w:rPr>
              <w:fldChar w:fldCharType="begin"/>
            </w:r>
            <w:r>
              <w:rPr>
                <w:rFonts w:hint="default" w:ascii="Times New Roman" w:hAnsi="Times New Roman" w:eastAsia="黑体" w:cs="Times New Roman"/>
                <w:snapToGrid w:val="0"/>
                <w:color w:val="000000"/>
                <w:spacing w:val="-6"/>
                <w:kern w:val="21"/>
                <w:szCs w:val="21"/>
              </w:rPr>
              <w:instrText xml:space="preserve"> = 1 \* GB3 \* MERGEFORMAT </w:instrText>
            </w:r>
            <w:r>
              <w:rPr>
                <w:rFonts w:hint="default" w:ascii="Times New Roman" w:hAnsi="Times New Roman" w:eastAsia="黑体" w:cs="Times New Roman"/>
                <w:snapToGrid w:val="0"/>
                <w:color w:val="000000"/>
                <w:spacing w:val="-6"/>
                <w:kern w:val="21"/>
                <w:szCs w:val="21"/>
              </w:rPr>
              <w:fldChar w:fldCharType="separate"/>
            </w:r>
            <w:r>
              <w:rPr>
                <w:rFonts w:hint="default" w:ascii="Times New Roman" w:hAnsi="Times New Roman" w:eastAsia="黑体" w:cs="Times New Roman"/>
                <w:kern w:val="2"/>
                <w:szCs w:val="21"/>
              </w:rPr>
              <w:t>①</w:t>
            </w:r>
            <w:r>
              <w:rPr>
                <w:rFonts w:hint="default" w:ascii="Times New Roman" w:hAnsi="Times New Roman" w:eastAsia="黑体" w:cs="Times New Roman"/>
                <w:snapToGrid w:val="0"/>
                <w:color w:val="000000"/>
                <w:spacing w:val="-6"/>
                <w:kern w:val="21"/>
                <w:szCs w:val="21"/>
              </w:rPr>
              <w:fldChar w:fldCharType="end"/>
            </w:r>
          </w:p>
        </w:tc>
        <w:tc>
          <w:tcPr>
            <w:tcW w:w="1276" w:type="dxa"/>
            <w:noWrap w:val="0"/>
            <w:tcMar>
              <w:left w:w="28" w:type="dxa"/>
              <w:right w:w="28" w:type="dxa"/>
            </w:tcMar>
            <w:vAlign w:val="center"/>
          </w:tcPr>
          <w:p w14:paraId="14B6227C">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工程</w:t>
            </w:r>
          </w:p>
          <w:p w14:paraId="4EDCA787">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许可排放量</w:t>
            </w:r>
          </w:p>
          <w:p w14:paraId="61C616BC">
            <w:pPr>
              <w:pStyle w:val="26"/>
              <w:keepNext w:val="0"/>
              <w:keepLines w:val="0"/>
              <w:pageBreakBefore w:val="0"/>
              <w:widowControl w:val="0"/>
              <w:kinsoku/>
              <w:wordWrap/>
              <w:overflowPunct/>
              <w:topLinePunct w:val="0"/>
              <w:autoSpaceDE/>
              <w:autoSpaceDN/>
              <w:bidi w:val="0"/>
              <w:adjustRightInd w:val="0"/>
              <w:snapToGrid w:val="0"/>
              <w:spacing w:beforeLines="0" w:afterLines="0"/>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fldChar w:fldCharType="begin"/>
            </w:r>
            <w:r>
              <w:rPr>
                <w:rFonts w:hint="default" w:ascii="Times New Roman" w:hAnsi="Times New Roman" w:eastAsia="黑体" w:cs="Times New Roman"/>
                <w:snapToGrid w:val="0"/>
                <w:color w:val="000000"/>
                <w:spacing w:val="-6"/>
                <w:kern w:val="21"/>
                <w:szCs w:val="21"/>
              </w:rPr>
              <w:instrText xml:space="preserve"> = 2 \* GB3 \* MERGEFORMAT </w:instrText>
            </w:r>
            <w:r>
              <w:rPr>
                <w:rFonts w:hint="default" w:ascii="Times New Roman" w:hAnsi="Times New Roman" w:eastAsia="黑体" w:cs="Times New Roman"/>
                <w:snapToGrid w:val="0"/>
                <w:color w:val="000000"/>
                <w:spacing w:val="-6"/>
                <w:kern w:val="21"/>
                <w:szCs w:val="21"/>
              </w:rPr>
              <w:fldChar w:fldCharType="separate"/>
            </w:r>
            <w:r>
              <w:rPr>
                <w:rFonts w:hint="default" w:ascii="Times New Roman" w:hAnsi="Times New Roman" w:eastAsia="黑体" w:cs="Times New Roman"/>
                <w:snapToGrid w:val="0"/>
                <w:color w:val="000000"/>
                <w:spacing w:val="-6"/>
                <w:kern w:val="21"/>
                <w:szCs w:val="21"/>
              </w:rPr>
              <w:t>②</w:t>
            </w:r>
            <w:r>
              <w:rPr>
                <w:rFonts w:hint="default" w:ascii="Times New Roman" w:hAnsi="Times New Roman" w:eastAsia="黑体" w:cs="Times New Roman"/>
                <w:snapToGrid w:val="0"/>
                <w:color w:val="000000"/>
                <w:spacing w:val="-6"/>
                <w:kern w:val="21"/>
                <w:szCs w:val="21"/>
              </w:rPr>
              <w:fldChar w:fldCharType="end"/>
            </w:r>
          </w:p>
        </w:tc>
        <w:tc>
          <w:tcPr>
            <w:tcW w:w="1701" w:type="dxa"/>
            <w:noWrap w:val="0"/>
            <w:tcMar>
              <w:left w:w="28" w:type="dxa"/>
              <w:right w:w="28" w:type="dxa"/>
            </w:tcMar>
            <w:vAlign w:val="center"/>
          </w:tcPr>
          <w:p w14:paraId="16342E49">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在建工程</w:t>
            </w:r>
          </w:p>
          <w:p w14:paraId="790BC70D">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排放量（固体废物产生量）</w:t>
            </w:r>
            <w:r>
              <w:rPr>
                <w:rFonts w:hint="default" w:ascii="Times New Roman" w:hAnsi="Times New Roman" w:eastAsia="黑体" w:cs="Times New Roman"/>
                <w:snapToGrid w:val="0"/>
                <w:color w:val="000000"/>
                <w:spacing w:val="-6"/>
                <w:kern w:val="21"/>
                <w:szCs w:val="21"/>
              </w:rPr>
              <w:fldChar w:fldCharType="begin"/>
            </w:r>
            <w:r>
              <w:rPr>
                <w:rFonts w:hint="default" w:ascii="Times New Roman" w:hAnsi="Times New Roman" w:eastAsia="黑体" w:cs="Times New Roman"/>
                <w:snapToGrid w:val="0"/>
                <w:color w:val="000000"/>
                <w:spacing w:val="-6"/>
                <w:kern w:val="21"/>
                <w:szCs w:val="21"/>
              </w:rPr>
              <w:instrText xml:space="preserve"> = 3 \* GB3 \* MERGEFORMAT </w:instrText>
            </w:r>
            <w:r>
              <w:rPr>
                <w:rFonts w:hint="default" w:ascii="Times New Roman" w:hAnsi="Times New Roman" w:eastAsia="黑体" w:cs="Times New Roman"/>
                <w:snapToGrid w:val="0"/>
                <w:color w:val="000000"/>
                <w:spacing w:val="-6"/>
                <w:kern w:val="21"/>
                <w:szCs w:val="21"/>
              </w:rPr>
              <w:fldChar w:fldCharType="separate"/>
            </w:r>
            <w:r>
              <w:rPr>
                <w:rFonts w:hint="default" w:ascii="Times New Roman" w:hAnsi="Times New Roman" w:eastAsia="黑体" w:cs="Times New Roman"/>
                <w:kern w:val="2"/>
                <w:szCs w:val="21"/>
              </w:rPr>
              <w:t>③</w:t>
            </w:r>
            <w:r>
              <w:rPr>
                <w:rFonts w:hint="default" w:ascii="Times New Roman" w:hAnsi="Times New Roman" w:eastAsia="黑体" w:cs="Times New Roman"/>
                <w:snapToGrid w:val="0"/>
                <w:color w:val="000000"/>
                <w:spacing w:val="-6"/>
                <w:kern w:val="21"/>
                <w:szCs w:val="21"/>
              </w:rPr>
              <w:fldChar w:fldCharType="end"/>
            </w:r>
          </w:p>
        </w:tc>
        <w:tc>
          <w:tcPr>
            <w:tcW w:w="1716" w:type="dxa"/>
            <w:noWrap w:val="0"/>
            <w:tcMar>
              <w:left w:w="28" w:type="dxa"/>
              <w:right w:w="28" w:type="dxa"/>
            </w:tcMar>
            <w:vAlign w:val="center"/>
          </w:tcPr>
          <w:p w14:paraId="65DDD196">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本项目</w:t>
            </w:r>
          </w:p>
          <w:p w14:paraId="3AB0CE1B">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排放量（固体废物产生量）</w:t>
            </w:r>
            <w:r>
              <w:rPr>
                <w:rFonts w:hint="default" w:ascii="Times New Roman" w:hAnsi="Times New Roman" w:eastAsia="黑体" w:cs="Times New Roman"/>
                <w:snapToGrid w:val="0"/>
                <w:color w:val="000000"/>
                <w:spacing w:val="-6"/>
                <w:kern w:val="21"/>
                <w:szCs w:val="21"/>
              </w:rPr>
              <w:fldChar w:fldCharType="begin"/>
            </w:r>
            <w:r>
              <w:rPr>
                <w:rFonts w:hint="default" w:ascii="Times New Roman" w:hAnsi="Times New Roman" w:eastAsia="黑体" w:cs="Times New Roman"/>
                <w:snapToGrid w:val="0"/>
                <w:color w:val="000000"/>
                <w:spacing w:val="-6"/>
                <w:kern w:val="21"/>
                <w:szCs w:val="21"/>
              </w:rPr>
              <w:instrText xml:space="preserve"> = 4 \* GB3 \* MERGEFORMAT </w:instrText>
            </w:r>
            <w:r>
              <w:rPr>
                <w:rFonts w:hint="default" w:ascii="Times New Roman" w:hAnsi="Times New Roman" w:eastAsia="黑体" w:cs="Times New Roman"/>
                <w:snapToGrid w:val="0"/>
                <w:color w:val="000000"/>
                <w:spacing w:val="-6"/>
                <w:kern w:val="21"/>
                <w:szCs w:val="21"/>
              </w:rPr>
              <w:fldChar w:fldCharType="separate"/>
            </w:r>
            <w:r>
              <w:rPr>
                <w:rFonts w:hint="default" w:ascii="Times New Roman" w:hAnsi="Times New Roman" w:eastAsia="黑体" w:cs="Times New Roman"/>
                <w:kern w:val="2"/>
                <w:szCs w:val="21"/>
              </w:rPr>
              <w:t>④</w:t>
            </w:r>
            <w:r>
              <w:rPr>
                <w:rFonts w:hint="default" w:ascii="Times New Roman" w:hAnsi="Times New Roman" w:eastAsia="黑体" w:cs="Times New Roman"/>
                <w:snapToGrid w:val="0"/>
                <w:color w:val="000000"/>
                <w:spacing w:val="-6"/>
                <w:kern w:val="21"/>
                <w:szCs w:val="21"/>
              </w:rPr>
              <w:fldChar w:fldCharType="end"/>
            </w:r>
          </w:p>
        </w:tc>
        <w:tc>
          <w:tcPr>
            <w:tcW w:w="1604" w:type="dxa"/>
            <w:noWrap w:val="0"/>
            <w:tcMar>
              <w:left w:w="28" w:type="dxa"/>
              <w:right w:w="28" w:type="dxa"/>
            </w:tcMar>
            <w:vAlign w:val="center"/>
          </w:tcPr>
          <w:p w14:paraId="23AD838A">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16"/>
                <w:kern w:val="21"/>
                <w:szCs w:val="21"/>
              </w:rPr>
            </w:pPr>
            <w:r>
              <w:rPr>
                <w:rFonts w:hint="default" w:ascii="Times New Roman" w:hAnsi="Times New Roman" w:eastAsia="黑体" w:cs="Times New Roman"/>
                <w:snapToGrid w:val="0"/>
                <w:color w:val="000000"/>
                <w:spacing w:val="-16"/>
                <w:kern w:val="21"/>
                <w:szCs w:val="21"/>
              </w:rPr>
              <w:t>以新带老削减量</w:t>
            </w:r>
          </w:p>
          <w:p w14:paraId="241760A2">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16"/>
                <w:kern w:val="21"/>
                <w:szCs w:val="21"/>
              </w:rPr>
            </w:pPr>
            <w:r>
              <w:rPr>
                <w:rFonts w:hint="default" w:ascii="Times New Roman" w:hAnsi="Times New Roman" w:eastAsia="黑体" w:cs="Times New Roman"/>
                <w:snapToGrid w:val="0"/>
                <w:color w:val="000000"/>
                <w:spacing w:val="-16"/>
                <w:kern w:val="21"/>
                <w:szCs w:val="21"/>
              </w:rPr>
              <w:t>（新建项目不填）</w:t>
            </w:r>
            <w:r>
              <w:rPr>
                <w:rFonts w:hint="default" w:ascii="Times New Roman" w:hAnsi="Times New Roman" w:eastAsia="黑体" w:cs="Times New Roman"/>
                <w:snapToGrid w:val="0"/>
                <w:color w:val="000000"/>
                <w:spacing w:val="-16"/>
                <w:kern w:val="21"/>
                <w:szCs w:val="21"/>
              </w:rPr>
              <w:fldChar w:fldCharType="begin"/>
            </w:r>
            <w:r>
              <w:rPr>
                <w:rFonts w:hint="default" w:ascii="Times New Roman" w:hAnsi="Times New Roman" w:eastAsia="黑体" w:cs="Times New Roman"/>
                <w:snapToGrid w:val="0"/>
                <w:color w:val="000000"/>
                <w:spacing w:val="-16"/>
                <w:kern w:val="21"/>
                <w:szCs w:val="21"/>
              </w:rPr>
              <w:instrText xml:space="preserve"> = 5 \* GB3 \* MERGEFORMAT </w:instrText>
            </w:r>
            <w:r>
              <w:rPr>
                <w:rFonts w:hint="default" w:ascii="Times New Roman" w:hAnsi="Times New Roman" w:eastAsia="黑体" w:cs="Times New Roman"/>
                <w:snapToGrid w:val="0"/>
                <w:color w:val="000000"/>
                <w:spacing w:val="-16"/>
                <w:kern w:val="21"/>
                <w:szCs w:val="21"/>
              </w:rPr>
              <w:fldChar w:fldCharType="separate"/>
            </w:r>
            <w:r>
              <w:rPr>
                <w:rFonts w:hint="default" w:ascii="Times New Roman" w:hAnsi="Times New Roman" w:eastAsia="黑体" w:cs="Times New Roman"/>
                <w:kern w:val="2"/>
                <w:szCs w:val="21"/>
              </w:rPr>
              <w:t>⑤</w:t>
            </w:r>
            <w:r>
              <w:rPr>
                <w:rFonts w:hint="default" w:ascii="Times New Roman" w:hAnsi="Times New Roman" w:eastAsia="黑体" w:cs="Times New Roman"/>
                <w:snapToGrid w:val="0"/>
                <w:color w:val="000000"/>
                <w:spacing w:val="-16"/>
                <w:kern w:val="21"/>
                <w:szCs w:val="21"/>
              </w:rPr>
              <w:fldChar w:fldCharType="end"/>
            </w:r>
          </w:p>
        </w:tc>
        <w:tc>
          <w:tcPr>
            <w:tcW w:w="1811" w:type="dxa"/>
            <w:noWrap w:val="0"/>
            <w:tcMar>
              <w:left w:w="28" w:type="dxa"/>
              <w:right w:w="28" w:type="dxa"/>
            </w:tcMar>
            <w:vAlign w:val="center"/>
          </w:tcPr>
          <w:p w14:paraId="60439980">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16"/>
                <w:kern w:val="21"/>
                <w:szCs w:val="21"/>
              </w:rPr>
            </w:pPr>
            <w:r>
              <w:rPr>
                <w:rFonts w:hint="default" w:ascii="Times New Roman" w:hAnsi="Times New Roman" w:eastAsia="黑体" w:cs="Times New Roman"/>
                <w:snapToGrid w:val="0"/>
                <w:color w:val="000000"/>
                <w:spacing w:val="-16"/>
                <w:kern w:val="21"/>
                <w:szCs w:val="21"/>
              </w:rPr>
              <w:t>本项目建成后</w:t>
            </w:r>
          </w:p>
          <w:p w14:paraId="22F9CBC1">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16"/>
                <w:kern w:val="21"/>
                <w:szCs w:val="21"/>
              </w:rPr>
            </w:pPr>
            <w:r>
              <w:rPr>
                <w:rFonts w:hint="default" w:ascii="Times New Roman" w:hAnsi="Times New Roman" w:eastAsia="黑体" w:cs="Times New Roman"/>
                <w:snapToGrid w:val="0"/>
                <w:color w:val="000000"/>
                <w:spacing w:val="-16"/>
                <w:kern w:val="21"/>
                <w:szCs w:val="21"/>
              </w:rPr>
              <w:t>全厂排放量（固体废物产生量）</w:t>
            </w:r>
            <w:r>
              <w:rPr>
                <w:rFonts w:hint="default" w:ascii="Times New Roman" w:hAnsi="Times New Roman" w:eastAsia="黑体" w:cs="Times New Roman"/>
                <w:snapToGrid w:val="0"/>
                <w:color w:val="000000"/>
                <w:spacing w:val="-16"/>
                <w:kern w:val="21"/>
                <w:szCs w:val="21"/>
              </w:rPr>
              <w:fldChar w:fldCharType="begin"/>
            </w:r>
            <w:r>
              <w:rPr>
                <w:rFonts w:hint="default" w:ascii="Times New Roman" w:hAnsi="Times New Roman" w:eastAsia="黑体" w:cs="Times New Roman"/>
                <w:snapToGrid w:val="0"/>
                <w:color w:val="000000"/>
                <w:spacing w:val="-16"/>
                <w:kern w:val="21"/>
                <w:szCs w:val="21"/>
              </w:rPr>
              <w:instrText xml:space="preserve"> = 6 \* GB3 \* MERGEFORMAT </w:instrText>
            </w:r>
            <w:r>
              <w:rPr>
                <w:rFonts w:hint="default" w:ascii="Times New Roman" w:hAnsi="Times New Roman" w:eastAsia="黑体" w:cs="Times New Roman"/>
                <w:snapToGrid w:val="0"/>
                <w:color w:val="000000"/>
                <w:spacing w:val="-16"/>
                <w:kern w:val="21"/>
                <w:szCs w:val="21"/>
              </w:rPr>
              <w:fldChar w:fldCharType="separate"/>
            </w:r>
            <w:r>
              <w:rPr>
                <w:rFonts w:hint="default" w:ascii="Times New Roman" w:hAnsi="Times New Roman" w:eastAsia="黑体" w:cs="Times New Roman"/>
                <w:kern w:val="2"/>
                <w:szCs w:val="21"/>
              </w:rPr>
              <w:t>⑥</w:t>
            </w:r>
            <w:r>
              <w:rPr>
                <w:rFonts w:hint="default" w:ascii="Times New Roman" w:hAnsi="Times New Roman" w:eastAsia="黑体" w:cs="Times New Roman"/>
                <w:snapToGrid w:val="0"/>
                <w:color w:val="000000"/>
                <w:spacing w:val="-16"/>
                <w:kern w:val="21"/>
                <w:szCs w:val="21"/>
              </w:rPr>
              <w:fldChar w:fldCharType="end"/>
            </w:r>
          </w:p>
        </w:tc>
        <w:tc>
          <w:tcPr>
            <w:tcW w:w="974" w:type="dxa"/>
            <w:noWrap w:val="0"/>
            <w:tcMar>
              <w:left w:w="28" w:type="dxa"/>
              <w:right w:w="28" w:type="dxa"/>
            </w:tcMar>
            <w:vAlign w:val="center"/>
          </w:tcPr>
          <w:p w14:paraId="4F25B077">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t>变化量</w:t>
            </w:r>
          </w:p>
          <w:p w14:paraId="1811661E">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黑体" w:cs="Times New Roman"/>
                <w:snapToGrid w:val="0"/>
                <w:color w:val="000000"/>
                <w:spacing w:val="-6"/>
                <w:kern w:val="21"/>
                <w:szCs w:val="21"/>
              </w:rPr>
            </w:pPr>
            <w:r>
              <w:rPr>
                <w:rFonts w:hint="default" w:ascii="Times New Roman" w:hAnsi="Times New Roman" w:eastAsia="黑体" w:cs="Times New Roman"/>
                <w:snapToGrid w:val="0"/>
                <w:color w:val="000000"/>
                <w:spacing w:val="-6"/>
                <w:kern w:val="21"/>
                <w:szCs w:val="21"/>
              </w:rPr>
              <w:fldChar w:fldCharType="begin"/>
            </w:r>
            <w:r>
              <w:rPr>
                <w:rFonts w:hint="default" w:ascii="Times New Roman" w:hAnsi="Times New Roman" w:eastAsia="黑体" w:cs="Times New Roman"/>
                <w:snapToGrid w:val="0"/>
                <w:color w:val="000000"/>
                <w:spacing w:val="-6"/>
                <w:kern w:val="21"/>
                <w:szCs w:val="21"/>
              </w:rPr>
              <w:instrText xml:space="preserve"> = 7 \* GB3 \* MERGEFORMAT </w:instrText>
            </w:r>
            <w:r>
              <w:rPr>
                <w:rFonts w:hint="default" w:ascii="Times New Roman" w:hAnsi="Times New Roman" w:eastAsia="黑体" w:cs="Times New Roman"/>
                <w:snapToGrid w:val="0"/>
                <w:color w:val="000000"/>
                <w:spacing w:val="-6"/>
                <w:kern w:val="21"/>
                <w:szCs w:val="21"/>
              </w:rPr>
              <w:fldChar w:fldCharType="separate"/>
            </w:r>
            <w:r>
              <w:rPr>
                <w:rFonts w:hint="default" w:ascii="Times New Roman" w:hAnsi="Times New Roman" w:eastAsia="黑体" w:cs="Times New Roman"/>
                <w:kern w:val="2"/>
                <w:szCs w:val="21"/>
              </w:rPr>
              <w:t>⑦</w:t>
            </w:r>
            <w:r>
              <w:rPr>
                <w:rFonts w:hint="default" w:ascii="Times New Roman" w:hAnsi="Times New Roman" w:eastAsia="黑体" w:cs="Times New Roman"/>
                <w:snapToGrid w:val="0"/>
                <w:color w:val="000000"/>
                <w:spacing w:val="-6"/>
                <w:kern w:val="21"/>
                <w:szCs w:val="21"/>
              </w:rPr>
              <w:fldChar w:fldCharType="end"/>
            </w:r>
          </w:p>
        </w:tc>
      </w:tr>
      <w:tr w14:paraId="2A5CA2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noWrap w:val="0"/>
            <w:vAlign w:val="center"/>
          </w:tcPr>
          <w:p w14:paraId="36BFB90F">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eastAsia" w:ascii="Times New Roman" w:hAnsi="Times New Roman" w:eastAsia="宋体" w:cs="Times New Roman"/>
                <w:snapToGrid w:val="0"/>
                <w:color w:val="000000"/>
                <w:kern w:val="21"/>
                <w:szCs w:val="21"/>
                <w:lang w:val="en-US" w:eastAsia="zh-CN"/>
              </w:rPr>
            </w:pPr>
            <w:r>
              <w:rPr>
                <w:rFonts w:hint="eastAsia" w:ascii="Times New Roman" w:cs="Times New Roman"/>
                <w:snapToGrid w:val="0"/>
                <w:color w:val="000000"/>
                <w:kern w:val="21"/>
                <w:szCs w:val="21"/>
                <w:lang w:val="en-US" w:eastAsia="zh-CN"/>
              </w:rPr>
              <w:t>废气</w:t>
            </w:r>
          </w:p>
        </w:tc>
        <w:tc>
          <w:tcPr>
            <w:tcW w:w="1417" w:type="dxa"/>
            <w:noWrap w:val="0"/>
            <w:vAlign w:val="center"/>
          </w:tcPr>
          <w:p w14:paraId="754A7C2C">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0B1BFD06">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276" w:type="dxa"/>
            <w:noWrap w:val="0"/>
            <w:vAlign w:val="center"/>
          </w:tcPr>
          <w:p w14:paraId="1DD0DDC1">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1DF50172">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000000"/>
                <w:kern w:val="21"/>
                <w:szCs w:val="21"/>
                <w:lang w:val="en-US" w:eastAsia="zh-CN"/>
              </w:rPr>
            </w:pPr>
          </w:p>
        </w:tc>
        <w:tc>
          <w:tcPr>
            <w:tcW w:w="1716" w:type="dxa"/>
            <w:noWrap w:val="0"/>
            <w:vAlign w:val="center"/>
          </w:tcPr>
          <w:p w14:paraId="7B060E4D">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000000"/>
                <w:kern w:val="21"/>
                <w:szCs w:val="21"/>
                <w:lang w:val="en-US" w:eastAsia="zh-CN"/>
              </w:rPr>
            </w:pPr>
          </w:p>
        </w:tc>
        <w:tc>
          <w:tcPr>
            <w:tcW w:w="1604" w:type="dxa"/>
            <w:noWrap w:val="0"/>
            <w:vAlign w:val="center"/>
          </w:tcPr>
          <w:p w14:paraId="5FFF9315">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811" w:type="dxa"/>
            <w:noWrap w:val="0"/>
            <w:vAlign w:val="center"/>
          </w:tcPr>
          <w:p w14:paraId="59FFAE8D">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974" w:type="dxa"/>
            <w:noWrap w:val="0"/>
            <w:vAlign w:val="center"/>
          </w:tcPr>
          <w:p w14:paraId="3700082E">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r>
      <w:tr w14:paraId="41F75A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2CBB46A2">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r>
              <w:rPr>
                <w:rFonts w:hint="default" w:ascii="Times New Roman" w:hAnsi="Times New Roman" w:cs="Times New Roman"/>
                <w:snapToGrid w:val="0"/>
                <w:color w:val="000000"/>
                <w:kern w:val="21"/>
                <w:szCs w:val="21"/>
              </w:rPr>
              <w:t>废水</w:t>
            </w:r>
          </w:p>
        </w:tc>
        <w:tc>
          <w:tcPr>
            <w:tcW w:w="1417" w:type="dxa"/>
            <w:noWrap w:val="0"/>
            <w:vAlign w:val="center"/>
          </w:tcPr>
          <w:p w14:paraId="1D44FAC4">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759696A1">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276" w:type="dxa"/>
            <w:noWrap w:val="0"/>
            <w:vAlign w:val="center"/>
          </w:tcPr>
          <w:p w14:paraId="49D960BB">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50A017C9">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16" w:type="dxa"/>
            <w:noWrap w:val="0"/>
            <w:vAlign w:val="center"/>
          </w:tcPr>
          <w:p w14:paraId="195BC12B">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604" w:type="dxa"/>
            <w:noWrap w:val="0"/>
            <w:vAlign w:val="center"/>
          </w:tcPr>
          <w:p w14:paraId="69D8EBE6">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811" w:type="dxa"/>
            <w:noWrap w:val="0"/>
            <w:vAlign w:val="center"/>
          </w:tcPr>
          <w:p w14:paraId="78FC85AE">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974" w:type="dxa"/>
            <w:noWrap w:val="0"/>
            <w:vAlign w:val="center"/>
          </w:tcPr>
          <w:p w14:paraId="05391CC8">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r>
      <w:tr w14:paraId="11155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39FE0A2">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417" w:type="dxa"/>
            <w:noWrap w:val="0"/>
            <w:vAlign w:val="center"/>
          </w:tcPr>
          <w:p w14:paraId="19A59481">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0AF539E4">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276" w:type="dxa"/>
            <w:noWrap w:val="0"/>
            <w:vAlign w:val="center"/>
          </w:tcPr>
          <w:p w14:paraId="0E9570D2">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2AB7E82A">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16" w:type="dxa"/>
            <w:noWrap w:val="0"/>
            <w:vAlign w:val="center"/>
          </w:tcPr>
          <w:p w14:paraId="5F451C43">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604" w:type="dxa"/>
            <w:noWrap w:val="0"/>
            <w:vAlign w:val="center"/>
          </w:tcPr>
          <w:p w14:paraId="6AD12095">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811" w:type="dxa"/>
            <w:noWrap w:val="0"/>
            <w:vAlign w:val="center"/>
          </w:tcPr>
          <w:p w14:paraId="5860A7AB">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974" w:type="dxa"/>
            <w:noWrap w:val="0"/>
            <w:vAlign w:val="center"/>
          </w:tcPr>
          <w:p w14:paraId="6863E014">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r>
      <w:tr w14:paraId="6043B2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19A3245A">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r>
              <w:rPr>
                <w:rFonts w:hint="default" w:ascii="Times New Roman" w:hAnsi="Times New Roman" w:cs="Times New Roman"/>
                <w:snapToGrid w:val="0"/>
                <w:color w:val="000000"/>
                <w:kern w:val="21"/>
                <w:szCs w:val="21"/>
              </w:rPr>
              <w:t>一般工业</w:t>
            </w:r>
          </w:p>
          <w:p w14:paraId="0D394473">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r>
              <w:rPr>
                <w:rFonts w:hint="default" w:ascii="Times New Roman" w:hAnsi="Times New Roman" w:cs="Times New Roman"/>
                <w:snapToGrid w:val="0"/>
                <w:color w:val="000000"/>
                <w:kern w:val="21"/>
                <w:szCs w:val="21"/>
              </w:rPr>
              <w:t>固体废物</w:t>
            </w:r>
          </w:p>
        </w:tc>
        <w:tc>
          <w:tcPr>
            <w:tcW w:w="1417" w:type="dxa"/>
            <w:noWrap w:val="0"/>
            <w:vAlign w:val="center"/>
          </w:tcPr>
          <w:p w14:paraId="500C74CC">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1D6118EB">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276" w:type="dxa"/>
            <w:noWrap w:val="0"/>
            <w:vAlign w:val="center"/>
          </w:tcPr>
          <w:p w14:paraId="0C4D3B16">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0D1C6690">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16" w:type="dxa"/>
            <w:noWrap w:val="0"/>
            <w:vAlign w:val="center"/>
          </w:tcPr>
          <w:p w14:paraId="6CC0220A">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604" w:type="dxa"/>
            <w:noWrap w:val="0"/>
            <w:vAlign w:val="center"/>
          </w:tcPr>
          <w:p w14:paraId="2E1CC2E5">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811" w:type="dxa"/>
            <w:noWrap w:val="0"/>
            <w:vAlign w:val="center"/>
          </w:tcPr>
          <w:p w14:paraId="622587D5">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974" w:type="dxa"/>
            <w:noWrap w:val="0"/>
            <w:vAlign w:val="center"/>
          </w:tcPr>
          <w:p w14:paraId="55801CE4">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r>
      <w:tr w14:paraId="2F620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68A34765">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417" w:type="dxa"/>
            <w:noWrap w:val="0"/>
            <w:vAlign w:val="center"/>
          </w:tcPr>
          <w:p w14:paraId="77DDAE8A">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59D93E71">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276" w:type="dxa"/>
            <w:noWrap w:val="0"/>
            <w:vAlign w:val="center"/>
          </w:tcPr>
          <w:p w14:paraId="491B7351">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45E215AA">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16" w:type="dxa"/>
            <w:noWrap w:val="0"/>
            <w:vAlign w:val="center"/>
          </w:tcPr>
          <w:p w14:paraId="5AB1F7AA">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604" w:type="dxa"/>
            <w:noWrap w:val="0"/>
            <w:vAlign w:val="center"/>
          </w:tcPr>
          <w:p w14:paraId="274267B0">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811" w:type="dxa"/>
            <w:noWrap w:val="0"/>
            <w:vAlign w:val="center"/>
          </w:tcPr>
          <w:p w14:paraId="37825293">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974" w:type="dxa"/>
            <w:noWrap w:val="0"/>
            <w:vAlign w:val="center"/>
          </w:tcPr>
          <w:p w14:paraId="105EAAA0">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r>
      <w:tr w14:paraId="0452E8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noWrap w:val="0"/>
            <w:vAlign w:val="center"/>
          </w:tcPr>
          <w:p w14:paraId="471091D6">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r>
              <w:rPr>
                <w:rFonts w:hint="default" w:ascii="Times New Roman" w:hAnsi="Times New Roman" w:cs="Times New Roman"/>
                <w:snapToGrid w:val="0"/>
                <w:color w:val="000000"/>
                <w:kern w:val="21"/>
                <w:szCs w:val="21"/>
              </w:rPr>
              <w:t>危险废物</w:t>
            </w:r>
          </w:p>
        </w:tc>
        <w:tc>
          <w:tcPr>
            <w:tcW w:w="1417" w:type="dxa"/>
            <w:noWrap w:val="0"/>
            <w:vAlign w:val="center"/>
          </w:tcPr>
          <w:p w14:paraId="6B884506">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r>
              <w:rPr>
                <w:rFonts w:hint="default" w:ascii="Times New Roman" w:hAnsi="Times New Roman" w:cs="Times New Roman"/>
                <w:snapToGrid w:val="0"/>
                <w:color w:val="000000"/>
                <w:kern w:val="21"/>
                <w:szCs w:val="21"/>
              </w:rPr>
              <w:t>废劳保用品（废手套、废抹布等）</w:t>
            </w:r>
          </w:p>
        </w:tc>
        <w:tc>
          <w:tcPr>
            <w:tcW w:w="1701" w:type="dxa"/>
            <w:noWrap w:val="0"/>
            <w:vAlign w:val="center"/>
          </w:tcPr>
          <w:p w14:paraId="6D05A155">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276" w:type="dxa"/>
            <w:noWrap w:val="0"/>
            <w:vAlign w:val="center"/>
          </w:tcPr>
          <w:p w14:paraId="512D43C3">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701" w:type="dxa"/>
            <w:noWrap w:val="0"/>
            <w:vAlign w:val="center"/>
          </w:tcPr>
          <w:p w14:paraId="1CBA9465">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000000"/>
                <w:kern w:val="21"/>
                <w:szCs w:val="21"/>
                <w:lang w:val="en-US" w:eastAsia="zh-CN"/>
              </w:rPr>
            </w:pPr>
            <w:r>
              <w:rPr>
                <w:rFonts w:hint="eastAsia" w:ascii="Times New Roman" w:cs="Times New Roman"/>
                <w:snapToGrid w:val="0"/>
                <w:color w:val="000000"/>
                <w:kern w:val="21"/>
                <w:szCs w:val="21"/>
                <w:lang w:val="en-US" w:eastAsia="zh-CN"/>
              </w:rPr>
              <w:t>+10块（双）/年</w:t>
            </w:r>
          </w:p>
        </w:tc>
        <w:tc>
          <w:tcPr>
            <w:tcW w:w="1716" w:type="dxa"/>
            <w:noWrap w:val="0"/>
            <w:vAlign w:val="center"/>
          </w:tcPr>
          <w:p w14:paraId="3E2B85EC">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snapToGrid w:val="0"/>
                <w:color w:val="000000"/>
                <w:kern w:val="21"/>
                <w:szCs w:val="21"/>
                <w:lang w:val="en-US" w:eastAsia="zh-CN"/>
              </w:rPr>
            </w:pPr>
            <w:r>
              <w:rPr>
                <w:rFonts w:hint="eastAsia" w:ascii="Times New Roman" w:cs="Times New Roman"/>
                <w:snapToGrid w:val="0"/>
                <w:color w:val="000000"/>
                <w:kern w:val="21"/>
                <w:szCs w:val="21"/>
                <w:lang w:val="en-US" w:eastAsia="zh-CN"/>
              </w:rPr>
              <w:t>+10块（双）/年</w:t>
            </w:r>
          </w:p>
        </w:tc>
        <w:tc>
          <w:tcPr>
            <w:tcW w:w="1604" w:type="dxa"/>
            <w:noWrap w:val="0"/>
            <w:vAlign w:val="center"/>
          </w:tcPr>
          <w:p w14:paraId="2D8E85F9">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p>
        </w:tc>
        <w:tc>
          <w:tcPr>
            <w:tcW w:w="1811" w:type="dxa"/>
            <w:noWrap w:val="0"/>
            <w:vAlign w:val="center"/>
          </w:tcPr>
          <w:p w14:paraId="1FE52CCB">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r>
              <w:rPr>
                <w:rFonts w:hint="eastAsia" w:ascii="Times New Roman" w:cs="Times New Roman"/>
                <w:snapToGrid w:val="0"/>
                <w:color w:val="000000"/>
                <w:kern w:val="21"/>
                <w:szCs w:val="21"/>
                <w:lang w:val="en-US" w:eastAsia="zh-CN"/>
              </w:rPr>
              <w:t>+10块（双）/年</w:t>
            </w:r>
          </w:p>
        </w:tc>
        <w:tc>
          <w:tcPr>
            <w:tcW w:w="974" w:type="dxa"/>
            <w:noWrap w:val="0"/>
            <w:vAlign w:val="center"/>
          </w:tcPr>
          <w:p w14:paraId="052C4344">
            <w:pPr>
              <w:pStyle w:val="26"/>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snapToGrid w:val="0"/>
                <w:color w:val="000000"/>
                <w:kern w:val="21"/>
                <w:szCs w:val="21"/>
              </w:rPr>
            </w:pPr>
            <w:r>
              <w:rPr>
                <w:rFonts w:hint="eastAsia" w:ascii="Times New Roman" w:cs="Times New Roman"/>
                <w:snapToGrid w:val="0"/>
                <w:color w:val="000000"/>
                <w:kern w:val="21"/>
                <w:szCs w:val="21"/>
                <w:lang w:val="en-US" w:eastAsia="zh-CN"/>
              </w:rPr>
              <w:t>+10块（双）/年</w:t>
            </w:r>
          </w:p>
        </w:tc>
      </w:tr>
    </w:tbl>
    <w:p w14:paraId="6C47742E">
      <w:pPr>
        <w:pStyle w:val="26"/>
        <w:spacing w:before="192" w:beforeLines="80" w:after="24"/>
        <w:jc w:val="left"/>
        <w:rPr>
          <w:rFonts w:hint="default" w:ascii="Times New Roman" w:hAnsi="Times New Roman" w:cs="Times New Roman"/>
          <w:snapToGrid w:val="0"/>
          <w:color w:val="000000"/>
          <w:spacing w:val="-6"/>
          <w:kern w:val="21"/>
          <w:szCs w:val="21"/>
        </w:rPr>
      </w:pPr>
      <w:r>
        <w:rPr>
          <w:rFonts w:hint="default" w:ascii="Times New Roman" w:hAnsi="Times New Roman" w:cs="Times New Roman"/>
          <w:snapToGrid w:val="0"/>
          <w:color w:val="000000"/>
          <w:kern w:val="21"/>
          <w:szCs w:val="21"/>
        </w:rPr>
        <w:t>注：</w:t>
      </w:r>
      <w:r>
        <w:rPr>
          <w:rFonts w:hint="default" w:ascii="Times New Roman" w:hAnsi="Times New Roman" w:cs="Times New Roman"/>
          <w:snapToGrid w:val="0"/>
          <w:color w:val="000000"/>
          <w:spacing w:val="-16"/>
          <w:kern w:val="21"/>
          <w:szCs w:val="21"/>
        </w:rPr>
        <w:fldChar w:fldCharType="begin"/>
      </w:r>
      <w:r>
        <w:rPr>
          <w:rFonts w:hint="default" w:ascii="Times New Roman" w:hAnsi="Times New Roman" w:cs="Times New Roman"/>
          <w:snapToGrid w:val="0"/>
          <w:color w:val="000000"/>
          <w:spacing w:val="-16"/>
          <w:kern w:val="21"/>
          <w:szCs w:val="21"/>
        </w:rPr>
        <w:instrText xml:space="preserve"> = 6 \* GB3 \* MERGEFORMAT </w:instrText>
      </w:r>
      <w:r>
        <w:rPr>
          <w:rFonts w:hint="default" w:ascii="Times New Roman" w:hAnsi="Times New Roman" w:cs="Times New Roman"/>
          <w:snapToGrid w:val="0"/>
          <w:color w:val="000000"/>
          <w:spacing w:val="-16"/>
          <w:kern w:val="21"/>
          <w:szCs w:val="21"/>
        </w:rPr>
        <w:fldChar w:fldCharType="separate"/>
      </w:r>
      <w:r>
        <w:rPr>
          <w:rFonts w:hint="default" w:ascii="Times New Roman" w:hAnsi="Times New Roman" w:cs="Times New Roman"/>
          <w:szCs w:val="21"/>
        </w:rPr>
        <w:t>⑥</w:t>
      </w:r>
      <w:r>
        <w:rPr>
          <w:rFonts w:hint="default" w:ascii="Times New Roman" w:hAnsi="Times New Roman" w:cs="Times New Roman"/>
          <w:snapToGrid w:val="0"/>
          <w:color w:val="000000"/>
          <w:spacing w:val="-16"/>
          <w:kern w:val="21"/>
          <w:szCs w:val="21"/>
        </w:rPr>
        <w:fldChar w:fldCharType="end"/>
      </w:r>
      <w:r>
        <w:rPr>
          <w:rFonts w:hint="default" w:ascii="Times New Roman" w:hAnsi="Times New Roman" w:cs="Times New Roman"/>
          <w:snapToGrid w:val="0"/>
          <w:color w:val="000000"/>
          <w:spacing w:val="-1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1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①</w:t>
      </w:r>
      <w:r>
        <w:rPr>
          <w:rFonts w:hint="default" w:ascii="Times New Roman" w:hAnsi="Times New Roman" w:cs="Times New Roman"/>
          <w:snapToGrid w:val="0"/>
          <w:color w:val="000000"/>
          <w:spacing w:val="-6"/>
          <w:kern w:val="21"/>
          <w:szCs w:val="21"/>
        </w:rPr>
        <w:fldChar w:fldCharType="end"/>
      </w:r>
      <w:r>
        <w:rPr>
          <w:rFonts w:hint="default" w:ascii="Times New Roman" w:hAnsi="Times New Roman" w:cs="Times New Roman"/>
          <w:snapToGrid w:val="0"/>
          <w:color w:val="000000"/>
          <w:spacing w:val="-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3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③</w:t>
      </w:r>
      <w:r>
        <w:rPr>
          <w:rFonts w:hint="default" w:ascii="Times New Roman" w:hAnsi="Times New Roman" w:cs="Times New Roman"/>
          <w:snapToGrid w:val="0"/>
          <w:color w:val="000000"/>
          <w:spacing w:val="-6"/>
          <w:kern w:val="21"/>
          <w:szCs w:val="21"/>
        </w:rPr>
        <w:fldChar w:fldCharType="end"/>
      </w:r>
      <w:r>
        <w:rPr>
          <w:rFonts w:hint="default" w:ascii="Times New Roman" w:hAnsi="Times New Roman" w:cs="Times New Roman"/>
          <w:snapToGrid w:val="0"/>
          <w:color w:val="000000"/>
          <w:spacing w:val="-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4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④</w:t>
      </w:r>
      <w:r>
        <w:rPr>
          <w:rFonts w:hint="default" w:ascii="Times New Roman" w:hAnsi="Times New Roman" w:cs="Times New Roman"/>
          <w:snapToGrid w:val="0"/>
          <w:color w:val="000000"/>
          <w:spacing w:val="-6"/>
          <w:kern w:val="21"/>
          <w:szCs w:val="21"/>
        </w:rPr>
        <w:fldChar w:fldCharType="end"/>
      </w:r>
      <w:r>
        <w:rPr>
          <w:rFonts w:hint="default" w:ascii="Times New Roman" w:hAnsi="Times New Roman" w:cs="Times New Roman"/>
          <w:snapToGrid w:val="0"/>
          <w:color w:val="000000"/>
          <w:spacing w:val="-6"/>
          <w:kern w:val="21"/>
          <w:szCs w:val="21"/>
        </w:rPr>
        <w:t>-</w:t>
      </w:r>
      <w:r>
        <w:rPr>
          <w:rFonts w:hint="default" w:ascii="Times New Roman" w:hAnsi="Times New Roman" w:cs="Times New Roman"/>
          <w:snapToGrid w:val="0"/>
          <w:color w:val="000000"/>
          <w:spacing w:val="-16"/>
          <w:kern w:val="21"/>
          <w:szCs w:val="21"/>
        </w:rPr>
        <w:fldChar w:fldCharType="begin"/>
      </w:r>
      <w:r>
        <w:rPr>
          <w:rFonts w:hint="default" w:ascii="Times New Roman" w:hAnsi="Times New Roman" w:cs="Times New Roman"/>
          <w:snapToGrid w:val="0"/>
          <w:color w:val="000000"/>
          <w:spacing w:val="-16"/>
          <w:kern w:val="21"/>
          <w:szCs w:val="21"/>
        </w:rPr>
        <w:instrText xml:space="preserve"> = 5 \* GB3 \* MERGEFORMAT </w:instrText>
      </w:r>
      <w:r>
        <w:rPr>
          <w:rFonts w:hint="default" w:ascii="Times New Roman" w:hAnsi="Times New Roman" w:cs="Times New Roman"/>
          <w:snapToGrid w:val="0"/>
          <w:color w:val="000000"/>
          <w:spacing w:val="-16"/>
          <w:kern w:val="21"/>
          <w:szCs w:val="21"/>
        </w:rPr>
        <w:fldChar w:fldCharType="separate"/>
      </w:r>
      <w:r>
        <w:rPr>
          <w:rFonts w:hint="default" w:ascii="Times New Roman" w:hAnsi="Times New Roman" w:cs="Times New Roman"/>
          <w:szCs w:val="21"/>
        </w:rPr>
        <w:t>⑤</w:t>
      </w:r>
      <w:r>
        <w:rPr>
          <w:rFonts w:hint="default" w:ascii="Times New Roman" w:hAnsi="Times New Roman" w:cs="Times New Roman"/>
          <w:snapToGrid w:val="0"/>
          <w:color w:val="000000"/>
          <w:spacing w:val="-16"/>
          <w:kern w:val="21"/>
          <w:szCs w:val="21"/>
        </w:rPr>
        <w:fldChar w:fldCharType="end"/>
      </w:r>
      <w:r>
        <w:rPr>
          <w:rFonts w:hint="default" w:ascii="Times New Roman" w:hAnsi="Times New Roman" w:cs="Times New Roman"/>
          <w:snapToGrid w:val="0"/>
          <w:color w:val="000000"/>
          <w:spacing w:val="-1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7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⑦</w:t>
      </w:r>
      <w:r>
        <w:rPr>
          <w:rFonts w:hint="default" w:ascii="Times New Roman" w:hAnsi="Times New Roman" w:cs="Times New Roman"/>
          <w:snapToGrid w:val="0"/>
          <w:color w:val="000000"/>
          <w:spacing w:val="-6"/>
          <w:kern w:val="21"/>
          <w:szCs w:val="21"/>
        </w:rPr>
        <w:fldChar w:fldCharType="end"/>
      </w:r>
      <w:r>
        <w:rPr>
          <w:rFonts w:hint="default" w:ascii="Times New Roman" w:hAnsi="Times New Roman" w:cs="Times New Roman"/>
          <w:snapToGrid w:val="0"/>
          <w:color w:val="000000"/>
          <w:spacing w:val="-6"/>
          <w:kern w:val="21"/>
          <w:szCs w:val="21"/>
        </w:rPr>
        <w:t>=</w:t>
      </w:r>
      <w:r>
        <w:rPr>
          <w:rFonts w:hint="default" w:ascii="Times New Roman" w:hAnsi="Times New Roman" w:cs="Times New Roman"/>
          <w:snapToGrid w:val="0"/>
          <w:color w:val="000000"/>
          <w:spacing w:val="-16"/>
          <w:kern w:val="21"/>
          <w:szCs w:val="21"/>
        </w:rPr>
        <w:fldChar w:fldCharType="begin"/>
      </w:r>
      <w:r>
        <w:rPr>
          <w:rFonts w:hint="default" w:ascii="Times New Roman" w:hAnsi="Times New Roman" w:cs="Times New Roman"/>
          <w:snapToGrid w:val="0"/>
          <w:color w:val="000000"/>
          <w:spacing w:val="-16"/>
          <w:kern w:val="21"/>
          <w:szCs w:val="21"/>
        </w:rPr>
        <w:instrText xml:space="preserve"> = 6 \* GB3 \* MERGEFORMAT </w:instrText>
      </w:r>
      <w:r>
        <w:rPr>
          <w:rFonts w:hint="default" w:ascii="Times New Roman" w:hAnsi="Times New Roman" w:cs="Times New Roman"/>
          <w:snapToGrid w:val="0"/>
          <w:color w:val="000000"/>
          <w:spacing w:val="-16"/>
          <w:kern w:val="21"/>
          <w:szCs w:val="21"/>
        </w:rPr>
        <w:fldChar w:fldCharType="separate"/>
      </w:r>
      <w:r>
        <w:rPr>
          <w:rFonts w:hint="default" w:ascii="Times New Roman" w:hAnsi="Times New Roman" w:cs="Times New Roman"/>
          <w:szCs w:val="21"/>
        </w:rPr>
        <w:t>⑥</w:t>
      </w:r>
      <w:r>
        <w:rPr>
          <w:rFonts w:hint="default" w:ascii="Times New Roman" w:hAnsi="Times New Roman" w:cs="Times New Roman"/>
          <w:snapToGrid w:val="0"/>
          <w:color w:val="000000"/>
          <w:spacing w:val="-16"/>
          <w:kern w:val="21"/>
          <w:szCs w:val="21"/>
        </w:rPr>
        <w:fldChar w:fldCharType="end"/>
      </w:r>
      <w:r>
        <w:rPr>
          <w:rFonts w:hint="default" w:ascii="Times New Roman" w:hAnsi="Times New Roman" w:cs="Times New Roman"/>
          <w:snapToGrid w:val="0"/>
          <w:color w:val="000000"/>
          <w:spacing w:val="-1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1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①</w:t>
      </w:r>
      <w:r>
        <w:rPr>
          <w:rFonts w:hint="default" w:ascii="Times New Roman" w:hAnsi="Times New Roman" w:cs="Times New Roman"/>
          <w:snapToGrid w:val="0"/>
          <w:color w:val="000000"/>
          <w:spacing w:val="-6"/>
          <w:kern w:val="21"/>
          <w:szCs w:val="21"/>
        </w:rPr>
        <w:fldChar w:fldCharType="end"/>
      </w:r>
    </w:p>
    <w:p w14:paraId="5DED2DF4">
      <w:pPr>
        <w:rPr>
          <w:rFonts w:hint="default" w:ascii="Times New Roman" w:hAnsi="Times New Roman" w:cs="Times New Roman"/>
        </w:rPr>
      </w:pPr>
    </w:p>
    <w:p w14:paraId="3DF52292">
      <w:pPr>
        <w:rPr>
          <w:rFonts w:hint="default" w:ascii="Times New Roman" w:hAnsi="Times New Roman" w:cs="Times New Roman"/>
        </w:rPr>
        <w:sectPr>
          <w:footerReference r:id="rId13" w:type="default"/>
          <w:pgSz w:w="16838" w:h="11906" w:orient="landscape"/>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38851EDA">
      <w:pPr>
        <w:pStyle w:val="3"/>
        <w:bidi w:val="0"/>
        <w:rPr>
          <w:rFonts w:hint="default"/>
          <w:lang w:val="en-US" w:eastAsia="zh-CN"/>
        </w:rPr>
      </w:pPr>
      <w:r>
        <w:rPr>
          <w:rFonts w:hint="default"/>
          <w:lang w:val="en-US" w:eastAsia="zh-CN"/>
        </w:rPr>
        <w:t>附件1委托书</w:t>
      </w:r>
    </w:p>
    <w:p w14:paraId="47ED2B3B">
      <w:r>
        <w:drawing>
          <wp:inline distT="0" distB="0" distL="114300" distR="114300">
            <wp:extent cx="5086350" cy="7277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5086350" cy="7277100"/>
                    </a:xfrm>
                    <a:prstGeom prst="rect">
                      <a:avLst/>
                    </a:prstGeom>
                    <a:noFill/>
                    <a:ln>
                      <a:noFill/>
                    </a:ln>
                  </pic:spPr>
                </pic:pic>
              </a:graphicData>
            </a:graphic>
          </wp:inline>
        </w:drawing>
      </w:r>
    </w:p>
    <w:p w14:paraId="6BCCB029">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77B18F23">
      <w:pPr>
        <w:pStyle w:val="3"/>
        <w:bidi w:val="0"/>
        <w:rPr>
          <w:rFonts w:hint="default"/>
          <w:lang w:val="en-US" w:eastAsia="zh-CN"/>
        </w:rPr>
      </w:pPr>
      <w:r>
        <w:rPr>
          <w:rFonts w:hint="default"/>
          <w:lang w:val="en-US" w:eastAsia="zh-CN"/>
        </w:rPr>
        <w:t>附件2营业执照</w:t>
      </w:r>
    </w:p>
    <w:p w14:paraId="784E261C">
      <w:pPr>
        <w:pStyle w:val="5"/>
        <w:ind w:left="0" w:leftChars="0" w:firstLine="0" w:firstLineChars="0"/>
        <w:rPr>
          <w:rFonts w:hint="default"/>
          <w:lang w:eastAsia="zh-CN"/>
        </w:rPr>
      </w:pPr>
      <w:r>
        <w:drawing>
          <wp:inline distT="0" distB="0" distL="114300" distR="114300">
            <wp:extent cx="7891145" cy="5551170"/>
            <wp:effectExtent l="0" t="0" r="11430" b="1460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0"/>
                    <a:stretch>
                      <a:fillRect/>
                    </a:stretch>
                  </pic:blipFill>
                  <pic:spPr>
                    <a:xfrm rot="16200000">
                      <a:off x="0" y="0"/>
                      <a:ext cx="7891145" cy="5551170"/>
                    </a:xfrm>
                    <a:prstGeom prst="rect">
                      <a:avLst/>
                    </a:prstGeom>
                    <a:noFill/>
                    <a:ln>
                      <a:noFill/>
                    </a:ln>
                  </pic:spPr>
                </pic:pic>
              </a:graphicData>
            </a:graphic>
          </wp:inline>
        </w:drawing>
      </w:r>
    </w:p>
    <w:p w14:paraId="7AE28D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lang w:eastAsia="zh-CN"/>
        </w:rPr>
        <w:sectPr>
          <w:footerReference r:id="rId14" w:type="default"/>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85D500E">
      <w:pPr>
        <w:pStyle w:val="3"/>
        <w:bidi w:val="0"/>
        <w:rPr>
          <w:rFonts w:hint="default"/>
          <w:lang w:val="en-US" w:eastAsia="zh-CN"/>
        </w:rPr>
      </w:pPr>
      <w:r>
        <w:rPr>
          <w:rFonts w:hint="default"/>
          <w:lang w:val="en-US" w:eastAsia="zh-CN"/>
        </w:rPr>
        <w:t>附图1项目地理位置图</w:t>
      </w:r>
    </w:p>
    <w:p w14:paraId="3709E7DC">
      <w:pPr>
        <w:ind w:left="0" w:leftChars="0" w:firstLine="0" w:firstLineChars="0"/>
        <w:rPr>
          <w:rFonts w:hint="default" w:ascii="Times New Roman" w:hAnsi="Times New Roman" w:cs="Times New Roman"/>
        </w:rPr>
      </w:pPr>
      <w:r>
        <w:rPr>
          <w:sz w:val="24"/>
        </w:rPr>
        <mc:AlternateContent>
          <mc:Choice Requires="wps">
            <w:drawing>
              <wp:anchor distT="0" distB="0" distL="114300" distR="114300" simplePos="0" relativeHeight="251663360" behindDoc="0" locked="0" layoutInCell="1" allowOverlap="1">
                <wp:simplePos x="0" y="0"/>
                <wp:positionH relativeFrom="column">
                  <wp:posOffset>3540760</wp:posOffset>
                </wp:positionH>
                <wp:positionV relativeFrom="paragraph">
                  <wp:posOffset>1110615</wp:posOffset>
                </wp:positionV>
                <wp:extent cx="923290" cy="337820"/>
                <wp:effectExtent l="6350" t="6350" r="22860" b="132080"/>
                <wp:wrapNone/>
                <wp:docPr id="11" name="圆角矩形标注 11"/>
                <wp:cNvGraphicFramePr/>
                <a:graphic xmlns:a="http://schemas.openxmlformats.org/drawingml/2006/main">
                  <a:graphicData uri="http://schemas.microsoft.com/office/word/2010/wordprocessingShape">
                    <wps:wsp>
                      <wps:cNvSpPr/>
                      <wps:spPr>
                        <a:xfrm>
                          <a:off x="4736465" y="2289175"/>
                          <a:ext cx="923290" cy="337820"/>
                        </a:xfrm>
                        <a:prstGeom prst="wedgeRoundRectCallout">
                          <a:avLst>
                            <a:gd name="adj1" fmla="val -31980"/>
                            <a:gd name="adj2" fmla="val 82142"/>
                            <a:gd name="adj3" fmla="val 16667"/>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0394AF4E">
                            <w:pPr>
                              <w:ind w:left="0" w:leftChars="0" w:firstLine="0" w:firstLineChars="0"/>
                              <w:jc w:val="both"/>
                              <w:rPr>
                                <w:rFonts w:hint="default" w:eastAsia="宋体"/>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78.8pt;margin-top:87.45pt;height:26.6pt;width:72.7pt;z-index:251663360;v-text-anchor:middle;mso-width-relative:page;mso-height-relative:page;" fillcolor="#4874CB [3204]" filled="t" stroked="t" coordsize="21600,21600" o:gfxdata="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" adj="3892,28543,14400">
                <v:fill on="t" focussize="0,0"/>
                <v:stroke weight="1pt" color="#2E54A1 [2404]" miterlimit="8" joinstyle="miter"/>
                <v:imagedata o:title=""/>
                <o:lock v:ext="edit" aspectratio="f"/>
                <v:textbox>
                  <w:txbxContent>
                    <w:p w14:paraId="0394AF4E">
                      <w:pPr>
                        <w:ind w:left="0" w:leftChars="0" w:firstLine="0" w:firstLineChars="0"/>
                        <w:jc w:val="both"/>
                        <w:rPr>
                          <w:rFonts w:hint="default" w:eastAsia="宋体"/>
                          <w:lang w:val="en-US" w:eastAsia="zh-CN"/>
                        </w:rPr>
                      </w:pPr>
                      <w:r>
                        <w:rPr>
                          <w:rFonts w:hint="eastAsia"/>
                          <w:lang w:val="en-US" w:eastAsia="zh-CN"/>
                        </w:rPr>
                        <w:t>项目位置</w:t>
                      </w:r>
                    </w:p>
                  </w:txbxContent>
                </v:textbox>
              </v:shape>
            </w:pict>
          </mc:Fallback>
        </mc:AlternateContent>
      </w:r>
      <w:r>
        <w:drawing>
          <wp:inline distT="0" distB="0" distL="114300" distR="114300">
            <wp:extent cx="8422005" cy="5212715"/>
            <wp:effectExtent l="0" t="0" r="17145" b="6985"/>
            <wp:docPr id="4" name="图片 2" descr="284-285伊金霍洛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284-285伊金霍洛旗"/>
                    <pic:cNvPicPr>
                      <a:picLocks noChangeAspect="1"/>
                    </pic:cNvPicPr>
                  </pic:nvPicPr>
                  <pic:blipFill>
                    <a:blip r:embed="rId21"/>
                    <a:stretch>
                      <a:fillRect/>
                    </a:stretch>
                  </pic:blipFill>
                  <pic:spPr>
                    <a:xfrm>
                      <a:off x="0" y="0"/>
                      <a:ext cx="8422005" cy="5212715"/>
                    </a:xfrm>
                    <a:prstGeom prst="rect">
                      <a:avLst/>
                    </a:prstGeom>
                    <a:noFill/>
                    <a:ln>
                      <a:noFill/>
                    </a:ln>
                  </pic:spPr>
                </pic:pic>
              </a:graphicData>
            </a:graphic>
          </wp:inline>
        </w:drawing>
      </w:r>
    </w:p>
    <w:p w14:paraId="1FB0966E">
      <w:pPr>
        <w:pStyle w:val="4"/>
        <w:ind w:left="0" w:leftChars="0" w:firstLine="0" w:firstLineChars="0"/>
        <w:rPr>
          <w:rFonts w:hint="default" w:ascii="Times New Roman" w:hAnsi="Times New Roman" w:cs="Times New Roman"/>
        </w:rPr>
        <w:sectPr>
          <w:pgSz w:w="16838" w:h="11906" w:orient="landscape"/>
          <w:pgMar w:top="1531" w:right="1701" w:bottom="1531" w:left="1701" w:header="851" w:footer="851" w:gutter="0"/>
          <w:pgBorders>
            <w:top w:val="none" w:sz="0" w:space="0"/>
            <w:left w:val="none" w:sz="0" w:space="0"/>
            <w:bottom w:val="none" w:sz="0" w:space="0"/>
            <w:right w:val="none" w:sz="0" w:space="0"/>
          </w:pgBorders>
          <w:pgNumType w:fmt="numberInDash"/>
          <w:cols w:space="720" w:num="1"/>
          <w:docGrid w:linePitch="312" w:charSpace="0"/>
        </w:sectPr>
      </w:pPr>
    </w:p>
    <w:p w14:paraId="4238EF07">
      <w:pPr>
        <w:pStyle w:val="3"/>
        <w:bidi w:val="0"/>
        <w:rPr>
          <w:rFonts w:hint="default"/>
          <w:lang w:val="en-US" w:eastAsia="zh-CN"/>
        </w:rPr>
      </w:pPr>
      <w:r>
        <w:rPr>
          <w:rFonts w:hint="default"/>
          <w:lang w:val="en-US" w:eastAsia="zh-CN"/>
        </w:rPr>
        <w:t>附图2危险废物贮存库平面布置图</w:t>
      </w:r>
    </w:p>
    <w:p w14:paraId="15121F92">
      <w:pPr>
        <w:pStyle w:val="4"/>
        <w:ind w:left="0" w:leftChars="0" w:firstLine="0" w:firstLineChars="0"/>
        <w:jc w:val="center"/>
      </w:pPr>
      <w:bookmarkStart w:id="3" w:name="_GoBack"/>
      <w:r>
        <w:drawing>
          <wp:inline distT="0" distB="0" distL="114300" distR="114300">
            <wp:extent cx="5681980" cy="5408930"/>
            <wp:effectExtent l="0" t="0" r="13970" b="127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22"/>
                    <a:stretch>
                      <a:fillRect/>
                    </a:stretch>
                  </pic:blipFill>
                  <pic:spPr>
                    <a:xfrm>
                      <a:off x="0" y="0"/>
                      <a:ext cx="5681980" cy="5408930"/>
                    </a:xfrm>
                    <a:prstGeom prst="rect">
                      <a:avLst/>
                    </a:prstGeom>
                    <a:noFill/>
                    <a:ln>
                      <a:noFill/>
                    </a:ln>
                  </pic:spPr>
                </pic:pic>
              </a:graphicData>
            </a:graphic>
          </wp:inline>
        </w:drawing>
      </w:r>
      <w:bookmarkEnd w:id="3"/>
    </w:p>
    <w:sectPr>
      <w:pgSz w:w="16838" w:h="11906" w:orient="landscape"/>
      <w:pgMar w:top="1531" w:right="1701" w:bottom="1531" w:left="1701" w:header="851" w:footer="851" w:gutter="0"/>
      <w:pgBorders>
        <w:top w:val="none" w:sz="0" w:space="0"/>
        <w:left w:val="none" w:sz="0" w:space="0"/>
        <w:bottom w:val="none" w:sz="0" w:space="0"/>
        <w:right w:val="none" w:sz="0" w:space="0"/>
      </w:pgBorders>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573B31-7D3B-4043-AE60-300DB96083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EBD78482-2BDB-4345-93E2-FA19672F9899}"/>
  </w:font>
  <w:font w:name="方正小标宋_GBK">
    <w:panose1 w:val="02000000000000000000"/>
    <w:charset w:val="86"/>
    <w:family w:val="script"/>
    <w:pitch w:val="default"/>
    <w:sig w:usb0="00000001" w:usb1="080E0000" w:usb2="00000000" w:usb3="00000000" w:csb0="00040000" w:csb1="00000000"/>
    <w:embedRegular r:id="rId3" w:fontKey="{C76758B8-7B16-4F09-8F79-D4B66987B31F}"/>
  </w:font>
  <w:font w:name="楷体_GB2312">
    <w:panose1 w:val="02010609030101010101"/>
    <w:charset w:val="86"/>
    <w:family w:val="modern"/>
    <w:pitch w:val="default"/>
    <w:sig w:usb0="00000001" w:usb1="080E0000" w:usb2="00000000" w:usb3="00000000" w:csb0="00040000" w:csb1="00000000"/>
    <w:embedRegular r:id="rId4" w:fontKey="{378BEE78-C94C-48D8-B9B6-88F6A2FA067B}"/>
  </w:font>
  <w:font w:name="华文仿宋">
    <w:panose1 w:val="02010600040101010101"/>
    <w:charset w:val="86"/>
    <w:family w:val="auto"/>
    <w:pitch w:val="default"/>
    <w:sig w:usb0="00000287" w:usb1="080F0000" w:usb2="00000000" w:usb3="00000000" w:csb0="0004009F" w:csb1="DFD70000"/>
    <w:embedRegular r:id="rId5" w:fontKey="{BB870AD7-3C92-43EE-9C5A-879789E456FB}"/>
  </w:font>
  <w:font w:name="仿宋">
    <w:panose1 w:val="02010609060101010101"/>
    <w:charset w:val="86"/>
    <w:family w:val="modern"/>
    <w:pitch w:val="default"/>
    <w:sig w:usb0="800002BF" w:usb1="38CF7CFA" w:usb2="00000016" w:usb3="00000000" w:csb0="00040001" w:csb1="00000000"/>
    <w:embedRegular r:id="rId6" w:fontKey="{0F19C4F6-2DDC-4735-9964-6FCAEA174B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5224E">
    <w:pPr>
      <w:pStyle w:val="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21B01">
    <w:pPr>
      <w:pStyle w:val="9"/>
      <w:framePr w:wrap="around" w:vAnchor="text" w:hAnchor="margin" w:xAlign="center" w:y="1"/>
      <w:rPr>
        <w:rStyle w:val="18"/>
      </w:rPr>
    </w:pPr>
    <w:r>
      <w:fldChar w:fldCharType="begin"/>
    </w:r>
    <w:r>
      <w:rPr>
        <w:rStyle w:val="18"/>
      </w:rPr>
      <w:instrText xml:space="preserve">PAGE  </w:instrText>
    </w:r>
    <w:r>
      <w:fldChar w:fldCharType="end"/>
    </w:r>
  </w:p>
  <w:p w14:paraId="167EE9AB">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8264A">
    <w:pPr>
      <w:pStyle w:val="9"/>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9AFBC">
    <w:pPr>
      <w:pStyle w:val="9"/>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0F530E">
                          <w:pPr>
                            <w:pStyle w:val="9"/>
                            <w:ind w:left="0" w:leftChars="0" w:firstLine="0" w:firstLineChars="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cZwUA4QEAAMIDAAAOAAAA&#10;AAAAAAEAIAAAAB4BAABkcnMvZTJvRG9jLnhtbFBLBQYAAAAABgAGAFkBAABxBQAAAAA=&#10;">
              <v:fill on="f" focussize="0,0"/>
              <v:stroke on="f"/>
              <v:imagedata o:title=""/>
              <o:lock v:ext="edit" aspectratio="f"/>
              <v:textbox inset="0mm,0mm,0mm,0mm" style="mso-fit-shape-to-text:t;">
                <w:txbxContent>
                  <w:p w14:paraId="160F530E">
                    <w:pPr>
                      <w:pStyle w:val="9"/>
                      <w:ind w:left="0" w:leftChars="0" w:firstLine="0" w:firstLineChars="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FD3FB">
    <w:pPr>
      <w:pStyle w:val="9"/>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3287E0">
                          <w:pPr>
                            <w:pStyle w:val="9"/>
                            <w:ind w:left="0" w:leftChars="0" w:firstLine="0" w:firstLineChars="0"/>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jSxOCeIBAADCAwAADgAA&#10;AAAAAAABACAAAAAeAQAAZHJzL2Uyb0RvYy54bWxQSwUGAAAAAAYABgBZAQAAcgUAAAAA&#10;">
              <v:fill on="f" focussize="0,0"/>
              <v:stroke on="f"/>
              <v:imagedata o:title=""/>
              <o:lock v:ext="edit" aspectratio="f"/>
              <v:textbox inset="0mm,0mm,0mm,0mm" style="mso-fit-shape-to-text:t;">
                <w:txbxContent>
                  <w:p w14:paraId="3B3287E0">
                    <w:pPr>
                      <w:pStyle w:val="9"/>
                      <w:ind w:left="0" w:leftChars="0" w:firstLine="0" w:firstLineChars="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3E83E">
    <w:pPr>
      <w:pStyle w:val="9"/>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6B7BB1">
                          <w:pPr>
                            <w:pStyle w:val="9"/>
                          </w:pPr>
                          <w:r>
                            <w:fldChar w:fldCharType="begin"/>
                          </w:r>
                          <w:r>
                            <w:instrText xml:space="preserve"> PAGE  \* MERGEFORMAT </w:instrText>
                          </w:r>
                          <w:r>
                            <w:fldChar w:fldCharType="separate"/>
                          </w:r>
                          <w:r>
                            <w:t>7</w:t>
                          </w:r>
                          <w:r>
                            <w:fldChar w:fldCharType="end"/>
                          </w:r>
                        </w:p>
                      </w:txbxContent>
                    </wps:txbx>
                    <wps:bodyPr vert="horz" wrap="none" lIns="0" tIns="0" rIns="0" bIns="0" anchor="t" anchorCtr="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6Yde++IBAADCAwAADgAA&#10;AAAAAAABACAAAAAeAQAAZHJzL2Uyb0RvYy54bWxQSwUGAAAAAAYABgBZAQAAcgUAAAAA&#10;">
              <v:fill on="f" focussize="0,0"/>
              <v:stroke on="f"/>
              <v:imagedata o:title=""/>
              <o:lock v:ext="edit" aspectratio="f"/>
              <v:textbox inset="0mm,0mm,0mm,0mm" style="mso-fit-shape-to-text:t;">
                <w:txbxContent>
                  <w:p w14:paraId="4B6B7BB1">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04741">
    <w:pPr>
      <w:pStyle w:val="9"/>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10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FCA8F7">
                          <w:pPr>
                            <w:pStyle w:val="9"/>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103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Qt+Qo+IBAADCAwAADgAA&#10;AAAAAAABACAAAAAeAQAAZHJzL2Uyb0RvYy54bWxQSwUGAAAAAAYABgBZAQAAcgUAAAAA&#10;">
              <v:fill on="f" focussize="0,0"/>
              <v:stroke on="f"/>
              <v:imagedata o:title=""/>
              <o:lock v:ext="edit" aspectratio="f"/>
              <v:textbox inset="0mm,0mm,0mm,0mm" style="mso-fit-shape-to-text:t;">
                <w:txbxContent>
                  <w:p w14:paraId="4FFCA8F7">
                    <w:pPr>
                      <w:pStyle w:val="9"/>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F8054">
    <w:pPr>
      <w:pStyle w:val="10"/>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91D6D">
    <w:pPr>
      <w:pStyle w:val="10"/>
      <w:pBdr>
        <w:top w:val="none" w:color="auto" w:sz="0" w:space="0"/>
        <w:left w:val="none" w:color="auto" w:sz="0" w:space="0"/>
        <w:bottom w:val="none" w:color="auto" w:sz="0" w:space="1"/>
        <w:right w:val="none" w:color="auto" w:sz="0" w:space="0"/>
        <w:between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6CAC0">
    <w:pPr>
      <w:pStyle w:val="10"/>
      <w:keepNext w:val="0"/>
      <w:keepLines w:val="0"/>
      <w:pageBreakBefore w:val="0"/>
      <w:widowControl w:val="0"/>
      <w:pBdr>
        <w:top w:val="none" w:color="auto" w:sz="0" w:space="1"/>
        <w:left w:val="none" w:color="auto" w:sz="0" w:space="4"/>
        <w:bottom w:val="thinThickSmallGap" w:color="auto" w:sz="12" w:space="1"/>
        <w:right w:val="none" w:color="auto" w:sz="0" w:space="4"/>
        <w:between w:val="none" w:color="auto" w:sz="0" w:space="0"/>
      </w:pBdr>
      <w:kinsoku/>
      <w:wordWrap/>
      <w:overflowPunct/>
      <w:topLinePunct w:val="0"/>
      <w:bidi w:val="0"/>
      <w:adjustRightInd/>
      <w:snapToGrid w:val="0"/>
      <w:spacing w:line="240" w:lineRule="auto"/>
      <w:ind w:left="0" w:leftChars="0" w:firstLine="0" w:firstLineChars="0"/>
      <w:jc w:val="both"/>
      <w:textAlignment w:val="auto"/>
    </w:pPr>
    <w:r>
      <w:rPr>
        <w:rFonts w:hint="eastAsia"/>
        <w:lang w:val="en-US" w:eastAsia="zh-CN"/>
      </w:rPr>
      <w:t>伊金霍洛旗澎源供水有限责任公司</w:t>
    </w:r>
    <w:r>
      <w:rPr>
        <w:rFonts w:hint="default"/>
        <w:lang w:val="en-US" w:eastAsia="zh-CN"/>
      </w:rPr>
      <w:t>危险废物贮存库建设项目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yZWY4NzczNWEzNjAxOTdkOWVjYTQ2MWQ0OTUwZDMifQ=="/>
  </w:docVars>
  <w:rsids>
    <w:rsidRoot w:val="398B2A47"/>
    <w:rsid w:val="141F3511"/>
    <w:rsid w:val="1C26249A"/>
    <w:rsid w:val="1C8948DF"/>
    <w:rsid w:val="34056B1B"/>
    <w:rsid w:val="34B93C8A"/>
    <w:rsid w:val="36B552BC"/>
    <w:rsid w:val="398B2A47"/>
    <w:rsid w:val="41654DD9"/>
    <w:rsid w:val="421900A8"/>
    <w:rsid w:val="525A0B53"/>
    <w:rsid w:val="5E7F5697"/>
    <w:rsid w:val="659B19D9"/>
    <w:rsid w:val="74EB746C"/>
    <w:rsid w:val="75607C21"/>
    <w:rsid w:val="7BA475B9"/>
    <w:rsid w:val="7DC84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3">
    <w:name w:val="heading 1"/>
    <w:basedOn w:val="1"/>
    <w:next w:val="1"/>
    <w:autoRedefine/>
    <w:qFormat/>
    <w:uiPriority w:val="0"/>
    <w:pPr>
      <w:keepNext/>
      <w:keepLines/>
      <w:spacing w:beforeLines="0" w:afterLines="0" w:line="240" w:lineRule="auto"/>
      <w:ind w:firstLine="0" w:firstLineChars="0"/>
      <w:outlineLvl w:val="0"/>
    </w:pPr>
    <w:rPr>
      <w:rFonts w:ascii="Times New Roman" w:hAnsi="Times New Roman" w:eastAsia="宋体"/>
      <w:b/>
      <w:kern w:val="44"/>
      <w:sz w:val="24"/>
    </w:rPr>
  </w:style>
  <w:style w:type="character" w:default="1" w:styleId="17">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60" w:after="60" w:line="576" w:lineRule="auto"/>
      <w:ind w:firstLine="0" w:firstLineChars="0"/>
      <w:jc w:val="left"/>
      <w:outlineLvl w:val="0"/>
    </w:pPr>
    <w:rPr>
      <w:b/>
      <w:bCs/>
      <w:sz w:val="36"/>
      <w:szCs w:val="32"/>
      <w:lang w:val="zh-CN"/>
    </w:rPr>
  </w:style>
  <w:style w:type="paragraph" w:styleId="4">
    <w:name w:val="Normal Indent"/>
    <w:basedOn w:val="1"/>
    <w:next w:val="5"/>
    <w:autoRedefine/>
    <w:qFormat/>
    <w:uiPriority w:val="0"/>
    <w:pPr>
      <w:adjustRightInd w:val="0"/>
      <w:spacing w:line="320" w:lineRule="atLeast"/>
      <w:ind w:firstLine="420"/>
      <w:textAlignment w:val="baseline"/>
    </w:pPr>
    <w:rPr>
      <w:rFonts w:ascii="Times New Roman" w:hAnsi="Times New Roman" w:eastAsia="宋体" w:cs="Times New Roman"/>
      <w:kern w:val="0"/>
      <w:sz w:val="21"/>
      <w:szCs w:val="20"/>
    </w:rPr>
  </w:style>
  <w:style w:type="paragraph" w:styleId="5">
    <w:name w:val="Body Text First Indent 2"/>
    <w:basedOn w:val="6"/>
    <w:next w:val="1"/>
    <w:autoRedefine/>
    <w:qFormat/>
    <w:uiPriority w:val="0"/>
    <w:pPr>
      <w:ind w:firstLine="420"/>
    </w:pPr>
  </w:style>
  <w:style w:type="paragraph" w:styleId="6">
    <w:name w:val="Body Text Indent"/>
    <w:basedOn w:val="1"/>
    <w:next w:val="1"/>
    <w:qFormat/>
    <w:uiPriority w:val="0"/>
    <w:pPr>
      <w:spacing w:after="120"/>
      <w:ind w:left="420" w:leftChars="200"/>
    </w:pPr>
    <w:rPr>
      <w:kern w:val="0"/>
      <w:sz w:val="24"/>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widowControl/>
      <w:snapToGrid w:val="0"/>
      <w:spacing w:before="60" w:after="160" w:line="259" w:lineRule="auto"/>
      <w:ind w:right="113"/>
    </w:pPr>
    <w:rPr>
      <w:kern w:val="0"/>
      <w:sz w:val="18"/>
      <w:szCs w:val="20"/>
    </w:rPr>
  </w:style>
  <w:style w:type="paragraph" w:styleId="9">
    <w:name w:val="footer"/>
    <w:basedOn w:val="1"/>
    <w:autoRedefine/>
    <w:qFormat/>
    <w:uiPriority w:val="99"/>
    <w:pPr>
      <w:tabs>
        <w:tab w:val="center" w:pos="4153"/>
        <w:tab w:val="right" w:pos="8306"/>
      </w:tabs>
      <w:snapToGrid w:val="0"/>
      <w:jc w:val="left"/>
    </w:pPr>
    <w:rPr>
      <w:kern w:val="0"/>
      <w:sz w:val="18"/>
      <w:szCs w:val="20"/>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11">
    <w:name w:val="toc 2"/>
    <w:basedOn w:val="1"/>
    <w:next w:val="1"/>
    <w:autoRedefine/>
    <w:qFormat/>
    <w:uiPriority w:val="0"/>
    <w:pPr>
      <w:ind w:left="420" w:leftChars="200"/>
    </w:pPr>
  </w:style>
  <w:style w:type="paragraph" w:styleId="12">
    <w:name w:val="Body Text 2"/>
    <w:basedOn w:val="1"/>
    <w:next w:val="1"/>
    <w:qFormat/>
    <w:uiPriority w:val="0"/>
    <w:pPr>
      <w:spacing w:after="120" w:line="480" w:lineRule="auto"/>
    </w:pPr>
  </w:style>
  <w:style w:type="paragraph" w:styleId="13">
    <w:name w:val="Normal (Web)"/>
    <w:basedOn w:val="1"/>
    <w:autoRedefine/>
    <w:qFormat/>
    <w:uiPriority w:val="0"/>
    <w:pPr>
      <w:widowControl/>
      <w:spacing w:before="100" w:beforeAutospacing="1" w:after="100" w:afterAutospacing="1"/>
      <w:jc w:val="left"/>
    </w:pPr>
    <w:rPr>
      <w:rFonts w:ascii="宋体" w:hAnsi="宋体"/>
      <w:kern w:val="0"/>
      <w:sz w:val="24"/>
      <w:szCs w:val="20"/>
    </w:rPr>
  </w:style>
  <w:style w:type="paragraph" w:styleId="14">
    <w:name w:val="Body Text First Indent"/>
    <w:basedOn w:val="8"/>
    <w:next w:val="1"/>
    <w:autoRedefine/>
    <w:qFormat/>
    <w:uiPriority w:val="0"/>
    <w:pPr>
      <w:ind w:firstLine="420" w:firstLineChars="100"/>
    </w:pPr>
  </w:style>
  <w:style w:type="table" w:styleId="16">
    <w:name w:val="Table Grid"/>
    <w:basedOn w:val="15"/>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autoRedefine/>
    <w:qFormat/>
    <w:uiPriority w:val="0"/>
  </w:style>
  <w:style w:type="paragraph" w:customStyle="1" w:styleId="19">
    <w:name w:val="样式2"/>
    <w:basedOn w:val="20"/>
    <w:autoRedefine/>
    <w:qFormat/>
    <w:uiPriority w:val="0"/>
    <w:rPr>
      <w:rFonts w:ascii="Times New Roman" w:hAnsi="Times New Roman"/>
      <w:szCs w:val="21"/>
    </w:rPr>
  </w:style>
  <w:style w:type="paragraph" w:customStyle="1" w:styleId="20">
    <w:name w:val="样式1"/>
    <w:basedOn w:val="1"/>
    <w:autoRedefine/>
    <w:qFormat/>
    <w:uiPriority w:val="0"/>
    <w:pPr>
      <w:adjustRightInd w:val="0"/>
      <w:snapToGrid w:val="0"/>
      <w:ind w:firstLine="0" w:firstLineChars="0"/>
      <w:jc w:val="left"/>
    </w:pPr>
    <w:rPr>
      <w:rFonts w:ascii="宋体" w:hAnsi="宋体" w:cs="宋体"/>
      <w:b/>
      <w:bCs/>
      <w:kern w:val="0"/>
    </w:rPr>
  </w:style>
  <w:style w:type="paragraph" w:customStyle="1" w:styleId="21">
    <w:name w:val="表头和图标"/>
    <w:basedOn w:val="1"/>
    <w:autoRedefine/>
    <w:qFormat/>
    <w:uiPriority w:val="0"/>
    <w:pPr>
      <w:ind w:firstLine="422"/>
      <w:jc w:val="center"/>
    </w:pPr>
    <w:rPr>
      <w:b/>
      <w:sz w:val="21"/>
    </w:rPr>
  </w:style>
  <w:style w:type="paragraph" w:customStyle="1" w:styleId="22">
    <w:name w:val="表文字"/>
    <w:autoRedefine/>
    <w:qFormat/>
    <w:uiPriority w:val="0"/>
    <w:pPr>
      <w:widowControl w:val="0"/>
      <w:adjustRightInd w:val="0"/>
      <w:snapToGrid w:val="0"/>
      <w:spacing w:line="270" w:lineRule="exact"/>
      <w:ind w:left="57" w:right="57"/>
      <w:jc w:val="center"/>
    </w:pPr>
    <w:rPr>
      <w:rFonts w:ascii="Times New Roman" w:hAnsi="Times New Roman" w:eastAsia="宋体" w:cs="Times New Roman"/>
      <w:kern w:val="18"/>
      <w:sz w:val="18"/>
      <w:szCs w:val="20"/>
      <w:lang w:val="en-GB" w:eastAsia="zh-CN" w:bidi="ar-SA"/>
    </w:rPr>
  </w:style>
  <w:style w:type="paragraph" w:customStyle="1" w:styleId="23">
    <w:name w:val="样式 样式 样式 四号 左侧:  1.53 厘米 + 首行缩进:  2 字符 + 居中 左侧:  2 字符 首行缩进:  2..."/>
    <w:basedOn w:val="24"/>
    <w:autoRedefine/>
    <w:qFormat/>
    <w:uiPriority w:val="0"/>
    <w:pPr>
      <w:jc w:val="center"/>
    </w:pPr>
  </w:style>
  <w:style w:type="paragraph" w:customStyle="1" w:styleId="24">
    <w:name w:val="样式 样式 四号 左侧:  1.53 厘米 + 首行缩进:  2 字符"/>
    <w:basedOn w:val="25"/>
    <w:autoRedefine/>
    <w:qFormat/>
    <w:uiPriority w:val="0"/>
    <w:pPr>
      <w:ind w:left="200" w:leftChars="200"/>
    </w:pPr>
    <w:rPr>
      <w:szCs w:val="20"/>
    </w:rPr>
  </w:style>
  <w:style w:type="paragraph" w:customStyle="1" w:styleId="25">
    <w:name w:val="样式 四号 左侧:  1.53 厘米"/>
    <w:basedOn w:val="1"/>
    <w:autoRedefine/>
    <w:qFormat/>
    <w:uiPriority w:val="0"/>
    <w:pPr>
      <w:adjustRightInd w:val="0"/>
    </w:pPr>
    <w:rPr>
      <w:w w:val="90"/>
      <w:sz w:val="28"/>
      <w:szCs w:val="28"/>
    </w:rPr>
  </w:style>
  <w:style w:type="paragraph" w:customStyle="1" w:styleId="26">
    <w:name w:val="表格"/>
    <w:basedOn w:val="1"/>
    <w:next w:val="1"/>
    <w:autoRedefine/>
    <w:qFormat/>
    <w:uiPriority w:val="0"/>
    <w:pPr>
      <w:adjustRightInd w:val="0"/>
      <w:snapToGrid w:val="0"/>
      <w:spacing w:beforeLines="10" w:afterLines="10" w:line="259" w:lineRule="auto"/>
      <w:jc w:val="center"/>
    </w:pPr>
    <w:rPr>
      <w:rFonts w:ascii="宋体"/>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17906</Words>
  <Characters>18982</Characters>
  <Lines>0</Lines>
  <Paragraphs>0</Paragraphs>
  <TotalTime>0</TotalTime>
  <ScaleCrop>false</ScaleCrop>
  <LinksUpToDate>false</LinksUpToDate>
  <CharactersWithSpaces>18982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2024-05-07T09:57:00Z</dcterms:created>
  <dc:creator>IKL</dc:creator>
  <cp:lastModifiedBy>WPS_1710487058</cp:lastModifiedBy>
  <cp:lastPrinted>2024-05-13T09:39:00Z</cp:lastPrinted>
  <dcterms:modified xsi:type="dcterms:W3CDTF">2024-11-29T02:57:26Z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9DD56FD578F74FE8B45CCFF455577EC8_13</vt:lpwstr>
  </property>
</Properties>
</file>