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D45CE">
      <w:pPr>
        <w:spacing w:line="360" w:lineRule="auto"/>
        <w:jc w:val="both"/>
        <w:rPr>
          <w:rFonts w:hint="default" w:ascii="Times New Roman" w:hAnsi="Times New Roman" w:eastAsia="宋体" w:cs="Times New Roman"/>
          <w:b/>
          <w:color w:val="auto"/>
          <w:sz w:val="52"/>
          <w:szCs w:val="52"/>
          <w:highlight w:val="none"/>
          <w:lang w:eastAsia="zh-CN"/>
        </w:rPr>
      </w:pPr>
      <w:r>
        <w:rPr>
          <w:rFonts w:hint="default" w:ascii="Times New Roman" w:hAnsi="Times New Roman" w:eastAsia="宋体" w:cs="Times New Roman"/>
          <w:b/>
          <w:color w:val="auto"/>
          <w:sz w:val="52"/>
          <w:szCs w:val="52"/>
          <w:highlight w:val="none"/>
          <w:lang w:eastAsia="zh-CN"/>
        </w:rPr>
        <w:drawing>
          <wp:anchor distT="0" distB="0" distL="114300" distR="114300" simplePos="0" relativeHeight="251674624" behindDoc="0" locked="0" layoutInCell="1" allowOverlap="1">
            <wp:simplePos x="0" y="0"/>
            <wp:positionH relativeFrom="column">
              <wp:posOffset>-911860</wp:posOffset>
            </wp:positionH>
            <wp:positionV relativeFrom="paragraph">
              <wp:posOffset>-897890</wp:posOffset>
            </wp:positionV>
            <wp:extent cx="7553960" cy="10674985"/>
            <wp:effectExtent l="0" t="0" r="8890" b="12065"/>
            <wp:wrapNone/>
            <wp:docPr id="2" name="图片 2" descr="img20241119_1637294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20241119_16372944_00"/>
                    <pic:cNvPicPr>
                      <a:picLocks noChangeAspect="1"/>
                    </pic:cNvPicPr>
                  </pic:nvPicPr>
                  <pic:blipFill>
                    <a:blip r:embed="rId20"/>
                    <a:stretch>
                      <a:fillRect/>
                    </a:stretch>
                  </pic:blipFill>
                  <pic:spPr>
                    <a:xfrm>
                      <a:off x="0" y="0"/>
                      <a:ext cx="7553960" cy="10674985"/>
                    </a:xfrm>
                    <a:prstGeom prst="rect">
                      <a:avLst/>
                    </a:prstGeom>
                  </pic:spPr>
                </pic:pic>
              </a:graphicData>
            </a:graphic>
          </wp:anchor>
        </w:drawing>
      </w:r>
    </w:p>
    <w:p w14:paraId="4A2119B4">
      <w:pPr>
        <w:spacing w:line="360" w:lineRule="auto"/>
        <w:jc w:val="center"/>
        <w:rPr>
          <w:rFonts w:hint="default" w:ascii="Times New Roman" w:hAnsi="Times New Roman" w:eastAsia="宋体" w:cs="Times New Roman"/>
          <w:b/>
          <w:color w:val="auto"/>
          <w:sz w:val="52"/>
          <w:szCs w:val="52"/>
          <w:highlight w:val="none"/>
        </w:rPr>
      </w:pPr>
    </w:p>
    <w:p w14:paraId="0E8B38C5">
      <w:pPr>
        <w:adjustRightInd w:val="0"/>
        <w:snapToGrid w:val="0"/>
        <w:spacing w:before="192" w:beforeLines="80"/>
        <w:jc w:val="center"/>
        <w:rPr>
          <w:rFonts w:hint="default" w:ascii="Times New Roman" w:hAnsi="Times New Roman" w:eastAsia="宋体" w:cs="Times New Roman"/>
          <w:b/>
          <w:bCs/>
          <w:color w:val="auto"/>
          <w:sz w:val="72"/>
          <w:szCs w:val="72"/>
        </w:rPr>
      </w:pPr>
      <w:r>
        <w:rPr>
          <w:rFonts w:hint="default" w:ascii="Times New Roman" w:hAnsi="Times New Roman" w:eastAsia="宋体" w:cs="Times New Roman"/>
          <w:b/>
          <w:bCs/>
          <w:color w:val="auto"/>
          <w:sz w:val="72"/>
          <w:szCs w:val="72"/>
        </w:rPr>
        <w:t>建设项目环境影响报告表</w:t>
      </w:r>
    </w:p>
    <w:p w14:paraId="2C3A89C0">
      <w:pPr>
        <w:adjustRightInd w:val="0"/>
        <w:snapToGrid w:val="0"/>
        <w:spacing w:before="192" w:beforeLines="80"/>
        <w:jc w:val="center"/>
        <w:rPr>
          <w:rFonts w:hint="default" w:ascii="Times New Roman" w:hAnsi="Times New Roman" w:eastAsia="宋体" w:cs="Times New Roman"/>
          <w:b/>
          <w:bCs/>
          <w:color w:val="auto"/>
          <w:sz w:val="48"/>
          <w:szCs w:val="48"/>
        </w:rPr>
      </w:pPr>
      <w:r>
        <w:rPr>
          <w:rFonts w:hint="default" w:ascii="Times New Roman" w:hAnsi="Times New Roman" w:eastAsia="宋体" w:cs="Times New Roman"/>
          <w:b/>
          <w:bCs/>
          <w:color w:val="auto"/>
          <w:sz w:val="48"/>
          <w:szCs w:val="48"/>
        </w:rPr>
        <w:t>（污染影响类）</w:t>
      </w:r>
    </w:p>
    <w:p w14:paraId="40376BED">
      <w:pPr>
        <w:spacing w:line="360" w:lineRule="auto"/>
        <w:jc w:val="center"/>
        <w:rPr>
          <w:rFonts w:hint="default" w:ascii="Times New Roman" w:hAnsi="Times New Roman" w:eastAsia="宋体" w:cs="Times New Roman"/>
          <w:color w:val="auto"/>
          <w:sz w:val="36"/>
          <w:szCs w:val="36"/>
          <w:highlight w:val="none"/>
        </w:rPr>
      </w:pPr>
    </w:p>
    <w:p w14:paraId="15D6B3C3">
      <w:pPr>
        <w:jc w:val="center"/>
        <w:rPr>
          <w:rFonts w:hint="default" w:ascii="Times New Roman" w:hAnsi="Times New Roman" w:eastAsia="宋体" w:cs="Times New Roman"/>
          <w:color w:val="auto"/>
          <w:sz w:val="32"/>
          <w:highlight w:val="none"/>
        </w:rPr>
      </w:pPr>
    </w:p>
    <w:p w14:paraId="396F7443">
      <w:pPr>
        <w:jc w:val="center"/>
        <w:rPr>
          <w:rFonts w:hint="default" w:ascii="Times New Roman" w:hAnsi="Times New Roman" w:eastAsia="宋体" w:cs="Times New Roman"/>
          <w:color w:val="auto"/>
          <w:sz w:val="32"/>
          <w:highlight w:val="none"/>
        </w:rPr>
      </w:pPr>
    </w:p>
    <w:p w14:paraId="14D14840">
      <w:pPr>
        <w:jc w:val="center"/>
        <w:rPr>
          <w:rFonts w:hint="default" w:ascii="Times New Roman" w:hAnsi="Times New Roman" w:eastAsia="宋体" w:cs="Times New Roman"/>
          <w:color w:val="auto"/>
          <w:sz w:val="32"/>
          <w:highlight w:val="none"/>
        </w:rPr>
      </w:pPr>
    </w:p>
    <w:p w14:paraId="666DE845">
      <w:pPr>
        <w:jc w:val="center"/>
        <w:rPr>
          <w:rFonts w:hint="default" w:ascii="Times New Roman" w:hAnsi="Times New Roman" w:eastAsia="宋体" w:cs="Times New Roman"/>
          <w:color w:val="auto"/>
          <w:sz w:val="32"/>
          <w:highlight w:val="none"/>
        </w:rPr>
      </w:pPr>
    </w:p>
    <w:p w14:paraId="697A2E54">
      <w:pPr>
        <w:jc w:val="center"/>
        <w:rPr>
          <w:rFonts w:hint="default" w:ascii="Times New Roman" w:hAnsi="Times New Roman" w:eastAsia="宋体" w:cs="Times New Roman"/>
          <w:color w:val="auto"/>
          <w:sz w:val="32"/>
          <w:highlight w:val="none"/>
        </w:rPr>
      </w:pPr>
    </w:p>
    <w:p w14:paraId="0D156B30">
      <w:pPr>
        <w:jc w:val="center"/>
        <w:rPr>
          <w:rFonts w:hint="default" w:ascii="Times New Roman" w:hAnsi="Times New Roman" w:eastAsia="宋体" w:cs="Times New Roman"/>
          <w:color w:val="auto"/>
          <w:sz w:val="32"/>
          <w:highlight w:val="none"/>
        </w:rPr>
      </w:pPr>
    </w:p>
    <w:p w14:paraId="6C883149">
      <w:pPr>
        <w:pStyle w:val="2"/>
        <w:ind w:left="0" w:leftChars="0" w:firstLine="0" w:firstLineChars="0"/>
        <w:rPr>
          <w:rFonts w:hint="default" w:ascii="Times New Roman" w:hAnsi="Times New Roman" w:eastAsia="宋体" w:cs="Times New Roman"/>
          <w:color w:val="auto"/>
        </w:rPr>
      </w:pPr>
    </w:p>
    <w:p w14:paraId="373084D3">
      <w:pPr>
        <w:rPr>
          <w:rFonts w:hint="default" w:ascii="Times New Roman" w:hAnsi="Times New Roman" w:eastAsia="宋体" w:cs="Times New Roman"/>
          <w:color w:val="auto"/>
        </w:rPr>
      </w:pPr>
    </w:p>
    <w:p w14:paraId="307A83CD">
      <w:pPr>
        <w:rPr>
          <w:rFonts w:hint="default" w:ascii="Times New Roman" w:hAnsi="Times New Roman" w:eastAsia="宋体" w:cs="Times New Roman"/>
          <w:color w:val="auto"/>
        </w:rPr>
      </w:pPr>
    </w:p>
    <w:p w14:paraId="0CFC3F23">
      <w:pPr>
        <w:rPr>
          <w:rFonts w:hint="default" w:ascii="Times New Roman" w:hAnsi="Times New Roman" w:eastAsia="宋体" w:cs="Times New Roman"/>
          <w:color w:val="auto"/>
        </w:rPr>
      </w:pPr>
    </w:p>
    <w:p w14:paraId="3F7295DC">
      <w:pPr>
        <w:pStyle w:val="120"/>
        <w:rPr>
          <w:rFonts w:hint="default" w:ascii="Times New Roman" w:hAnsi="Times New Roman" w:eastAsia="宋体" w:cs="Times New Roman"/>
          <w:color w:val="auto"/>
        </w:rPr>
      </w:pPr>
    </w:p>
    <w:p w14:paraId="7F5C5592">
      <w:pPr>
        <w:pStyle w:val="2"/>
        <w:ind w:left="0" w:leftChars="0" w:firstLine="0" w:firstLineChars="0"/>
        <w:rPr>
          <w:rFonts w:hint="default" w:ascii="Times New Roman" w:hAnsi="Times New Roman" w:eastAsia="宋体" w:cs="Times New Roman"/>
          <w:color w:val="auto"/>
        </w:rPr>
      </w:pPr>
    </w:p>
    <w:p w14:paraId="4BDA9626">
      <w:pPr>
        <w:bidi w:val="0"/>
        <w:spacing w:line="360" w:lineRule="auto"/>
        <w:ind w:left="2166" w:leftChars="171" w:hanging="1807" w:hangingChars="500"/>
        <w:jc w:val="left"/>
        <w:rPr>
          <w:rFonts w:hint="default" w:ascii="Times New Roman" w:hAnsi="Times New Roman" w:eastAsia="宋体" w:cs="Times New Roman"/>
          <w:b/>
          <w:bCs/>
          <w:color w:val="auto"/>
          <w:sz w:val="36"/>
          <w:szCs w:val="44"/>
          <w:u w:val="single"/>
          <w:lang w:val="en-US" w:eastAsia="zh-CN"/>
        </w:rPr>
      </w:pPr>
      <w:r>
        <w:rPr>
          <w:rFonts w:hint="default" w:ascii="Times New Roman" w:hAnsi="Times New Roman" w:eastAsia="宋体" w:cs="Times New Roman"/>
          <w:b/>
          <w:bCs/>
          <w:color w:val="auto"/>
          <w:sz w:val="36"/>
          <w:szCs w:val="44"/>
        </w:rPr>
        <w:t>项目名称：</w:t>
      </w:r>
      <w:r>
        <w:rPr>
          <w:rFonts w:hint="eastAsia" w:cs="Times New Roman"/>
          <w:b/>
          <w:bCs/>
          <w:color w:val="auto"/>
          <w:sz w:val="36"/>
          <w:szCs w:val="44"/>
          <w:u w:val="single"/>
          <w:lang w:val="en-US" w:eastAsia="zh-CN"/>
        </w:rPr>
        <w:t xml:space="preserve"> 国能神东煤炭布尔台煤矿伸缩喷漆房项目  </w:t>
      </w:r>
    </w:p>
    <w:p w14:paraId="7C3D0DA7">
      <w:pPr>
        <w:bidi w:val="0"/>
        <w:spacing w:line="360" w:lineRule="auto"/>
        <w:ind w:firstLine="361" w:firstLineChars="100"/>
        <w:jc w:val="left"/>
        <w:rPr>
          <w:rFonts w:hint="default" w:ascii="Times New Roman" w:hAnsi="Times New Roman" w:eastAsia="宋体" w:cs="Times New Roman"/>
          <w:b/>
          <w:bCs/>
          <w:color w:val="auto"/>
          <w:sz w:val="36"/>
          <w:szCs w:val="44"/>
          <w:lang w:val="en-US"/>
        </w:rPr>
      </w:pPr>
      <w:r>
        <w:rPr>
          <w:rFonts w:hint="default" w:ascii="Times New Roman" w:hAnsi="Times New Roman" w:eastAsia="宋体" w:cs="Times New Roman"/>
          <w:b/>
          <w:bCs/>
          <w:color w:val="auto"/>
          <w:sz w:val="36"/>
          <w:szCs w:val="44"/>
        </w:rPr>
        <w:t>建设单位：</w:t>
      </w:r>
      <w:r>
        <w:rPr>
          <w:rFonts w:hint="eastAsia" w:cs="Times New Roman"/>
          <w:b/>
          <w:bCs/>
          <w:color w:val="auto"/>
          <w:sz w:val="36"/>
          <w:szCs w:val="44"/>
          <w:u w:val="single"/>
          <w:lang w:val="en-US" w:eastAsia="zh-CN"/>
        </w:rPr>
        <w:t>中国神华</w:t>
      </w:r>
      <w:r>
        <w:rPr>
          <w:rFonts w:hint="default" w:ascii="Times New Roman" w:hAnsi="Times New Roman" w:eastAsia="宋体" w:cs="Times New Roman"/>
          <w:b/>
          <w:bCs/>
          <w:color w:val="auto"/>
          <w:sz w:val="36"/>
          <w:szCs w:val="44"/>
          <w:u w:val="single"/>
          <w:lang w:val="en-US" w:eastAsia="zh-CN"/>
        </w:rPr>
        <w:t>能源股份有限公司神</w:t>
      </w:r>
      <w:r>
        <w:rPr>
          <w:rFonts w:hint="eastAsia" w:cs="Times New Roman"/>
          <w:b/>
          <w:bCs/>
          <w:color w:val="auto"/>
          <w:sz w:val="36"/>
          <w:szCs w:val="44"/>
          <w:u w:val="single"/>
          <w:lang w:val="en-US" w:eastAsia="zh-CN"/>
        </w:rPr>
        <w:t>东</w:t>
      </w:r>
      <w:r>
        <w:rPr>
          <w:rFonts w:hint="default" w:ascii="Times New Roman" w:hAnsi="Times New Roman" w:eastAsia="宋体" w:cs="Times New Roman"/>
          <w:b/>
          <w:bCs/>
          <w:color w:val="auto"/>
          <w:sz w:val="36"/>
          <w:szCs w:val="44"/>
          <w:u w:val="single"/>
          <w:lang w:val="en-US" w:eastAsia="zh-CN"/>
        </w:rPr>
        <w:t>煤炭</w:t>
      </w:r>
      <w:r>
        <w:rPr>
          <w:rFonts w:hint="eastAsia" w:cs="Times New Roman"/>
          <w:b/>
          <w:bCs/>
          <w:color w:val="auto"/>
          <w:sz w:val="36"/>
          <w:szCs w:val="44"/>
          <w:u w:val="single"/>
          <w:lang w:val="en-US" w:eastAsia="zh-CN"/>
        </w:rPr>
        <w:t>分</w:t>
      </w:r>
      <w:r>
        <w:rPr>
          <w:rFonts w:hint="default" w:ascii="Times New Roman" w:hAnsi="Times New Roman" w:eastAsia="宋体" w:cs="Times New Roman"/>
          <w:b/>
          <w:bCs/>
          <w:color w:val="auto"/>
          <w:sz w:val="36"/>
          <w:szCs w:val="44"/>
          <w:u w:val="single"/>
          <w:lang w:val="en-US" w:eastAsia="zh-CN"/>
        </w:rPr>
        <w:t xml:space="preserve">公司 </w:t>
      </w:r>
    </w:p>
    <w:p w14:paraId="681A3B03">
      <w:pPr>
        <w:bidi w:val="0"/>
        <w:spacing w:line="360" w:lineRule="auto"/>
        <w:ind w:firstLine="361" w:firstLineChars="100"/>
        <w:jc w:val="left"/>
        <w:rPr>
          <w:rFonts w:hint="default" w:ascii="Times New Roman" w:hAnsi="Times New Roman" w:eastAsia="宋体" w:cs="Times New Roman"/>
          <w:b/>
          <w:bCs/>
          <w:color w:val="auto"/>
          <w:sz w:val="40"/>
          <w:szCs w:val="48"/>
          <w:u w:val="single"/>
          <w:lang w:val="en-US" w:eastAsia="zh-CN"/>
        </w:rPr>
      </w:pPr>
      <w:r>
        <w:rPr>
          <w:rFonts w:hint="default" w:ascii="Times New Roman" w:hAnsi="Times New Roman" w:eastAsia="宋体" w:cs="Times New Roman"/>
          <w:b/>
          <w:bCs/>
          <w:color w:val="auto"/>
          <w:sz w:val="36"/>
          <w:szCs w:val="44"/>
        </w:rPr>
        <w:t>编制日期：</w:t>
      </w:r>
      <w:r>
        <w:rPr>
          <w:rFonts w:hint="default" w:ascii="Times New Roman" w:hAnsi="Times New Roman" w:eastAsia="宋体" w:cs="Times New Roman"/>
          <w:b/>
          <w:bCs/>
          <w:color w:val="auto"/>
          <w:sz w:val="36"/>
          <w:szCs w:val="44"/>
          <w:u w:val="single"/>
          <w:lang w:val="en-US" w:eastAsia="zh-CN"/>
        </w:rPr>
        <w:t xml:space="preserve">             </w:t>
      </w:r>
      <w:r>
        <w:rPr>
          <w:rFonts w:hint="default" w:ascii="Times New Roman" w:hAnsi="Times New Roman" w:eastAsia="宋体" w:cs="Times New Roman"/>
          <w:b/>
          <w:bCs/>
          <w:color w:val="auto"/>
          <w:sz w:val="36"/>
          <w:szCs w:val="44"/>
          <w:u w:val="single"/>
        </w:rPr>
        <w:t>202</w:t>
      </w:r>
      <w:r>
        <w:rPr>
          <w:rFonts w:hint="default" w:ascii="Times New Roman" w:hAnsi="Times New Roman" w:eastAsia="宋体" w:cs="Times New Roman"/>
          <w:b/>
          <w:bCs/>
          <w:color w:val="auto"/>
          <w:sz w:val="36"/>
          <w:szCs w:val="44"/>
          <w:u w:val="single"/>
          <w:lang w:val="en-US" w:eastAsia="zh-CN"/>
        </w:rPr>
        <w:t>4</w:t>
      </w:r>
      <w:r>
        <w:rPr>
          <w:rFonts w:hint="default" w:ascii="Times New Roman" w:hAnsi="Times New Roman" w:eastAsia="宋体" w:cs="Times New Roman"/>
          <w:b/>
          <w:bCs/>
          <w:color w:val="auto"/>
          <w:sz w:val="36"/>
          <w:szCs w:val="44"/>
          <w:u w:val="single"/>
        </w:rPr>
        <w:t>年</w:t>
      </w:r>
      <w:r>
        <w:rPr>
          <w:rFonts w:hint="eastAsia" w:cs="Times New Roman"/>
          <w:b/>
          <w:bCs/>
          <w:color w:val="auto"/>
          <w:sz w:val="36"/>
          <w:szCs w:val="44"/>
          <w:u w:val="single"/>
          <w:lang w:val="en-US" w:eastAsia="zh-CN"/>
        </w:rPr>
        <w:t>11</w:t>
      </w:r>
      <w:r>
        <w:rPr>
          <w:rFonts w:hint="default" w:ascii="Times New Roman" w:hAnsi="Times New Roman" w:eastAsia="宋体" w:cs="Times New Roman"/>
          <w:b/>
          <w:bCs/>
          <w:color w:val="auto"/>
          <w:sz w:val="36"/>
          <w:szCs w:val="44"/>
          <w:u w:val="single"/>
        </w:rPr>
        <w:t>月</w:t>
      </w:r>
      <w:r>
        <w:rPr>
          <w:rFonts w:hint="default" w:ascii="Times New Roman" w:hAnsi="Times New Roman" w:eastAsia="宋体" w:cs="Times New Roman"/>
          <w:b/>
          <w:bCs/>
          <w:color w:val="auto"/>
          <w:sz w:val="36"/>
          <w:szCs w:val="44"/>
          <w:u w:val="single"/>
          <w:lang w:val="en-US" w:eastAsia="zh-CN"/>
        </w:rPr>
        <w:t xml:space="preserve">            </w:t>
      </w:r>
      <w:r>
        <w:rPr>
          <w:rFonts w:hint="eastAsia" w:cs="Times New Roman"/>
          <w:b/>
          <w:bCs/>
          <w:color w:val="auto"/>
          <w:sz w:val="36"/>
          <w:szCs w:val="44"/>
          <w:u w:val="single"/>
          <w:lang w:val="en-US" w:eastAsia="zh-CN"/>
        </w:rPr>
        <w:t xml:space="preserve"> </w:t>
      </w:r>
      <w:r>
        <w:rPr>
          <w:rFonts w:hint="default" w:ascii="Times New Roman" w:hAnsi="Times New Roman" w:eastAsia="宋体" w:cs="Times New Roman"/>
          <w:b/>
          <w:bCs/>
          <w:color w:val="auto"/>
          <w:sz w:val="36"/>
          <w:szCs w:val="44"/>
          <w:u w:val="single"/>
          <w:lang w:val="en-US" w:eastAsia="zh-CN"/>
        </w:rPr>
        <w:t xml:space="preserve"> </w:t>
      </w:r>
      <w:r>
        <w:rPr>
          <w:rFonts w:hint="eastAsia" w:cs="Times New Roman"/>
          <w:b/>
          <w:bCs/>
          <w:color w:val="auto"/>
          <w:sz w:val="36"/>
          <w:szCs w:val="44"/>
          <w:u w:val="single"/>
          <w:lang w:val="en-US" w:eastAsia="zh-CN"/>
        </w:rPr>
        <w:t xml:space="preserve"> </w:t>
      </w:r>
      <w:r>
        <w:rPr>
          <w:rFonts w:hint="default" w:ascii="Times New Roman" w:hAnsi="Times New Roman" w:eastAsia="宋体" w:cs="Times New Roman"/>
          <w:b/>
          <w:bCs/>
          <w:color w:val="auto"/>
          <w:sz w:val="36"/>
          <w:szCs w:val="44"/>
          <w:u w:val="single"/>
          <w:lang w:val="en-US" w:eastAsia="zh-CN"/>
        </w:rPr>
        <w:t xml:space="preserve"> </w:t>
      </w:r>
    </w:p>
    <w:p w14:paraId="3B9C401D">
      <w:pPr>
        <w:spacing w:line="360" w:lineRule="auto"/>
        <w:jc w:val="both"/>
        <w:rPr>
          <w:rFonts w:hint="default" w:ascii="Times New Roman" w:hAnsi="Times New Roman" w:eastAsia="宋体" w:cs="Times New Roman"/>
          <w:b/>
          <w:bCs/>
          <w:color w:val="auto"/>
          <w:sz w:val="30"/>
          <w:szCs w:val="30"/>
        </w:rPr>
      </w:pPr>
    </w:p>
    <w:p w14:paraId="42F2B972">
      <w:pPr>
        <w:pStyle w:val="7"/>
        <w:ind w:firstLine="0" w:firstLineChars="0"/>
        <w:rPr>
          <w:rFonts w:hint="default" w:ascii="Times New Roman" w:hAnsi="Times New Roman" w:eastAsia="宋体" w:cs="Times New Roman"/>
          <w:color w:val="auto"/>
          <w:highlight w:val="none"/>
        </w:rPr>
      </w:pPr>
    </w:p>
    <w:p w14:paraId="5A159590">
      <w:pPr>
        <w:jc w:val="left"/>
        <w:rPr>
          <w:rFonts w:hint="default" w:ascii="Times New Roman" w:hAnsi="Times New Roman" w:eastAsia="宋体" w:cs="Times New Roman"/>
          <w:b/>
          <w:bCs/>
          <w:color w:val="auto"/>
          <w:sz w:val="28"/>
          <w:szCs w:val="28"/>
          <w:highlight w:val="none"/>
        </w:rPr>
      </w:pPr>
    </w:p>
    <w:p w14:paraId="3E4FECED">
      <w:pPr>
        <w:spacing w:line="360" w:lineRule="auto"/>
        <w:jc w:val="left"/>
        <w:rPr>
          <w:rFonts w:hint="default" w:ascii="Times New Roman" w:hAnsi="Times New Roman" w:eastAsia="宋体" w:cs="Times New Roman"/>
          <w:b/>
          <w:color w:val="auto"/>
          <w:sz w:val="32"/>
          <w:szCs w:val="32"/>
          <w:highlight w:val="none"/>
        </w:rPr>
      </w:pPr>
    </w:p>
    <w:p w14:paraId="262F6C05">
      <w:pPr>
        <w:spacing w:line="360" w:lineRule="auto"/>
        <w:jc w:val="left"/>
        <w:rPr>
          <w:rFonts w:hint="default" w:ascii="Times New Roman" w:hAnsi="Times New Roman" w:eastAsia="宋体" w:cs="Times New Roman"/>
          <w:b/>
          <w:color w:val="auto"/>
          <w:sz w:val="32"/>
          <w:szCs w:val="32"/>
          <w:highlight w:val="none"/>
        </w:rPr>
      </w:pPr>
    </w:p>
    <w:p w14:paraId="62B0DA5B">
      <w:pPr>
        <w:pStyle w:val="23"/>
        <w:ind w:left="0" w:leftChars="0" w:firstLine="0" w:firstLineChars="0"/>
        <w:jc w:val="left"/>
        <w:rPr>
          <w:rFonts w:hint="default"/>
          <w:color w:val="auto"/>
        </w:rPr>
      </w:pPr>
    </w:p>
    <w:p w14:paraId="3460DCA0">
      <w:pPr>
        <w:spacing w:line="360" w:lineRule="auto"/>
        <w:jc w:val="center"/>
        <w:rPr>
          <w:rFonts w:hint="default" w:ascii="Times New Roman" w:hAnsi="Times New Roman" w:eastAsia="宋体" w:cs="Times New Roman"/>
          <w:color w:val="auto"/>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titlePg/>
          <w:docGrid w:linePitch="312" w:charSpace="0"/>
        </w:sectPr>
      </w:pPr>
      <w:r>
        <w:rPr>
          <w:rFonts w:hint="default" w:ascii="Times New Roman" w:hAnsi="Times New Roman" w:eastAsia="宋体" w:cs="Times New Roman"/>
          <w:b/>
          <w:color w:val="auto"/>
          <w:sz w:val="36"/>
          <w:szCs w:val="36"/>
          <w:highlight w:val="none"/>
        </w:rPr>
        <w:t>中华人民共和国生态环境部</w:t>
      </w:r>
    </w:p>
    <w:p w14:paraId="149BDEDD">
      <w:pPr>
        <w:pStyle w:val="2"/>
        <w:ind w:left="0" w:leftChars="0" w:firstLine="0" w:firstLineChars="0"/>
        <w:rPr>
          <w:rFonts w:hint="default"/>
          <w:lang w:eastAsia="zh-CN"/>
        </w:rPr>
        <w:sectPr>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titlePg/>
          <w:docGrid w:linePitch="312" w:charSpace="0"/>
        </w:sectPr>
      </w:pPr>
    </w:p>
    <w:p w14:paraId="2FC512E2">
      <w:pPr>
        <w:pStyle w:val="7"/>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sz w:val="32"/>
          <w:highlight w:val="none"/>
          <w:lang w:val="en-US" w:eastAsia="zh-CN"/>
        </w:rPr>
        <w:t>一、</w:t>
      </w:r>
      <w:r>
        <w:rPr>
          <w:rFonts w:hint="default" w:ascii="Times New Roman" w:hAnsi="Times New Roman" w:eastAsia="宋体" w:cs="Times New Roman"/>
          <w:b/>
          <w:color w:val="auto"/>
          <w:sz w:val="32"/>
          <w:highlight w:val="none"/>
        </w:rPr>
        <w:t>建设项目基本情况</w:t>
      </w:r>
    </w:p>
    <w:tbl>
      <w:tblPr>
        <w:tblStyle w:val="30"/>
        <w:tblW w:w="469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974"/>
        <w:gridCol w:w="2394"/>
        <w:gridCol w:w="2399"/>
        <w:gridCol w:w="2773"/>
      </w:tblGrid>
      <w:tr w14:paraId="6440D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609" w:type="pct"/>
            <w:noWrap w:val="0"/>
            <w:tcMar>
              <w:top w:w="16" w:type="dxa"/>
              <w:left w:w="16" w:type="dxa"/>
              <w:right w:w="16" w:type="dxa"/>
            </w:tcMar>
            <w:vAlign w:val="center"/>
          </w:tcPr>
          <w:p w14:paraId="280AC65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建设项目名称</w:t>
            </w:r>
          </w:p>
        </w:tc>
        <w:tc>
          <w:tcPr>
            <w:tcW w:w="4390" w:type="pct"/>
            <w:gridSpan w:val="3"/>
            <w:noWrap w:val="0"/>
            <w:vAlign w:val="center"/>
          </w:tcPr>
          <w:p w14:paraId="716B49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国能神东煤炭布尔台煤矿伸缩喷漆房项目</w:t>
            </w:r>
          </w:p>
        </w:tc>
      </w:tr>
      <w:tr w14:paraId="0D342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609" w:type="pct"/>
            <w:noWrap w:val="0"/>
            <w:tcMar>
              <w:top w:w="16" w:type="dxa"/>
              <w:left w:w="16" w:type="dxa"/>
              <w:right w:w="16" w:type="dxa"/>
            </w:tcMar>
            <w:vAlign w:val="center"/>
          </w:tcPr>
          <w:p w14:paraId="22D8A0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4390" w:type="pct"/>
            <w:gridSpan w:val="3"/>
            <w:noWrap w:val="0"/>
            <w:vAlign w:val="center"/>
          </w:tcPr>
          <w:p w14:paraId="7BD1F52B">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2409- 150627- 04- 01- 679053</w:t>
            </w:r>
          </w:p>
        </w:tc>
      </w:tr>
      <w:tr w14:paraId="263C6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609" w:type="pct"/>
            <w:noWrap w:val="0"/>
            <w:tcMar>
              <w:top w:w="16" w:type="dxa"/>
              <w:left w:w="16" w:type="dxa"/>
              <w:right w:w="16" w:type="dxa"/>
            </w:tcMar>
            <w:vAlign w:val="center"/>
          </w:tcPr>
          <w:p w14:paraId="664B497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建设单位联系人</w:t>
            </w:r>
          </w:p>
        </w:tc>
        <w:tc>
          <w:tcPr>
            <w:tcW w:w="1389" w:type="pct"/>
            <w:noWrap w:val="0"/>
            <w:vAlign w:val="center"/>
          </w:tcPr>
          <w:p w14:paraId="05336B9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lang w:val="en-US" w:eastAsia="zh-CN"/>
              </w:rPr>
              <w:t>沈浩</w:t>
            </w:r>
          </w:p>
        </w:tc>
        <w:tc>
          <w:tcPr>
            <w:tcW w:w="1392" w:type="pct"/>
            <w:noWrap w:val="0"/>
            <w:vAlign w:val="center"/>
          </w:tcPr>
          <w:p w14:paraId="1A4075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1608" w:type="pct"/>
            <w:noWrap w:val="0"/>
            <w:vAlign w:val="center"/>
          </w:tcPr>
          <w:p w14:paraId="4925D8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lang w:val="en-US" w:eastAsia="zh-CN"/>
              </w:rPr>
              <w:t>18047388667</w:t>
            </w:r>
          </w:p>
        </w:tc>
      </w:tr>
      <w:tr w14:paraId="2C79E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09" w:type="pct"/>
            <w:noWrap w:val="0"/>
            <w:tcMar>
              <w:top w:w="16" w:type="dxa"/>
              <w:left w:w="16" w:type="dxa"/>
              <w:right w:w="16" w:type="dxa"/>
            </w:tcMar>
            <w:vAlign w:val="center"/>
          </w:tcPr>
          <w:p w14:paraId="4D194C6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4390" w:type="pct"/>
            <w:gridSpan w:val="3"/>
            <w:noWrap w:val="0"/>
            <w:vAlign w:val="center"/>
          </w:tcPr>
          <w:p w14:paraId="7182F4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color w:val="auto"/>
                <w:sz w:val="24"/>
                <w:lang w:val="en-US" w:eastAsia="zh-CN"/>
              </w:rPr>
              <w:t>内蒙古自治区鄂尔多斯市伊金霍洛旗乌兰木伦镇布尔台煤矿</w:t>
            </w:r>
            <w:r>
              <w:rPr>
                <w:rFonts w:hint="eastAsia"/>
                <w:color w:val="auto"/>
                <w:sz w:val="24"/>
              </w:rPr>
              <w:t>厂区内</w:t>
            </w:r>
          </w:p>
        </w:tc>
      </w:tr>
      <w:tr w14:paraId="3139C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609" w:type="pct"/>
            <w:noWrap w:val="0"/>
            <w:tcMar>
              <w:top w:w="16" w:type="dxa"/>
              <w:left w:w="16" w:type="dxa"/>
              <w:right w:w="16" w:type="dxa"/>
            </w:tcMar>
            <w:vAlign w:val="center"/>
          </w:tcPr>
          <w:p w14:paraId="22D263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4390" w:type="pct"/>
            <w:gridSpan w:val="3"/>
            <w:noWrap w:val="0"/>
            <w:vAlign w:val="center"/>
          </w:tcPr>
          <w:p w14:paraId="03AE62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u w:val="none"/>
              </w:rPr>
              <w:t>110°3′46.27</w:t>
            </w:r>
            <w:r>
              <w:rPr>
                <w:rFonts w:hint="eastAsia" w:cs="Times New Roman"/>
                <w:color w:val="auto"/>
                <w:sz w:val="24"/>
                <w:szCs w:val="24"/>
                <w:highlight w:val="none"/>
                <w:u w:val="none"/>
                <w:lang w:val="en-US" w:eastAsia="zh-CN"/>
              </w:rPr>
              <w:t>1</w:t>
            </w:r>
            <w:r>
              <w:rPr>
                <w:rFonts w:hint="default" w:ascii="Times New Roman" w:hAnsi="Times New Roman" w:eastAsia="宋体" w:cs="Times New Roman"/>
                <w:color w:val="auto"/>
                <w:sz w:val="24"/>
                <w:szCs w:val="24"/>
                <w:highlight w:val="none"/>
                <w:u w:val="none"/>
              </w:rPr>
              <w:t>″</w:t>
            </w:r>
            <w:r>
              <w:rPr>
                <w:rFonts w:hint="eastAsia" w:cs="Times New Roman"/>
                <w:color w:val="auto"/>
                <w:sz w:val="24"/>
                <w:szCs w:val="24"/>
                <w:highlight w:val="none"/>
                <w:u w:val="none"/>
                <w:lang w:eastAsia="zh-CN"/>
              </w:rPr>
              <w:t>，</w:t>
            </w:r>
            <w:r>
              <w:rPr>
                <w:rFonts w:hint="default" w:ascii="Times New Roman" w:hAnsi="Times New Roman" w:eastAsia="宋体" w:cs="Times New Roman"/>
                <w:color w:val="auto"/>
                <w:sz w:val="24"/>
                <w:szCs w:val="24"/>
                <w:highlight w:val="none"/>
                <w:u w:val="none"/>
              </w:rPr>
              <w:t>39°28′58.404″</w:t>
            </w:r>
          </w:p>
        </w:tc>
      </w:tr>
      <w:tr w14:paraId="4E1DE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09" w:type="pct"/>
            <w:noWrap w:val="0"/>
            <w:tcMar>
              <w:top w:w="16" w:type="dxa"/>
              <w:left w:w="16" w:type="dxa"/>
              <w:right w:w="16" w:type="dxa"/>
            </w:tcMar>
            <w:vAlign w:val="center"/>
          </w:tcPr>
          <w:p w14:paraId="76072A8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国民经济</w:t>
            </w:r>
          </w:p>
          <w:p w14:paraId="6B02A3E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p>
        </w:tc>
        <w:tc>
          <w:tcPr>
            <w:tcW w:w="2373" w:type="dxa"/>
            <w:noWrap w:val="0"/>
            <w:vAlign w:val="center"/>
          </w:tcPr>
          <w:p w14:paraId="619EB2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color w:val="auto"/>
                <w:sz w:val="24"/>
                <w:lang w:val="en-US" w:eastAsia="zh-CN"/>
              </w:rPr>
              <w:t>C3360 金属表面处理及热处理加工</w:t>
            </w:r>
          </w:p>
        </w:tc>
        <w:tc>
          <w:tcPr>
            <w:tcW w:w="2378" w:type="dxa"/>
            <w:noWrap w:val="0"/>
            <w:vAlign w:val="center"/>
          </w:tcPr>
          <w:p w14:paraId="4291752A">
            <w:pPr>
              <w:keepNext w:val="0"/>
              <w:keepLines w:val="0"/>
              <w:suppressLineNumbers w:val="0"/>
              <w:adjustRightInd w:val="0"/>
              <w:snapToGrid w:val="0"/>
              <w:spacing w:before="0" w:beforeAutospacing="0" w:after="0" w:afterAutospacing="0"/>
              <w:ind w:left="0" w:right="0"/>
              <w:jc w:val="center"/>
              <w:rPr>
                <w:rFonts w:hint="default"/>
                <w:color w:val="auto"/>
                <w:sz w:val="24"/>
              </w:rPr>
            </w:pPr>
            <w:r>
              <w:rPr>
                <w:rFonts w:hint="default"/>
                <w:color w:val="auto"/>
                <w:sz w:val="24"/>
              </w:rPr>
              <w:t>建设项目</w:t>
            </w:r>
          </w:p>
          <w:p w14:paraId="3F9315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color w:val="auto"/>
                <w:sz w:val="24"/>
              </w:rPr>
              <w:t>行业类别</w:t>
            </w:r>
          </w:p>
        </w:tc>
        <w:tc>
          <w:tcPr>
            <w:tcW w:w="2749" w:type="dxa"/>
            <w:noWrap w:val="0"/>
            <w:vAlign w:val="center"/>
          </w:tcPr>
          <w:p w14:paraId="0F50F5D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color w:val="auto"/>
                <w:sz w:val="24"/>
                <w:lang w:val="en-US" w:eastAsia="zh-CN"/>
              </w:rPr>
              <w:t>三十</w:t>
            </w:r>
            <w:r>
              <w:rPr>
                <w:rFonts w:hint="default"/>
                <w:color w:val="auto"/>
                <w:sz w:val="24"/>
              </w:rPr>
              <w:t>、</w:t>
            </w:r>
            <w:r>
              <w:rPr>
                <w:rFonts w:hint="eastAsia"/>
                <w:color w:val="auto"/>
                <w:sz w:val="24"/>
                <w:lang w:val="en-US" w:eastAsia="zh-CN"/>
              </w:rPr>
              <w:t>金属制品业</w:t>
            </w:r>
            <w:r>
              <w:rPr>
                <w:rFonts w:hint="default"/>
                <w:color w:val="auto"/>
                <w:sz w:val="24"/>
              </w:rPr>
              <w:t>--</w:t>
            </w:r>
            <w:r>
              <w:rPr>
                <w:rFonts w:hint="eastAsia"/>
                <w:color w:val="auto"/>
                <w:sz w:val="24"/>
                <w:lang w:val="en-US" w:eastAsia="zh-CN"/>
              </w:rPr>
              <w:t>67金属表面处理及热处理加工</w:t>
            </w:r>
            <w:r>
              <w:rPr>
                <w:rFonts w:hint="default"/>
                <w:color w:val="auto"/>
                <w:sz w:val="24"/>
              </w:rPr>
              <w:t>--</w:t>
            </w:r>
            <w:r>
              <w:rPr>
                <w:rFonts w:hint="eastAsia"/>
                <w:color w:val="auto"/>
                <w:sz w:val="24"/>
                <w:lang w:val="en-US" w:eastAsia="zh-CN"/>
              </w:rPr>
              <w:t>其他</w:t>
            </w:r>
            <w:r>
              <w:rPr>
                <w:rFonts w:hint="eastAsia"/>
                <w:color w:val="auto"/>
                <w:sz w:val="24"/>
              </w:rPr>
              <w:t>；</w:t>
            </w:r>
          </w:p>
        </w:tc>
      </w:tr>
      <w:tr w14:paraId="4F38C6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609" w:type="pct"/>
            <w:noWrap w:val="0"/>
            <w:tcMar>
              <w:top w:w="16" w:type="dxa"/>
              <w:left w:w="16" w:type="dxa"/>
              <w:right w:w="16" w:type="dxa"/>
            </w:tcMar>
            <w:vAlign w:val="center"/>
          </w:tcPr>
          <w:p w14:paraId="6F5598E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1389" w:type="pct"/>
            <w:noWrap w:val="0"/>
            <w:vAlign w:val="center"/>
          </w:tcPr>
          <w:p w14:paraId="6737E09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2998E9C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14:paraId="1F4B6D3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14:paraId="2CB0A33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□技术改造</w:t>
            </w:r>
          </w:p>
        </w:tc>
        <w:tc>
          <w:tcPr>
            <w:tcW w:w="1392" w:type="pct"/>
            <w:noWrap w:val="0"/>
            <w:vAlign w:val="center"/>
          </w:tcPr>
          <w:p w14:paraId="71EB410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3AD417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1608" w:type="pct"/>
            <w:noWrap w:val="0"/>
            <w:vAlign w:val="center"/>
          </w:tcPr>
          <w:p w14:paraId="71B18C8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14:paraId="3097A51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□不予批准后再次申报项目</w:t>
            </w:r>
          </w:p>
          <w:p w14:paraId="1880C73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14:paraId="6B76985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□重大变动重新报批项目</w:t>
            </w:r>
          </w:p>
        </w:tc>
      </w:tr>
      <w:tr w14:paraId="269ED9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609" w:type="pct"/>
            <w:noWrap w:val="0"/>
            <w:tcMar>
              <w:top w:w="16" w:type="dxa"/>
              <w:left w:w="16" w:type="dxa"/>
              <w:right w:w="16" w:type="dxa"/>
            </w:tcMar>
            <w:vAlign w:val="center"/>
          </w:tcPr>
          <w:p w14:paraId="0A910E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02AFEF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备案）部门（选填）</w:t>
            </w:r>
          </w:p>
        </w:tc>
        <w:tc>
          <w:tcPr>
            <w:tcW w:w="1389" w:type="pct"/>
            <w:noWrap w:val="0"/>
            <w:vAlign w:val="center"/>
          </w:tcPr>
          <w:p w14:paraId="00B9B5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伊金霍洛旗发展改革和科学技术局</w:t>
            </w:r>
          </w:p>
        </w:tc>
        <w:tc>
          <w:tcPr>
            <w:tcW w:w="1392" w:type="pct"/>
            <w:noWrap w:val="0"/>
            <w:vAlign w:val="center"/>
          </w:tcPr>
          <w:p w14:paraId="2986BD1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73E380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1608" w:type="pct"/>
            <w:noWrap w:val="0"/>
            <w:vAlign w:val="center"/>
          </w:tcPr>
          <w:p w14:paraId="244E38F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2409- 150627- 04- 01- 679053</w:t>
            </w:r>
          </w:p>
        </w:tc>
      </w:tr>
      <w:tr w14:paraId="7E811E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609" w:type="pct"/>
            <w:noWrap w:val="0"/>
            <w:tcMar>
              <w:top w:w="16" w:type="dxa"/>
              <w:left w:w="16" w:type="dxa"/>
              <w:right w:w="16" w:type="dxa"/>
            </w:tcMar>
            <w:vAlign w:val="center"/>
          </w:tcPr>
          <w:p w14:paraId="06ED7B3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1389" w:type="pct"/>
            <w:noWrap w:val="0"/>
            <w:vAlign w:val="center"/>
          </w:tcPr>
          <w:p w14:paraId="330CBD5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highlight w:val="none"/>
                <w:lang w:val="en-US" w:eastAsia="zh-CN"/>
              </w:rPr>
              <w:t>76.5</w:t>
            </w:r>
          </w:p>
        </w:tc>
        <w:tc>
          <w:tcPr>
            <w:tcW w:w="1392" w:type="pct"/>
            <w:noWrap w:val="0"/>
            <w:tcMar>
              <w:top w:w="16" w:type="dxa"/>
              <w:left w:w="16" w:type="dxa"/>
              <w:right w:w="16" w:type="dxa"/>
            </w:tcMar>
            <w:vAlign w:val="center"/>
          </w:tcPr>
          <w:p w14:paraId="5323BEE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1608" w:type="pct"/>
            <w:noWrap w:val="0"/>
            <w:vAlign w:val="center"/>
          </w:tcPr>
          <w:p w14:paraId="077B12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24</w:t>
            </w:r>
          </w:p>
        </w:tc>
      </w:tr>
      <w:tr w14:paraId="66B91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609" w:type="pct"/>
            <w:noWrap w:val="0"/>
            <w:tcMar>
              <w:top w:w="16" w:type="dxa"/>
              <w:left w:w="16" w:type="dxa"/>
              <w:right w:w="16" w:type="dxa"/>
            </w:tcMar>
            <w:vAlign w:val="center"/>
          </w:tcPr>
          <w:p w14:paraId="3A3C4A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1389" w:type="pct"/>
            <w:noWrap w:val="0"/>
            <w:vAlign w:val="center"/>
          </w:tcPr>
          <w:p w14:paraId="4AC83D2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31.37</w:t>
            </w:r>
          </w:p>
        </w:tc>
        <w:tc>
          <w:tcPr>
            <w:tcW w:w="1392" w:type="pct"/>
            <w:noWrap w:val="0"/>
            <w:tcMar>
              <w:top w:w="16" w:type="dxa"/>
              <w:left w:w="16" w:type="dxa"/>
              <w:right w:w="16" w:type="dxa"/>
            </w:tcMar>
            <w:vAlign w:val="center"/>
          </w:tcPr>
          <w:p w14:paraId="6E3855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1608" w:type="pct"/>
            <w:noWrap w:val="0"/>
            <w:vAlign w:val="center"/>
          </w:tcPr>
          <w:p w14:paraId="23E3EC6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rPr>
            </w:pPr>
            <w:r>
              <w:rPr>
                <w:rFonts w:hint="eastAsia" w:cs="Times New Roman"/>
                <w:b w:val="0"/>
                <w:bCs w:val="0"/>
                <w:color w:val="auto"/>
                <w:kern w:val="0"/>
                <w:sz w:val="24"/>
                <w:highlight w:val="none"/>
                <w:lang w:val="en-US" w:eastAsia="zh-CN"/>
              </w:rPr>
              <w:t>1</w:t>
            </w:r>
            <w:r>
              <w:rPr>
                <w:rFonts w:hint="default" w:ascii="Times New Roman" w:hAnsi="Times New Roman" w:eastAsia="宋体" w:cs="Times New Roman"/>
                <w:b w:val="0"/>
                <w:bCs w:val="0"/>
                <w:color w:val="auto"/>
                <w:kern w:val="0"/>
                <w:sz w:val="24"/>
                <w:highlight w:val="none"/>
                <w:lang w:val="en-US" w:eastAsia="zh-CN"/>
              </w:rPr>
              <w:t>个月</w:t>
            </w:r>
          </w:p>
        </w:tc>
      </w:tr>
      <w:tr w14:paraId="285B00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09" w:type="pct"/>
            <w:noWrap w:val="0"/>
            <w:tcMar>
              <w:top w:w="16" w:type="dxa"/>
              <w:left w:w="16" w:type="dxa"/>
              <w:right w:w="16" w:type="dxa"/>
            </w:tcMar>
            <w:vAlign w:val="center"/>
          </w:tcPr>
          <w:p w14:paraId="3D14B9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1389" w:type="pct"/>
            <w:noWrap w:val="0"/>
            <w:vAlign w:val="center"/>
          </w:tcPr>
          <w:p w14:paraId="1EE5C13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否</w:t>
            </w:r>
          </w:p>
          <w:p w14:paraId="6F2D219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r>
              <w:rPr>
                <w:rFonts w:hint="default" w:ascii="Times New Roman" w:hAnsi="Times New Roman" w:eastAsia="宋体" w:cs="Times New Roman"/>
                <w:color w:val="auto"/>
                <w:sz w:val="24"/>
                <w:szCs w:val="24"/>
                <w:highlight w:val="none"/>
                <w:u w:val="single"/>
              </w:rPr>
              <w:t xml:space="preserve">             </w:t>
            </w:r>
          </w:p>
        </w:tc>
        <w:tc>
          <w:tcPr>
            <w:tcW w:w="1392" w:type="pct"/>
            <w:noWrap w:val="0"/>
            <w:tcMar>
              <w:top w:w="16" w:type="dxa"/>
              <w:left w:w="16" w:type="dxa"/>
              <w:right w:w="16" w:type="dxa"/>
            </w:tcMar>
            <w:vAlign w:val="center"/>
          </w:tcPr>
          <w:p w14:paraId="1A5925C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用地面积（m</w:t>
            </w:r>
            <w:r>
              <w:rPr>
                <w:rFonts w:hint="default" w:ascii="Times New Roman" w:hAnsi="Times New Roman" w:eastAsia="宋体" w:cs="Times New Roman"/>
                <w:color w:val="auto"/>
                <w:spacing w:val="-6"/>
                <w:sz w:val="24"/>
                <w:szCs w:val="24"/>
                <w:highlight w:val="none"/>
                <w:vertAlign w:val="superscript"/>
              </w:rPr>
              <w:t>2</w:t>
            </w:r>
            <w:r>
              <w:rPr>
                <w:rFonts w:hint="default" w:ascii="Times New Roman" w:hAnsi="Times New Roman" w:eastAsia="宋体" w:cs="Times New Roman"/>
                <w:color w:val="auto"/>
                <w:spacing w:val="-6"/>
                <w:sz w:val="24"/>
                <w:szCs w:val="24"/>
                <w:highlight w:val="none"/>
              </w:rPr>
              <w:t>）</w:t>
            </w:r>
          </w:p>
        </w:tc>
        <w:tc>
          <w:tcPr>
            <w:tcW w:w="1608" w:type="pct"/>
            <w:noWrap w:val="0"/>
            <w:vAlign w:val="center"/>
          </w:tcPr>
          <w:p w14:paraId="743D67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highlight w:val="none"/>
                <w:lang w:val="en-US" w:eastAsia="zh-CN"/>
              </w:rPr>
              <w:t>360</w:t>
            </w:r>
          </w:p>
        </w:tc>
      </w:tr>
      <w:tr w14:paraId="68B556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09" w:type="pct"/>
            <w:noWrap w:val="0"/>
            <w:vAlign w:val="center"/>
          </w:tcPr>
          <w:p w14:paraId="01B7293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专项评价设置情况</w:t>
            </w:r>
          </w:p>
        </w:tc>
        <w:tc>
          <w:tcPr>
            <w:tcW w:w="4390" w:type="pct"/>
            <w:gridSpan w:val="3"/>
            <w:noWrap w:val="0"/>
            <w:vAlign w:val="center"/>
          </w:tcPr>
          <w:p w14:paraId="5FDA2406">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根据《建设项目环境影响报告表编制技术指南（污染影响类）》（试行）中的有关要求，对本项目的专项评价设置情况进行判定，本项目不设置专项评价，具体分析如表1</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1所示。</w:t>
            </w:r>
          </w:p>
          <w:p w14:paraId="4A315118">
            <w:pPr>
              <w:keepNext/>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Cs w:val="21"/>
                <w:highlight w:val="none"/>
              </w:rPr>
            </w:pPr>
          </w:p>
          <w:p w14:paraId="48A73A24">
            <w:pPr>
              <w:keepNext/>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Cs w:val="21"/>
                <w:highlight w:val="none"/>
              </w:rPr>
            </w:pPr>
          </w:p>
          <w:p w14:paraId="34E7ED87">
            <w:pPr>
              <w:keepNext/>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Cs w:val="21"/>
                <w:highlight w:val="none"/>
              </w:rPr>
            </w:pPr>
          </w:p>
          <w:p w14:paraId="0FFAA455">
            <w:pPr>
              <w:keepNext/>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Cs w:val="21"/>
                <w:highlight w:val="none"/>
              </w:rPr>
            </w:pPr>
          </w:p>
          <w:p w14:paraId="5FA7A4FF">
            <w:pPr>
              <w:keepNext/>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Cs w:val="21"/>
                <w:highlight w:val="none"/>
              </w:rPr>
            </w:pPr>
            <w:r>
              <w:rPr>
                <w:rFonts w:hint="default" w:ascii="Times New Roman" w:hAnsi="Times New Roman" w:eastAsia="宋体" w:cs="Times New Roman"/>
                <w:b/>
                <w:color w:val="auto"/>
                <w:kern w:val="0"/>
                <w:szCs w:val="21"/>
                <w:highlight w:val="none"/>
              </w:rPr>
              <w:t>表1</w:t>
            </w:r>
            <w:r>
              <w:rPr>
                <w:rFonts w:hint="default" w:ascii="Times New Roman" w:hAnsi="Times New Roman" w:eastAsia="宋体" w:cs="Times New Roman"/>
                <w:b/>
                <w:color w:val="auto"/>
                <w:kern w:val="0"/>
                <w:szCs w:val="21"/>
                <w:highlight w:val="none"/>
                <w:lang w:val="en-US" w:eastAsia="zh-CN"/>
              </w:rPr>
              <w:t>-</w:t>
            </w:r>
            <w:r>
              <w:rPr>
                <w:rFonts w:hint="default" w:ascii="Times New Roman" w:hAnsi="Times New Roman" w:eastAsia="宋体" w:cs="Times New Roman"/>
                <w:b/>
                <w:color w:val="auto"/>
                <w:kern w:val="0"/>
                <w:szCs w:val="21"/>
                <w:highlight w:val="none"/>
              </w:rPr>
              <w:t>1专项评价设置判定</w:t>
            </w:r>
          </w:p>
          <w:tbl>
            <w:tblPr>
              <w:tblStyle w:val="30"/>
              <w:tblW w:w="735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2552"/>
              <w:gridCol w:w="2321"/>
              <w:gridCol w:w="1361"/>
            </w:tblGrid>
            <w:tr w14:paraId="5D00C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top w:val="single" w:color="auto" w:sz="4" w:space="0"/>
                    <w:left w:val="single" w:color="auto" w:sz="0" w:space="0"/>
                    <w:tl2br w:val="nil"/>
                    <w:tr2bl w:val="nil"/>
                  </w:tcBorders>
                  <w:noWrap w:val="0"/>
                  <w:vAlign w:val="center"/>
                </w:tcPr>
                <w:p w14:paraId="5D62E50B">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专项评价的类别</w:t>
                  </w:r>
                </w:p>
              </w:tc>
              <w:tc>
                <w:tcPr>
                  <w:tcW w:w="1736" w:type="pct"/>
                  <w:tcBorders>
                    <w:top w:val="single" w:color="auto" w:sz="4" w:space="0"/>
                    <w:tl2br w:val="nil"/>
                    <w:tr2bl w:val="nil"/>
                  </w:tcBorders>
                  <w:noWrap w:val="0"/>
                  <w:vAlign w:val="center"/>
                </w:tcPr>
                <w:p w14:paraId="66D29FA6">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设置原则</w:t>
                  </w:r>
                </w:p>
              </w:tc>
              <w:tc>
                <w:tcPr>
                  <w:tcW w:w="1579" w:type="pct"/>
                  <w:tcBorders>
                    <w:top w:val="single" w:color="auto" w:sz="4" w:space="0"/>
                    <w:tl2br w:val="nil"/>
                    <w:tr2bl w:val="nil"/>
                  </w:tcBorders>
                  <w:noWrap w:val="0"/>
                  <w:vAlign w:val="center"/>
                </w:tcPr>
                <w:p w14:paraId="08ACD830">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cs="Times New Roman"/>
                      <w:b/>
                      <w:color w:val="auto"/>
                      <w:sz w:val="21"/>
                      <w:szCs w:val="21"/>
                      <w:highlight w:val="none"/>
                      <w:lang w:val="en-US" w:eastAsia="zh-CN"/>
                    </w:rPr>
                    <w:t>本项目情况</w:t>
                  </w:r>
                </w:p>
              </w:tc>
              <w:tc>
                <w:tcPr>
                  <w:tcW w:w="925" w:type="pct"/>
                  <w:tcBorders>
                    <w:top w:val="single" w:color="auto" w:sz="4" w:space="0"/>
                    <w:right w:val="single" w:color="auto" w:sz="4" w:space="0"/>
                    <w:tl2br w:val="nil"/>
                    <w:tr2bl w:val="nil"/>
                  </w:tcBorders>
                  <w:noWrap w:val="0"/>
                  <w:vAlign w:val="center"/>
                </w:tcPr>
                <w:p w14:paraId="60FC0C3C">
                  <w:pPr>
                    <w:pStyle w:val="121"/>
                    <w:keepNext w:val="0"/>
                    <w:keepLines w:val="0"/>
                    <w:suppressLineNumbers w:val="0"/>
                    <w:adjustRightInd/>
                    <w:spacing w:before="0" w:beforeAutospacing="0" w:after="0" w:afterAutospacing="0"/>
                    <w:ind w:left="0" w:right="0"/>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cs="Times New Roman"/>
                      <w:b/>
                      <w:color w:val="auto"/>
                      <w:sz w:val="21"/>
                      <w:szCs w:val="21"/>
                      <w:highlight w:val="none"/>
                      <w:lang w:val="en-US" w:eastAsia="zh-CN"/>
                    </w:rPr>
                    <w:t>判定</w:t>
                  </w:r>
                </w:p>
              </w:tc>
            </w:tr>
            <w:tr w14:paraId="1D63A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left w:val="single" w:color="auto" w:sz="4" w:space="0"/>
                    <w:tl2br w:val="nil"/>
                    <w:tr2bl w:val="nil"/>
                  </w:tcBorders>
                  <w:noWrap w:val="0"/>
                  <w:vAlign w:val="center"/>
                </w:tcPr>
                <w:p w14:paraId="47FDCDB9">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大气</w:t>
                  </w:r>
                </w:p>
              </w:tc>
              <w:tc>
                <w:tcPr>
                  <w:tcW w:w="1736" w:type="pct"/>
                  <w:tcBorders>
                    <w:tl2br w:val="nil"/>
                    <w:tr2bl w:val="nil"/>
                  </w:tcBorders>
                  <w:noWrap w:val="0"/>
                  <w:vAlign w:val="center"/>
                </w:tcPr>
                <w:p w14:paraId="351351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排放废气含有毒有害污染物、二噁英、苯并[</w:t>
                  </w:r>
                  <w:r>
                    <w:rPr>
                      <w:rFonts w:hint="default" w:ascii="Times New Roman" w:hAnsi="Times New Roman" w:eastAsia="宋体" w:cs="Times New Roman"/>
                      <w:i/>
                      <w:color w:val="auto"/>
                      <w:kern w:val="0"/>
                      <w:sz w:val="21"/>
                      <w:szCs w:val="21"/>
                      <w:highlight w:val="none"/>
                      <w:lang w:bidi="ar"/>
                    </w:rPr>
                    <w:t>a</w:t>
                  </w:r>
                  <w:r>
                    <w:rPr>
                      <w:rFonts w:hint="default" w:ascii="Times New Roman" w:hAnsi="Times New Roman" w:eastAsia="宋体" w:cs="Times New Roman"/>
                      <w:color w:val="auto"/>
                      <w:kern w:val="0"/>
                      <w:sz w:val="21"/>
                      <w:szCs w:val="21"/>
                      <w:highlight w:val="none"/>
                      <w:lang w:bidi="ar"/>
                    </w:rPr>
                    <w:t>]芘、氰化物、氯气且厂界外500米范围内有环境空气保护目标的建设项目</w:t>
                  </w:r>
                </w:p>
              </w:tc>
              <w:tc>
                <w:tcPr>
                  <w:tcW w:w="1579" w:type="pct"/>
                  <w:tcBorders>
                    <w:tl2br w:val="nil"/>
                    <w:tr2bl w:val="nil"/>
                  </w:tcBorders>
                  <w:noWrap w:val="0"/>
                  <w:vAlign w:val="center"/>
                </w:tcPr>
                <w:p w14:paraId="605B8A92">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本项目废气污染物无《有毒有害大气污染物名录》中有关污染物、</w:t>
                  </w:r>
                  <w:r>
                    <w:rPr>
                      <w:rFonts w:hint="default" w:ascii="Times New Roman" w:hAnsi="Times New Roman" w:eastAsia="宋体" w:cs="Times New Roman"/>
                      <w:color w:val="auto"/>
                      <w:sz w:val="21"/>
                      <w:szCs w:val="21"/>
                      <w:highlight w:val="none"/>
                      <w:lang w:bidi="ar"/>
                    </w:rPr>
                    <w:t>二噁英、苯并[</w:t>
                  </w:r>
                  <w:r>
                    <w:rPr>
                      <w:rFonts w:hint="default" w:ascii="Times New Roman" w:hAnsi="Times New Roman" w:eastAsia="宋体" w:cs="Times New Roman"/>
                      <w:i/>
                      <w:color w:val="auto"/>
                      <w:sz w:val="21"/>
                      <w:szCs w:val="21"/>
                      <w:highlight w:val="none"/>
                      <w:lang w:bidi="ar"/>
                    </w:rPr>
                    <w:t>a</w:t>
                  </w:r>
                  <w:r>
                    <w:rPr>
                      <w:rFonts w:hint="default" w:ascii="Times New Roman" w:hAnsi="Times New Roman" w:eastAsia="宋体" w:cs="Times New Roman"/>
                      <w:color w:val="auto"/>
                      <w:sz w:val="21"/>
                      <w:szCs w:val="21"/>
                      <w:highlight w:val="none"/>
                      <w:lang w:bidi="ar"/>
                    </w:rPr>
                    <w:t>]芘、氰化物和氯气，故不设置大气专项评价。</w:t>
                  </w:r>
                </w:p>
              </w:tc>
              <w:tc>
                <w:tcPr>
                  <w:tcW w:w="925" w:type="pct"/>
                  <w:tcBorders>
                    <w:right w:val="single" w:color="auto" w:sz="4" w:space="0"/>
                    <w:tl2br w:val="nil"/>
                    <w:tr2bl w:val="nil"/>
                  </w:tcBorders>
                  <w:noWrap w:val="0"/>
                  <w:vAlign w:val="center"/>
                </w:tcPr>
                <w:p w14:paraId="549D518C">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bidi="ar"/>
                    </w:rPr>
                    <w:t>不设置</w:t>
                  </w:r>
                </w:p>
              </w:tc>
            </w:tr>
            <w:tr w14:paraId="767F0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left w:val="single" w:color="auto" w:sz="4" w:space="0"/>
                    <w:tl2br w:val="nil"/>
                    <w:tr2bl w:val="nil"/>
                  </w:tcBorders>
                  <w:noWrap w:val="0"/>
                  <w:vAlign w:val="center"/>
                </w:tcPr>
                <w:p w14:paraId="56488569">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地表水</w:t>
                  </w:r>
                </w:p>
              </w:tc>
              <w:tc>
                <w:tcPr>
                  <w:tcW w:w="1736" w:type="pct"/>
                  <w:tcBorders>
                    <w:tl2br w:val="nil"/>
                    <w:tr2bl w:val="nil"/>
                  </w:tcBorders>
                  <w:noWrap w:val="0"/>
                  <w:vAlign w:val="center"/>
                </w:tcPr>
                <w:p w14:paraId="14D77D38">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新增工业废水直排建设项目（槽罐车外送污水处理厂的除外）；新增废水直排的污水集中处理厂</w:t>
                  </w:r>
                </w:p>
              </w:tc>
              <w:tc>
                <w:tcPr>
                  <w:tcW w:w="1579" w:type="pct"/>
                  <w:tcBorders>
                    <w:tl2br w:val="nil"/>
                    <w:tr2bl w:val="nil"/>
                  </w:tcBorders>
                  <w:noWrap w:val="0"/>
                  <w:vAlign w:val="center"/>
                </w:tcPr>
                <w:p w14:paraId="088650F8">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本项目无工业废水产生。</w:t>
                  </w:r>
                </w:p>
              </w:tc>
              <w:tc>
                <w:tcPr>
                  <w:tcW w:w="925" w:type="pct"/>
                  <w:tcBorders>
                    <w:right w:val="single" w:color="auto" w:sz="4" w:space="0"/>
                    <w:tl2br w:val="nil"/>
                    <w:tr2bl w:val="nil"/>
                  </w:tcBorders>
                  <w:noWrap w:val="0"/>
                  <w:vAlign w:val="center"/>
                </w:tcPr>
                <w:p w14:paraId="32BE2B7A">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bidi="ar"/>
                    </w:rPr>
                    <w:t>不设置</w:t>
                  </w:r>
                </w:p>
              </w:tc>
            </w:tr>
            <w:tr w14:paraId="00B212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left w:val="single" w:color="auto" w:sz="4" w:space="0"/>
                    <w:tl2br w:val="nil"/>
                    <w:tr2bl w:val="nil"/>
                  </w:tcBorders>
                  <w:noWrap w:val="0"/>
                  <w:vAlign w:val="center"/>
                </w:tcPr>
                <w:p w14:paraId="06DD2A0F">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环境风险</w:t>
                  </w:r>
                </w:p>
              </w:tc>
              <w:tc>
                <w:tcPr>
                  <w:tcW w:w="1736" w:type="pct"/>
                  <w:tcBorders>
                    <w:tl2br w:val="nil"/>
                    <w:tr2bl w:val="nil"/>
                  </w:tcBorders>
                  <w:noWrap w:val="0"/>
                  <w:vAlign w:val="center"/>
                </w:tcPr>
                <w:p w14:paraId="103A1C98">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有毒有害和易燃易爆危险物质存储量超过临界量的建设项目</w:t>
                  </w:r>
                </w:p>
              </w:tc>
              <w:tc>
                <w:tcPr>
                  <w:tcW w:w="1579" w:type="pct"/>
                  <w:tcBorders>
                    <w:tl2br w:val="nil"/>
                    <w:tr2bl w:val="nil"/>
                  </w:tcBorders>
                  <w:noWrap w:val="0"/>
                  <w:vAlign w:val="center"/>
                </w:tcPr>
                <w:p w14:paraId="78BC7EDD">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本项目有毒有害和易燃易爆危险物质存储量</w:t>
                  </w:r>
                  <w:r>
                    <w:rPr>
                      <w:rFonts w:hint="default" w:ascii="Times New Roman" w:hAnsi="Times New Roman" w:eastAsia="宋体" w:cs="Times New Roman"/>
                      <w:bCs/>
                      <w:color w:val="auto"/>
                      <w:sz w:val="21"/>
                      <w:szCs w:val="21"/>
                      <w:highlight w:val="none"/>
                      <w:lang w:val="en-US" w:eastAsia="zh-CN"/>
                    </w:rPr>
                    <w:t>未</w:t>
                  </w:r>
                  <w:r>
                    <w:rPr>
                      <w:rFonts w:hint="default" w:ascii="Times New Roman" w:hAnsi="Times New Roman" w:eastAsia="宋体" w:cs="Times New Roman"/>
                      <w:bCs/>
                      <w:color w:val="auto"/>
                      <w:sz w:val="21"/>
                      <w:szCs w:val="21"/>
                      <w:highlight w:val="none"/>
                    </w:rPr>
                    <w:t>超过临界量。</w:t>
                  </w:r>
                </w:p>
              </w:tc>
              <w:tc>
                <w:tcPr>
                  <w:tcW w:w="925" w:type="pct"/>
                  <w:tcBorders>
                    <w:right w:val="single" w:color="auto" w:sz="4" w:space="0"/>
                    <w:tl2br w:val="nil"/>
                    <w:tr2bl w:val="nil"/>
                  </w:tcBorders>
                  <w:noWrap w:val="0"/>
                  <w:vAlign w:val="center"/>
                </w:tcPr>
                <w:p w14:paraId="381E95EA">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bidi="ar"/>
                    </w:rPr>
                    <w:t>不设置</w:t>
                  </w:r>
                </w:p>
              </w:tc>
            </w:tr>
            <w:tr w14:paraId="406DD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left w:val="single" w:color="auto" w:sz="4" w:space="0"/>
                    <w:tl2br w:val="nil"/>
                    <w:tr2bl w:val="nil"/>
                  </w:tcBorders>
                  <w:noWrap w:val="0"/>
                  <w:vAlign w:val="center"/>
                </w:tcPr>
                <w:p w14:paraId="6424D8BA">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生态</w:t>
                  </w:r>
                </w:p>
              </w:tc>
              <w:tc>
                <w:tcPr>
                  <w:tcW w:w="1736" w:type="pct"/>
                  <w:tcBorders>
                    <w:tl2br w:val="nil"/>
                    <w:tr2bl w:val="nil"/>
                  </w:tcBorders>
                  <w:noWrap w:val="0"/>
                  <w:vAlign w:val="center"/>
                </w:tcPr>
                <w:p w14:paraId="5BC0B4E2">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取水口下游500米范围内有重要水生生物的自然产卵场、索饵场、越冬场和洄游通道的新增河道取水的污染类建设项目</w:t>
                  </w:r>
                </w:p>
              </w:tc>
              <w:tc>
                <w:tcPr>
                  <w:tcW w:w="1579" w:type="pct"/>
                  <w:tcBorders>
                    <w:tl2br w:val="nil"/>
                    <w:tr2bl w:val="nil"/>
                  </w:tcBorders>
                  <w:noWrap w:val="0"/>
                  <w:vAlign w:val="center"/>
                </w:tcPr>
                <w:p w14:paraId="59E78E67">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本项目不新增河道取水，故不设置生态专项评价。</w:t>
                  </w:r>
                </w:p>
              </w:tc>
              <w:tc>
                <w:tcPr>
                  <w:tcW w:w="925" w:type="pct"/>
                  <w:tcBorders>
                    <w:right w:val="single" w:color="auto" w:sz="4" w:space="0"/>
                    <w:tl2br w:val="nil"/>
                    <w:tr2bl w:val="nil"/>
                  </w:tcBorders>
                  <w:noWrap w:val="0"/>
                  <w:vAlign w:val="center"/>
                </w:tcPr>
                <w:p w14:paraId="79084A94">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bidi="ar"/>
                    </w:rPr>
                    <w:t>不设置</w:t>
                  </w:r>
                </w:p>
              </w:tc>
            </w:tr>
            <w:tr w14:paraId="0861E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9" w:type="pct"/>
                  <w:tcBorders>
                    <w:left w:val="single" w:color="auto" w:sz="4" w:space="0"/>
                    <w:bottom w:val="single" w:color="auto" w:sz="4" w:space="0"/>
                    <w:tl2br w:val="nil"/>
                    <w:tr2bl w:val="nil"/>
                  </w:tcBorders>
                  <w:noWrap w:val="0"/>
                  <w:vAlign w:val="center"/>
                </w:tcPr>
                <w:p w14:paraId="5ABCA23F">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海洋</w:t>
                  </w:r>
                </w:p>
              </w:tc>
              <w:tc>
                <w:tcPr>
                  <w:tcW w:w="1736" w:type="pct"/>
                  <w:tcBorders>
                    <w:bottom w:val="single" w:color="auto" w:sz="4" w:space="0"/>
                    <w:tl2br w:val="nil"/>
                    <w:tr2bl w:val="nil"/>
                  </w:tcBorders>
                  <w:noWrap w:val="0"/>
                  <w:vAlign w:val="center"/>
                </w:tcPr>
                <w:p w14:paraId="2B9A2D12">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直接向海排放污染物的海洋工程建设项目</w:t>
                  </w:r>
                </w:p>
              </w:tc>
              <w:tc>
                <w:tcPr>
                  <w:tcW w:w="1579" w:type="pct"/>
                  <w:tcBorders>
                    <w:bottom w:val="single" w:color="auto" w:sz="4" w:space="0"/>
                    <w:tl2br w:val="nil"/>
                    <w:tr2bl w:val="nil"/>
                  </w:tcBorders>
                  <w:noWrap w:val="0"/>
                  <w:vAlign w:val="center"/>
                </w:tcPr>
                <w:p w14:paraId="36272F06">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本项目非直接向海排放污染物的海洋工程，故不设置海洋专项评价。</w:t>
                  </w:r>
                </w:p>
              </w:tc>
              <w:tc>
                <w:tcPr>
                  <w:tcW w:w="925" w:type="pct"/>
                  <w:tcBorders>
                    <w:bottom w:val="single" w:color="auto" w:sz="4" w:space="0"/>
                    <w:right w:val="single" w:color="auto" w:sz="4" w:space="0"/>
                    <w:tl2br w:val="nil"/>
                    <w:tr2bl w:val="nil"/>
                  </w:tcBorders>
                  <w:noWrap w:val="0"/>
                  <w:vAlign w:val="center"/>
                </w:tcPr>
                <w:p w14:paraId="4002D89A">
                  <w:pPr>
                    <w:pStyle w:val="121"/>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bidi="ar"/>
                    </w:rPr>
                    <w:t>不设置</w:t>
                  </w:r>
                </w:p>
              </w:tc>
            </w:tr>
          </w:tbl>
          <w:p w14:paraId="1742ECD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eastAsia="zh-CN"/>
              </w:rPr>
            </w:pPr>
          </w:p>
        </w:tc>
      </w:tr>
      <w:tr w14:paraId="36534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09" w:type="pct"/>
            <w:noWrap w:val="0"/>
            <w:vAlign w:val="center"/>
          </w:tcPr>
          <w:p w14:paraId="463137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规划</w:t>
            </w:r>
          </w:p>
          <w:p w14:paraId="4EFBB2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情况</w:t>
            </w:r>
          </w:p>
        </w:tc>
        <w:tc>
          <w:tcPr>
            <w:tcW w:w="4390" w:type="pct"/>
            <w:gridSpan w:val="3"/>
            <w:noWrap w:val="0"/>
            <w:vAlign w:val="center"/>
          </w:tcPr>
          <w:p w14:paraId="0FC66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文件名称：</w:t>
            </w:r>
            <w:r>
              <w:rPr>
                <w:rFonts w:hint="eastAsia" w:ascii="Times New Roman" w:hAnsi="Times New Roman" w:eastAsia="宋体" w:cs="Times New Roman"/>
                <w:color w:val="auto"/>
                <w:sz w:val="24"/>
                <w:szCs w:val="24"/>
                <w:lang w:val="en-US" w:eastAsia="zh-CN"/>
              </w:rPr>
              <w:t>《内蒙古自治区鄂尔多斯神东矿区东胜区总体规划》</w:t>
            </w:r>
            <w:r>
              <w:rPr>
                <w:rFonts w:hint="eastAsia" w:eastAsia="宋体" w:cs="Times New Roman"/>
                <w:color w:val="auto"/>
                <w:sz w:val="24"/>
                <w:szCs w:val="24"/>
                <w:lang w:val="en-US" w:eastAsia="zh-CN"/>
              </w:rPr>
              <w:t>；</w:t>
            </w:r>
          </w:p>
          <w:p w14:paraId="5C1023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审查机关：</w:t>
            </w:r>
            <w:r>
              <w:rPr>
                <w:rFonts w:hint="eastAsia" w:ascii="Times New Roman" w:hAnsi="Times New Roman" w:eastAsia="宋体" w:cs="Times New Roman"/>
                <w:color w:val="auto"/>
                <w:sz w:val="24"/>
                <w:szCs w:val="24"/>
                <w:lang w:val="en-US" w:eastAsia="zh-CN"/>
              </w:rPr>
              <w:t>国家发展</w:t>
            </w:r>
            <w:r>
              <w:rPr>
                <w:rFonts w:hint="eastAsia" w:cs="Times New Roman"/>
                <w:color w:val="auto"/>
                <w:sz w:val="24"/>
                <w:szCs w:val="24"/>
                <w:lang w:val="en-US" w:eastAsia="zh-CN"/>
              </w:rPr>
              <w:t>和</w:t>
            </w:r>
            <w:r>
              <w:rPr>
                <w:rFonts w:hint="eastAsia" w:ascii="Times New Roman" w:hAnsi="Times New Roman" w:eastAsia="宋体" w:cs="Times New Roman"/>
                <w:color w:val="auto"/>
                <w:sz w:val="24"/>
                <w:szCs w:val="24"/>
                <w:lang w:val="en-US" w:eastAsia="zh-CN"/>
              </w:rPr>
              <w:t>改革委员会</w:t>
            </w:r>
            <w:r>
              <w:rPr>
                <w:rFonts w:hint="eastAsia" w:eastAsia="宋体" w:cs="Times New Roman"/>
                <w:color w:val="auto"/>
                <w:sz w:val="24"/>
                <w:szCs w:val="24"/>
                <w:lang w:val="en-US" w:eastAsia="zh-CN"/>
              </w:rPr>
              <w:t>；</w:t>
            </w:r>
          </w:p>
          <w:p w14:paraId="27DEE7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审批文号：发改能源〔</w:t>
            </w:r>
            <w:r>
              <w:rPr>
                <w:rFonts w:hint="default" w:ascii="Times New Roman" w:hAnsi="Times New Roman" w:eastAsia="宋体" w:cs="Times New Roman"/>
                <w:color w:val="auto"/>
                <w:sz w:val="24"/>
                <w:szCs w:val="24"/>
                <w:lang w:val="en-US" w:eastAsia="zh-CN"/>
              </w:rPr>
              <w:t>2008</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1304</w:t>
            </w:r>
            <w:r>
              <w:rPr>
                <w:rFonts w:hint="eastAsia" w:ascii="Times New Roman" w:hAnsi="Times New Roman" w:eastAsia="宋体" w:cs="Times New Roman"/>
                <w:color w:val="auto"/>
                <w:sz w:val="24"/>
                <w:szCs w:val="24"/>
                <w:lang w:val="en-US" w:eastAsia="zh-CN"/>
              </w:rPr>
              <w:t>号</w:t>
            </w:r>
            <w:r>
              <w:rPr>
                <w:rFonts w:hint="eastAsia" w:eastAsia="宋体" w:cs="Times New Roman"/>
                <w:color w:val="auto"/>
                <w:sz w:val="24"/>
                <w:szCs w:val="24"/>
                <w:lang w:val="en-US" w:eastAsia="zh-CN"/>
              </w:rPr>
              <w:t>。</w:t>
            </w:r>
          </w:p>
        </w:tc>
      </w:tr>
      <w:tr w14:paraId="3EB425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609" w:type="pct"/>
            <w:noWrap w:val="0"/>
            <w:vAlign w:val="center"/>
          </w:tcPr>
          <w:p w14:paraId="3361569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w:t>
            </w:r>
          </w:p>
          <w:p w14:paraId="160737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评价情况</w:t>
            </w:r>
          </w:p>
        </w:tc>
        <w:tc>
          <w:tcPr>
            <w:tcW w:w="4390" w:type="pct"/>
            <w:gridSpan w:val="3"/>
            <w:noWrap w:val="0"/>
            <w:vAlign w:val="center"/>
          </w:tcPr>
          <w:p w14:paraId="65D7C6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文件名称：《</w:t>
            </w:r>
            <w:r>
              <w:rPr>
                <w:rFonts w:hint="eastAsia" w:ascii="宋体" w:hAnsi="宋体" w:eastAsia="宋体" w:cs="宋体"/>
                <w:color w:val="auto"/>
                <w:sz w:val="24"/>
                <w:szCs w:val="24"/>
              </w:rPr>
              <w:t>内蒙古自治区鄂尔多斯神东矿区东胜区总体规划(修编)环境影响报告书</w:t>
            </w:r>
            <w:r>
              <w:rPr>
                <w:rFonts w:hint="default" w:ascii="Times New Roman" w:hAnsi="Times New Roman" w:eastAsia="宋体" w:cs="Times New Roman"/>
                <w:color w:val="auto"/>
                <w:sz w:val="24"/>
                <w:szCs w:val="24"/>
                <w:lang w:val="en-US" w:eastAsia="zh-CN"/>
              </w:rPr>
              <w:t>》</w:t>
            </w:r>
            <w:r>
              <w:rPr>
                <w:rFonts w:hint="eastAsia" w:eastAsia="宋体" w:cs="Times New Roman"/>
                <w:color w:val="auto"/>
                <w:sz w:val="24"/>
                <w:szCs w:val="24"/>
                <w:lang w:val="en-US" w:eastAsia="zh-CN"/>
              </w:rPr>
              <w:t>；</w:t>
            </w:r>
          </w:p>
          <w:p w14:paraId="076F4E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审查机关：</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HYPERLINK "http://www.baidu.com/link?url=g2bPlCQH5hhQFvcawf10djig4v1j2qXP6cT5yPtgGBvk-7vllEaMihPp0b9ec6Rd" \t "https://www.baidu.com/_blank"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中华人民共和国生态环境部</w:t>
            </w:r>
            <w:r>
              <w:rPr>
                <w:rFonts w:hint="default" w:ascii="Times New Roman" w:hAnsi="Times New Roman" w:eastAsia="宋体" w:cs="Times New Roman"/>
                <w:color w:val="auto"/>
                <w:sz w:val="24"/>
                <w:szCs w:val="24"/>
                <w:lang w:val="en-US" w:eastAsia="zh-CN"/>
              </w:rPr>
              <w:fldChar w:fldCharType="end"/>
            </w:r>
            <w:r>
              <w:rPr>
                <w:rFonts w:hint="eastAsia" w:eastAsia="宋体" w:cs="Times New Roman"/>
                <w:color w:val="auto"/>
                <w:sz w:val="24"/>
                <w:szCs w:val="24"/>
                <w:lang w:val="en-US" w:eastAsia="zh-CN"/>
              </w:rPr>
              <w:t>；</w:t>
            </w:r>
          </w:p>
          <w:p w14:paraId="43F5CE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审批文件名称：</w:t>
            </w:r>
            <w:r>
              <w:rPr>
                <w:rFonts w:hint="eastAsia" w:ascii="宋体" w:hAnsi="宋体" w:eastAsia="宋体" w:cs="宋体"/>
                <w:color w:val="auto"/>
                <w:sz w:val="24"/>
                <w:szCs w:val="24"/>
              </w:rPr>
              <w:t>《关于&lt;内蒙古自治区鄂尔多斯神东矿区东胜区总体规划(修编)环境影响报告书&gt;的审查意见》</w:t>
            </w:r>
            <w:r>
              <w:rPr>
                <w:rFonts w:hint="eastAsia" w:eastAsia="宋体" w:cs="Times New Roman"/>
                <w:color w:val="auto"/>
                <w:sz w:val="24"/>
                <w:szCs w:val="24"/>
                <w:lang w:val="en-US" w:eastAsia="zh-CN"/>
              </w:rPr>
              <w:t>；</w:t>
            </w:r>
          </w:p>
          <w:p w14:paraId="0C864E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lang w:val="en-US" w:eastAsia="zh-CN"/>
              </w:rPr>
              <w:t>审批文号：</w:t>
            </w:r>
            <w:r>
              <w:rPr>
                <w:rFonts w:hint="eastAsia" w:ascii="宋体" w:hAnsi="宋体" w:eastAsia="宋体" w:cs="宋体"/>
                <w:color w:val="auto"/>
                <w:sz w:val="24"/>
                <w:szCs w:val="24"/>
              </w:rPr>
              <w:t>环审〔2023〕73号</w:t>
            </w:r>
            <w:r>
              <w:rPr>
                <w:rFonts w:hint="eastAsia" w:eastAsia="宋体" w:cs="Times New Roman"/>
                <w:color w:val="auto"/>
                <w:sz w:val="24"/>
                <w:szCs w:val="24"/>
                <w:lang w:val="en-US" w:eastAsia="zh-CN"/>
              </w:rPr>
              <w:t>。</w:t>
            </w:r>
          </w:p>
        </w:tc>
      </w:tr>
      <w:tr w14:paraId="6C14C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9" w:type="pct"/>
            <w:noWrap w:val="0"/>
            <w:vAlign w:val="center"/>
          </w:tcPr>
          <w:p w14:paraId="3573456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规划及规划环境影响评价符合性分析</w:t>
            </w:r>
          </w:p>
        </w:tc>
        <w:tc>
          <w:tcPr>
            <w:tcW w:w="4390" w:type="pct"/>
            <w:gridSpan w:val="3"/>
            <w:noWrap w:val="0"/>
            <w:vAlign w:val="center"/>
          </w:tcPr>
          <w:p w14:paraId="3FA6C049">
            <w:pPr>
              <w:pStyle w:val="65"/>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rPr>
              <w:t>本项目为</w:t>
            </w:r>
            <w:r>
              <w:rPr>
                <w:rFonts w:hint="eastAsia"/>
                <w:color w:val="auto"/>
                <w:sz w:val="24"/>
                <w:lang w:val="en-US" w:eastAsia="zh-CN"/>
              </w:rPr>
              <w:t>金属表面处理及热处理加工</w:t>
            </w:r>
            <w:r>
              <w:rPr>
                <w:rFonts w:hint="default" w:ascii="Times New Roman" w:hAnsi="Times New Roman" w:eastAsia="宋体" w:cs="Times New Roman"/>
                <w:color w:val="auto"/>
                <w:sz w:val="24"/>
                <w:szCs w:val="24"/>
              </w:rPr>
              <w:t>项目，</w:t>
            </w:r>
            <w:r>
              <w:rPr>
                <w:rFonts w:hint="eastAsia" w:ascii="Times New Roman" w:hAnsi="Times New Roman" w:eastAsia="宋体" w:cs="Times New Roman"/>
                <w:b w:val="0"/>
                <w:bCs w:val="0"/>
                <w:color w:val="auto"/>
                <w:kern w:val="2"/>
                <w:sz w:val="24"/>
                <w:szCs w:val="24"/>
                <w:lang w:val="en-US" w:eastAsia="zh-CN" w:bidi="ar-SA"/>
              </w:rPr>
              <w:t>主要</w:t>
            </w:r>
            <w:r>
              <w:rPr>
                <w:rFonts w:hint="eastAsia" w:cs="Times New Roman"/>
                <w:b w:val="0"/>
                <w:bCs w:val="0"/>
                <w:color w:val="auto"/>
                <w:kern w:val="2"/>
                <w:sz w:val="24"/>
                <w:szCs w:val="24"/>
                <w:lang w:val="en-US" w:eastAsia="zh-CN" w:bidi="ar-SA"/>
              </w:rPr>
              <w:t>针对</w:t>
            </w:r>
            <w:r>
              <w:rPr>
                <w:rFonts w:hint="default" w:ascii="Times New Roman" w:hAnsi="Times New Roman" w:eastAsia="宋体" w:cs="Times New Roman"/>
                <w:color w:val="auto"/>
                <w:sz w:val="24"/>
                <w:szCs w:val="24"/>
                <w:highlight w:val="none"/>
                <w:lang w:val="en-US" w:eastAsia="zh-CN"/>
              </w:rPr>
              <w:t>布尔台煤矿</w:t>
            </w:r>
            <w:r>
              <w:rPr>
                <w:rFonts w:hint="eastAsia" w:ascii="Times New Roman" w:hAnsi="Times New Roman" w:eastAsia="宋体" w:cs="Times New Roman"/>
                <w:b w:val="0"/>
                <w:bCs w:val="0"/>
                <w:color w:val="auto"/>
                <w:kern w:val="2"/>
                <w:sz w:val="24"/>
                <w:szCs w:val="24"/>
                <w:lang w:val="en-US" w:eastAsia="zh-CN" w:bidi="ar-SA"/>
              </w:rPr>
              <w:t>在实际生产运行过程中需对一些小型设备、预制好的零部件、煤矿自行焊接的一些小型设备进行刷漆、喷漆</w:t>
            </w:r>
            <w:r>
              <w:rPr>
                <w:rFonts w:hint="eastAsia" w:eastAsia="宋体" w:cs="Times New Roman"/>
                <w:b w:val="0"/>
                <w:bCs w:val="0"/>
                <w:color w:val="auto"/>
                <w:kern w:val="2"/>
                <w:sz w:val="24"/>
                <w:szCs w:val="24"/>
                <w:lang w:val="en-US" w:eastAsia="zh-CN" w:bidi="ar-SA"/>
              </w:rPr>
              <w:t>，</w:t>
            </w:r>
            <w:r>
              <w:rPr>
                <w:rFonts w:hint="eastAsia" w:ascii="Times New Roman" w:hAnsi="Times New Roman" w:eastAsia="宋体" w:cs="Times New Roman"/>
                <w:color w:val="auto"/>
                <w:lang w:val="en-US" w:eastAsia="zh-CN"/>
              </w:rPr>
              <w:t>属于</w:t>
            </w:r>
            <w:r>
              <w:rPr>
                <w:rFonts w:hint="default" w:ascii="Times New Roman" w:hAnsi="Times New Roman" w:eastAsia="宋体" w:cs="Times New Roman"/>
                <w:color w:val="auto"/>
                <w:sz w:val="24"/>
                <w:szCs w:val="24"/>
                <w:highlight w:val="none"/>
                <w:lang w:val="en-US" w:eastAsia="zh-CN"/>
              </w:rPr>
              <w:t>布尔台煤矿</w:t>
            </w:r>
            <w:r>
              <w:rPr>
                <w:rFonts w:hint="eastAsia" w:ascii="Times New Roman" w:hAnsi="Times New Roman" w:eastAsia="宋体" w:cs="Times New Roman"/>
                <w:color w:val="auto"/>
                <w:lang w:val="en-US" w:eastAsia="zh-CN"/>
              </w:rPr>
              <w:t>配套建设项目，项目位于</w:t>
            </w:r>
            <w:r>
              <w:rPr>
                <w:rFonts w:hint="eastAsia"/>
                <w:color w:val="auto"/>
                <w:sz w:val="24"/>
                <w:lang w:val="en-US" w:eastAsia="zh-CN"/>
              </w:rPr>
              <w:t>内蒙古自治区鄂尔多斯市伊金霍洛旗乌兰木伦镇布尔台煤矿</w:t>
            </w:r>
            <w:r>
              <w:rPr>
                <w:rFonts w:hint="eastAsia"/>
                <w:color w:val="auto"/>
                <w:sz w:val="24"/>
              </w:rPr>
              <w:t>厂区</w:t>
            </w:r>
            <w:r>
              <w:rPr>
                <w:rFonts w:hint="eastAsia"/>
                <w:color w:val="auto"/>
                <w:lang w:eastAsia="zh-CN"/>
              </w:rPr>
              <w:t>预留用地</w:t>
            </w:r>
            <w:r>
              <w:rPr>
                <w:rFonts w:hint="eastAsia"/>
                <w:color w:val="auto"/>
                <w:lang w:val="en-US" w:eastAsia="zh-CN"/>
              </w:rPr>
              <w:t>内</w:t>
            </w:r>
            <w:r>
              <w:rPr>
                <w:rFonts w:hint="eastAsia" w:ascii="Times New Roman" w:hAnsi="Times New Roman" w:eastAsia="宋体" w:cs="Times New Roman"/>
                <w:color w:val="auto"/>
                <w:lang w:val="en-US" w:eastAsia="zh-CN"/>
              </w:rPr>
              <w:t>，不新增占地</w:t>
            </w:r>
            <w:r>
              <w:rPr>
                <w:rFonts w:hint="eastAsia" w:eastAsia="宋体" w:cs="Times New Roman"/>
                <w:color w:val="auto"/>
                <w:lang w:val="en-US" w:eastAsia="zh-CN"/>
              </w:rPr>
              <w:t>。</w:t>
            </w:r>
            <w:r>
              <w:rPr>
                <w:rFonts w:hint="eastAsia" w:ascii="Times New Roman" w:hAnsi="Times New Roman" w:eastAsia="宋体" w:cs="Times New Roman"/>
                <w:color w:val="auto"/>
                <w:lang w:val="en-US" w:eastAsia="zh-CN"/>
              </w:rPr>
              <w:t>因此，项目建设符合规划及规划环境影响评价。</w:t>
            </w:r>
          </w:p>
        </w:tc>
      </w:tr>
      <w:tr w14:paraId="19F366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9" w:type="pct"/>
            <w:noWrap w:val="0"/>
            <w:vAlign w:val="center"/>
          </w:tcPr>
          <w:p w14:paraId="25F7C9D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p w14:paraId="1CC1C94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符合性分析</w:t>
            </w:r>
          </w:p>
        </w:tc>
        <w:tc>
          <w:tcPr>
            <w:tcW w:w="4390" w:type="pct"/>
            <w:gridSpan w:val="3"/>
            <w:noWrap w:val="0"/>
            <w:vAlign w:val="center"/>
          </w:tcPr>
          <w:p w14:paraId="70833A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产业政策的符合性</w:t>
            </w:r>
          </w:p>
          <w:p w14:paraId="15D17B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sz w:val="24"/>
                <w:szCs w:val="24"/>
              </w:rPr>
              <w:t>本项目为</w:t>
            </w:r>
            <w:r>
              <w:rPr>
                <w:rFonts w:hint="eastAsia"/>
                <w:color w:val="auto"/>
                <w:sz w:val="24"/>
                <w:lang w:val="en-US" w:eastAsia="zh-CN"/>
              </w:rPr>
              <w:t>金属表面处理及热处理加工</w:t>
            </w:r>
            <w:r>
              <w:rPr>
                <w:rFonts w:hint="default" w:ascii="Times New Roman" w:hAnsi="Times New Roman" w:eastAsia="宋体" w:cs="Times New Roman"/>
                <w:color w:val="auto"/>
                <w:sz w:val="24"/>
                <w:szCs w:val="24"/>
              </w:rPr>
              <w:t>项目，在原有</w:t>
            </w:r>
            <w:r>
              <w:rPr>
                <w:rFonts w:hint="default" w:ascii="Times New Roman" w:hAnsi="Times New Roman" w:eastAsia="宋体" w:cs="Times New Roman"/>
                <w:color w:val="auto"/>
                <w:sz w:val="24"/>
                <w:szCs w:val="24"/>
                <w:lang w:val="en-US" w:eastAsia="zh-CN"/>
              </w:rPr>
              <w:t>厂区</w:t>
            </w:r>
            <w:r>
              <w:rPr>
                <w:rFonts w:hint="default" w:ascii="Times New Roman" w:hAnsi="Times New Roman" w:eastAsia="宋体" w:cs="Times New Roman"/>
                <w:color w:val="auto"/>
                <w:sz w:val="24"/>
                <w:szCs w:val="24"/>
              </w:rPr>
              <w:t>内新建1座</w:t>
            </w:r>
            <w:r>
              <w:rPr>
                <w:rFonts w:hint="eastAsia" w:ascii="Times New Roman" w:hAnsi="Times New Roman" w:eastAsia="宋体" w:cs="Times New Roman"/>
                <w:color w:val="auto"/>
                <w:sz w:val="24"/>
                <w:szCs w:val="24"/>
                <w:lang w:val="en-US" w:eastAsia="zh-CN"/>
              </w:rPr>
              <w:t>喷漆房</w:t>
            </w:r>
            <w:r>
              <w:rPr>
                <w:rFonts w:hint="default" w:ascii="Times New Roman" w:hAnsi="Times New Roman" w:eastAsia="宋体" w:cs="Times New Roman"/>
                <w:color w:val="auto"/>
                <w:sz w:val="24"/>
                <w:szCs w:val="24"/>
              </w:rPr>
              <w:t>，项目不属于</w:t>
            </w:r>
            <w:r>
              <w:rPr>
                <w:rFonts w:hint="default" w:ascii="Times New Roman" w:hAnsi="Times New Roman" w:eastAsia="宋体" w:cs="Times New Roman"/>
                <w:color w:val="auto"/>
                <w:sz w:val="24"/>
                <w:szCs w:val="24"/>
                <w:highlight w:val="none"/>
                <w:lang w:val="en-US" w:eastAsia="zh-CN"/>
              </w:rPr>
              <w:t>《产业结构调整指导目录（</w:t>
            </w:r>
            <w:r>
              <w:rPr>
                <w:rFonts w:hint="eastAsia" w:cs="Times New Roman"/>
                <w:color w:val="auto"/>
                <w:sz w:val="24"/>
                <w:szCs w:val="24"/>
                <w:highlight w:val="none"/>
                <w:lang w:val="en-US" w:eastAsia="zh-CN"/>
              </w:rPr>
              <w:t>2024</w:t>
            </w:r>
            <w:r>
              <w:rPr>
                <w:rFonts w:hint="default" w:ascii="Times New Roman" w:hAnsi="Times New Roman" w:eastAsia="宋体" w:cs="Times New Roman"/>
                <w:color w:val="auto"/>
                <w:sz w:val="24"/>
                <w:szCs w:val="24"/>
                <w:highlight w:val="none"/>
                <w:lang w:val="en-US" w:eastAsia="zh-CN"/>
              </w:rPr>
              <w:t>年本）》</w:t>
            </w:r>
            <w:r>
              <w:rPr>
                <w:rFonts w:hint="eastAsia"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rPr>
              <w:t>鼓励类、限制类和淘汰类项目，属于允许类建设项目，符合国家产业政策</w:t>
            </w:r>
            <w:r>
              <w:rPr>
                <w:rFonts w:hint="default" w:ascii="Times New Roman" w:hAnsi="Times New Roman" w:eastAsia="宋体" w:cs="Times New Roman"/>
                <w:bCs/>
                <w:color w:val="auto"/>
                <w:sz w:val="24"/>
                <w:highlight w:val="none"/>
              </w:rPr>
              <w:t>。</w:t>
            </w:r>
          </w:p>
          <w:p w14:paraId="1C2467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rPr>
            </w:pPr>
            <w:r>
              <w:rPr>
                <w:rFonts w:hint="eastAsia"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选址合理性分析</w:t>
            </w:r>
          </w:p>
          <w:p w14:paraId="60165E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val="0"/>
                <w:bCs w:val="0"/>
                <w:color w:val="auto"/>
                <w:sz w:val="24"/>
                <w:szCs w:val="24"/>
                <w:highlight w:val="none"/>
              </w:rPr>
              <w:t>本项目位于</w:t>
            </w:r>
            <w:r>
              <w:rPr>
                <w:rFonts w:hint="eastAsia"/>
                <w:color w:val="auto"/>
                <w:sz w:val="24"/>
                <w:lang w:val="en-US" w:eastAsia="zh-CN"/>
              </w:rPr>
              <w:t>内蒙古自治区鄂尔多斯市伊金霍洛旗乌兰木伦镇布尔台煤矿</w:t>
            </w:r>
            <w:r>
              <w:rPr>
                <w:rFonts w:hint="eastAsia"/>
                <w:color w:val="auto"/>
                <w:sz w:val="24"/>
              </w:rPr>
              <w:t>厂区内</w:t>
            </w:r>
            <w:r>
              <w:rPr>
                <w:rFonts w:hint="eastAsia" w:ascii="Times New Roman" w:hAnsi="Times New Roman" w:eastAsia="宋体" w:cs="Times New Roman"/>
                <w:b w:val="0"/>
                <w:bCs w:val="0"/>
                <w:color w:val="auto"/>
                <w:sz w:val="24"/>
                <w:szCs w:val="24"/>
                <w:highlight w:val="none"/>
              </w:rPr>
              <w:t>，本项目位于</w:t>
            </w:r>
            <w:r>
              <w:rPr>
                <w:rFonts w:hint="default" w:ascii="Times New Roman" w:hAnsi="Times New Roman" w:eastAsia="宋体" w:cs="Times New Roman"/>
                <w:color w:val="auto"/>
                <w:sz w:val="24"/>
                <w:szCs w:val="24"/>
                <w:highlight w:val="none"/>
                <w:lang w:val="en-US" w:eastAsia="zh-CN"/>
              </w:rPr>
              <w:t>布尔台煤矿</w:t>
            </w:r>
            <w:r>
              <w:rPr>
                <w:rFonts w:hint="eastAsia" w:ascii="Times New Roman" w:hAnsi="Times New Roman" w:eastAsia="宋体" w:cs="Times New Roman"/>
                <w:b w:val="0"/>
                <w:bCs w:val="0"/>
                <w:color w:val="auto"/>
                <w:sz w:val="24"/>
                <w:szCs w:val="24"/>
                <w:highlight w:val="none"/>
              </w:rPr>
              <w:t>工业场地预留用地</w:t>
            </w:r>
            <w:r>
              <w:rPr>
                <w:rFonts w:hint="eastAsia" w:ascii="Times New Roman" w:hAnsi="Times New Roman" w:eastAsia="宋体" w:cs="Times New Roman"/>
                <w:b w:val="0"/>
                <w:bCs w:val="0"/>
                <w:color w:val="auto"/>
                <w:sz w:val="24"/>
                <w:szCs w:val="24"/>
                <w:highlight w:val="none"/>
                <w:lang w:val="en-US" w:eastAsia="zh-CN"/>
              </w:rPr>
              <w:t>内</w:t>
            </w:r>
            <w:r>
              <w:rPr>
                <w:rFonts w:hint="eastAsia" w:ascii="Times New Roman" w:hAnsi="Times New Roman" w:eastAsia="宋体" w:cs="Times New Roman"/>
                <w:b w:val="0"/>
                <w:bCs w:val="0"/>
                <w:color w:val="auto"/>
                <w:sz w:val="24"/>
                <w:szCs w:val="24"/>
                <w:highlight w:val="none"/>
              </w:rPr>
              <w:t>，属于厂区配套项目</w:t>
            </w:r>
            <w:r>
              <w:rPr>
                <w:rFonts w:hint="eastAsia"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val="en-US" w:eastAsia="zh-CN"/>
              </w:rPr>
              <w:t>不新增占地</w:t>
            </w:r>
            <w:r>
              <w:rPr>
                <w:rFonts w:hint="eastAsia" w:ascii="Times New Roman" w:hAnsi="Times New Roman" w:eastAsia="宋体" w:cs="Times New Roman"/>
                <w:b w:val="0"/>
                <w:bCs w:val="0"/>
                <w:color w:val="auto"/>
                <w:sz w:val="24"/>
                <w:szCs w:val="24"/>
                <w:highlight w:val="none"/>
              </w:rPr>
              <w:t>。项目周边交通便利，基础设施完善，项目所在区域不在溶洞区或易遭受洪水、滑坡、泥石流、潮汐等影响的地区，项目评价范围内无自然保护区、文物保护单位、水源保护区等环境敏感区域；根据建设项目产排污分析，项目对区域环境影响较小，从环保角度分析，项目选址合理。</w:t>
            </w:r>
          </w:p>
          <w:p w14:paraId="3C52DF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3.项目与《低挥发性有机化合物含量涂料产品技术要求》（GB∕T 38597-2020）</w:t>
            </w:r>
            <w:r>
              <w:rPr>
                <w:rFonts w:hint="default" w:ascii="Times New Roman" w:hAnsi="Times New Roman" w:eastAsia="宋体" w:cs="Times New Roman"/>
                <w:b/>
                <w:bCs/>
                <w:color w:val="auto"/>
                <w:sz w:val="24"/>
                <w:szCs w:val="24"/>
                <w:highlight w:val="none"/>
              </w:rPr>
              <w:t>符合性分析</w:t>
            </w:r>
          </w:p>
          <w:p w14:paraId="690866F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2020年，</w:t>
            </w:r>
            <w:r>
              <w:rPr>
                <w:rFonts w:hint="eastAsia" w:cs="Times New Roman"/>
                <w:b w:val="0"/>
                <w:bCs w:val="0"/>
                <w:color w:val="auto"/>
                <w:sz w:val="24"/>
                <w:szCs w:val="24"/>
                <w:highlight w:val="none"/>
                <w:lang w:val="en-US" w:eastAsia="zh-CN"/>
              </w:rPr>
              <w:t>国家市场监督管理总局</w:t>
            </w:r>
            <w:r>
              <w:rPr>
                <w:rFonts w:hint="default" w:ascii="Times New Roman" w:hAnsi="Times New Roman" w:eastAsia="宋体" w:cs="Times New Roman"/>
                <w:b w:val="0"/>
                <w:bCs w:val="0"/>
                <w:color w:val="auto"/>
                <w:sz w:val="24"/>
                <w:szCs w:val="24"/>
                <w:highlight w:val="none"/>
                <w:lang w:val="en-US" w:eastAsia="zh-CN"/>
              </w:rPr>
              <w:t>、国家标准化管理委员会发布了推荐性标准《低挥发性有机化合物含量涂料产品技术要求》（GB/T38597-2020），于2020年12月至2021年4月陆续实施。</w:t>
            </w:r>
          </w:p>
          <w:p w14:paraId="73CD5D2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lang w:val="en-US" w:eastAsia="zh-CN"/>
              </w:rPr>
              <w:t>本项目主要是对布尔台煤矿在实际生产运行过程中需对一些小型设备、预制好的零部件、煤矿自行焊接的一些小型设备进行刷漆、喷漆，</w:t>
            </w:r>
            <w:r>
              <w:rPr>
                <w:rFonts w:hint="eastAsia" w:cs="Times New Roman"/>
                <w:b w:val="0"/>
                <w:bCs w:val="0"/>
                <w:color w:val="auto"/>
                <w:sz w:val="24"/>
                <w:lang w:val="en-US" w:eastAsia="zh-CN"/>
              </w:rPr>
              <w:t>使用涂料为水性漆，水性漆年使用量9.6t/a。</w:t>
            </w:r>
          </w:p>
          <w:p w14:paraId="01D92E6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根据</w:t>
            </w:r>
            <w:r>
              <w:rPr>
                <w:rFonts w:hint="default" w:ascii="Times New Roman" w:hAnsi="Times New Roman" w:eastAsia="宋体" w:cs="Times New Roman"/>
                <w:b w:val="0"/>
                <w:bCs w:val="0"/>
                <w:color w:val="auto"/>
                <w:sz w:val="24"/>
                <w:szCs w:val="24"/>
                <w:highlight w:val="none"/>
                <w:lang w:val="en-US" w:eastAsia="zh-CN"/>
              </w:rPr>
              <w:t>《低挥发性有机化合物含量涂料产品技术要求》（GB/T38597-2020）</w:t>
            </w:r>
            <w:r>
              <w:rPr>
                <w:rFonts w:hint="eastAsia" w:cs="Times New Roman"/>
                <w:b w:val="0"/>
                <w:bCs w:val="0"/>
                <w:color w:val="auto"/>
                <w:sz w:val="24"/>
                <w:szCs w:val="24"/>
                <w:highlight w:val="none"/>
                <w:lang w:val="en-US" w:eastAsia="zh-CN"/>
              </w:rPr>
              <w:t>中4.要求—表1水性涂料中VOC含量的要求：工业防护涂料—机械设备涂料—工程机械和农业机械涂料(含零部件涂料)VOC含量的要求为底漆≤250g/L，面漆≤300g/L。</w:t>
            </w:r>
          </w:p>
          <w:p w14:paraId="6C18C97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本项目所使用水性漆挥发物含量为底漆≤150g/L，面漆≤200g/L。</w:t>
            </w:r>
          </w:p>
          <w:p w14:paraId="5661C38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因此，本项目满足《低挥发性有机化合物含量涂料产品技术要求》（GB∕T 38597-2020）水性涂料中VOC含量的要求。</w:t>
            </w:r>
          </w:p>
          <w:p w14:paraId="7C175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4</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“三线一单”</w:t>
            </w:r>
            <w:r>
              <w:rPr>
                <w:rFonts w:hint="default" w:ascii="Times New Roman" w:hAnsi="Times New Roman" w:eastAsia="宋体" w:cs="Times New Roman"/>
                <w:b/>
                <w:bCs/>
                <w:i w:val="0"/>
                <w:iCs w:val="0"/>
                <w:color w:val="auto"/>
                <w:sz w:val="24"/>
                <w:szCs w:val="24"/>
                <w:highlight w:val="none"/>
              </w:rPr>
              <w:t>符合性分析</w:t>
            </w:r>
          </w:p>
          <w:p w14:paraId="3FC5AF47">
            <w:pPr>
              <w:pStyle w:val="17"/>
              <w:keepNext w:val="0"/>
              <w:keepLines w:val="0"/>
              <w:suppressLineNumbers w:val="0"/>
              <w:spacing w:before="0" w:beforeAutospacing="0" w:after="0" w:afterAutospacing="0" w:line="360" w:lineRule="auto"/>
              <w:ind w:left="0" w:right="0" w:firstLine="480" w:firstLineChars="200"/>
              <w:jc w:val="both"/>
              <w:rPr>
                <w:rFonts w:hint="default"/>
                <w:color w:val="auto"/>
                <w:kern w:val="0"/>
                <w:sz w:val="24"/>
              </w:rPr>
            </w:pPr>
            <w:r>
              <w:rPr>
                <w:rFonts w:hint="eastAsia" w:ascii="Times New Roman" w:hAnsi="Times New Roman" w:cs="Times New Roman"/>
                <w:color w:val="auto"/>
                <w:sz w:val="24"/>
                <w:szCs w:val="24"/>
                <w:highlight w:val="none"/>
              </w:rPr>
              <w:t>根据《</w:t>
            </w:r>
            <w:r>
              <w:rPr>
                <w:rFonts w:hint="eastAsia" w:ascii="Times New Roman" w:hAnsi="Times New Roman" w:cs="Times New Roman"/>
                <w:color w:val="auto"/>
                <w:sz w:val="24"/>
                <w:szCs w:val="24"/>
                <w:highlight w:val="none"/>
                <w:lang w:val="en-US" w:eastAsia="zh-CN"/>
              </w:rPr>
              <w:t>鄂尔多斯市生态环境分区管控动态更新成果</w:t>
            </w:r>
            <w:r>
              <w:rPr>
                <w:rFonts w:hint="eastAsia" w:ascii="Times New Roman" w:hAnsi="Times New Roman" w:cs="Times New Roman"/>
                <w:color w:val="auto"/>
                <w:sz w:val="24"/>
                <w:szCs w:val="24"/>
                <w:highlight w:val="none"/>
              </w:rPr>
              <w:t>》(2023年版)描述：全市共划定环境管控单元</w:t>
            </w:r>
            <w:r>
              <w:rPr>
                <w:rFonts w:hint="eastAsia" w:ascii="Times New Roman" w:hAnsi="Times New Roman" w:cs="Times New Roman"/>
                <w:color w:val="auto"/>
                <w:sz w:val="24"/>
                <w:szCs w:val="24"/>
                <w:highlight w:val="none"/>
                <w:lang w:val="en-US" w:eastAsia="zh-CN"/>
              </w:rPr>
              <w:t>171</w:t>
            </w:r>
            <w:r>
              <w:rPr>
                <w:rFonts w:hint="eastAsia" w:ascii="Times New Roman" w:hAnsi="Times New Roman" w:cs="Times New Roman"/>
                <w:color w:val="auto"/>
                <w:sz w:val="24"/>
                <w:szCs w:val="24"/>
                <w:highlight w:val="none"/>
              </w:rPr>
              <w:t>个，包括优先保护单元</w:t>
            </w:r>
            <w:r>
              <w:rPr>
                <w:rFonts w:hint="eastAsia" w:ascii="Times New Roman" w:hAnsi="Times New Roman" w:cs="Times New Roman"/>
                <w:color w:val="auto"/>
                <w:sz w:val="24"/>
                <w:szCs w:val="24"/>
                <w:highlight w:val="none"/>
                <w:lang w:val="en-US" w:eastAsia="zh-CN"/>
              </w:rPr>
              <w:t>76</w:t>
            </w:r>
            <w:r>
              <w:rPr>
                <w:rFonts w:hint="eastAsia" w:ascii="Times New Roman" w:hAnsi="Times New Roman" w:cs="Times New Roman"/>
                <w:color w:val="auto"/>
                <w:sz w:val="24"/>
                <w:szCs w:val="24"/>
                <w:highlight w:val="none"/>
              </w:rPr>
              <w:t>个、重点管控单元8</w:t>
            </w:r>
            <w:r>
              <w:rPr>
                <w:rFonts w:hint="eastAsia" w:ascii="Times New Roman" w:hAnsi="Times New Roman" w:cs="Times New Roman"/>
                <w:color w:val="auto"/>
                <w:sz w:val="24"/>
                <w:szCs w:val="24"/>
                <w:highlight w:val="none"/>
                <w:lang w:val="en-US" w:eastAsia="zh-CN"/>
              </w:rPr>
              <w:t>6</w:t>
            </w:r>
            <w:r>
              <w:rPr>
                <w:rFonts w:hint="eastAsia" w:ascii="Times New Roman" w:hAnsi="Times New Roman" w:cs="Times New Roman"/>
                <w:color w:val="auto"/>
                <w:sz w:val="24"/>
                <w:szCs w:val="24"/>
                <w:highlight w:val="none"/>
              </w:rPr>
              <w:t>个、</w:t>
            </w:r>
            <w:r>
              <w:rPr>
                <w:rFonts w:hint="eastAsia" w:ascii="Times New Roman" w:hAnsi="Times New Roman" w:cs="Times New Roman"/>
                <w:color w:val="auto"/>
                <w:sz w:val="24"/>
                <w:szCs w:val="24"/>
                <w:highlight w:val="none"/>
                <w:lang w:val="en-US" w:eastAsia="zh-CN"/>
              </w:rPr>
              <w:t>一</w:t>
            </w:r>
            <w:r>
              <w:rPr>
                <w:rFonts w:hint="eastAsia" w:ascii="Times New Roman" w:hAnsi="Times New Roman" w:cs="Times New Roman"/>
                <w:color w:val="auto"/>
                <w:sz w:val="24"/>
                <w:szCs w:val="24"/>
                <w:highlight w:val="none"/>
              </w:rPr>
              <w:t>般管控单元</w:t>
            </w:r>
            <w:r>
              <w:rPr>
                <w:rFonts w:hint="eastAsia" w:ascii="Times New Roman" w:hAnsi="Times New Roman" w:cs="Times New Roman"/>
                <w:color w:val="auto"/>
                <w:sz w:val="24"/>
                <w:szCs w:val="24"/>
                <w:highlight w:val="none"/>
                <w:lang w:val="en-US" w:eastAsia="zh-CN"/>
              </w:rPr>
              <w:t>9</w:t>
            </w:r>
            <w:r>
              <w:rPr>
                <w:rFonts w:hint="eastAsia" w:ascii="Times New Roman" w:hAnsi="Times New Roman" w:cs="Times New Roman"/>
                <w:color w:val="auto"/>
                <w:sz w:val="24"/>
                <w:szCs w:val="24"/>
                <w:highlight w:val="none"/>
              </w:rPr>
              <w:t>个，生态环境准入清单保持一定的延续性，维持“市级总体管控要求—单元管控要求”二个层级框架（即1个鄂尔多斯市总体准入清单、171个环境管控单元准入清单）。</w:t>
            </w:r>
          </w:p>
          <w:p w14:paraId="10746025">
            <w:pPr>
              <w:keepNext w:val="0"/>
              <w:keepLines w:val="0"/>
              <w:suppressLineNumbers w:val="0"/>
              <w:spacing w:before="0" w:beforeAutospacing="0" w:after="0" w:afterAutospacing="0" w:line="360" w:lineRule="auto"/>
              <w:ind w:left="0" w:right="0" w:firstLine="480" w:firstLineChars="200"/>
              <w:rPr>
                <w:rFonts w:hint="eastAsia"/>
                <w:color w:val="auto"/>
                <w:kern w:val="0"/>
                <w:sz w:val="24"/>
              </w:rPr>
            </w:pPr>
            <w:r>
              <w:rPr>
                <w:rFonts w:hint="default"/>
                <w:color w:val="auto"/>
                <w:kern w:val="0"/>
                <w:sz w:val="24"/>
              </w:rPr>
              <w:t>（1）生态保护红线</w:t>
            </w:r>
          </w:p>
          <w:p w14:paraId="21C71577">
            <w:pPr>
              <w:keepNext w:val="0"/>
              <w:keepLines w:val="0"/>
              <w:suppressLineNumbers w:val="0"/>
              <w:tabs>
                <w:tab w:val="left" w:pos="1611"/>
              </w:tabs>
              <w:autoSpaceDE w:val="0"/>
              <w:autoSpaceDN w:val="0"/>
              <w:spacing w:before="0" w:beforeAutospacing="0" w:after="0" w:afterAutospacing="0" w:line="360" w:lineRule="auto"/>
              <w:ind w:left="0" w:right="0" w:firstLine="480" w:firstLineChars="200"/>
              <w:rPr>
                <w:rFonts w:hint="default"/>
                <w:color w:val="auto"/>
                <w:kern w:val="0"/>
                <w:sz w:val="24"/>
              </w:rPr>
            </w:pPr>
            <w:bookmarkStart w:id="0" w:name="_Hlk102593514"/>
            <w:r>
              <w:rPr>
                <w:rFonts w:hint="default"/>
                <w:color w:val="auto"/>
                <w:kern w:val="0"/>
                <w:sz w:val="24"/>
              </w:rPr>
              <w:t>本项目位于</w:t>
            </w:r>
            <w:r>
              <w:rPr>
                <w:rFonts w:hint="eastAsia"/>
                <w:color w:val="auto"/>
                <w:sz w:val="24"/>
                <w:lang w:val="en-US" w:eastAsia="zh-CN"/>
              </w:rPr>
              <w:t>内蒙古自治区鄂尔多斯市伊金霍洛旗乌兰木伦镇布尔台煤矿</w:t>
            </w:r>
            <w:r>
              <w:rPr>
                <w:rFonts w:hint="eastAsia"/>
                <w:color w:val="auto"/>
                <w:sz w:val="24"/>
              </w:rPr>
              <w:t>厂区内</w:t>
            </w:r>
            <w:r>
              <w:rPr>
                <w:rFonts w:hint="default"/>
                <w:color w:val="auto"/>
                <w:kern w:val="0"/>
                <w:sz w:val="24"/>
              </w:rPr>
              <w:t>，属于重点管控单元</w:t>
            </w:r>
            <w:r>
              <w:rPr>
                <w:rFonts w:hint="eastAsia"/>
                <w:color w:val="auto"/>
                <w:kern w:val="0"/>
                <w:sz w:val="24"/>
              </w:rPr>
              <w:t>，</w:t>
            </w:r>
            <w:r>
              <w:rPr>
                <w:rFonts w:hint="eastAsia" w:ascii="Times New Roman" w:hAnsi="Times New Roman" w:eastAsia="宋体" w:cs="Times New Roman"/>
                <w:color w:val="auto"/>
                <w:sz w:val="24"/>
                <w:lang w:val="en-US" w:eastAsia="zh-CN"/>
              </w:rPr>
              <w:t>项目不新增用地，项目用地不涉及生态环境部门已划</w:t>
            </w:r>
            <w:r>
              <w:rPr>
                <w:rFonts w:hint="eastAsia" w:cs="Times New Roman"/>
                <w:color w:val="auto"/>
                <w:sz w:val="24"/>
                <w:lang w:val="en-US" w:eastAsia="zh-CN"/>
              </w:rPr>
              <w:t>定的</w:t>
            </w:r>
            <w:r>
              <w:rPr>
                <w:rFonts w:hint="eastAsia" w:ascii="Times New Roman" w:hAnsi="Times New Roman" w:eastAsia="宋体" w:cs="Times New Roman"/>
                <w:color w:val="auto"/>
                <w:sz w:val="24"/>
                <w:lang w:val="en-US" w:eastAsia="zh-CN"/>
              </w:rPr>
              <w:t>生态保护红线，也不涉及近期开展的生态保护红线评估范围。</w:t>
            </w:r>
            <w:r>
              <w:rPr>
                <w:rFonts w:hint="default"/>
                <w:color w:val="auto"/>
                <w:kern w:val="0"/>
                <w:sz w:val="24"/>
              </w:rPr>
              <w:t>因此，</w:t>
            </w:r>
            <w:r>
              <w:rPr>
                <w:rFonts w:hint="eastAsia"/>
                <w:color w:val="auto"/>
                <w:kern w:val="0"/>
                <w:sz w:val="24"/>
              </w:rPr>
              <w:t>项目</w:t>
            </w:r>
            <w:r>
              <w:rPr>
                <w:rFonts w:hint="default"/>
                <w:color w:val="auto"/>
                <w:kern w:val="0"/>
                <w:sz w:val="24"/>
              </w:rPr>
              <w:t>符合生态</w:t>
            </w:r>
            <w:r>
              <w:rPr>
                <w:rFonts w:hint="eastAsia"/>
                <w:color w:val="auto"/>
                <w:kern w:val="0"/>
                <w:sz w:val="24"/>
              </w:rPr>
              <w:t>保护</w:t>
            </w:r>
            <w:r>
              <w:rPr>
                <w:rFonts w:hint="default"/>
                <w:color w:val="auto"/>
                <w:kern w:val="0"/>
                <w:sz w:val="24"/>
              </w:rPr>
              <w:t>红线的要求。</w:t>
            </w:r>
          </w:p>
          <w:bookmarkEnd w:id="0"/>
          <w:p w14:paraId="2A5B7B85">
            <w:pPr>
              <w:keepNext w:val="0"/>
              <w:keepLines w:val="0"/>
              <w:numPr>
                <w:ilvl w:val="0"/>
                <w:numId w:val="0"/>
              </w:numPr>
              <w:suppressLineNumbers w:val="0"/>
              <w:spacing w:before="0" w:beforeAutospacing="0" w:after="0" w:afterAutospacing="0" w:line="360" w:lineRule="auto"/>
              <w:ind w:left="420" w:leftChars="200" w:right="0"/>
              <w:jc w:val="left"/>
              <w:rPr>
                <w:rFonts w:hint="default"/>
                <w:color w:val="auto"/>
                <w:kern w:val="0"/>
                <w:sz w:val="24"/>
              </w:rPr>
            </w:pPr>
            <w:r>
              <w:rPr>
                <w:rFonts w:hint="eastAsia"/>
                <w:color w:val="auto"/>
                <w:kern w:val="0"/>
                <w:sz w:val="24"/>
                <w:lang w:eastAsia="zh-CN"/>
              </w:rPr>
              <w:t>（</w:t>
            </w:r>
            <w:r>
              <w:rPr>
                <w:rFonts w:hint="eastAsia"/>
                <w:color w:val="auto"/>
                <w:kern w:val="0"/>
                <w:sz w:val="24"/>
                <w:lang w:val="en-US" w:eastAsia="zh-CN"/>
              </w:rPr>
              <w:t>2</w:t>
            </w:r>
            <w:r>
              <w:rPr>
                <w:rFonts w:hint="eastAsia"/>
                <w:color w:val="auto"/>
                <w:kern w:val="0"/>
                <w:sz w:val="24"/>
                <w:lang w:eastAsia="zh-CN"/>
              </w:rPr>
              <w:t>）</w:t>
            </w:r>
            <w:r>
              <w:rPr>
                <w:rFonts w:hint="default"/>
                <w:color w:val="auto"/>
                <w:kern w:val="0"/>
                <w:sz w:val="24"/>
              </w:rPr>
              <w:t>资源利用上线</w:t>
            </w:r>
          </w:p>
          <w:p w14:paraId="6112D8B5">
            <w:pPr>
              <w:keepNext w:val="0"/>
              <w:keepLines w:val="0"/>
              <w:suppressLineNumbers w:val="0"/>
              <w:tabs>
                <w:tab w:val="left" w:pos="1611"/>
              </w:tabs>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本项目运营期</w:t>
            </w:r>
            <w:r>
              <w:rPr>
                <w:rFonts w:hint="eastAsia" w:ascii="Times New Roman" w:hAnsi="Times New Roman" w:eastAsia="宋体" w:cs="Times New Roman"/>
                <w:color w:val="auto"/>
                <w:kern w:val="0"/>
                <w:sz w:val="24"/>
                <w:lang w:val="en-US" w:eastAsia="zh-CN"/>
              </w:rPr>
              <w:t>不新增用水</w:t>
            </w:r>
            <w:r>
              <w:rPr>
                <w:rFonts w:hint="default" w:ascii="Times New Roman" w:hAnsi="Times New Roman" w:eastAsia="宋体" w:cs="Times New Roman"/>
                <w:color w:val="auto"/>
                <w:kern w:val="0"/>
                <w:sz w:val="24"/>
              </w:rPr>
              <w:t>，生产用电依托</w:t>
            </w:r>
            <w:r>
              <w:rPr>
                <w:rFonts w:hint="eastAsia"/>
                <w:color w:val="auto"/>
                <w:sz w:val="24"/>
                <w:lang w:val="en-US" w:eastAsia="zh-CN"/>
              </w:rPr>
              <w:t>布尔台煤矿现有厂区</w:t>
            </w:r>
            <w:r>
              <w:rPr>
                <w:rFonts w:hint="eastAsia" w:ascii="Times New Roman" w:hAnsi="Times New Roman" w:eastAsia="宋体" w:cs="Times New Roman"/>
                <w:color w:val="auto"/>
                <w:kern w:val="0"/>
                <w:sz w:val="24"/>
                <w:lang w:val="en-US" w:eastAsia="zh-CN"/>
              </w:rPr>
              <w:t>供电</w:t>
            </w:r>
            <w:r>
              <w:rPr>
                <w:rFonts w:hint="default" w:ascii="Times New Roman" w:hAnsi="Times New Roman" w:eastAsia="宋体" w:cs="Times New Roman"/>
                <w:color w:val="auto"/>
                <w:kern w:val="0"/>
                <w:sz w:val="24"/>
              </w:rPr>
              <w:t>，消耗资源远低于区域资源利用总量。项目用地</w:t>
            </w:r>
            <w:r>
              <w:rPr>
                <w:rFonts w:hint="eastAsia" w:ascii="Times New Roman" w:hAnsi="Times New Roman" w:eastAsia="宋体" w:cs="Times New Roman"/>
                <w:color w:val="auto"/>
                <w:kern w:val="0"/>
                <w:sz w:val="24"/>
                <w:lang w:val="en-US" w:eastAsia="zh-CN"/>
              </w:rPr>
              <w:t>利用</w:t>
            </w:r>
            <w:r>
              <w:rPr>
                <w:rFonts w:hint="eastAsia"/>
                <w:color w:val="auto"/>
                <w:sz w:val="24"/>
                <w:lang w:val="en-US" w:eastAsia="zh-CN"/>
              </w:rPr>
              <w:t>布尔台煤矿现有工业场地预留用地，用地性质</w:t>
            </w:r>
            <w:r>
              <w:rPr>
                <w:rFonts w:hint="default" w:ascii="Times New Roman" w:hAnsi="Times New Roman" w:eastAsia="宋体" w:cs="Times New Roman"/>
                <w:color w:val="auto"/>
                <w:kern w:val="0"/>
                <w:sz w:val="24"/>
              </w:rPr>
              <w:t>为工业用地，不涉及基本农田，土地资源消耗符合要求。因此，项目资源利用满足要求。</w:t>
            </w:r>
          </w:p>
          <w:p w14:paraId="47282D91">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 w:val="24"/>
              </w:rPr>
            </w:pPr>
            <w:r>
              <w:rPr>
                <w:rFonts w:hint="default" w:ascii="Times New Roman" w:hAnsi="Times New Roman" w:cs="Times New Roman"/>
                <w:color w:val="auto"/>
              </w:rPr>
              <w:t>（3）</w:t>
            </w:r>
            <w:r>
              <w:rPr>
                <w:rFonts w:hint="default" w:ascii="Times New Roman" w:hAnsi="Times New Roman" w:eastAsia="宋体" w:cs="Times New Roman"/>
                <w:color w:val="auto"/>
                <w:sz w:val="24"/>
              </w:rPr>
              <w:t>环境质量底线</w:t>
            </w:r>
          </w:p>
          <w:p w14:paraId="2E209191">
            <w:pPr>
              <w:keepNext w:val="0"/>
              <w:keepLines w:val="0"/>
              <w:suppressLineNumbers w:val="0"/>
              <w:wordWrap w:val="0"/>
              <w:topLinePunct/>
              <w:spacing w:before="0" w:beforeAutospacing="0" w:after="0" w:afterAutospacing="0" w:line="360" w:lineRule="auto"/>
              <w:ind w:left="0" w:right="0" w:firstLine="480" w:firstLineChars="200"/>
              <w:rPr>
                <w:rFonts w:hint="eastAsia"/>
                <w:color w:val="auto"/>
                <w:sz w:val="24"/>
                <w:highlight w:val="yellow"/>
              </w:rPr>
            </w:pPr>
            <w:r>
              <w:rPr>
                <w:rFonts w:hint="default" w:ascii="Times New Roman" w:hAnsi="Times New Roman" w:cs="Times New Roman"/>
                <w:bCs/>
                <w:color w:val="auto"/>
                <w:sz w:val="24"/>
              </w:rPr>
              <w:t>本项目大气环境质量</w:t>
            </w:r>
            <w:r>
              <w:rPr>
                <w:rFonts w:hint="default" w:ascii="Times New Roman" w:hAnsi="Times New Roman" w:cs="Times New Roman"/>
                <w:color w:val="auto"/>
                <w:sz w:val="24"/>
              </w:rPr>
              <w:t>目标执行《环境空气质量标准》（GB3095-2012）二级标准。根据202</w:t>
            </w:r>
            <w:r>
              <w:rPr>
                <w:rFonts w:hint="eastAsia" w:cs="Times New Roman"/>
                <w:color w:val="auto"/>
                <w:sz w:val="24"/>
                <w:lang w:val="en-US" w:eastAsia="zh-CN"/>
              </w:rPr>
              <w:t>4</w:t>
            </w:r>
            <w:r>
              <w:rPr>
                <w:rFonts w:hint="default" w:ascii="Times New Roman" w:hAnsi="Times New Roman" w:cs="Times New Roman"/>
                <w:color w:val="auto"/>
                <w:sz w:val="24"/>
              </w:rPr>
              <w:t>年6月</w:t>
            </w:r>
            <w:r>
              <w:rPr>
                <w:rFonts w:hint="eastAsia" w:cs="Times New Roman"/>
                <w:color w:val="auto"/>
                <w:sz w:val="24"/>
                <w:lang w:val="en-US" w:eastAsia="zh-CN"/>
              </w:rPr>
              <w:t>4</w:t>
            </w:r>
            <w:r>
              <w:rPr>
                <w:rFonts w:hint="default" w:ascii="Times New Roman" w:hAnsi="Times New Roman" w:cs="Times New Roman"/>
                <w:color w:val="auto"/>
                <w:sz w:val="24"/>
              </w:rPr>
              <w:t>日内蒙古自治区生态环境厅发布的《202</w:t>
            </w:r>
            <w:r>
              <w:rPr>
                <w:rFonts w:hint="eastAsia" w:cs="Times New Roman"/>
                <w:color w:val="auto"/>
                <w:sz w:val="24"/>
                <w:lang w:val="en-US" w:eastAsia="zh-CN"/>
              </w:rPr>
              <w:t>3</w:t>
            </w:r>
            <w:r>
              <w:rPr>
                <w:rFonts w:hint="default" w:ascii="Times New Roman" w:hAnsi="Times New Roman" w:cs="Times New Roman"/>
                <w:color w:val="auto"/>
                <w:sz w:val="24"/>
              </w:rPr>
              <w:t>年内蒙古自治区生态环境状况公报》，</w:t>
            </w:r>
            <w:r>
              <w:rPr>
                <w:rFonts w:hint="eastAsia" w:cs="Times New Roman"/>
                <w:color w:val="auto"/>
                <w:sz w:val="24"/>
                <w:lang w:val="en-US" w:eastAsia="zh-CN"/>
              </w:rPr>
              <w:t>2023</w:t>
            </w:r>
            <w:r>
              <w:rPr>
                <w:rFonts w:hint="default" w:ascii="Times New Roman" w:hAnsi="Times New Roman" w:cs="Times New Roman"/>
                <w:color w:val="auto"/>
                <w:sz w:val="24"/>
              </w:rPr>
              <w:t>年鄂尔多斯市为达标区，项目评价区域环境空气基本项目中SO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、NO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、PM</w:t>
            </w:r>
            <w:r>
              <w:rPr>
                <w:rFonts w:hint="default" w:ascii="Times New Roman" w:hAnsi="Times New Roman" w:cs="Times New Roman"/>
                <w:color w:val="auto"/>
                <w:sz w:val="24"/>
                <w:vertAlign w:val="subscript"/>
              </w:rPr>
              <w:t>10</w:t>
            </w:r>
            <w:r>
              <w:rPr>
                <w:rFonts w:hint="default" w:ascii="Times New Roman" w:hAnsi="Times New Roman" w:cs="Times New Roman"/>
                <w:color w:val="auto"/>
                <w:sz w:val="24"/>
              </w:rPr>
              <w:t>、PM</w:t>
            </w:r>
            <w:r>
              <w:rPr>
                <w:rFonts w:hint="default" w:ascii="Times New Roman" w:hAnsi="Times New Roman" w:cs="Times New Roman"/>
                <w:color w:val="auto"/>
                <w:sz w:val="24"/>
                <w:vertAlign w:val="subscript"/>
              </w:rPr>
              <w:t>2.5</w:t>
            </w:r>
            <w:r>
              <w:rPr>
                <w:rFonts w:hint="default" w:ascii="Times New Roman" w:hAnsi="Times New Roman" w:cs="Times New Roman"/>
                <w:color w:val="auto"/>
                <w:sz w:val="24"/>
              </w:rPr>
              <w:t>、O</w:t>
            </w:r>
            <w:r>
              <w:rPr>
                <w:rFonts w:hint="default" w:ascii="Times New Roman" w:hAnsi="Times New Roman" w:cs="Times New Roman"/>
                <w:color w:val="auto"/>
                <w:sz w:val="24"/>
                <w:vertAlign w:val="subscript"/>
              </w:rPr>
              <w:t>3</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CO长期浓度均可达标</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符合《环境空气质量标准》（GB3095-2</w:t>
            </w:r>
            <w:r>
              <w:rPr>
                <w:rFonts w:hint="default"/>
                <w:color w:val="auto"/>
                <w:sz w:val="24"/>
                <w:highlight w:val="none"/>
              </w:rPr>
              <w:t>012）二级标准</w:t>
            </w:r>
            <w:r>
              <w:rPr>
                <w:rFonts w:hint="eastAsia"/>
                <w:color w:val="auto"/>
                <w:sz w:val="24"/>
                <w:highlight w:val="none"/>
                <w:lang w:eastAsia="zh-CN"/>
              </w:rPr>
              <w:t>，</w:t>
            </w:r>
            <w:r>
              <w:rPr>
                <w:rFonts w:hint="eastAsia"/>
                <w:color w:val="auto"/>
                <w:sz w:val="24"/>
                <w:highlight w:val="none"/>
                <w:lang w:val="en-US" w:eastAsia="zh-CN"/>
              </w:rPr>
              <w:t>且由北京华成星科检测服务有限公司于2024年8月30日至2024年9月1日连续3天在项目厂址对TSP、非甲烷总烃、苯系物（苯、甲苯、二甲苯）进行的监测结果可知，TSP日均浓度满足《环境空气质量标准》(GB3095-2012)二级标准限值，非甲烷总烃</w:t>
            </w:r>
            <w:r>
              <w:rPr>
                <w:rFonts w:hint="eastAsia" w:ascii="Times New Roman" w:hAnsi="Times New Roman" w:eastAsia="宋体" w:cs="Times New Roman"/>
                <w:color w:val="auto"/>
                <w:sz w:val="24"/>
                <w:highlight w:val="none"/>
                <w:lang w:val="en-US" w:eastAsia="zh-CN"/>
              </w:rPr>
              <w:t>1h浓度平均</w:t>
            </w:r>
            <w:r>
              <w:rPr>
                <w:rFonts w:hint="eastAsia"/>
                <w:color w:val="auto"/>
                <w:sz w:val="24"/>
                <w:highlight w:val="none"/>
                <w:lang w:val="en-US" w:eastAsia="zh-CN"/>
              </w:rPr>
              <w:t>值满足《环境空气质量 非甲烷总烃限值》（DB13/1577-2012）表1中二级标准限值，苯、甲苯、二甲苯满足《环境影响评价技术导则 大气环境》（HJ2.2-2018）附录D中限值要求，无超标现象</w:t>
            </w:r>
            <w:r>
              <w:rPr>
                <w:rFonts w:hint="eastAsia"/>
                <w:color w:val="auto"/>
                <w:sz w:val="24"/>
                <w:highlight w:val="none"/>
              </w:rPr>
              <w:t>；</w:t>
            </w:r>
          </w:p>
          <w:p w14:paraId="3BAEAD68">
            <w:pPr>
              <w:keepNext w:val="0"/>
              <w:keepLines w:val="0"/>
              <w:suppressLineNumbers w:val="0"/>
              <w:wordWrap w:val="0"/>
              <w:topLinePunct/>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default"/>
                <w:color w:val="auto"/>
                <w:sz w:val="24"/>
              </w:rPr>
              <w:t>本项目</w:t>
            </w:r>
            <w:r>
              <w:rPr>
                <w:rFonts w:hint="eastAsia"/>
                <w:color w:val="auto"/>
                <w:sz w:val="24"/>
              </w:rPr>
              <w:t>无生产废水</w:t>
            </w:r>
            <w:r>
              <w:rPr>
                <w:rFonts w:hint="default"/>
                <w:color w:val="auto"/>
                <w:sz w:val="24"/>
              </w:rPr>
              <w:t>，</w:t>
            </w:r>
            <w:r>
              <w:rPr>
                <w:rFonts w:hint="eastAsia"/>
                <w:color w:val="auto"/>
                <w:kern w:val="0"/>
                <w:sz w:val="24"/>
              </w:rPr>
              <w:t>劳动定员依托</w:t>
            </w:r>
            <w:r>
              <w:rPr>
                <w:rFonts w:hint="eastAsia"/>
                <w:color w:val="auto"/>
                <w:sz w:val="24"/>
                <w:lang w:val="en-US" w:eastAsia="zh-CN"/>
              </w:rPr>
              <w:t>布尔台煤矿</w:t>
            </w:r>
            <w:r>
              <w:rPr>
                <w:rFonts w:hint="eastAsia"/>
                <w:color w:val="auto"/>
                <w:kern w:val="0"/>
                <w:sz w:val="24"/>
              </w:rPr>
              <w:t>现有人员</w:t>
            </w:r>
            <w:r>
              <w:rPr>
                <w:rFonts w:hint="eastAsia"/>
                <w:color w:val="auto"/>
                <w:kern w:val="0"/>
                <w:sz w:val="24"/>
                <w:lang w:eastAsia="zh-CN"/>
              </w:rPr>
              <w:t>（</w:t>
            </w:r>
            <w:r>
              <w:rPr>
                <w:rFonts w:hint="eastAsia"/>
                <w:color w:val="auto"/>
                <w:kern w:val="0"/>
                <w:sz w:val="24"/>
                <w:lang w:val="en-US" w:eastAsia="zh-CN"/>
              </w:rPr>
              <w:t>人员依托</w:t>
            </w:r>
            <w:r>
              <w:rPr>
                <w:rFonts w:hint="eastAsia"/>
                <w:color w:val="auto"/>
                <w:sz w:val="24"/>
                <w:lang w:val="en-US" w:eastAsia="zh-CN"/>
              </w:rPr>
              <w:t>布尔台煤矿</w:t>
            </w:r>
            <w:r>
              <w:rPr>
                <w:rFonts w:hint="eastAsia"/>
                <w:color w:val="auto"/>
                <w:kern w:val="0"/>
                <w:sz w:val="24"/>
                <w:lang w:val="en-US" w:eastAsia="zh-CN"/>
              </w:rPr>
              <w:t>机修车间人员</w:t>
            </w:r>
            <w:r>
              <w:rPr>
                <w:rFonts w:hint="eastAsia"/>
                <w:color w:val="auto"/>
                <w:kern w:val="0"/>
                <w:sz w:val="24"/>
                <w:lang w:eastAsia="zh-CN"/>
              </w:rPr>
              <w:t>）</w:t>
            </w:r>
            <w:r>
              <w:rPr>
                <w:rFonts w:hint="eastAsia"/>
                <w:color w:val="auto"/>
                <w:kern w:val="0"/>
                <w:sz w:val="24"/>
              </w:rPr>
              <w:t>，无新增生活用水，</w:t>
            </w:r>
            <w:r>
              <w:rPr>
                <w:rFonts w:hint="eastAsia"/>
                <w:color w:val="auto"/>
                <w:sz w:val="24"/>
              </w:rPr>
              <w:t>不会影响</w:t>
            </w:r>
            <w:r>
              <w:rPr>
                <w:rFonts w:hint="default"/>
                <w:color w:val="auto"/>
                <w:sz w:val="24"/>
              </w:rPr>
              <w:t>区域地下水环境质量</w:t>
            </w:r>
            <w:r>
              <w:rPr>
                <w:rFonts w:hint="eastAsia"/>
                <w:color w:val="auto"/>
                <w:sz w:val="24"/>
              </w:rPr>
              <w:t>。</w:t>
            </w:r>
            <w:r>
              <w:rPr>
                <w:rFonts w:hint="eastAsia" w:ascii="Times New Roman" w:hAnsi="Times New Roman" w:eastAsia="宋体" w:cs="Times New Roman"/>
                <w:bCs/>
                <w:color w:val="auto"/>
                <w:sz w:val="24"/>
              </w:rPr>
              <w:t>本项目运营后会产生一定的污染物，如</w:t>
            </w:r>
            <w:r>
              <w:rPr>
                <w:rFonts w:hint="eastAsia" w:ascii="Times New Roman" w:hAnsi="Times New Roman" w:eastAsia="宋体" w:cs="Times New Roman"/>
                <w:bCs/>
                <w:color w:val="auto"/>
                <w:sz w:val="24"/>
                <w:lang w:val="en-US" w:eastAsia="zh-CN"/>
              </w:rPr>
              <w:t>颗粒物，苯系物（苯、甲苯、二甲苯）及非甲烷总烃等挥发性有机物以及</w:t>
            </w:r>
            <w:r>
              <w:rPr>
                <w:rFonts w:hint="eastAsia" w:ascii="Times New Roman" w:hAnsi="Times New Roman" w:eastAsia="宋体" w:cs="Times New Roman"/>
                <w:bCs/>
                <w:color w:val="auto"/>
                <w:sz w:val="24"/>
              </w:rPr>
              <w:t>生产设备运行产生的噪声等，但在采取相应的污染防治措施后，各类污染物的排放一般不会对周边环境造成不良影响，即不会改变区域环境功能区质量要求，能维持环境功能区质量现状。</w:t>
            </w:r>
          </w:p>
          <w:p w14:paraId="3B551B2D">
            <w:pPr>
              <w:pStyle w:val="136"/>
              <w:keepNext w:val="0"/>
              <w:keepLines w:val="0"/>
              <w:suppressLineNumbers w:val="0"/>
              <w:spacing w:before="0" w:beforeAutospacing="0" w:after="0" w:afterAutospacing="0"/>
              <w:ind w:left="0" w:right="0" w:firstLine="480"/>
              <w:rPr>
                <w:rFonts w:hint="default"/>
                <w:color w:val="auto"/>
              </w:rPr>
            </w:pPr>
            <w:r>
              <w:rPr>
                <w:rFonts w:hint="eastAsia"/>
                <w:bCs/>
                <w:color w:val="auto"/>
              </w:rPr>
              <w:t>综上</w:t>
            </w:r>
            <w:r>
              <w:rPr>
                <w:rFonts w:hint="default"/>
                <w:bCs/>
                <w:color w:val="auto"/>
              </w:rPr>
              <w:t>，本工程的实施符合环境质量底线的要求。</w:t>
            </w:r>
          </w:p>
          <w:p w14:paraId="52DBDBFB">
            <w:pPr>
              <w:pStyle w:val="136"/>
              <w:keepNext w:val="0"/>
              <w:keepLines w:val="0"/>
              <w:suppressLineNumbers w:val="0"/>
              <w:spacing w:before="0" w:beforeAutospacing="0" w:after="0" w:afterAutospacing="0"/>
              <w:ind w:left="0" w:right="0" w:firstLine="480"/>
              <w:rPr>
                <w:rFonts w:hint="default" w:eastAsia="宋体"/>
                <w:bCs/>
                <w:color w:val="auto"/>
              </w:rPr>
            </w:pPr>
            <w:r>
              <w:rPr>
                <w:rFonts w:hint="default" w:eastAsia="宋体"/>
                <w:bCs/>
                <w:color w:val="auto"/>
              </w:rPr>
              <w:t>（4）</w:t>
            </w:r>
            <w:r>
              <w:rPr>
                <w:rFonts w:hint="eastAsia" w:eastAsia="宋体"/>
                <w:bCs/>
                <w:color w:val="auto"/>
              </w:rPr>
              <w:t>生态</w:t>
            </w:r>
            <w:r>
              <w:rPr>
                <w:rFonts w:hint="default" w:eastAsia="宋体"/>
                <w:bCs/>
                <w:color w:val="auto"/>
              </w:rPr>
              <w:t>环境准入清单</w:t>
            </w:r>
          </w:p>
          <w:p w14:paraId="618B4E54">
            <w:pPr>
              <w:pStyle w:val="136"/>
              <w:keepNext w:val="0"/>
              <w:keepLines w:val="0"/>
              <w:suppressLineNumbers w:val="0"/>
              <w:spacing w:before="0" w:beforeAutospacing="0" w:after="0" w:afterAutospacing="0"/>
              <w:ind w:left="0" w:right="0" w:firstLine="480"/>
              <w:rPr>
                <w:rFonts w:hint="default" w:eastAsia="宋体"/>
                <w:bCs/>
                <w:color w:val="auto"/>
              </w:rPr>
            </w:pPr>
            <w:r>
              <w:rPr>
                <w:rFonts w:hint="eastAsia" w:eastAsia="宋体"/>
                <w:bCs/>
                <w:color w:val="FF0000"/>
                <w:lang w:val="en-US" w:eastAsia="zh-CN"/>
              </w:rPr>
              <w:t>根据《</w:t>
            </w:r>
            <w:bookmarkStart w:id="1" w:name="_Toc144984188"/>
            <w:bookmarkStart w:id="2" w:name="_Toc143185517"/>
            <w:r>
              <w:rPr>
                <w:rFonts w:hint="eastAsia" w:eastAsia="宋体"/>
                <w:bCs/>
                <w:color w:val="FF0000"/>
                <w:lang w:val="en-US" w:eastAsia="zh-CN"/>
              </w:rPr>
              <w:t>鄂尔多斯市生态环境管控准入清单</w:t>
            </w:r>
            <w:bookmarkEnd w:id="1"/>
            <w:bookmarkEnd w:id="2"/>
            <w:r>
              <w:rPr>
                <w:rFonts w:hint="eastAsia" w:eastAsia="宋体"/>
                <w:bCs/>
                <w:color w:val="FF0000"/>
                <w:lang w:val="en-US" w:eastAsia="zh-CN"/>
              </w:rPr>
              <w:t>》（2023年），</w:t>
            </w:r>
            <w:r>
              <w:rPr>
                <w:rFonts w:hint="eastAsia" w:eastAsia="宋体"/>
                <w:bCs/>
                <w:color w:val="auto"/>
                <w:lang w:val="en-US" w:eastAsia="zh-CN"/>
              </w:rPr>
              <w:t>本项目位于内蒙古</w:t>
            </w:r>
            <w:r>
              <w:rPr>
                <w:rFonts w:hint="eastAsia"/>
                <w:color w:val="auto"/>
                <w:sz w:val="24"/>
                <w:lang w:val="en-US" w:eastAsia="zh-CN"/>
              </w:rPr>
              <w:t>自治区鄂尔多斯市伊金霍洛旗乌兰木伦镇布尔台煤矿</w:t>
            </w:r>
            <w:r>
              <w:rPr>
                <w:rFonts w:hint="eastAsia"/>
                <w:color w:val="auto"/>
                <w:sz w:val="24"/>
              </w:rPr>
              <w:t>厂区</w:t>
            </w:r>
            <w:r>
              <w:rPr>
                <w:rFonts w:hint="eastAsia" w:eastAsia="宋体"/>
                <w:bCs/>
                <w:color w:val="auto"/>
                <w:lang w:eastAsia="zh-CN"/>
              </w:rPr>
              <w:t>场地预留用地</w:t>
            </w:r>
            <w:r>
              <w:rPr>
                <w:rFonts w:hint="eastAsia" w:eastAsia="宋体"/>
                <w:bCs/>
                <w:color w:val="auto"/>
                <w:lang w:val="en-US" w:eastAsia="zh-CN"/>
              </w:rPr>
              <w:t>内，属于神东矿区东胜区及周边煤矿区管控单元，该单元为重点管控单元，管控单位编</w:t>
            </w:r>
            <w:r>
              <w:rPr>
                <w:rFonts w:hint="default" w:eastAsia="宋体"/>
                <w:bCs/>
                <w:color w:val="auto"/>
                <w:lang w:val="en-US" w:eastAsia="zh-CN"/>
              </w:rPr>
              <w:t>码：ZH15062720005，管控单元</w:t>
            </w:r>
            <w:r>
              <w:rPr>
                <w:rFonts w:hint="default" w:eastAsia="宋体"/>
                <w:bCs/>
                <w:color w:val="auto"/>
              </w:rPr>
              <w:t>相关符合性分析见下表</w:t>
            </w:r>
            <w:r>
              <w:rPr>
                <w:rFonts w:hint="eastAsia" w:eastAsia="宋体"/>
                <w:bCs/>
                <w:color w:val="auto"/>
                <w:lang w:eastAsia="zh-CN"/>
              </w:rPr>
              <w:t>，项目与环境管控单元位置关系图</w:t>
            </w:r>
            <w:r>
              <w:rPr>
                <w:rFonts w:hint="default" w:eastAsia="宋体"/>
                <w:bCs/>
                <w:color w:val="auto"/>
              </w:rPr>
              <w:t>。</w:t>
            </w:r>
          </w:p>
          <w:p w14:paraId="7BC1F6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表1-</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本</w:t>
            </w:r>
            <w:r>
              <w:rPr>
                <w:rFonts w:hint="default" w:ascii="Times New Roman" w:hAnsi="Times New Roman" w:eastAsia="宋体" w:cs="Times New Roman"/>
                <w:b/>
                <w:bCs/>
                <w:color w:val="auto"/>
                <w:sz w:val="24"/>
                <w:szCs w:val="24"/>
              </w:rPr>
              <w:t>项目与</w:t>
            </w:r>
            <w:r>
              <w:rPr>
                <w:rFonts w:hint="eastAsia" w:ascii="Times New Roman" w:hAnsi="Times New Roman" w:eastAsia="宋体" w:cs="Times New Roman"/>
                <w:b/>
                <w:bCs/>
                <w:color w:val="auto"/>
                <w:sz w:val="24"/>
                <w:szCs w:val="24"/>
              </w:rPr>
              <w:t>生态环境准入清单符合性分析一览表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744"/>
              <w:gridCol w:w="973"/>
              <w:gridCol w:w="2865"/>
              <w:gridCol w:w="1356"/>
              <w:gridCol w:w="479"/>
            </w:tblGrid>
            <w:tr w14:paraId="437C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6" w:type="pct"/>
                  <w:noWrap w:val="0"/>
                  <w:vAlign w:val="center"/>
                </w:tcPr>
                <w:p w14:paraId="76850A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环境管控单元名称</w:t>
                  </w:r>
                </w:p>
              </w:tc>
              <w:tc>
                <w:tcPr>
                  <w:tcW w:w="507" w:type="pct"/>
                  <w:noWrap w:val="0"/>
                  <w:vAlign w:val="center"/>
                </w:tcPr>
                <w:p w14:paraId="17AC08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管控单元类别</w:t>
                  </w:r>
                </w:p>
              </w:tc>
              <w:tc>
                <w:tcPr>
                  <w:tcW w:w="2615" w:type="pct"/>
                  <w:gridSpan w:val="2"/>
                  <w:noWrap w:val="0"/>
                  <w:vAlign w:val="center"/>
                </w:tcPr>
                <w:p w14:paraId="2295FE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管控要求</w:t>
                  </w:r>
                </w:p>
              </w:tc>
              <w:tc>
                <w:tcPr>
                  <w:tcW w:w="924" w:type="pct"/>
                  <w:noWrap w:val="0"/>
                  <w:vAlign w:val="center"/>
                </w:tcPr>
                <w:p w14:paraId="152F0B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本项目情况</w:t>
                  </w:r>
                </w:p>
              </w:tc>
              <w:tc>
                <w:tcPr>
                  <w:tcW w:w="326" w:type="pct"/>
                  <w:noWrap w:val="0"/>
                  <w:vAlign w:val="center"/>
                </w:tcPr>
                <w:p w14:paraId="45BD0C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相符性</w:t>
                  </w:r>
                </w:p>
              </w:tc>
            </w:tr>
            <w:tr w14:paraId="14B1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6" w:type="pct"/>
                  <w:vMerge w:val="restart"/>
                  <w:noWrap w:val="0"/>
                  <w:vAlign w:val="center"/>
                </w:tcPr>
                <w:p w14:paraId="199ED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eastAsia"/>
                      <w:color w:val="auto"/>
                      <w:sz w:val="21"/>
                      <w:szCs w:val="21"/>
                    </w:rPr>
                    <w:t>神东矿区东胜区及周边煤矿区</w:t>
                  </w:r>
                </w:p>
              </w:tc>
              <w:tc>
                <w:tcPr>
                  <w:tcW w:w="507" w:type="pct"/>
                  <w:vMerge w:val="restart"/>
                  <w:noWrap w:val="0"/>
                  <w:vAlign w:val="center"/>
                </w:tcPr>
                <w:p w14:paraId="4578DE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olor w:val="auto"/>
                      <w:sz w:val="21"/>
                      <w:szCs w:val="21"/>
                    </w:rPr>
                  </w:pPr>
                  <w:r>
                    <w:rPr>
                      <w:rFonts w:hint="eastAsia"/>
                      <w:color w:val="auto"/>
                      <w:sz w:val="21"/>
                      <w:szCs w:val="21"/>
                    </w:rPr>
                    <w:t>重点管控单元</w:t>
                  </w:r>
                </w:p>
              </w:tc>
              <w:tc>
                <w:tcPr>
                  <w:tcW w:w="663" w:type="pct"/>
                  <w:noWrap w:val="0"/>
                  <w:vAlign w:val="center"/>
                </w:tcPr>
                <w:p w14:paraId="6FF1CD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olor w:val="auto"/>
                      <w:sz w:val="21"/>
                      <w:szCs w:val="21"/>
                    </w:rPr>
                  </w:pPr>
                  <w:r>
                    <w:rPr>
                      <w:rFonts w:hint="eastAsia"/>
                      <w:color w:val="auto"/>
                      <w:sz w:val="21"/>
                      <w:szCs w:val="21"/>
                      <w:lang w:val="en-US" w:eastAsia="zh-CN"/>
                    </w:rPr>
                    <w:t>空</w:t>
                  </w:r>
                  <w:r>
                    <w:rPr>
                      <w:rFonts w:hint="eastAsia"/>
                      <w:color w:val="auto"/>
                      <w:sz w:val="21"/>
                      <w:szCs w:val="21"/>
                    </w:rPr>
                    <w:t>间布局约束</w:t>
                  </w:r>
                </w:p>
              </w:tc>
              <w:tc>
                <w:tcPr>
                  <w:tcW w:w="1952" w:type="pct"/>
                  <w:noWrap w:val="0"/>
                  <w:vAlign w:val="center"/>
                </w:tcPr>
                <w:p w14:paraId="2BE4D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1.</w:t>
                  </w:r>
                  <w:r>
                    <w:rPr>
                      <w:rFonts w:hint="eastAsia"/>
                      <w:color w:val="auto"/>
                      <w:sz w:val="21"/>
                      <w:szCs w:val="21"/>
                      <w:lang w:val="en-US" w:eastAsia="zh-CN"/>
                    </w:rPr>
                    <w:t>非经国务院授权的有关主管部门同意，不得在《中华人民共和国矿产资源法（修正）》中所列的</w:t>
                  </w:r>
                  <w:r>
                    <w:rPr>
                      <w:rFonts w:hint="default"/>
                      <w:color w:val="auto"/>
                      <w:sz w:val="21"/>
                      <w:szCs w:val="21"/>
                      <w:lang w:val="en-US" w:eastAsia="zh-CN"/>
                    </w:rPr>
                    <w:t>6</w:t>
                  </w:r>
                  <w:r>
                    <w:rPr>
                      <w:rFonts w:hint="eastAsia"/>
                      <w:color w:val="auto"/>
                      <w:sz w:val="21"/>
                      <w:szCs w:val="21"/>
                      <w:lang w:val="en-US" w:eastAsia="zh-CN"/>
                    </w:rPr>
                    <w:t>种地区开采矿产资源。</w:t>
                  </w:r>
                </w:p>
                <w:p w14:paraId="33965C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2.</w:t>
                  </w:r>
                  <w:r>
                    <w:rPr>
                      <w:rFonts w:hint="eastAsia"/>
                      <w:color w:val="auto"/>
                      <w:sz w:val="21"/>
                      <w:szCs w:val="21"/>
                      <w:lang w:val="en-US" w:eastAsia="zh-CN"/>
                    </w:rPr>
                    <w:t>禁止新建、扩建《产业结构调整指导目录（</w:t>
                  </w:r>
                  <w:r>
                    <w:rPr>
                      <w:rFonts w:hint="default"/>
                      <w:color w:val="auto"/>
                      <w:sz w:val="21"/>
                      <w:szCs w:val="21"/>
                      <w:lang w:val="en-US" w:eastAsia="zh-CN"/>
                    </w:rPr>
                    <w:t>2019</w:t>
                  </w:r>
                  <w:r>
                    <w:rPr>
                      <w:rFonts w:hint="eastAsia"/>
                      <w:color w:val="auto"/>
                      <w:sz w:val="21"/>
                      <w:szCs w:val="21"/>
                      <w:lang w:val="en-US" w:eastAsia="zh-CN"/>
                    </w:rPr>
                    <w:t>年本）》明确的淘汰类项目；严格执行《自治区国家重点生态功能区产业准入负面清单（试行）》（内政发〔</w:t>
                  </w:r>
                  <w:r>
                    <w:rPr>
                      <w:rFonts w:hint="default"/>
                      <w:color w:val="auto"/>
                      <w:sz w:val="21"/>
                      <w:szCs w:val="21"/>
                      <w:lang w:val="en-US" w:eastAsia="zh-CN"/>
                    </w:rPr>
                    <w:t>2018</w:t>
                  </w:r>
                  <w:r>
                    <w:rPr>
                      <w:rFonts w:hint="eastAsia"/>
                      <w:color w:val="auto"/>
                      <w:sz w:val="21"/>
                      <w:szCs w:val="21"/>
                      <w:lang w:val="en-US" w:eastAsia="zh-CN"/>
                    </w:rPr>
                    <w:t>〕</w:t>
                  </w:r>
                  <w:r>
                    <w:rPr>
                      <w:rFonts w:hint="default"/>
                      <w:color w:val="auto"/>
                      <w:sz w:val="21"/>
                      <w:szCs w:val="21"/>
                      <w:lang w:val="en-US" w:eastAsia="zh-CN"/>
                    </w:rPr>
                    <w:t xml:space="preserve">11 </w:t>
                  </w:r>
                  <w:r>
                    <w:rPr>
                      <w:rFonts w:hint="eastAsia"/>
                      <w:color w:val="auto"/>
                      <w:sz w:val="21"/>
                      <w:szCs w:val="21"/>
                      <w:lang w:val="en-US" w:eastAsia="zh-CN"/>
                    </w:rPr>
                    <w:t xml:space="preserve">号）中采矿业管控要求。 </w:t>
                  </w:r>
                </w:p>
                <w:p w14:paraId="7A0722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3.</w:t>
                  </w:r>
                  <w:r>
                    <w:rPr>
                      <w:rFonts w:hint="eastAsia"/>
                      <w:color w:val="auto"/>
                      <w:sz w:val="21"/>
                      <w:szCs w:val="21"/>
                      <w:lang w:val="en-US" w:eastAsia="zh-CN"/>
                    </w:rPr>
                    <w:t xml:space="preserve">严格控制草原上新建矿产资源开发项目。新上矿产资源开发项目在开展前期工作时，应征求林业和草原行政主管部门意见，严格执行国家林草局草原征占用审核审批管理制度，把先预审、再立项、后建设的源头把控原则落到实处。 </w:t>
                  </w:r>
                </w:p>
                <w:p w14:paraId="57589E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4.</w:t>
                  </w:r>
                  <w:r>
                    <w:rPr>
                      <w:rFonts w:hint="eastAsia"/>
                      <w:color w:val="auto"/>
                      <w:sz w:val="21"/>
                      <w:szCs w:val="21"/>
                      <w:lang w:val="en-US" w:eastAsia="zh-CN"/>
                    </w:rPr>
                    <w:t xml:space="preserve">严格规范草原上已建矿产资源开发项目。对依法批准的草原上已建和在建矿产资源开发项目，不得在依法确定的矿区范围外平面增扩面积，不得未经批准由井工开采变为露天开采，严格控制排渣场、排土场、煤矸石堆场、场区道路占用草原面积。 </w:t>
                  </w:r>
                </w:p>
                <w:p w14:paraId="613C5F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 xml:space="preserve">5. </w:t>
                  </w:r>
                  <w:r>
                    <w:rPr>
                      <w:rFonts w:hint="eastAsia"/>
                      <w:color w:val="auto"/>
                      <w:sz w:val="21"/>
                      <w:szCs w:val="21"/>
                      <w:lang w:val="en-US" w:eastAsia="zh-CN"/>
                    </w:rPr>
                    <w:t>执行《内蒙古自治区矿产资源总体规划（</w:t>
                  </w:r>
                  <w:r>
                    <w:rPr>
                      <w:rFonts w:hint="default"/>
                      <w:color w:val="auto"/>
                      <w:sz w:val="21"/>
                      <w:szCs w:val="21"/>
                      <w:lang w:val="en-US" w:eastAsia="zh-CN"/>
                    </w:rPr>
                    <w:t>2016~2020</w:t>
                  </w:r>
                  <w:r>
                    <w:rPr>
                      <w:rFonts w:hint="eastAsia"/>
                      <w:color w:val="auto"/>
                      <w:sz w:val="21"/>
                      <w:szCs w:val="21"/>
                      <w:lang w:val="en-US" w:eastAsia="zh-CN"/>
                    </w:rPr>
                    <w:t xml:space="preserve">）》中最低开采规模相关要求。 </w:t>
                  </w:r>
                </w:p>
              </w:tc>
              <w:tc>
                <w:tcPr>
                  <w:tcW w:w="924" w:type="pct"/>
                  <w:noWrap w:val="0"/>
                  <w:vAlign w:val="center"/>
                </w:tcPr>
                <w:p w14:paraId="08AC6D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lang w:val="en-US" w:eastAsia="zh-CN"/>
                    </w:rPr>
                  </w:pPr>
                  <w:r>
                    <w:rPr>
                      <w:rFonts w:hint="eastAsia"/>
                      <w:color w:val="auto"/>
                      <w:sz w:val="21"/>
                      <w:szCs w:val="21"/>
                      <w:lang w:val="en-US" w:eastAsia="zh-CN"/>
                    </w:rPr>
                    <w:t>1.本项目为金属表面处理及热处理加工，不涉及矿产资源开采；</w:t>
                  </w:r>
                </w:p>
                <w:p w14:paraId="040719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lang w:val="en-US" w:eastAsia="zh-CN"/>
                    </w:rPr>
                  </w:pPr>
                  <w:r>
                    <w:rPr>
                      <w:rFonts w:hint="eastAsia"/>
                      <w:color w:val="auto"/>
                      <w:sz w:val="21"/>
                      <w:szCs w:val="21"/>
                      <w:lang w:val="en-US" w:eastAsia="zh-CN"/>
                    </w:rPr>
                    <w:t>2.</w:t>
                  </w:r>
                  <w:r>
                    <w:rPr>
                      <w:rFonts w:hint="default"/>
                      <w:color w:val="auto"/>
                      <w:sz w:val="21"/>
                      <w:szCs w:val="21"/>
                      <w:lang w:val="en-US" w:eastAsia="zh-CN"/>
                    </w:rPr>
                    <w:t>本项目为金属表面处理及热处理加工项目，建设内容为在原有厂区内新建1座喷漆库房，项目不属于《产业结构调整指导目录（</w:t>
                  </w:r>
                  <w:r>
                    <w:rPr>
                      <w:rFonts w:hint="eastAsia"/>
                      <w:color w:val="auto"/>
                      <w:sz w:val="21"/>
                      <w:szCs w:val="21"/>
                      <w:lang w:val="en-US" w:eastAsia="zh-CN"/>
                    </w:rPr>
                    <w:t>2024</w:t>
                  </w:r>
                  <w:r>
                    <w:rPr>
                      <w:rFonts w:hint="default"/>
                      <w:color w:val="auto"/>
                      <w:sz w:val="21"/>
                      <w:szCs w:val="21"/>
                      <w:lang w:val="en-US" w:eastAsia="zh-CN"/>
                    </w:rPr>
                    <w:t>年本）》中鼓励类、限制类、淘汰类</w:t>
                  </w:r>
                  <w:r>
                    <w:rPr>
                      <w:rFonts w:hint="eastAsia"/>
                      <w:color w:val="auto"/>
                      <w:sz w:val="21"/>
                      <w:szCs w:val="21"/>
                      <w:lang w:val="en-US" w:eastAsia="zh-CN"/>
                    </w:rPr>
                    <w:t>项目；</w:t>
                  </w:r>
                </w:p>
                <w:p w14:paraId="3A6AF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lang w:val="en-US" w:eastAsia="zh-CN"/>
                    </w:rPr>
                  </w:pPr>
                  <w:r>
                    <w:rPr>
                      <w:rFonts w:hint="eastAsia"/>
                      <w:color w:val="auto"/>
                      <w:sz w:val="21"/>
                      <w:szCs w:val="21"/>
                      <w:lang w:val="en-US" w:eastAsia="zh-CN"/>
                    </w:rPr>
                    <w:t>3.本项目位于内蒙古自治区鄂尔多斯市伊金霍洛旗乌兰木伦镇布尔台煤矿场地预留用地内，不新增占地，项目建设用地性质为工业用地，不涉及草原。</w:t>
                  </w:r>
                </w:p>
              </w:tc>
              <w:tc>
                <w:tcPr>
                  <w:tcW w:w="326" w:type="pct"/>
                  <w:noWrap w:val="0"/>
                  <w:vAlign w:val="center"/>
                </w:tcPr>
                <w:p w14:paraId="6960E2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符合</w:t>
                  </w:r>
                </w:p>
              </w:tc>
            </w:tr>
            <w:tr w14:paraId="4A07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626" w:type="pct"/>
                  <w:vMerge w:val="continue"/>
                  <w:noWrap w:val="0"/>
                  <w:vAlign w:val="center"/>
                </w:tcPr>
                <w:p w14:paraId="52C2B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507" w:type="pct"/>
                  <w:vMerge w:val="continue"/>
                  <w:noWrap w:val="0"/>
                  <w:vAlign w:val="center"/>
                </w:tcPr>
                <w:p w14:paraId="0EA32D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663" w:type="pct"/>
                  <w:noWrap w:val="0"/>
                  <w:vAlign w:val="center"/>
                </w:tcPr>
                <w:p w14:paraId="0B4346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eastAsia"/>
                      <w:color w:val="auto"/>
                      <w:sz w:val="21"/>
                      <w:szCs w:val="21"/>
                    </w:rPr>
                    <w:t>污染物排放管控</w:t>
                  </w:r>
                </w:p>
              </w:tc>
              <w:tc>
                <w:tcPr>
                  <w:tcW w:w="1952" w:type="pct"/>
                  <w:noWrap w:val="0"/>
                  <w:vAlign w:val="center"/>
                </w:tcPr>
                <w:p w14:paraId="3A008A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1.矿产资源勘查以及采选过程中排土场、露天采场、尾矿库、矿区专用道路、矿山工业场地、沉陷区、矸石场、矿山污染场地等的生态环境保护与治理恢复工作须满足《矿山生态环境保护与治理恢复技术规范（试行）》（HJ651-2013）要求。落实边开采、边保护、边复垦的要求，使新建、在建矿山损毁土地得到全面复垦。</w:t>
                  </w:r>
                </w:p>
                <w:p w14:paraId="791227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2.生产矿山年度占用土地面积与年度治理面积基本达到平衡，“三废”排放符合环保指标要求。</w:t>
                  </w:r>
                </w:p>
                <w:p w14:paraId="783B1A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3.煤矿地面运煤系统、运输设备、煤炭贮存场所应当全封闭。鼓励有条件的露天矿山采用密闭式皮带运输系统，煤炭企业应当负责矿权范围内和排矸场等着火点灭火工作；提高煤矸石、矿井水的综合利用。</w:t>
                  </w:r>
                </w:p>
                <w:p w14:paraId="18FFB7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eastAsia"/>
                      <w:color w:val="auto"/>
                      <w:sz w:val="21"/>
                      <w:szCs w:val="21"/>
                    </w:rPr>
                    <w:t>4.对新建硫份大于 1.5%的煤矿，应配套建设煤炭洗选设施；对现有硫份大于 2%的煤矿，应补建配套煤炭洗选设施。</w:t>
                  </w:r>
                </w:p>
              </w:tc>
              <w:tc>
                <w:tcPr>
                  <w:tcW w:w="924" w:type="pct"/>
                  <w:noWrap w:val="0"/>
                  <w:vAlign w:val="center"/>
                </w:tcPr>
                <w:p w14:paraId="5401F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lang w:val="en-US"/>
                    </w:rPr>
                  </w:pPr>
                  <w:r>
                    <w:rPr>
                      <w:rFonts w:hint="default"/>
                      <w:color w:val="auto"/>
                      <w:sz w:val="21"/>
                      <w:szCs w:val="21"/>
                      <w:lang w:val="en-US" w:eastAsia="zh-CN"/>
                    </w:rPr>
                    <w:t>本项目为金属表面处理及热处理加工项目，</w:t>
                  </w:r>
                  <w:r>
                    <w:rPr>
                      <w:rFonts w:hint="eastAsia"/>
                      <w:color w:val="auto"/>
                      <w:sz w:val="21"/>
                      <w:szCs w:val="21"/>
                      <w:lang w:val="en-US" w:eastAsia="zh-CN"/>
                    </w:rPr>
                    <w:t>不涉及上述产业。</w:t>
                  </w:r>
                </w:p>
              </w:tc>
              <w:tc>
                <w:tcPr>
                  <w:tcW w:w="326" w:type="pct"/>
                  <w:noWrap w:val="0"/>
                  <w:vAlign w:val="center"/>
                </w:tcPr>
                <w:p w14:paraId="45A598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default"/>
                      <w:color w:val="auto"/>
                      <w:sz w:val="21"/>
                      <w:szCs w:val="21"/>
                    </w:rPr>
                    <w:t>符合</w:t>
                  </w:r>
                </w:p>
              </w:tc>
            </w:tr>
            <w:tr w14:paraId="2BA1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6" w:type="pct"/>
                  <w:vMerge w:val="continue"/>
                  <w:noWrap w:val="0"/>
                  <w:vAlign w:val="center"/>
                </w:tcPr>
                <w:p w14:paraId="426177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507" w:type="pct"/>
                  <w:vMerge w:val="continue"/>
                  <w:noWrap w:val="0"/>
                  <w:vAlign w:val="center"/>
                </w:tcPr>
                <w:p w14:paraId="2EC4CE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663" w:type="pct"/>
                  <w:noWrap w:val="0"/>
                  <w:vAlign w:val="center"/>
                </w:tcPr>
                <w:p w14:paraId="0142FD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eastAsia"/>
                      <w:color w:val="auto"/>
                      <w:sz w:val="21"/>
                      <w:szCs w:val="21"/>
                    </w:rPr>
                    <w:t>环</w:t>
                  </w:r>
                  <w:r>
                    <w:rPr>
                      <w:rFonts w:hint="eastAsia"/>
                      <w:color w:val="auto"/>
                      <w:sz w:val="21"/>
                      <w:szCs w:val="21"/>
                      <w:lang w:eastAsia="zh-CN"/>
                    </w:rPr>
                    <w:t>境</w:t>
                  </w:r>
                  <w:r>
                    <w:rPr>
                      <w:rFonts w:hint="eastAsia"/>
                      <w:color w:val="auto"/>
                      <w:sz w:val="21"/>
                      <w:szCs w:val="21"/>
                    </w:rPr>
                    <w:t>风险防控</w:t>
                  </w:r>
                </w:p>
              </w:tc>
              <w:tc>
                <w:tcPr>
                  <w:tcW w:w="1952" w:type="pct"/>
                  <w:noWrap w:val="0"/>
                  <w:vAlign w:val="center"/>
                </w:tcPr>
                <w:p w14:paraId="1C0612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1.制定环境风险应急预案，成立应急组织机构，配备必要的应急设施和应急物资，定期开展环境风险应急演练。</w:t>
                  </w:r>
                </w:p>
                <w:p w14:paraId="0B9F52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eastAsia"/>
                      <w:color w:val="auto"/>
                      <w:sz w:val="21"/>
                      <w:szCs w:val="21"/>
                    </w:rPr>
                    <w:t>2.加强采矿引起的滑坡、塌陷等次生地质灾害的防范和治理，及时回填废弃巷道和采空区，要充分利用采矿疏干排出的地下水，最大限度的维持矿区生态平衡。</w:t>
                  </w:r>
                </w:p>
              </w:tc>
              <w:tc>
                <w:tcPr>
                  <w:tcW w:w="924" w:type="pct"/>
                  <w:noWrap w:val="0"/>
                  <w:vAlign w:val="center"/>
                </w:tcPr>
                <w:p w14:paraId="04ECF7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lang w:val="en-US" w:eastAsia="zh-CN"/>
                    </w:rPr>
                  </w:pPr>
                  <w:r>
                    <w:rPr>
                      <w:rFonts w:hint="eastAsia" w:eastAsia="宋体"/>
                      <w:color w:val="auto"/>
                      <w:sz w:val="21"/>
                      <w:szCs w:val="21"/>
                      <w:lang w:val="en-US" w:eastAsia="zh-CN"/>
                    </w:rPr>
                    <w:t>布尔台煤矿已制定突发环境应急预案，待本</w:t>
                  </w:r>
                  <w:r>
                    <w:rPr>
                      <w:rFonts w:hint="eastAsia"/>
                      <w:color w:val="auto"/>
                      <w:sz w:val="21"/>
                      <w:szCs w:val="21"/>
                      <w:lang w:val="en-US" w:eastAsia="zh-CN"/>
                    </w:rPr>
                    <w:t>项目建成后，需将本项目纳入</w:t>
                  </w:r>
                  <w:r>
                    <w:rPr>
                      <w:rFonts w:hint="eastAsia" w:eastAsia="宋体"/>
                      <w:color w:val="auto"/>
                      <w:sz w:val="21"/>
                      <w:szCs w:val="21"/>
                      <w:lang w:val="en-US" w:eastAsia="zh-CN"/>
                    </w:rPr>
                    <w:t>布尔台煤矿</w:t>
                  </w:r>
                  <w:r>
                    <w:rPr>
                      <w:rFonts w:hint="eastAsia"/>
                      <w:color w:val="auto"/>
                      <w:sz w:val="21"/>
                      <w:szCs w:val="21"/>
                      <w:lang w:val="en-US" w:eastAsia="zh-CN"/>
                    </w:rPr>
                    <w:t>整体矿区应急预案</w:t>
                  </w:r>
                  <w:r>
                    <w:rPr>
                      <w:rFonts w:hint="eastAsia"/>
                      <w:color w:val="auto"/>
                      <w:sz w:val="21"/>
                      <w:szCs w:val="21"/>
                    </w:rPr>
                    <w:t>。</w:t>
                  </w:r>
                </w:p>
              </w:tc>
              <w:tc>
                <w:tcPr>
                  <w:tcW w:w="326" w:type="pct"/>
                  <w:noWrap w:val="0"/>
                  <w:vAlign w:val="center"/>
                </w:tcPr>
                <w:p w14:paraId="588917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default"/>
                      <w:color w:val="auto"/>
                      <w:sz w:val="21"/>
                      <w:szCs w:val="21"/>
                    </w:rPr>
                    <w:t>符合</w:t>
                  </w:r>
                </w:p>
              </w:tc>
            </w:tr>
            <w:tr w14:paraId="46C8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6" w:type="pct"/>
                  <w:vMerge w:val="continue"/>
                  <w:noWrap w:val="0"/>
                  <w:vAlign w:val="center"/>
                </w:tcPr>
                <w:p w14:paraId="171E34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507" w:type="pct"/>
                  <w:vMerge w:val="continue"/>
                  <w:noWrap w:val="0"/>
                  <w:vAlign w:val="center"/>
                </w:tcPr>
                <w:p w14:paraId="7DBED9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p>
              </w:tc>
              <w:tc>
                <w:tcPr>
                  <w:tcW w:w="663" w:type="pct"/>
                  <w:noWrap w:val="0"/>
                  <w:vAlign w:val="center"/>
                </w:tcPr>
                <w:p w14:paraId="72C609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sz w:val="21"/>
                      <w:szCs w:val="21"/>
                    </w:rPr>
                  </w:pPr>
                  <w:r>
                    <w:rPr>
                      <w:rFonts w:hint="eastAsia"/>
                      <w:color w:val="auto"/>
                      <w:sz w:val="21"/>
                      <w:szCs w:val="21"/>
                      <w:lang w:val="en-US" w:eastAsia="zh-CN"/>
                    </w:rPr>
                    <w:t>资</w:t>
                  </w:r>
                  <w:r>
                    <w:rPr>
                      <w:rFonts w:hint="eastAsia"/>
                      <w:color w:val="auto"/>
                      <w:sz w:val="21"/>
                      <w:szCs w:val="21"/>
                    </w:rPr>
                    <w:t>源利用效率要求</w:t>
                  </w:r>
                </w:p>
              </w:tc>
              <w:tc>
                <w:tcPr>
                  <w:tcW w:w="1952" w:type="pct"/>
                  <w:noWrap w:val="0"/>
                  <w:vAlign w:val="center"/>
                </w:tcPr>
                <w:p w14:paraId="0D9F65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1.原煤入选率不低于 75%；煤矸石综合利用率应达到75%以上；矿井水、疏干水应采用洁净化、资源化技术和工艺进行合理处置，处置率达到 100%。</w:t>
                  </w:r>
                </w:p>
                <w:p w14:paraId="653C181B">
                  <w:pPr>
                    <w:keepNext w:val="0"/>
                    <w:keepLines w:val="0"/>
                    <w:suppressLineNumbers w:val="0"/>
                    <w:spacing w:before="0" w:beforeAutospacing="0" w:after="0" w:afterAutospacing="0" w:line="240" w:lineRule="auto"/>
                    <w:ind w:left="0" w:leftChars="0" w:right="0" w:rightChars="0"/>
                    <w:rPr>
                      <w:rFonts w:hint="eastAsia"/>
                      <w:color w:val="auto"/>
                      <w:sz w:val="21"/>
                      <w:szCs w:val="21"/>
                    </w:rPr>
                  </w:pPr>
                  <w:r>
                    <w:rPr>
                      <w:rFonts w:hint="eastAsia"/>
                      <w:color w:val="auto"/>
                      <w:sz w:val="21"/>
                      <w:szCs w:val="21"/>
                    </w:rPr>
                    <w:t>2.煤矿采区回采率、原煤入选率、煤矸石与共伴生矿产资源综合利用率等三项指标符合自然资源部发布的《煤炭资源合理开发利用“三率”指标要求（试行）》。3.严格执行取用水总量控制制度，推进矿井水综合利用，煤炭矿区的补充用水、周边地区生产和生态用水应优先使用矿井水，加强洗煤废水循环利用。</w:t>
                  </w:r>
                </w:p>
                <w:p w14:paraId="23973DAB">
                  <w:pPr>
                    <w:keepNext w:val="0"/>
                    <w:keepLines w:val="0"/>
                    <w:suppressLineNumbers w:val="0"/>
                    <w:spacing w:before="0" w:beforeAutospacing="0" w:after="0" w:afterAutospacing="0" w:line="240" w:lineRule="auto"/>
                    <w:ind w:left="0" w:leftChars="0" w:right="0" w:rightChars="0"/>
                    <w:rPr>
                      <w:rFonts w:hint="default"/>
                      <w:color w:val="auto"/>
                      <w:sz w:val="21"/>
                      <w:szCs w:val="21"/>
                    </w:rPr>
                  </w:pPr>
                  <w:r>
                    <w:rPr>
                      <w:rFonts w:hint="eastAsia"/>
                      <w:color w:val="auto"/>
                      <w:sz w:val="21"/>
                      <w:szCs w:val="21"/>
                    </w:rPr>
                    <w:t>4.限制勘查开发过程中对环境破坏较大的砂金等重砂矿物，原则上不再新设勘查项目，确需新立的必须通过环境影响评估，并征得环保部门同意。禁止勘查超贫磁铁矿。</w:t>
                  </w:r>
                </w:p>
              </w:tc>
              <w:tc>
                <w:tcPr>
                  <w:tcW w:w="924" w:type="pct"/>
                  <w:noWrap w:val="0"/>
                  <w:vAlign w:val="center"/>
                </w:tcPr>
                <w:p w14:paraId="0F7639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default"/>
                      <w:color w:val="auto"/>
                      <w:sz w:val="21"/>
                      <w:szCs w:val="21"/>
                      <w:lang w:val="en-US" w:eastAsia="zh-CN"/>
                    </w:rPr>
                    <w:t>本项目为金属表面处理及热处理加工项目，</w:t>
                  </w:r>
                  <w:r>
                    <w:rPr>
                      <w:rFonts w:hint="eastAsia"/>
                      <w:color w:val="auto"/>
                      <w:sz w:val="21"/>
                      <w:szCs w:val="21"/>
                      <w:lang w:val="en-US" w:eastAsia="zh-CN"/>
                    </w:rPr>
                    <w:t>不涉及上述产业。</w:t>
                  </w:r>
                </w:p>
              </w:tc>
              <w:tc>
                <w:tcPr>
                  <w:tcW w:w="326" w:type="pct"/>
                  <w:noWrap w:val="0"/>
                  <w:vAlign w:val="center"/>
                </w:tcPr>
                <w:p w14:paraId="19C9E4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color w:val="auto"/>
                      <w:sz w:val="21"/>
                      <w:szCs w:val="21"/>
                    </w:rPr>
                  </w:pPr>
                  <w:r>
                    <w:rPr>
                      <w:rFonts w:hint="eastAsia"/>
                      <w:color w:val="auto"/>
                      <w:sz w:val="21"/>
                      <w:szCs w:val="21"/>
                    </w:rPr>
                    <w:t>符合</w:t>
                  </w:r>
                </w:p>
              </w:tc>
            </w:tr>
          </w:tbl>
          <w:p w14:paraId="543BFE71">
            <w:pPr>
              <w:keepNext w:val="0"/>
              <w:keepLines w:val="0"/>
              <w:suppressLineNumbers w:val="0"/>
              <w:spacing w:before="120" w:beforeLines="50" w:beforeAutospacing="0" w:after="0" w:afterAutospacing="0" w:line="360" w:lineRule="auto"/>
              <w:ind w:left="0" w:right="0" w:firstLine="480" w:firstLineChars="200"/>
              <w:jc w:val="left"/>
              <w:rPr>
                <w:rFonts w:hint="eastAsia" w:ascii="宋体" w:hAnsi="宋体"/>
                <w:bCs/>
                <w:color w:val="auto"/>
                <w:sz w:val="24"/>
              </w:rPr>
            </w:pPr>
            <w:r>
              <w:rPr>
                <w:rFonts w:hint="eastAsia" w:ascii="宋体" w:hAnsi="宋体"/>
                <w:bCs/>
                <w:color w:val="auto"/>
                <w:sz w:val="24"/>
              </w:rPr>
              <w:t>综上所述，本项目符合“三线一单”要求。</w:t>
            </w:r>
          </w:p>
          <w:p w14:paraId="4120D976">
            <w:pPr>
              <w:pStyle w:val="2"/>
              <w:keepNext w:val="0"/>
              <w:keepLines w:val="0"/>
              <w:suppressLineNumbers w:val="0"/>
              <w:spacing w:before="0" w:beforeAutospacing="0" w:afterAutospacing="0"/>
              <w:ind w:right="0"/>
              <w:rPr>
                <w:rFonts w:hint="eastAsia" w:ascii="宋体" w:hAnsi="宋体"/>
                <w:bCs/>
                <w:color w:val="auto"/>
                <w:sz w:val="24"/>
              </w:rPr>
            </w:pPr>
          </w:p>
          <w:p w14:paraId="08CB5449">
            <w:pPr>
              <w:pStyle w:val="2"/>
              <w:keepNext w:val="0"/>
              <w:keepLines w:val="0"/>
              <w:suppressLineNumbers w:val="0"/>
              <w:spacing w:before="0" w:beforeAutospacing="0" w:afterAutospacing="0"/>
              <w:ind w:right="0"/>
              <w:rPr>
                <w:rFonts w:hint="eastAsia" w:ascii="宋体" w:hAnsi="宋体"/>
                <w:bCs/>
                <w:color w:val="auto"/>
                <w:sz w:val="24"/>
              </w:rPr>
            </w:pPr>
          </w:p>
          <w:p w14:paraId="2056A713">
            <w:pPr>
              <w:pStyle w:val="2"/>
              <w:keepNext w:val="0"/>
              <w:keepLines w:val="0"/>
              <w:suppressLineNumbers w:val="0"/>
              <w:spacing w:before="0" w:beforeAutospacing="0" w:afterAutospacing="0"/>
              <w:ind w:right="0"/>
              <w:rPr>
                <w:rFonts w:hint="eastAsia" w:ascii="宋体" w:hAnsi="宋体"/>
                <w:bCs/>
                <w:color w:val="auto"/>
                <w:sz w:val="24"/>
              </w:rPr>
            </w:pPr>
          </w:p>
          <w:p w14:paraId="33EA9024">
            <w:pPr>
              <w:pStyle w:val="2"/>
              <w:keepNext w:val="0"/>
              <w:keepLines w:val="0"/>
              <w:suppressLineNumbers w:val="0"/>
              <w:spacing w:before="0" w:beforeAutospacing="0" w:afterAutospacing="0"/>
              <w:ind w:right="0"/>
              <w:rPr>
                <w:rFonts w:hint="eastAsia" w:ascii="宋体" w:hAnsi="宋体"/>
                <w:bCs/>
                <w:color w:val="auto"/>
                <w:sz w:val="24"/>
              </w:rPr>
            </w:pPr>
          </w:p>
          <w:p w14:paraId="5BD41669">
            <w:pPr>
              <w:pStyle w:val="2"/>
              <w:keepNext w:val="0"/>
              <w:keepLines w:val="0"/>
              <w:suppressLineNumbers w:val="0"/>
              <w:spacing w:before="0" w:beforeAutospacing="0" w:afterAutospacing="0"/>
              <w:ind w:right="0"/>
              <w:rPr>
                <w:rFonts w:hint="eastAsia" w:ascii="宋体" w:hAnsi="宋体"/>
                <w:bCs/>
                <w:color w:val="auto"/>
                <w:sz w:val="24"/>
              </w:rPr>
            </w:pPr>
          </w:p>
          <w:p w14:paraId="19B21CD5">
            <w:pPr>
              <w:pStyle w:val="2"/>
              <w:keepNext w:val="0"/>
              <w:keepLines w:val="0"/>
              <w:suppressLineNumbers w:val="0"/>
              <w:spacing w:before="0" w:beforeAutospacing="0" w:afterAutospacing="0"/>
              <w:ind w:right="0"/>
              <w:rPr>
                <w:rFonts w:hint="eastAsia" w:ascii="宋体" w:hAnsi="宋体"/>
                <w:bCs/>
                <w:color w:val="auto"/>
                <w:sz w:val="24"/>
              </w:rPr>
            </w:pPr>
          </w:p>
          <w:p w14:paraId="073B730D">
            <w:pPr>
              <w:pStyle w:val="2"/>
              <w:keepNext w:val="0"/>
              <w:keepLines w:val="0"/>
              <w:suppressLineNumbers w:val="0"/>
              <w:spacing w:before="0" w:beforeAutospacing="0" w:afterAutospacing="0"/>
              <w:ind w:right="0"/>
              <w:rPr>
                <w:rFonts w:hint="eastAsia" w:ascii="宋体" w:hAnsi="宋体"/>
                <w:bCs/>
                <w:color w:val="auto"/>
                <w:sz w:val="24"/>
              </w:rPr>
            </w:pPr>
          </w:p>
          <w:p w14:paraId="6AAC6B65">
            <w:pPr>
              <w:pStyle w:val="2"/>
              <w:keepNext w:val="0"/>
              <w:keepLines w:val="0"/>
              <w:suppressLineNumbers w:val="0"/>
              <w:spacing w:before="0" w:beforeAutospacing="0" w:afterAutospacing="0"/>
              <w:ind w:right="0"/>
              <w:rPr>
                <w:rFonts w:hint="eastAsia" w:ascii="宋体" w:hAnsi="宋体"/>
                <w:bCs/>
                <w:color w:val="auto"/>
                <w:sz w:val="24"/>
              </w:rPr>
            </w:pPr>
          </w:p>
          <w:p w14:paraId="570D0639">
            <w:pPr>
              <w:pStyle w:val="2"/>
              <w:keepNext w:val="0"/>
              <w:keepLines w:val="0"/>
              <w:suppressLineNumbers w:val="0"/>
              <w:spacing w:before="0" w:beforeAutospacing="0" w:afterAutospacing="0"/>
              <w:ind w:right="0"/>
              <w:rPr>
                <w:rFonts w:hint="eastAsia" w:ascii="宋体" w:hAnsi="宋体"/>
                <w:bCs/>
                <w:color w:val="auto"/>
                <w:sz w:val="24"/>
              </w:rPr>
            </w:pPr>
          </w:p>
          <w:p w14:paraId="2BE12CD0">
            <w:pPr>
              <w:pStyle w:val="2"/>
              <w:keepNext w:val="0"/>
              <w:keepLines w:val="0"/>
              <w:suppressLineNumbers w:val="0"/>
              <w:spacing w:before="0" w:beforeAutospacing="0" w:afterAutospacing="0"/>
              <w:ind w:right="0"/>
              <w:rPr>
                <w:rFonts w:hint="eastAsia" w:ascii="宋体" w:hAnsi="宋体"/>
                <w:bCs/>
                <w:color w:val="auto"/>
                <w:sz w:val="24"/>
              </w:rPr>
            </w:pPr>
          </w:p>
          <w:p w14:paraId="0D4051B4">
            <w:pPr>
              <w:pStyle w:val="2"/>
              <w:keepNext w:val="0"/>
              <w:keepLines w:val="0"/>
              <w:suppressLineNumbers w:val="0"/>
              <w:spacing w:before="0" w:beforeAutospacing="0" w:afterAutospacing="0"/>
              <w:ind w:right="0"/>
              <w:rPr>
                <w:rFonts w:hint="default" w:ascii="宋体" w:hAnsi="宋体"/>
                <w:bCs/>
                <w:color w:val="auto"/>
                <w:sz w:val="24"/>
              </w:rPr>
            </w:pPr>
          </w:p>
          <w:p w14:paraId="0B927FB2">
            <w:pPr>
              <w:keepNext w:val="0"/>
              <w:keepLines w:val="0"/>
              <w:pageBreakBefore w:val="0"/>
              <w:widowControl/>
              <w:suppressLineNumbers w:val="0"/>
              <w:kinsoku/>
              <w:wordWrap/>
              <w:overflowPunct/>
              <w:topLinePunct w:val="0"/>
              <w:bidi w:val="0"/>
              <w:adjustRightInd/>
              <w:snapToGrid w:val="0"/>
              <w:spacing w:before="0" w:beforeAutospacing="0" w:after="0" w:afterAutospacing="0" w:line="360" w:lineRule="auto"/>
              <w:ind w:left="0" w:right="0"/>
              <w:textAlignment w:val="auto"/>
              <w:rPr>
                <w:rFonts w:hint="eastAsia" w:cs="Times New Roman"/>
                <w:b/>
                <w:bCs/>
                <w:color w:val="auto"/>
                <w:sz w:val="24"/>
                <w:szCs w:val="24"/>
                <w:highlight w:val="none"/>
                <w:lang w:val="en-US" w:eastAsia="zh-CN"/>
              </w:rPr>
            </w:pPr>
            <w:r>
              <w:rPr>
                <w:rFonts w:hint="default"/>
                <w:color w:val="auto"/>
                <w:sz w:val="21"/>
                <w:highlight w:val="none"/>
              </w:rPr>
              <mc:AlternateContent>
                <mc:Choice Requires="wps">
                  <w:drawing>
                    <wp:anchor distT="0" distB="0" distL="114300" distR="114300" simplePos="0" relativeHeight="251668480" behindDoc="0" locked="0" layoutInCell="1" allowOverlap="1">
                      <wp:simplePos x="0" y="0"/>
                      <wp:positionH relativeFrom="column">
                        <wp:posOffset>2275205</wp:posOffset>
                      </wp:positionH>
                      <wp:positionV relativeFrom="paragraph">
                        <wp:posOffset>2491105</wp:posOffset>
                      </wp:positionV>
                      <wp:extent cx="889000" cy="285750"/>
                      <wp:effectExtent l="6350" t="685165" r="19050" b="19685"/>
                      <wp:wrapNone/>
                      <wp:docPr id="27" name="矩形标注 27"/>
                      <wp:cNvGraphicFramePr/>
                      <a:graphic xmlns:a="http://schemas.openxmlformats.org/drawingml/2006/main">
                        <a:graphicData uri="http://schemas.microsoft.com/office/word/2010/wordprocessingShape">
                          <wps:wsp>
                            <wps:cNvSpPr/>
                            <wps:spPr>
                              <a:xfrm>
                                <a:off x="4602480" y="5925820"/>
                                <a:ext cx="889000" cy="285750"/>
                              </a:xfrm>
                              <a:prstGeom prst="wedgeRectCallout">
                                <a:avLst>
                                  <a:gd name="adj1" fmla="val -4785"/>
                                  <a:gd name="adj2" fmla="val -276444"/>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25E474">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79.15pt;margin-top:196.15pt;height:22.5pt;width:70pt;z-index:251668480;v-text-anchor:middle;mso-width-relative:page;mso-height-relative:page;" filled="f" stroked="t" coordsize="21600,21600" o:gfxdata="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D5lMX82QAAAAsBAAAPAAAAAAAAAAEAIAAAACIA&#10;AABkcnMvZG93bnJldi54bWxQSwECFAAUAAAACACHTuJARBeimLMCAABIBQAADgAAAAAAAAABACAA&#10;AAAoAQAAZHJzL2Uyb0RvYy54bWxQSwUGAAAAAAYABgBZAQAATQYAAAAA&#10;" adj="9766,-48912">
                      <v:fill on="f" focussize="0,0"/>
                      <v:stroke weight="1pt" color="#000000 [3213]" miterlimit="8" joinstyle="miter"/>
                      <v:imagedata o:title=""/>
                      <o:lock v:ext="edit" aspectratio="f"/>
                      <v:textbox>
                        <w:txbxContent>
                          <w:p w14:paraId="5925E474">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项目所在地</w:t>
                            </w:r>
                          </w:p>
                        </w:txbxContent>
                      </v:textbox>
                    </v:shape>
                  </w:pict>
                </mc:Fallback>
              </mc:AlternateContent>
            </w:r>
            <w:r>
              <w:rPr>
                <w:rFonts w:hint="default"/>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2661920</wp:posOffset>
                      </wp:positionH>
                      <wp:positionV relativeFrom="paragraph">
                        <wp:posOffset>1787525</wp:posOffset>
                      </wp:positionV>
                      <wp:extent cx="75565" cy="75565"/>
                      <wp:effectExtent l="6350" t="6350" r="13335" b="13335"/>
                      <wp:wrapNone/>
                      <wp:docPr id="25" name="椭圆 25"/>
                      <wp:cNvGraphicFramePr/>
                      <a:graphic xmlns:a="http://schemas.openxmlformats.org/drawingml/2006/main">
                        <a:graphicData uri="http://schemas.microsoft.com/office/word/2010/wordprocessingShape">
                          <wps:wsp>
                            <wps:cNvSpPr/>
                            <wps:spPr>
                              <a:xfrm>
                                <a:off x="5005070" y="5245735"/>
                                <a:ext cx="75565" cy="75565"/>
                              </a:xfrm>
                              <a:prstGeom prst="ellips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09.6pt;margin-top:140.75pt;height:5.95pt;width:5.95pt;z-index:251667456;v-text-anchor:middle;mso-width-relative:page;mso-height-relative:page;" fillcolor="#FFFF00" filled="t" stroked="t" coordsize="21600,21600" o:gfxdata="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VIcnbbAAAACwEAAA8AAAAAAAAAAQAgAAAA&#10;IgAAAGRycy9kb3ducmV2LnhtbFBLAQIUABQAAAAIAIdO4kDd0SZFegIAAAIFAAAOAAAAAAAAAAEA&#10;IAAAACoBAABkcnMvZTJvRG9jLnhtbFBLBQYAAAAABgAGAFkBAAAWBgAAAAA=&#10;">
                      <v:fill on="t" focussize="0,0"/>
                      <v:stroke weight="1pt" color="#000000 [3213]" miterlimit="8" joinstyle="miter"/>
                      <v:imagedata o:title=""/>
                      <o:lock v:ext="edit" aspectratio="f"/>
                    </v:shape>
                  </w:pict>
                </mc:Fallback>
              </mc:AlternateContent>
            </w:r>
            <w:r>
              <w:rPr>
                <w:rFonts w:hint="eastAsia" w:ascii="Times New Roman" w:hAnsi="Times New Roman" w:eastAsia="宋体" w:cs="Times New Roman"/>
                <w:color w:val="auto"/>
                <w:highlight w:val="none"/>
                <w:lang w:eastAsia="zh-CN"/>
              </w:rPr>
              <w:drawing>
                <wp:inline distT="0" distB="0" distL="114300" distR="114300">
                  <wp:extent cx="4664710" cy="3298825"/>
                  <wp:effectExtent l="0" t="0" r="2540" b="15875"/>
                  <wp:docPr id="34" name="图片 34" descr="W02024080940446288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W020240809404462886240"/>
                          <pic:cNvPicPr>
                            <a:picLocks noChangeAspect="1"/>
                          </pic:cNvPicPr>
                        </pic:nvPicPr>
                        <pic:blipFill>
                          <a:blip r:embed="rId21"/>
                          <a:stretch>
                            <a:fillRect/>
                          </a:stretch>
                        </pic:blipFill>
                        <pic:spPr>
                          <a:xfrm>
                            <a:off x="0" y="0"/>
                            <a:ext cx="4664710" cy="3298825"/>
                          </a:xfrm>
                          <a:prstGeom prst="rect">
                            <a:avLst/>
                          </a:prstGeom>
                        </pic:spPr>
                      </pic:pic>
                    </a:graphicData>
                  </a:graphic>
                </wp:inline>
              </w:drawing>
            </w:r>
          </w:p>
          <w:p w14:paraId="7ABB0DFD">
            <w:pPr>
              <w:keepNext w:val="0"/>
              <w:keepLines w:val="0"/>
              <w:widowControl/>
              <w:suppressLineNumbers w:val="0"/>
              <w:spacing w:before="0" w:beforeAutospacing="0" w:after="0" w:afterAutospacing="0"/>
              <w:ind w:left="0" w:right="0"/>
              <w:jc w:val="center"/>
              <w:rPr>
                <w:rFonts w:hint="default"/>
                <w:color w:val="auto"/>
                <w:highlight w:val="none"/>
              </w:rPr>
            </w:pPr>
            <w:r>
              <w:rPr>
                <w:rFonts w:hint="eastAsia" w:ascii="宋体" w:hAnsi="宋体" w:eastAsia="宋体" w:cs="宋体"/>
                <w:b/>
                <w:bCs/>
                <w:color w:val="auto"/>
                <w:kern w:val="0"/>
                <w:sz w:val="24"/>
                <w:szCs w:val="24"/>
                <w:highlight w:val="none"/>
                <w:lang w:val="en-US" w:eastAsia="zh-CN" w:bidi="ar"/>
              </w:rPr>
              <w:t>图</w:t>
            </w:r>
            <w:r>
              <w:rPr>
                <w:rFonts w:hint="default" w:ascii="Times New Roman" w:hAnsi="Times New Roman" w:eastAsia="宋体" w:cs="Times New Roman"/>
                <w:b/>
                <w:bCs/>
                <w:color w:val="auto"/>
                <w:kern w:val="0"/>
                <w:sz w:val="24"/>
                <w:szCs w:val="24"/>
                <w:highlight w:val="none"/>
                <w:lang w:val="en-US" w:eastAsia="zh-CN" w:bidi="ar"/>
              </w:rPr>
              <w:t>1-1</w:t>
            </w:r>
            <w:r>
              <w:rPr>
                <w:rFonts w:hint="eastAsia" w:ascii="Times New Roman" w:hAnsi="Times New Roman" w:eastAsia="宋体" w:cs="Times New Roman"/>
                <w:b/>
                <w:bCs/>
                <w:color w:val="auto"/>
                <w:kern w:val="0"/>
                <w:sz w:val="24"/>
                <w:szCs w:val="24"/>
                <w:highlight w:val="none"/>
                <w:lang w:val="en-US" w:eastAsia="zh-CN" w:bidi="ar"/>
              </w:rPr>
              <w:t xml:space="preserve">   </w:t>
            </w:r>
            <w:r>
              <w:rPr>
                <w:rFonts w:hint="default" w:ascii="Times New Roman" w:hAnsi="Times New Roman" w:eastAsia="宋体" w:cs="Times New Roman"/>
                <w:b/>
                <w:bCs/>
                <w:color w:val="auto"/>
                <w:kern w:val="0"/>
                <w:sz w:val="24"/>
                <w:szCs w:val="24"/>
                <w:highlight w:val="none"/>
                <w:lang w:val="en-US" w:eastAsia="zh-CN" w:bidi="ar"/>
              </w:rPr>
              <w:t xml:space="preserve"> </w:t>
            </w:r>
            <w:r>
              <w:rPr>
                <w:rFonts w:hint="default" w:ascii="Times New Roman" w:hAnsi="Times New Roman" w:cs="Times New Roman"/>
                <w:b/>
                <w:bCs/>
                <w:color w:val="auto"/>
                <w:kern w:val="0"/>
                <w:sz w:val="24"/>
                <w:szCs w:val="24"/>
                <w:highlight w:val="none"/>
                <w:lang w:bidi="ar"/>
              </w:rPr>
              <w:t>本项目与</w:t>
            </w:r>
            <w:r>
              <w:rPr>
                <w:rFonts w:hint="eastAsia" w:ascii="宋体" w:hAnsi="宋体" w:eastAsia="宋体" w:cs="宋体"/>
                <w:b/>
                <w:bCs/>
                <w:color w:val="auto"/>
                <w:kern w:val="0"/>
                <w:sz w:val="24"/>
                <w:szCs w:val="24"/>
                <w:highlight w:val="none"/>
                <w:lang w:val="en-US" w:eastAsia="zh-CN" w:bidi="ar"/>
              </w:rPr>
              <w:t>鄂尔多斯市环境管控单元</w:t>
            </w:r>
            <w:r>
              <w:rPr>
                <w:rFonts w:hint="default" w:ascii="Times New Roman" w:hAnsi="Times New Roman" w:cs="Times New Roman"/>
                <w:b/>
                <w:bCs/>
                <w:color w:val="auto"/>
                <w:kern w:val="0"/>
                <w:sz w:val="24"/>
                <w:szCs w:val="24"/>
                <w:highlight w:val="none"/>
                <w:lang w:bidi="ar"/>
              </w:rPr>
              <w:t>相对位置图</w:t>
            </w:r>
          </w:p>
          <w:p w14:paraId="29B7E847">
            <w:pPr>
              <w:pStyle w:val="3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highlight w:val="none"/>
              </w:rPr>
            </w:pPr>
            <w:r>
              <w:rPr>
                <w:rFonts w:hint="default"/>
                <w:color w:val="auto"/>
                <w:sz w:val="21"/>
                <w:highlight w:val="none"/>
              </w:rPr>
              <mc:AlternateContent>
                <mc:Choice Requires="wps">
                  <w:drawing>
                    <wp:anchor distT="0" distB="0" distL="114300" distR="114300" simplePos="0" relativeHeight="251672576" behindDoc="0" locked="0" layoutInCell="1" allowOverlap="1">
                      <wp:simplePos x="0" y="0"/>
                      <wp:positionH relativeFrom="column">
                        <wp:posOffset>2697480</wp:posOffset>
                      </wp:positionH>
                      <wp:positionV relativeFrom="paragraph">
                        <wp:posOffset>2377440</wp:posOffset>
                      </wp:positionV>
                      <wp:extent cx="889000" cy="285750"/>
                      <wp:effectExtent l="6350" t="685165" r="19050" b="19685"/>
                      <wp:wrapNone/>
                      <wp:docPr id="39" name="矩形标注 39"/>
                      <wp:cNvGraphicFramePr/>
                      <a:graphic xmlns:a="http://schemas.openxmlformats.org/drawingml/2006/main">
                        <a:graphicData uri="http://schemas.microsoft.com/office/word/2010/wordprocessingShape">
                          <wps:wsp>
                            <wps:cNvSpPr/>
                            <wps:spPr>
                              <a:xfrm>
                                <a:off x="0" y="0"/>
                                <a:ext cx="889000" cy="285750"/>
                              </a:xfrm>
                              <a:prstGeom prst="wedgeRectCallout">
                                <a:avLst>
                                  <a:gd name="adj1" fmla="val -4785"/>
                                  <a:gd name="adj2" fmla="val -276444"/>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821FDF3">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2.4pt;margin-top:187.2pt;height:22.5pt;width:70pt;z-index:251672576;v-text-anchor:middle;mso-width-relative:page;mso-height-relative:page;" filled="f" stroked="t" coordsize="21600,21600" o:gfxdata="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7gT9FdkAAAALAQAADwAAAAAAAAABACAAAAAiAAAAZHJzL2Rvd25yZXYu&#10;eG1sUEsBAhQAFAAAAAgAh07iQDAO+EilAgAAPAUAAA4AAAAAAAAAAQAgAAAAKAEAAGRycy9lMm9E&#10;b2MueG1sUEsFBgAAAAAGAAYAWQEAAD8GAAAAAA==&#10;" adj="9766,-48912">
                      <v:fill on="f" focussize="0,0"/>
                      <v:stroke weight="1pt" color="#000000 [3213]" miterlimit="8" joinstyle="miter"/>
                      <v:imagedata o:title=""/>
                      <o:lock v:ext="edit" aspectratio="f"/>
                      <v:textbox>
                        <w:txbxContent>
                          <w:p w14:paraId="4821FDF3">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项目所在地</w:t>
                            </w:r>
                          </w:p>
                        </w:txbxContent>
                      </v:textbox>
                    </v:shape>
                  </w:pict>
                </mc:Fallback>
              </mc:AlternateContent>
            </w:r>
            <w:r>
              <w:rPr>
                <w:rFonts w:hint="default"/>
                <w:color w:val="auto"/>
                <w:sz w:val="21"/>
                <w:highlight w:val="none"/>
              </w:rPr>
              <mc:AlternateContent>
                <mc:Choice Requires="wps">
                  <w:drawing>
                    <wp:anchor distT="0" distB="0" distL="114300" distR="114300" simplePos="0" relativeHeight="251671552" behindDoc="0" locked="0" layoutInCell="1" allowOverlap="1">
                      <wp:simplePos x="0" y="0"/>
                      <wp:positionH relativeFrom="column">
                        <wp:posOffset>3068320</wp:posOffset>
                      </wp:positionH>
                      <wp:positionV relativeFrom="paragraph">
                        <wp:posOffset>1660525</wp:posOffset>
                      </wp:positionV>
                      <wp:extent cx="75565" cy="75565"/>
                      <wp:effectExtent l="6350" t="6350" r="13335" b="13335"/>
                      <wp:wrapNone/>
                      <wp:docPr id="38" name="椭圆 38"/>
                      <wp:cNvGraphicFramePr/>
                      <a:graphic xmlns:a="http://schemas.openxmlformats.org/drawingml/2006/main">
                        <a:graphicData uri="http://schemas.microsoft.com/office/word/2010/wordprocessingShape">
                          <wps:wsp>
                            <wps:cNvSpPr/>
                            <wps:spPr>
                              <a:xfrm>
                                <a:off x="0" y="0"/>
                                <a:ext cx="75565" cy="75565"/>
                              </a:xfrm>
                              <a:prstGeom prst="ellipse">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1.6pt;margin-top:130.75pt;height:5.95pt;width:5.95pt;z-index:251671552;v-text-anchor:middle;mso-width-relative:page;mso-height-relative:page;" fillcolor="#FFFF00" filled="t" stroked="t" coordsize="21600,21600" o:gfxdata="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0W2/z3AAAAAsBAAAPAAAAAAAAAAEAIAAAACIAAABkcnMvZG93&#10;bnJldi54bWxQSwECFAAUAAAACACHTuJA8NKWr24CAAD2BAAADgAAAAAAAAABACAAAAArAQAAZHJz&#10;L2Uyb0RvYy54bWxQSwUGAAAAAAYABgBZAQAACwYAAAAA&#10;">
                      <v:fill on="t" focussize="0,0"/>
                      <v:stroke weight="1pt" color="#000000 [3213]" miterlimit="8" joinstyle="miter"/>
                      <v:imagedata o:title=""/>
                      <o:lock v:ext="edit" aspectratio="f"/>
                    </v:shape>
                  </w:pict>
                </mc:Fallback>
              </mc:AlternateContent>
            </w:r>
            <w:r>
              <w:rPr>
                <w:rFonts w:hint="default"/>
                <w:color w:val="auto"/>
                <w:highlight w:val="none"/>
              </w:rPr>
              <w:drawing>
                <wp:inline distT="0" distB="0" distL="114300" distR="114300">
                  <wp:extent cx="4554220" cy="3383280"/>
                  <wp:effectExtent l="0" t="0" r="17780" b="762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22"/>
                          <a:stretch>
                            <a:fillRect/>
                          </a:stretch>
                        </pic:blipFill>
                        <pic:spPr>
                          <a:xfrm>
                            <a:off x="0" y="0"/>
                            <a:ext cx="4554220" cy="3383280"/>
                          </a:xfrm>
                          <a:prstGeom prst="rect">
                            <a:avLst/>
                          </a:prstGeom>
                          <a:noFill/>
                          <a:ln>
                            <a:noFill/>
                          </a:ln>
                        </pic:spPr>
                      </pic:pic>
                    </a:graphicData>
                  </a:graphic>
                </wp:inline>
              </w:drawing>
            </w:r>
          </w:p>
          <w:p w14:paraId="5B022C36">
            <w:pPr>
              <w:pStyle w:val="38"/>
              <w:keepNext w:val="0"/>
              <w:keepLines w:val="0"/>
              <w:suppressLineNumbers w:val="0"/>
              <w:spacing w:before="0" w:beforeAutospacing="0" w:after="0" w:afterAutospacing="0"/>
              <w:ind w:left="0" w:leftChars="0" w:right="0" w:firstLine="0" w:firstLineChars="0"/>
              <w:jc w:val="center"/>
              <w:rPr>
                <w:rFonts w:hint="eastAsia" w:ascii="Times New Roman" w:hAnsi="Times New Roman" w:eastAsia="宋体" w:cs="Times New Roman"/>
                <w:color w:val="auto"/>
                <w:highlight w:val="none"/>
                <w:lang w:eastAsia="zh-CN"/>
              </w:rPr>
            </w:pPr>
            <w:r>
              <w:rPr>
                <w:rFonts w:hint="eastAsia" w:ascii="宋体" w:hAnsi="宋体" w:eastAsia="宋体" w:cs="宋体"/>
                <w:b/>
                <w:bCs/>
                <w:color w:val="auto"/>
                <w:kern w:val="0"/>
                <w:sz w:val="24"/>
                <w:szCs w:val="24"/>
                <w:highlight w:val="none"/>
                <w:lang w:val="en-US" w:eastAsia="zh-CN" w:bidi="ar"/>
              </w:rPr>
              <w:t>图</w:t>
            </w:r>
            <w:r>
              <w:rPr>
                <w:rFonts w:hint="default" w:ascii="Times New Roman" w:hAnsi="Times New Roman" w:eastAsia="宋体" w:cs="Times New Roman"/>
                <w:b/>
                <w:bCs/>
                <w:color w:val="auto"/>
                <w:kern w:val="0"/>
                <w:sz w:val="24"/>
                <w:szCs w:val="24"/>
                <w:highlight w:val="none"/>
                <w:lang w:val="en-US" w:eastAsia="zh-CN" w:bidi="ar"/>
              </w:rPr>
              <w:t>1-</w:t>
            </w:r>
            <w:r>
              <w:rPr>
                <w:rFonts w:hint="eastAsia" w:ascii="Times New Roman" w:hAnsi="Times New Roman" w:cs="Times New Roman"/>
                <w:b/>
                <w:bCs/>
                <w:color w:val="auto"/>
                <w:kern w:val="0"/>
                <w:sz w:val="24"/>
                <w:szCs w:val="24"/>
                <w:highlight w:val="none"/>
                <w:lang w:val="en-US" w:eastAsia="zh-CN" w:bidi="ar"/>
              </w:rPr>
              <w:t>2</w:t>
            </w:r>
            <w:r>
              <w:rPr>
                <w:rFonts w:hint="default" w:ascii="Times New Roman" w:hAnsi="Times New Roman" w:cs="Times New Roman"/>
                <w:b/>
                <w:bCs/>
                <w:color w:val="auto"/>
                <w:kern w:val="0"/>
                <w:sz w:val="24"/>
                <w:szCs w:val="24"/>
                <w:highlight w:val="none"/>
                <w:lang w:bidi="ar"/>
              </w:rPr>
              <w:t xml:space="preserve">  本项目与</w:t>
            </w:r>
            <w:r>
              <w:rPr>
                <w:rFonts w:hint="eastAsia" w:ascii="Times New Roman" w:hAnsi="Times New Roman" w:cs="Times New Roman"/>
                <w:b/>
                <w:bCs/>
                <w:color w:val="auto"/>
                <w:kern w:val="0"/>
                <w:sz w:val="24"/>
                <w:szCs w:val="24"/>
                <w:highlight w:val="none"/>
                <w:lang w:bidi="ar"/>
              </w:rPr>
              <w:t>鄂尔多斯市</w:t>
            </w:r>
            <w:r>
              <w:rPr>
                <w:rFonts w:hint="eastAsia" w:ascii="Times New Roman" w:hAnsi="Times New Roman" w:cs="Times New Roman"/>
                <w:b/>
                <w:bCs/>
                <w:color w:val="auto"/>
                <w:kern w:val="0"/>
                <w:sz w:val="24"/>
                <w:szCs w:val="24"/>
                <w:highlight w:val="none"/>
                <w:lang w:val="en-US" w:eastAsia="zh-CN" w:bidi="ar"/>
              </w:rPr>
              <w:t>生态保护红线</w:t>
            </w:r>
            <w:r>
              <w:rPr>
                <w:rFonts w:hint="default" w:ascii="Times New Roman" w:hAnsi="Times New Roman" w:cs="Times New Roman"/>
                <w:b/>
                <w:bCs/>
                <w:color w:val="auto"/>
                <w:kern w:val="0"/>
                <w:sz w:val="24"/>
                <w:szCs w:val="24"/>
                <w:highlight w:val="none"/>
                <w:lang w:bidi="ar"/>
              </w:rPr>
              <w:t>相对位置图</w:t>
            </w:r>
          </w:p>
          <w:p w14:paraId="5B1107A2">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tc>
      </w:tr>
    </w:tbl>
    <w:p w14:paraId="7C4DFEE7">
      <w:pPr>
        <w:pStyle w:val="2"/>
        <w:ind w:left="0" w:leftChars="0" w:firstLine="0" w:firstLineChars="0"/>
        <w:rPr>
          <w:rFonts w:hint="default" w:ascii="Times New Roman" w:hAnsi="Times New Roman" w:eastAsia="宋体" w:cs="Times New Roman"/>
          <w:color w:val="auto"/>
          <w:highlight w:val="none"/>
        </w:rPr>
        <w:sectPr>
          <w:headerReference r:id="rId9" w:type="default"/>
          <w:footerReference r:id="rId10"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9677660">
      <w:pPr>
        <w:tabs>
          <w:tab w:val="left" w:pos="0"/>
        </w:tabs>
        <w:snapToGrid w:val="0"/>
        <w:jc w:val="center"/>
        <w:outlineLvl w:val="0"/>
        <w:rPr>
          <w:rFonts w:hint="default" w:ascii="Times New Roman" w:hAnsi="Times New Roman" w:eastAsia="宋体" w:cs="Times New Roman"/>
          <w:b/>
          <w:color w:val="auto"/>
          <w:sz w:val="32"/>
          <w:highlight w:val="none"/>
          <w:lang w:eastAsia="zh-CN"/>
        </w:rPr>
      </w:pPr>
      <w:r>
        <w:rPr>
          <w:rFonts w:hint="default" w:ascii="Times New Roman" w:hAnsi="Times New Roman" w:eastAsia="宋体" w:cs="Times New Roman"/>
          <w:b/>
          <w:color w:val="auto"/>
          <w:sz w:val="32"/>
          <w:highlight w:val="none"/>
          <w:lang w:val="en-US" w:eastAsia="zh-CN"/>
        </w:rPr>
        <w:t>二、</w:t>
      </w:r>
      <w:r>
        <w:rPr>
          <w:rFonts w:hint="default" w:ascii="Times New Roman" w:hAnsi="Times New Roman" w:eastAsia="宋体" w:cs="Times New Roman"/>
          <w:b/>
          <w:color w:val="auto"/>
          <w:sz w:val="32"/>
          <w:highlight w:val="none"/>
          <w:lang w:eastAsia="zh-CN"/>
        </w:rPr>
        <w:t>建设项目工程分析</w:t>
      </w:r>
    </w:p>
    <w:tbl>
      <w:tblPr>
        <w:tblStyle w:val="30"/>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8634"/>
      </w:tblGrid>
      <w:tr w14:paraId="62BDE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457" w:type="pct"/>
            <w:noWrap w:val="0"/>
            <w:vAlign w:val="center"/>
          </w:tcPr>
          <w:p w14:paraId="465AE160">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建设内容</w:t>
            </w:r>
          </w:p>
        </w:tc>
        <w:tc>
          <w:tcPr>
            <w:tcW w:w="4542" w:type="pct"/>
            <w:noWrap w:val="0"/>
            <w:vAlign w:val="top"/>
          </w:tcPr>
          <w:p w14:paraId="6D7F03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highlight w:val="none"/>
                <w:lang w:val="zh-CN"/>
              </w:rPr>
            </w:pPr>
            <w:r>
              <w:rPr>
                <w:rFonts w:hint="eastAsia" w:cs="Times New Roman"/>
                <w:b/>
                <w:color w:val="auto"/>
                <w:sz w:val="24"/>
                <w:highlight w:val="none"/>
                <w:lang w:val="en-US" w:eastAsia="zh-CN"/>
              </w:rPr>
              <w:t>1.</w:t>
            </w:r>
            <w:r>
              <w:rPr>
                <w:rFonts w:hint="default" w:ascii="Times New Roman" w:hAnsi="Times New Roman" w:eastAsia="宋体" w:cs="Times New Roman"/>
                <w:b/>
                <w:color w:val="auto"/>
                <w:sz w:val="24"/>
                <w:highlight w:val="none"/>
                <w:lang w:val="zh-CN"/>
              </w:rPr>
              <w:t>项目</w:t>
            </w:r>
            <w:r>
              <w:rPr>
                <w:rFonts w:hint="default" w:ascii="Times New Roman" w:hAnsi="Times New Roman" w:eastAsia="宋体" w:cs="Times New Roman"/>
                <w:b/>
                <w:color w:val="auto"/>
                <w:sz w:val="24"/>
                <w:highlight w:val="none"/>
              </w:rPr>
              <w:t>由来</w:t>
            </w:r>
          </w:p>
          <w:p w14:paraId="1066DB7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中国神华能源股份有限公司神东煤炭分公司布尔台煤矿（以下简称“布尔台煤矿”）位于鄂尔多斯市伊金霍洛旗乌兰木伦镇境内，井田面积为192.8559km2，探明可采储量1854.48Mt。2005年11月9日，原国家环境保护总局以《关于中国神华能源股份有限公司布尔台井田开发项目环境影响报告书的批复》（环审[2006]267号）批准了该项目环境影响报告书，矿井设计生产能力20.0Mt/a，配套选煤厂设计能力30.0Mt/a。2011年3月1日，原环境保护部以《关于中国神华能源股份有限公司神东煤炭分公司布尔台矿井及选煤厂项目（原中国神华能源股份有限公司布尔台井田开发项目）竣工环境保护验收意见的函》（环验[2011]60号）对该项目进行了竣工环保验收。根据项目验收意见，布尔台煤矿配套建设有排矸场1座，占地面积为64.4hm2，洗煤厂洗选矸石排至排矸场处置，该排矸场于2014年6月完成封场并进行了植被复垦，共消纳矸石量为750万t。</w:t>
            </w:r>
          </w:p>
          <w:p w14:paraId="73C137C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2014年，布尔台煤矿新建排矸场1处，占地面积10hm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2014年3月10日，原鄂尔多斯市环境保护局以《关于神华神东煤炭集团有限责任公司布尔台煤矿新建排矸场项目环境影响报告表的批复》（鄂环评字[2014]32号）对该排矸场进行了批复；2017年9月30日，原鄂尔多斯市环境保护局以《关于神华神东煤炭集团有限责任公司布尔台煤矿新建排矸场项目竣工环境保护验收意见的函》（鄂环监字[2017]202号）对排矸场工程进行竣工环保验收。该排矸场于2017年完成封场并进行了植被复垦，共消纳矸石量为433万t。</w:t>
            </w:r>
          </w:p>
          <w:p w14:paraId="2311502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2016年，布尔台煤矿新建排矸场1处，占地面积50hm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2016年10月21日，原伊金霍洛旗环境保护局以《关于神华神东煤炭集团布尔台煤矿新建排矸场工程环境影响报告书的批复》（伊环审字[2016]73号）对该排矸场进行了批复，设计矸石消纳量为1555.56万t。2019年1月22日，原伊金霍洛旗环境保护局以《关于神华神东煤炭集团布尔台煤矿新建排矸场工程竣工环境保护验收意见的函》（伊环验字[2019]2号）对排矸场工程进行竣工环保验收。根据现场踏勘及布尔台煤矿统计数据，布尔台选煤厂年排矸量为510万t，</w:t>
            </w:r>
          </w:p>
          <w:p w14:paraId="6451E1B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截至2023年9月底，该排矸场剩余库容量约为600万t，可满足布尔台选煤厂1.2年排矸需求。</w:t>
            </w:r>
          </w:p>
          <w:p w14:paraId="37B2BB2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2021年8月，布尔台煤矿编制完成了《中国神华能源股份有限公司神东煤炭分公司布尔台矿井及选煤厂项目环境影响后评价报告书》。2021年10月29日，生态环境部环境影响评价与排放管理司以《关于中国神华能源股份有限公司神东煤炭分公司布尔台矿井及选煤厂项目环境影响后评价相关事宜的复函》（环评函〔2021〕113号）进行</w:t>
            </w:r>
            <w:r>
              <w:rPr>
                <w:rFonts w:hint="default" w:ascii="Times New Roman" w:hAnsi="Times New Roman" w:eastAsia="宋体" w:cs="Times New Roman"/>
                <w:color w:val="auto"/>
                <w:sz w:val="24"/>
                <w:szCs w:val="24"/>
                <w:lang w:val="en-US" w:eastAsia="zh-CN"/>
              </w:rPr>
              <w:t>复</w:t>
            </w:r>
            <w:r>
              <w:rPr>
                <w:rFonts w:hint="default" w:ascii="Times New Roman" w:hAnsi="Times New Roman" w:eastAsia="宋体" w:cs="Times New Roman"/>
                <w:color w:val="auto"/>
                <w:sz w:val="24"/>
                <w:szCs w:val="24"/>
              </w:rPr>
              <w:t>函，复函要求，“不得新设排矸场，现有排矸场服务期满后，矸石应填充井下”。</w:t>
            </w:r>
          </w:p>
          <w:p w14:paraId="483E8C3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eastAsia"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年</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月</w:t>
            </w:r>
            <w:r>
              <w:rPr>
                <w:rFonts w:hint="eastAsia"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rPr>
              <w:t>日</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rPr>
              <w:t>鄂尔多斯市</w:t>
            </w:r>
            <w:r>
              <w:rPr>
                <w:rFonts w:hint="default" w:ascii="Times New Roman" w:hAnsi="Times New Roman" w:cs="Times New Roman"/>
                <w:color w:val="auto"/>
                <w:sz w:val="24"/>
                <w:szCs w:val="24"/>
                <w:lang w:eastAsia="zh-CN"/>
              </w:rPr>
              <w:t>生态环境</w:t>
            </w:r>
            <w:r>
              <w:rPr>
                <w:rFonts w:hint="default" w:ascii="Times New Roman" w:hAnsi="Times New Roman" w:cs="Times New Roman"/>
                <w:color w:val="auto"/>
                <w:sz w:val="24"/>
                <w:szCs w:val="24"/>
              </w:rPr>
              <w:t>局</w:t>
            </w:r>
            <w:r>
              <w:rPr>
                <w:rFonts w:hint="default" w:ascii="Times New Roman" w:hAnsi="Times New Roman" w:eastAsia="宋体" w:cs="Times New Roman"/>
                <w:color w:val="auto"/>
                <w:sz w:val="24"/>
                <w:szCs w:val="24"/>
              </w:rPr>
              <w:t>以《</w:t>
            </w:r>
            <w:r>
              <w:rPr>
                <w:rFonts w:hint="default" w:ascii="Times New Roman" w:hAnsi="Times New Roman" w:eastAsia="宋体" w:cs="Times New Roman"/>
                <w:color w:val="auto"/>
                <w:sz w:val="24"/>
                <w:szCs w:val="24"/>
                <w:lang w:eastAsia="zh-CN"/>
              </w:rPr>
              <w:t>关于布尔台煤矿煤矸石采空区注浆充填技术研究项目环境影响报告表的批复</w:t>
            </w:r>
            <w:r>
              <w:rPr>
                <w:rFonts w:hint="default" w:ascii="Times New Roman" w:hAnsi="Times New Roman" w:eastAsia="宋体" w:cs="Times New Roman"/>
                <w:color w:val="auto"/>
                <w:sz w:val="24"/>
                <w:szCs w:val="24"/>
              </w:rPr>
              <w:t>》（鄂环审字[2024]12号）对</w:t>
            </w:r>
            <w:r>
              <w:rPr>
                <w:rFonts w:hint="default" w:ascii="Times New Roman" w:hAnsi="Times New Roman" w:eastAsia="宋体" w:cs="Times New Roman"/>
                <w:color w:val="auto"/>
                <w:sz w:val="24"/>
                <w:szCs w:val="24"/>
                <w:lang w:eastAsia="zh-CN"/>
              </w:rPr>
              <w:t>注浆充填区</w:t>
            </w:r>
            <w:r>
              <w:rPr>
                <w:rFonts w:hint="default" w:ascii="Times New Roman" w:hAnsi="Times New Roman" w:eastAsia="宋体" w:cs="Times New Roman"/>
                <w:color w:val="auto"/>
                <w:sz w:val="24"/>
                <w:szCs w:val="24"/>
              </w:rPr>
              <w:t>进行了批复</w:t>
            </w:r>
            <w:r>
              <w:rPr>
                <w:rFonts w:hint="eastAsia" w:ascii="Times New Roman" w:hAnsi="Times New Roman" w:eastAsia="宋体" w:cs="Times New Roman"/>
                <w:color w:val="auto"/>
                <w:sz w:val="24"/>
                <w:szCs w:val="24"/>
                <w:lang w:eastAsia="zh-CN"/>
              </w:rPr>
              <w:t>。</w:t>
            </w:r>
          </w:p>
          <w:p w14:paraId="513AD4B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w:t>
            </w: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日，鄂尔多斯市</w:t>
            </w:r>
            <w:r>
              <w:rPr>
                <w:rFonts w:hint="default" w:ascii="Times New Roman" w:hAnsi="Times New Roman" w:eastAsia="宋体" w:cs="Times New Roman"/>
                <w:color w:val="auto"/>
                <w:sz w:val="24"/>
                <w:szCs w:val="24"/>
                <w:lang w:eastAsia="zh-CN"/>
              </w:rPr>
              <w:t>生态环境</w:t>
            </w:r>
            <w:r>
              <w:rPr>
                <w:rFonts w:hint="default" w:ascii="Times New Roman" w:hAnsi="Times New Roman" w:eastAsia="宋体" w:cs="Times New Roman"/>
                <w:color w:val="auto"/>
                <w:sz w:val="24"/>
                <w:szCs w:val="24"/>
              </w:rPr>
              <w:t>局以《</w:t>
            </w:r>
            <w:r>
              <w:rPr>
                <w:rFonts w:hint="default" w:ascii="Times New Roman" w:hAnsi="Times New Roman" w:eastAsia="宋体" w:cs="Times New Roman"/>
                <w:color w:val="auto"/>
                <w:sz w:val="24"/>
                <w:szCs w:val="24"/>
                <w:lang w:eastAsia="zh-CN"/>
              </w:rPr>
              <w:t>关于布尔台煤矿区域危险废物暂存库建设项目环境影响报告表的批复</w:t>
            </w:r>
            <w:r>
              <w:rPr>
                <w:rFonts w:hint="default" w:ascii="Times New Roman" w:hAnsi="Times New Roman" w:eastAsia="宋体" w:cs="Times New Roman"/>
                <w:color w:val="auto"/>
                <w:sz w:val="24"/>
                <w:szCs w:val="24"/>
              </w:rPr>
              <w:t>》（鄂环审字[202</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74</w:t>
            </w:r>
            <w:r>
              <w:rPr>
                <w:rFonts w:hint="default" w:ascii="Times New Roman" w:hAnsi="Times New Roman" w:eastAsia="宋体" w:cs="Times New Roman"/>
                <w:color w:val="auto"/>
                <w:sz w:val="24"/>
                <w:szCs w:val="24"/>
              </w:rPr>
              <w:t>号）对</w:t>
            </w:r>
            <w:r>
              <w:rPr>
                <w:rFonts w:hint="eastAsia" w:ascii="Times New Roman" w:hAnsi="Times New Roman" w:eastAsia="宋体" w:cs="Times New Roman"/>
                <w:color w:val="auto"/>
                <w:sz w:val="24"/>
                <w:szCs w:val="24"/>
                <w:lang w:val="en-US" w:eastAsia="zh-CN"/>
              </w:rPr>
              <w:t>该危险废物暂存间</w:t>
            </w:r>
            <w:r>
              <w:rPr>
                <w:rFonts w:hint="default" w:ascii="Times New Roman" w:hAnsi="Times New Roman" w:eastAsia="宋体" w:cs="Times New Roman"/>
                <w:color w:val="auto"/>
                <w:sz w:val="24"/>
                <w:szCs w:val="24"/>
              </w:rPr>
              <w:t>进行了批复</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lang w:val="en-US" w:eastAsia="zh-CN"/>
              </w:rPr>
              <w:t>22</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日，中国神华能源股份有限公司神东煤炭分公司对</w:t>
            </w:r>
            <w:r>
              <w:rPr>
                <w:rFonts w:hint="eastAsia" w:ascii="Times New Roman" w:hAnsi="Times New Roman" w:eastAsia="宋体" w:cs="Times New Roman"/>
                <w:color w:val="auto"/>
                <w:sz w:val="24"/>
                <w:szCs w:val="24"/>
                <w:lang w:val="en-US" w:eastAsia="zh-CN"/>
              </w:rPr>
              <w:t>该危险废物暂存间</w:t>
            </w:r>
            <w:r>
              <w:rPr>
                <w:rFonts w:hint="default" w:ascii="Times New Roman" w:hAnsi="Times New Roman" w:eastAsia="宋体" w:cs="Times New Roman"/>
                <w:color w:val="auto"/>
                <w:sz w:val="24"/>
                <w:szCs w:val="24"/>
              </w:rPr>
              <w:t>进行</w:t>
            </w:r>
            <w:r>
              <w:rPr>
                <w:rFonts w:hint="eastAsia" w:ascii="Times New Roman" w:hAnsi="Times New Roman" w:eastAsia="宋体" w:cs="Times New Roman"/>
                <w:color w:val="auto"/>
                <w:sz w:val="24"/>
                <w:szCs w:val="24"/>
                <w:lang w:val="en-US" w:eastAsia="zh-CN"/>
              </w:rPr>
              <w:t>自主</w:t>
            </w:r>
            <w:r>
              <w:rPr>
                <w:rFonts w:hint="default" w:ascii="Times New Roman" w:hAnsi="Times New Roman" w:eastAsia="宋体" w:cs="Times New Roman"/>
                <w:color w:val="auto"/>
                <w:sz w:val="24"/>
                <w:szCs w:val="24"/>
              </w:rPr>
              <w:t>竣工环保验收</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项目验收合格</w:t>
            </w:r>
            <w:r>
              <w:rPr>
                <w:rFonts w:hint="default" w:ascii="Times New Roman" w:hAnsi="Times New Roman" w:eastAsia="宋体" w:cs="Times New Roman"/>
                <w:color w:val="auto"/>
                <w:sz w:val="24"/>
                <w:szCs w:val="24"/>
              </w:rPr>
              <w:t>。</w:t>
            </w:r>
          </w:p>
          <w:p w14:paraId="25C35296">
            <w:pPr>
              <w:keepNext/>
              <w:keepLines/>
              <w:pageBreakBefore w:val="0"/>
              <w:suppressLineNumbers w:val="0"/>
              <w:wordWrap/>
              <w:overflowPunct/>
              <w:topLinePunct w:val="0"/>
              <w:bidi w:val="0"/>
              <w:adjustRightInd w:val="0"/>
              <w:snapToGrid w:val="0"/>
              <w:spacing w:before="0" w:beforeAutospacing="0" w:after="0" w:afterAutospacing="0" w:line="360" w:lineRule="auto"/>
              <w:ind w:left="0" w:right="0" w:firstLine="480" w:firstLineChars="200"/>
              <w:rPr>
                <w:rFonts w:hint="default" w:eastAsia="宋体"/>
                <w:color w:val="auto"/>
                <w:sz w:val="24"/>
                <w:szCs w:val="24"/>
                <w:lang w:val="en-US" w:eastAsia="zh-CN"/>
              </w:rPr>
            </w:pPr>
            <w:r>
              <w:rPr>
                <w:rFonts w:hint="default" w:ascii="Times New Roman" w:hAnsi="Times New Roman" w:eastAsia="宋体" w:cs="Times New Roman"/>
                <w:color w:val="auto"/>
                <w:sz w:val="24"/>
                <w:szCs w:val="24"/>
              </w:rPr>
              <w:t>布尔台煤矿</w:t>
            </w:r>
            <w:r>
              <w:rPr>
                <w:rFonts w:hint="eastAsia"/>
                <w:color w:val="auto"/>
                <w:sz w:val="24"/>
                <w:szCs w:val="24"/>
                <w:lang w:val="en-US" w:eastAsia="zh-CN"/>
              </w:rPr>
              <w:t>在</w:t>
            </w:r>
            <w:r>
              <w:rPr>
                <w:rFonts w:hint="eastAsia"/>
                <w:color w:val="auto"/>
                <w:sz w:val="24"/>
                <w:szCs w:val="24"/>
              </w:rPr>
              <w:t>实际生产运行过程中</w:t>
            </w:r>
            <w:r>
              <w:rPr>
                <w:rFonts w:hint="eastAsia"/>
                <w:color w:val="auto"/>
                <w:sz w:val="24"/>
                <w:szCs w:val="24"/>
                <w:lang w:val="en-US" w:eastAsia="zh-CN"/>
              </w:rPr>
              <w:t>需对一些小型设备、预制好的零部件、煤矿自行焊接的一些小型设备进行刷漆、喷漆，实际生产过程中对涉及刷漆及喷漆的工艺需外委处理，随着市场发展需求，</w:t>
            </w:r>
            <w:r>
              <w:rPr>
                <w:rFonts w:hint="eastAsia"/>
                <w:color w:val="auto"/>
                <w:kern w:val="0"/>
                <w:sz w:val="24"/>
                <w:szCs w:val="24"/>
                <w:highlight w:val="none"/>
              </w:rPr>
              <w:t>为降低企业运行成本，</w:t>
            </w:r>
            <w:r>
              <w:rPr>
                <w:rFonts w:hint="eastAsia"/>
                <w:color w:val="auto"/>
                <w:sz w:val="24"/>
                <w:szCs w:val="24"/>
                <w:highlight w:val="none"/>
              </w:rPr>
              <w:t>公司</w:t>
            </w:r>
            <w:r>
              <w:rPr>
                <w:rFonts w:hint="eastAsia"/>
                <w:color w:val="auto"/>
                <w:sz w:val="24"/>
                <w:szCs w:val="24"/>
                <w:highlight w:val="none"/>
                <w:lang w:val="en-US" w:eastAsia="zh-CN"/>
              </w:rPr>
              <w:t>拟投资76.5万元，</w:t>
            </w:r>
            <w:r>
              <w:rPr>
                <w:rFonts w:hint="eastAsia"/>
                <w:color w:val="auto"/>
                <w:sz w:val="24"/>
                <w:szCs w:val="24"/>
                <w:highlight w:val="none"/>
              </w:rPr>
              <w:t>决定在厂区</w:t>
            </w:r>
            <w:r>
              <w:rPr>
                <w:rFonts w:hint="eastAsia"/>
                <w:color w:val="auto"/>
                <w:sz w:val="24"/>
                <w:szCs w:val="24"/>
                <w:highlight w:val="none"/>
                <w:lang w:val="en-US" w:eastAsia="zh-CN"/>
              </w:rPr>
              <w:t>工业场地预留用地</w:t>
            </w:r>
            <w:r>
              <w:rPr>
                <w:rFonts w:hint="eastAsia"/>
                <w:color w:val="auto"/>
                <w:sz w:val="24"/>
                <w:szCs w:val="24"/>
                <w:highlight w:val="none"/>
              </w:rPr>
              <w:t>建设1座喷漆房</w:t>
            </w:r>
            <w:r>
              <w:rPr>
                <w:rFonts w:hint="eastAsia"/>
                <w:color w:val="auto"/>
                <w:sz w:val="24"/>
                <w:szCs w:val="24"/>
                <w:highlight w:val="none"/>
                <w:lang w:eastAsia="zh-CN"/>
              </w:rPr>
              <w:t>（</w:t>
            </w:r>
            <w:r>
              <w:rPr>
                <w:rFonts w:hint="eastAsia"/>
                <w:color w:val="auto"/>
                <w:sz w:val="24"/>
                <w:szCs w:val="24"/>
                <w:highlight w:val="none"/>
                <w:lang w:val="en-US" w:eastAsia="zh-CN"/>
              </w:rPr>
              <w:t>原料为水性漆</w:t>
            </w:r>
            <w:r>
              <w:rPr>
                <w:rFonts w:hint="eastAsia"/>
                <w:color w:val="auto"/>
                <w:sz w:val="24"/>
                <w:szCs w:val="24"/>
                <w:highlight w:val="none"/>
                <w:lang w:eastAsia="zh-CN"/>
              </w:rPr>
              <w:t>）</w:t>
            </w:r>
            <w:r>
              <w:rPr>
                <w:rFonts w:hint="eastAsia"/>
                <w:color w:val="auto"/>
                <w:sz w:val="24"/>
                <w:szCs w:val="24"/>
                <w:highlight w:val="none"/>
              </w:rPr>
              <w:t>，满足生产过程中的</w:t>
            </w:r>
            <w:r>
              <w:rPr>
                <w:rFonts w:hint="eastAsia"/>
                <w:color w:val="auto"/>
                <w:sz w:val="24"/>
                <w:szCs w:val="24"/>
                <w:highlight w:val="none"/>
                <w:lang w:val="en-US" w:eastAsia="zh-CN"/>
              </w:rPr>
              <w:t>刷漆及</w:t>
            </w:r>
            <w:r>
              <w:rPr>
                <w:rFonts w:hint="eastAsia"/>
                <w:color w:val="auto"/>
                <w:sz w:val="24"/>
                <w:szCs w:val="24"/>
                <w:highlight w:val="none"/>
              </w:rPr>
              <w:t>喷漆</w:t>
            </w:r>
            <w:r>
              <w:rPr>
                <w:rFonts w:hint="eastAsia"/>
                <w:color w:val="auto"/>
                <w:sz w:val="24"/>
                <w:szCs w:val="24"/>
                <w:highlight w:val="none"/>
                <w:lang w:val="en-US" w:eastAsia="zh-CN"/>
              </w:rPr>
              <w:t>需要</w:t>
            </w:r>
            <w:r>
              <w:rPr>
                <w:rFonts w:hint="eastAsia"/>
                <w:color w:val="auto"/>
                <w:sz w:val="24"/>
                <w:szCs w:val="24"/>
                <w:highlight w:val="none"/>
              </w:rPr>
              <w:t>。</w:t>
            </w:r>
          </w:p>
          <w:p w14:paraId="5F7E8A9C">
            <w:pPr>
              <w:keepNext w:val="0"/>
              <w:keepLines w:val="0"/>
              <w:pageBreakBefore w:val="0"/>
              <w:suppressLineNumbers w:val="0"/>
              <w:wordWrap/>
              <w:overflowPunct/>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根据《中华人民共和国环境保护法》和《中华人民共和国环境影响评价法》及《建设项目环境影响评价管理名录》等有关法律、法规规定，本项目应进行环境影响评价，根据对照环境影响评价行业类别，该项目属于</w:t>
            </w:r>
            <w:r>
              <w:rPr>
                <w:rFonts w:hint="eastAsia" w:ascii="Times New Roman" w:hAnsi="Times New Roman" w:eastAsia="宋体" w:cs="Times New Roman"/>
                <w:color w:val="auto"/>
                <w:sz w:val="24"/>
                <w:szCs w:val="24"/>
                <w:lang w:val="en-US" w:eastAsia="zh-CN"/>
              </w:rPr>
              <w:t>“</w:t>
            </w:r>
            <w:r>
              <w:rPr>
                <w:rFonts w:hint="eastAsia"/>
                <w:color w:val="auto"/>
                <w:sz w:val="24"/>
                <w:szCs w:val="24"/>
                <w:lang w:val="en-US" w:eastAsia="zh-CN"/>
              </w:rPr>
              <w:t>三十</w:t>
            </w:r>
            <w:r>
              <w:rPr>
                <w:rFonts w:hint="default"/>
                <w:color w:val="auto"/>
                <w:sz w:val="24"/>
                <w:szCs w:val="24"/>
              </w:rPr>
              <w:t>、</w:t>
            </w:r>
            <w:r>
              <w:rPr>
                <w:rFonts w:hint="eastAsia"/>
                <w:color w:val="auto"/>
                <w:sz w:val="24"/>
                <w:szCs w:val="24"/>
                <w:lang w:val="en-US" w:eastAsia="zh-CN"/>
              </w:rPr>
              <w:t>金属制品业</w:t>
            </w:r>
            <w:r>
              <w:rPr>
                <w:rFonts w:hint="default"/>
                <w:color w:val="auto"/>
                <w:sz w:val="24"/>
                <w:szCs w:val="24"/>
              </w:rPr>
              <w:t>--</w:t>
            </w:r>
            <w:r>
              <w:rPr>
                <w:rFonts w:hint="eastAsia"/>
                <w:color w:val="auto"/>
                <w:sz w:val="24"/>
                <w:szCs w:val="24"/>
                <w:lang w:val="en-US" w:eastAsia="zh-CN"/>
              </w:rPr>
              <w:t>67金属表面处理及热处理加工</w:t>
            </w:r>
            <w:r>
              <w:rPr>
                <w:rFonts w:hint="default"/>
                <w:color w:val="auto"/>
                <w:sz w:val="24"/>
                <w:szCs w:val="24"/>
              </w:rPr>
              <w:t>--</w:t>
            </w:r>
            <w:r>
              <w:rPr>
                <w:rFonts w:hint="eastAsia"/>
                <w:color w:val="auto"/>
                <w:sz w:val="24"/>
                <w:szCs w:val="24"/>
                <w:lang w:val="en-US" w:eastAsia="zh-CN"/>
              </w:rPr>
              <w:t>其他</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本项目属于报告表类别，受中国神华能源股份有限公司神东煤炭分公司委托，我公司承担了本项目环境影响报告表的编制工作。接受委托后，我单位有关工程技术人员对本项目进行了详细的现场踏勘、资料收集，在对有关环境现状和可能造成的环境影响进行初步分析的基础上，编制了该建设项目环境影响评价报告表。现提交建设单位，由建设单位报有关部门审查批准。</w:t>
            </w:r>
          </w:p>
          <w:p w14:paraId="7C549DB6">
            <w:pPr>
              <w:pStyle w:val="22"/>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en-US" w:eastAsia="zh-CN"/>
              </w:rPr>
            </w:pPr>
          </w:p>
          <w:p w14:paraId="44A47C9C">
            <w:pPr>
              <w:pStyle w:val="22"/>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en-US" w:eastAsia="zh-CN"/>
              </w:rPr>
            </w:pPr>
          </w:p>
          <w:p w14:paraId="351BC7AE">
            <w:pPr>
              <w:pStyle w:val="22"/>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zh-CN"/>
              </w:rPr>
            </w:pPr>
            <w:r>
              <w:rPr>
                <w:rFonts w:hint="eastAsia" w:cs="Times New Roman"/>
                <w:b/>
                <w:color w:val="auto"/>
                <w:sz w:val="24"/>
                <w:highlight w:val="none"/>
                <w:lang w:val="en-US" w:eastAsia="zh-CN"/>
              </w:rPr>
              <w:t>2.</w:t>
            </w:r>
            <w:r>
              <w:rPr>
                <w:rFonts w:hint="default"/>
                <w:b/>
                <w:bCs/>
                <w:color w:val="auto"/>
                <w:sz w:val="24"/>
              </w:rPr>
              <w:t>项目基本情况</w:t>
            </w:r>
          </w:p>
          <w:p w14:paraId="77723D35">
            <w:pPr>
              <w:keepNext w:val="0"/>
              <w:keepLines w:val="0"/>
              <w:suppressLineNumbers w:val="0"/>
              <w:spacing w:before="0" w:beforeAutospacing="0" w:after="0" w:afterAutospacing="0" w:line="360" w:lineRule="auto"/>
              <w:ind w:left="0" w:right="0" w:firstLine="482" w:firstLineChars="200"/>
              <w:jc w:val="left"/>
              <w:rPr>
                <w:rFonts w:hint="default"/>
                <w:color w:val="auto"/>
                <w:sz w:val="24"/>
              </w:rPr>
            </w:pPr>
            <w:r>
              <w:rPr>
                <w:rFonts w:hint="default"/>
                <w:b/>
                <w:bCs/>
                <w:color w:val="auto"/>
                <w:sz w:val="24"/>
              </w:rPr>
              <w:t>项目名称：</w:t>
            </w:r>
            <w:r>
              <w:rPr>
                <w:rFonts w:hint="eastAsia" w:cs="Times New Roman"/>
                <w:color w:val="auto"/>
                <w:sz w:val="24"/>
                <w:szCs w:val="24"/>
                <w:highlight w:val="none"/>
                <w:lang w:val="en-US" w:eastAsia="zh-CN"/>
              </w:rPr>
              <w:t>国能神东煤炭布尔台煤矿伸缩喷漆房项目</w:t>
            </w:r>
          </w:p>
          <w:p w14:paraId="0F792FFE">
            <w:pPr>
              <w:keepNext w:val="0"/>
              <w:keepLines w:val="0"/>
              <w:suppressLineNumbers w:val="0"/>
              <w:spacing w:before="0" w:beforeAutospacing="0" w:after="0" w:afterAutospacing="0" w:line="360" w:lineRule="auto"/>
              <w:ind w:left="0" w:right="0" w:firstLine="482" w:firstLineChars="200"/>
              <w:jc w:val="left"/>
              <w:rPr>
                <w:rFonts w:hint="default"/>
                <w:color w:val="auto"/>
                <w:sz w:val="24"/>
              </w:rPr>
            </w:pPr>
            <w:r>
              <w:rPr>
                <w:rFonts w:hint="default"/>
                <w:b/>
                <w:bCs/>
                <w:color w:val="auto"/>
                <w:sz w:val="24"/>
              </w:rPr>
              <w:t>建设单位：</w:t>
            </w:r>
            <w:r>
              <w:rPr>
                <w:rFonts w:hint="eastAsia"/>
                <w:b w:val="0"/>
                <w:bCs w:val="0"/>
                <w:color w:val="auto"/>
                <w:sz w:val="24"/>
              </w:rPr>
              <w:t>中国神华能源股份有限公司神东煤炭分公司</w:t>
            </w:r>
          </w:p>
          <w:p w14:paraId="1DC7526D">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color w:val="auto"/>
                <w:sz w:val="24"/>
                <w:lang w:val="en-US" w:eastAsia="zh-CN"/>
              </w:rPr>
            </w:pPr>
            <w:r>
              <w:rPr>
                <w:rFonts w:hint="default"/>
                <w:b/>
                <w:bCs/>
                <w:color w:val="auto"/>
                <w:sz w:val="24"/>
              </w:rPr>
              <w:t>建设地点：</w:t>
            </w:r>
            <w:r>
              <w:rPr>
                <w:rFonts w:hint="eastAsia"/>
                <w:b w:val="0"/>
                <w:bCs w:val="0"/>
                <w:color w:val="auto"/>
                <w:sz w:val="24"/>
                <w:lang w:val="en-US" w:eastAsia="zh-CN"/>
              </w:rPr>
              <w:t>内蒙古自治区鄂尔多斯市伊金霍洛旗乌兰木伦镇布尔台煤矿</w:t>
            </w:r>
            <w:r>
              <w:rPr>
                <w:rFonts w:hint="eastAsia"/>
                <w:b w:val="0"/>
                <w:bCs w:val="0"/>
                <w:color w:val="auto"/>
                <w:sz w:val="24"/>
              </w:rPr>
              <w:t>厂区</w:t>
            </w:r>
            <w:r>
              <w:rPr>
                <w:rFonts w:hint="eastAsia"/>
                <w:b w:val="0"/>
                <w:bCs w:val="0"/>
                <w:color w:val="auto"/>
                <w:sz w:val="24"/>
                <w:lang w:eastAsia="zh-CN"/>
              </w:rPr>
              <w:t>场地预留用地</w:t>
            </w:r>
            <w:r>
              <w:rPr>
                <w:rFonts w:hint="eastAsia"/>
                <w:b w:val="0"/>
                <w:bCs w:val="0"/>
                <w:color w:val="auto"/>
                <w:sz w:val="24"/>
                <w:lang w:val="en-US" w:eastAsia="zh-CN"/>
              </w:rPr>
              <w:t>内</w:t>
            </w:r>
          </w:p>
          <w:p w14:paraId="1B7474EE">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default" w:ascii="HYShuSongErKW" w:hAnsi="HYShuSongErKW" w:eastAsia="HYShuSongErKW" w:cs="HYShuSongErKW"/>
                <w:b/>
                <w:bCs/>
                <w:color w:val="auto"/>
                <w:kern w:val="0"/>
                <w:sz w:val="24"/>
                <w:szCs w:val="24"/>
                <w:lang w:val="en-US" w:eastAsia="zh-CN" w:bidi="ar"/>
              </w:rPr>
              <w:t>建设性质：</w:t>
            </w:r>
            <w:r>
              <w:rPr>
                <w:rFonts w:hint="eastAsia" w:ascii="HYShuSongErKW" w:hAnsi="HYShuSongErKW" w:eastAsia="HYShuSongErKW" w:cs="HYShuSongErKW"/>
                <w:color w:val="auto"/>
                <w:kern w:val="0"/>
                <w:sz w:val="24"/>
                <w:szCs w:val="24"/>
                <w:lang w:val="en-US" w:eastAsia="zh-CN" w:bidi="ar"/>
              </w:rPr>
              <w:t>新建</w:t>
            </w:r>
          </w:p>
          <w:p w14:paraId="0DD4FA5A">
            <w:pPr>
              <w:keepNext w:val="0"/>
              <w:keepLines w:val="0"/>
              <w:suppressLineNumbers w:val="0"/>
              <w:spacing w:before="0" w:beforeAutospacing="0" w:after="0" w:afterAutospacing="0" w:line="360" w:lineRule="auto"/>
              <w:ind w:left="0" w:right="0" w:firstLine="482" w:firstLineChars="200"/>
              <w:jc w:val="left"/>
              <w:rPr>
                <w:rFonts w:hint="default" w:eastAsia="宋体"/>
                <w:b w:val="0"/>
                <w:bCs w:val="0"/>
                <w:color w:val="auto"/>
                <w:kern w:val="0"/>
                <w:sz w:val="24"/>
                <w:highlight w:val="yellow"/>
                <w:lang w:val="en-US" w:eastAsia="zh-CN"/>
              </w:rPr>
            </w:pPr>
            <w:r>
              <w:rPr>
                <w:rFonts w:hint="default"/>
                <w:b/>
                <w:bCs/>
                <w:color w:val="auto"/>
                <w:kern w:val="0"/>
                <w:sz w:val="24"/>
              </w:rPr>
              <w:t>建设</w:t>
            </w:r>
            <w:r>
              <w:rPr>
                <w:rFonts w:hint="eastAsia"/>
                <w:b/>
                <w:bCs/>
                <w:color w:val="auto"/>
                <w:kern w:val="0"/>
                <w:sz w:val="24"/>
              </w:rPr>
              <w:t>规模</w:t>
            </w:r>
            <w:r>
              <w:rPr>
                <w:rFonts w:hint="eastAsia"/>
                <w:b/>
                <w:bCs/>
                <w:color w:val="auto"/>
                <w:kern w:val="0"/>
                <w:sz w:val="24"/>
                <w:lang w:val="en-US" w:eastAsia="zh-CN"/>
              </w:rPr>
              <w:t>及产品方案</w:t>
            </w:r>
            <w:r>
              <w:rPr>
                <w:rFonts w:hint="default"/>
                <w:b/>
                <w:bCs/>
                <w:color w:val="auto"/>
                <w:kern w:val="0"/>
                <w:sz w:val="24"/>
              </w:rPr>
              <w:t>：</w:t>
            </w:r>
            <w:r>
              <w:rPr>
                <w:rFonts w:hint="eastAsia" w:ascii="Times New Roman" w:hAnsi="Times New Roman" w:eastAsia="宋体" w:cs="Times New Roman"/>
                <w:color w:val="auto"/>
                <w:kern w:val="0"/>
                <w:sz w:val="24"/>
                <w:lang w:val="en-US" w:eastAsia="zh-CN"/>
              </w:rPr>
              <w:t>本项目</w:t>
            </w:r>
            <w:r>
              <w:rPr>
                <w:rFonts w:hint="eastAsia"/>
                <w:b w:val="0"/>
                <w:bCs w:val="0"/>
                <w:color w:val="auto"/>
                <w:kern w:val="0"/>
                <w:sz w:val="24"/>
              </w:rPr>
              <w:t>年用</w:t>
            </w:r>
            <w:r>
              <w:rPr>
                <w:rFonts w:hint="eastAsia"/>
                <w:b w:val="0"/>
                <w:bCs w:val="0"/>
                <w:color w:val="auto"/>
                <w:kern w:val="0"/>
                <w:sz w:val="24"/>
                <w:lang w:val="en-US" w:eastAsia="zh-CN"/>
              </w:rPr>
              <w:t>水性漆9.6</w:t>
            </w:r>
            <w:r>
              <w:rPr>
                <w:rFonts w:hint="eastAsia"/>
                <w:b w:val="0"/>
                <w:bCs w:val="0"/>
                <w:color w:val="auto"/>
                <w:kern w:val="0"/>
                <w:sz w:val="24"/>
              </w:rPr>
              <w:t>t（含稀释剂）</w:t>
            </w:r>
            <w:r>
              <w:rPr>
                <w:rFonts w:hint="eastAsia"/>
                <w:b w:val="0"/>
                <w:bCs w:val="0"/>
                <w:color w:val="auto"/>
                <w:kern w:val="0"/>
                <w:sz w:val="24"/>
                <w:lang w:eastAsia="zh-CN"/>
              </w:rPr>
              <w:t>，</w:t>
            </w:r>
            <w:r>
              <w:rPr>
                <w:rFonts w:hint="eastAsia"/>
                <w:b w:val="0"/>
                <w:bCs w:val="0"/>
                <w:color w:val="auto"/>
                <w:kern w:val="0"/>
                <w:sz w:val="24"/>
                <w:lang w:val="en-US" w:eastAsia="zh-CN"/>
              </w:rPr>
              <w:t>对煤矿生产过程中小型设备、预制好的零部件、煤矿自行焊接的一些小型设备表面进行喷漆及刷漆处理，</w:t>
            </w:r>
            <w:r>
              <w:rPr>
                <w:rFonts w:hint="eastAsia"/>
                <w:b w:val="0"/>
                <w:bCs w:val="0"/>
                <w:color w:val="auto"/>
                <w:kern w:val="0"/>
                <w:sz w:val="24"/>
                <w:highlight w:val="none"/>
                <w:lang w:val="en-US" w:eastAsia="zh-CN"/>
              </w:rPr>
              <w:t>年喷漆约300套设备。</w:t>
            </w:r>
          </w:p>
          <w:p w14:paraId="1DA9937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FF0000"/>
                <w:kern w:val="0"/>
                <w:sz w:val="24"/>
                <w:lang w:val="en-US" w:eastAsia="zh-CN"/>
              </w:rPr>
            </w:pPr>
            <w:bookmarkStart w:id="3" w:name="_Hlk102404833"/>
            <w:r>
              <w:rPr>
                <w:rFonts w:hint="eastAsia"/>
                <w:b/>
                <w:bCs/>
                <w:color w:val="FF0000"/>
                <w:sz w:val="24"/>
                <w:lang w:val="en-US" w:eastAsia="zh-CN"/>
              </w:rPr>
              <w:t>项目投资：</w:t>
            </w:r>
            <w:r>
              <w:rPr>
                <w:rFonts w:hint="eastAsia" w:ascii="Times New Roman" w:hAnsi="Times New Roman" w:eastAsia="宋体" w:cs="Times New Roman"/>
                <w:color w:val="FF0000"/>
                <w:kern w:val="0"/>
                <w:sz w:val="24"/>
                <w:lang w:val="en-US" w:eastAsia="zh-CN"/>
              </w:rPr>
              <w:t>本项目总投资为</w:t>
            </w:r>
            <w:r>
              <w:rPr>
                <w:rFonts w:hint="eastAsia" w:eastAsia="宋体" w:cs="Times New Roman"/>
                <w:color w:val="FF0000"/>
                <w:kern w:val="0"/>
                <w:sz w:val="24"/>
                <w:lang w:val="en-US" w:eastAsia="zh-CN"/>
              </w:rPr>
              <w:t>76.5</w:t>
            </w:r>
            <w:r>
              <w:rPr>
                <w:rFonts w:hint="eastAsia" w:ascii="Times New Roman" w:hAnsi="Times New Roman" w:eastAsia="宋体" w:cs="Times New Roman"/>
                <w:color w:val="FF0000"/>
                <w:kern w:val="0"/>
                <w:sz w:val="24"/>
                <w:lang w:val="en-US" w:eastAsia="zh-CN"/>
              </w:rPr>
              <w:t>万元，其中环保投资2</w:t>
            </w:r>
            <w:r>
              <w:rPr>
                <w:rFonts w:hint="eastAsia" w:cs="Times New Roman"/>
                <w:color w:val="FF0000"/>
                <w:kern w:val="0"/>
                <w:sz w:val="24"/>
                <w:lang w:val="en-US" w:eastAsia="zh-CN"/>
              </w:rPr>
              <w:t>4</w:t>
            </w:r>
            <w:r>
              <w:rPr>
                <w:rFonts w:hint="eastAsia" w:ascii="Times New Roman" w:hAnsi="Times New Roman" w:eastAsia="宋体" w:cs="Times New Roman"/>
                <w:color w:val="FF0000"/>
                <w:kern w:val="0"/>
                <w:sz w:val="24"/>
                <w:lang w:val="en-US" w:eastAsia="zh-CN"/>
              </w:rPr>
              <w:t>万元，占总投资的</w:t>
            </w:r>
            <w:r>
              <w:rPr>
                <w:rFonts w:hint="eastAsia" w:cs="Times New Roman"/>
                <w:color w:val="FF0000"/>
                <w:kern w:val="0"/>
                <w:sz w:val="24"/>
                <w:lang w:val="en-US" w:eastAsia="zh-CN"/>
              </w:rPr>
              <w:t>31.37</w:t>
            </w:r>
            <w:r>
              <w:rPr>
                <w:rFonts w:hint="eastAsia" w:ascii="Times New Roman" w:hAnsi="Times New Roman" w:eastAsia="宋体" w:cs="Times New Roman"/>
                <w:color w:val="FF0000"/>
                <w:kern w:val="0"/>
                <w:sz w:val="24"/>
                <w:lang w:val="en-US" w:eastAsia="zh-CN"/>
              </w:rPr>
              <w:t>%。全部资金来源于企业自筹。</w:t>
            </w:r>
          </w:p>
          <w:p w14:paraId="4F08CFB4">
            <w:pPr>
              <w:keepNext w:val="0"/>
              <w:keepLines w:val="0"/>
              <w:suppressLineNumbers w:val="0"/>
              <w:spacing w:before="0" w:beforeAutospacing="0" w:after="0" w:afterAutospacing="0" w:line="360" w:lineRule="auto"/>
              <w:ind w:left="0" w:right="0" w:firstLine="482" w:firstLineChars="200"/>
              <w:jc w:val="left"/>
              <w:rPr>
                <w:rFonts w:hint="eastAsia" w:eastAsia="宋体"/>
                <w:color w:val="auto"/>
                <w:sz w:val="24"/>
                <w:lang w:eastAsia="zh-CN"/>
              </w:rPr>
            </w:pPr>
            <w:r>
              <w:rPr>
                <w:rFonts w:hint="default"/>
                <w:b/>
                <w:bCs/>
                <w:color w:val="auto"/>
                <w:sz w:val="24"/>
              </w:rPr>
              <w:t>劳动定员：</w:t>
            </w:r>
            <w:r>
              <w:rPr>
                <w:rFonts w:hint="default"/>
                <w:color w:val="auto"/>
                <w:sz w:val="24"/>
              </w:rPr>
              <w:t>依托</w:t>
            </w:r>
            <w:r>
              <w:rPr>
                <w:rFonts w:hint="eastAsia"/>
                <w:b w:val="0"/>
                <w:bCs w:val="0"/>
                <w:color w:val="auto"/>
                <w:sz w:val="24"/>
              </w:rPr>
              <w:t>中国神华能源股份有限公司神东煤炭分公司</w:t>
            </w:r>
            <w:r>
              <w:rPr>
                <w:rFonts w:hint="default"/>
                <w:color w:val="auto"/>
                <w:sz w:val="24"/>
              </w:rPr>
              <w:t>现有</w:t>
            </w:r>
            <w:r>
              <w:rPr>
                <w:rFonts w:hint="eastAsia"/>
                <w:color w:val="auto"/>
                <w:sz w:val="24"/>
              </w:rPr>
              <w:t>劳动定员</w:t>
            </w:r>
            <w:r>
              <w:rPr>
                <w:rFonts w:hint="eastAsia"/>
                <w:color w:val="auto"/>
                <w:kern w:val="0"/>
                <w:sz w:val="24"/>
                <w:lang w:eastAsia="zh-CN"/>
              </w:rPr>
              <w:t>（</w:t>
            </w:r>
            <w:r>
              <w:rPr>
                <w:rFonts w:hint="eastAsia"/>
                <w:color w:val="auto"/>
                <w:kern w:val="0"/>
                <w:sz w:val="24"/>
                <w:lang w:val="en-US" w:eastAsia="zh-CN"/>
              </w:rPr>
              <w:t>人员依托</w:t>
            </w:r>
            <w:r>
              <w:rPr>
                <w:rFonts w:hint="default" w:ascii="Times New Roman" w:hAnsi="Times New Roman" w:eastAsia="宋体" w:cs="Times New Roman"/>
                <w:color w:val="auto"/>
                <w:sz w:val="24"/>
                <w:szCs w:val="24"/>
                <w:highlight w:val="none"/>
                <w:lang w:val="en-US" w:eastAsia="zh-CN"/>
              </w:rPr>
              <w:t>布尔台煤矿</w:t>
            </w:r>
            <w:r>
              <w:rPr>
                <w:rFonts w:hint="eastAsia"/>
                <w:color w:val="auto"/>
                <w:kern w:val="0"/>
                <w:sz w:val="24"/>
                <w:lang w:val="en-US" w:eastAsia="zh-CN"/>
              </w:rPr>
              <w:t>机修车间人员</w:t>
            </w:r>
            <w:r>
              <w:rPr>
                <w:rFonts w:hint="eastAsia"/>
                <w:color w:val="auto"/>
                <w:kern w:val="0"/>
                <w:sz w:val="24"/>
                <w:lang w:eastAsia="zh-CN"/>
              </w:rPr>
              <w:t>）</w:t>
            </w:r>
            <w:r>
              <w:rPr>
                <w:rFonts w:hint="default"/>
                <w:color w:val="auto"/>
                <w:sz w:val="24"/>
              </w:rPr>
              <w:t>，不新增</w:t>
            </w:r>
            <w:r>
              <w:rPr>
                <w:rFonts w:hint="eastAsia"/>
                <w:color w:val="auto"/>
                <w:sz w:val="24"/>
              </w:rPr>
              <w:t>工作人员</w:t>
            </w:r>
            <w:r>
              <w:rPr>
                <w:rFonts w:hint="eastAsia"/>
                <w:color w:val="auto"/>
                <w:sz w:val="24"/>
                <w:lang w:eastAsia="zh-CN"/>
              </w:rPr>
              <w:t>。</w:t>
            </w:r>
          </w:p>
          <w:p w14:paraId="70912E21">
            <w:pPr>
              <w:pStyle w:val="137"/>
              <w:keepNext w:val="0"/>
              <w:keepLines w:val="0"/>
              <w:suppressLineNumbers w:val="0"/>
              <w:bidi w:val="0"/>
              <w:spacing w:before="0" w:beforeAutospacing="0" w:after="0" w:afterAutospacing="0"/>
              <w:ind w:left="0" w:right="0"/>
              <w:rPr>
                <w:rFonts w:hint="default"/>
                <w:b/>
                <w:bCs/>
                <w:color w:val="auto"/>
                <w:sz w:val="24"/>
              </w:rPr>
            </w:pPr>
            <w:r>
              <w:rPr>
                <w:rFonts w:hint="default"/>
                <w:b/>
                <w:bCs/>
                <w:color w:val="auto"/>
                <w:sz w:val="24"/>
              </w:rPr>
              <w:t>工作制度：</w:t>
            </w:r>
            <w:r>
              <w:rPr>
                <w:rFonts w:hint="eastAsia"/>
                <w:color w:val="auto"/>
                <w:lang w:val="en-US" w:eastAsia="zh-CN"/>
              </w:rPr>
              <w:t>实行每天每班8小时工作制，年工作时间300天，全年运行2400h。</w:t>
            </w:r>
            <w:bookmarkEnd w:id="3"/>
          </w:p>
          <w:p w14:paraId="7BB5A1A7">
            <w:pPr>
              <w:keepNext w:val="0"/>
              <w:keepLines w:val="0"/>
              <w:suppressLineNumbers w:val="0"/>
              <w:spacing w:before="0" w:beforeAutospacing="0" w:after="0" w:afterAutospacing="0" w:line="360" w:lineRule="auto"/>
              <w:ind w:left="0" w:right="0" w:firstLine="482" w:firstLineChars="200"/>
              <w:jc w:val="left"/>
              <w:rPr>
                <w:rFonts w:hint="default"/>
                <w:b/>
                <w:bCs/>
                <w:color w:val="auto"/>
                <w:sz w:val="24"/>
              </w:rPr>
            </w:pPr>
            <w:r>
              <w:rPr>
                <w:rFonts w:hint="eastAsia"/>
                <w:b/>
                <w:bCs/>
                <w:color w:val="auto"/>
                <w:sz w:val="24"/>
                <w:lang w:val="en-US" w:eastAsia="zh-CN"/>
              </w:rPr>
              <w:t>3.</w:t>
            </w:r>
            <w:r>
              <w:rPr>
                <w:rFonts w:hint="default"/>
                <w:b/>
                <w:bCs/>
                <w:color w:val="auto"/>
                <w:sz w:val="24"/>
              </w:rPr>
              <w:t>地理位置及周边环境</w:t>
            </w:r>
          </w:p>
          <w:p w14:paraId="0910C6D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lang w:val="en-US" w:eastAsia="zh-CN"/>
              </w:rPr>
            </w:pPr>
            <w:r>
              <w:rPr>
                <w:rFonts w:hint="default"/>
                <w:color w:val="auto"/>
                <w:sz w:val="24"/>
                <w:highlight w:val="none"/>
              </w:rPr>
              <w:t>本项目位于</w:t>
            </w:r>
            <w:r>
              <w:rPr>
                <w:rFonts w:hint="eastAsia"/>
                <w:color w:val="auto"/>
                <w:sz w:val="24"/>
                <w:highlight w:val="none"/>
                <w:lang w:val="en-US" w:eastAsia="zh-CN"/>
              </w:rPr>
              <w:t>内蒙古自治区鄂尔多斯市伊金霍洛旗乌兰木伦镇布尔台煤矿</w:t>
            </w:r>
            <w:r>
              <w:rPr>
                <w:rFonts w:hint="eastAsia"/>
                <w:color w:val="auto"/>
                <w:sz w:val="24"/>
                <w:highlight w:val="none"/>
              </w:rPr>
              <w:t>厂区</w:t>
            </w:r>
            <w:r>
              <w:rPr>
                <w:rFonts w:hint="eastAsia"/>
                <w:color w:val="auto"/>
                <w:sz w:val="24"/>
                <w:highlight w:val="none"/>
                <w:lang w:eastAsia="zh-CN"/>
              </w:rPr>
              <w:t>场地预留用地</w:t>
            </w:r>
            <w:r>
              <w:rPr>
                <w:rFonts w:hint="eastAsia"/>
                <w:color w:val="auto"/>
                <w:sz w:val="24"/>
                <w:highlight w:val="none"/>
                <w:lang w:val="en-US" w:eastAsia="zh-CN"/>
              </w:rPr>
              <w:t>内，用地性质为工业用地</w:t>
            </w:r>
            <w:r>
              <w:rPr>
                <w:rFonts w:hint="default"/>
                <w:color w:val="auto"/>
                <w:sz w:val="24"/>
                <w:highlight w:val="none"/>
              </w:rPr>
              <w:t>，中心地理坐标为</w:t>
            </w:r>
            <w:r>
              <w:rPr>
                <w:rFonts w:hint="default" w:ascii="Times New Roman" w:hAnsi="Times New Roman" w:eastAsia="宋体" w:cs="Times New Roman"/>
                <w:color w:val="auto"/>
                <w:sz w:val="24"/>
                <w:highlight w:val="none"/>
              </w:rPr>
              <w:t>E</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szCs w:val="24"/>
                <w:highlight w:val="none"/>
                <w:u w:val="none"/>
              </w:rPr>
              <w:t>110°3′46.27</w:t>
            </w:r>
            <w:r>
              <w:rPr>
                <w:rFonts w:hint="eastAsia" w:cs="Times New Roman"/>
                <w:color w:val="auto"/>
                <w:sz w:val="24"/>
                <w:szCs w:val="24"/>
                <w:highlight w:val="none"/>
                <w:u w:val="none"/>
                <w:lang w:val="en-US" w:eastAsia="zh-CN"/>
              </w:rPr>
              <w:t>1</w:t>
            </w:r>
            <w:r>
              <w:rPr>
                <w:rFonts w:hint="default" w:ascii="Times New Roman" w:hAnsi="Times New Roman" w:eastAsia="宋体" w:cs="Times New Roman"/>
                <w:color w:val="auto"/>
                <w:sz w:val="24"/>
                <w:szCs w:val="24"/>
                <w:highlight w:val="none"/>
                <w:u w:val="none"/>
              </w:rPr>
              <w:t>″</w:t>
            </w:r>
            <w:r>
              <w:rPr>
                <w:rFonts w:hint="default" w:ascii="Times New Roman" w:hAnsi="Times New Roman" w:eastAsia="宋体" w:cs="Times New Roman"/>
                <w:color w:val="auto"/>
                <w:sz w:val="24"/>
                <w:highlight w:val="none"/>
              </w:rPr>
              <w:t>，N</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szCs w:val="24"/>
                <w:highlight w:val="none"/>
                <w:u w:val="none"/>
              </w:rPr>
              <w:t>39°28′58.404″</w:t>
            </w:r>
            <w:r>
              <w:rPr>
                <w:rFonts w:hint="eastAsia" w:ascii="Times New Roman" w:hAnsi="Times New Roman" w:eastAsia="宋体" w:cs="Times New Roman"/>
                <w:color w:val="auto"/>
                <w:kern w:val="2"/>
                <w:sz w:val="24"/>
                <w:szCs w:val="24"/>
                <w:highlight w:val="none"/>
                <w:lang w:val="en-US" w:eastAsia="zh-CN" w:bidi="ar-SA"/>
              </w:rPr>
              <w:t>。项目东侧为是</w:t>
            </w:r>
            <w:r>
              <w:rPr>
                <w:rFonts w:hint="eastAsia"/>
                <w:color w:val="auto"/>
                <w:sz w:val="24"/>
                <w:highlight w:val="none"/>
                <w:lang w:val="en-US" w:eastAsia="zh-CN"/>
              </w:rPr>
              <w:t>材料供应站2#库房</w:t>
            </w:r>
            <w:r>
              <w:rPr>
                <w:rFonts w:hint="eastAsia" w:ascii="Times New Roman" w:hAnsi="Times New Roman" w:eastAsia="宋体" w:cs="Times New Roman"/>
                <w:color w:val="auto"/>
                <w:kern w:val="2"/>
                <w:sz w:val="24"/>
                <w:szCs w:val="24"/>
                <w:highlight w:val="none"/>
                <w:lang w:val="en-US" w:eastAsia="zh-CN" w:bidi="ar-SA"/>
              </w:rPr>
              <w:t>，南侧为</w:t>
            </w:r>
            <w:r>
              <w:rPr>
                <w:rFonts w:hint="eastAsia"/>
                <w:color w:val="auto"/>
                <w:sz w:val="24"/>
                <w:highlight w:val="none"/>
                <w:lang w:val="en-US" w:eastAsia="zh-CN"/>
              </w:rPr>
              <w:t>布尔台煤矿电焊房</w:t>
            </w:r>
            <w:r>
              <w:rPr>
                <w:rFonts w:hint="eastAsia"/>
                <w:color w:val="auto"/>
                <w:sz w:val="24"/>
                <w:szCs w:val="24"/>
                <w:highlight w:val="none"/>
                <w:lang w:val="en-US" w:eastAsia="zh-CN"/>
              </w:rPr>
              <w:t>，西侧为喷砂车间，北侧为</w:t>
            </w:r>
            <w:r>
              <w:rPr>
                <w:rFonts w:hint="eastAsia"/>
                <w:color w:val="auto"/>
                <w:sz w:val="24"/>
                <w:highlight w:val="none"/>
                <w:lang w:val="en-US" w:eastAsia="zh-CN"/>
              </w:rPr>
              <w:t>布尔台煤矿</w:t>
            </w:r>
            <w:r>
              <w:rPr>
                <w:rFonts w:hint="eastAsia" w:ascii="Times New Roman" w:hAnsi="Times New Roman" w:eastAsia="宋体" w:cs="Times New Roman"/>
                <w:color w:val="auto"/>
                <w:kern w:val="2"/>
                <w:sz w:val="24"/>
                <w:szCs w:val="24"/>
                <w:highlight w:val="none"/>
                <w:lang w:val="en-US" w:eastAsia="zh-CN" w:bidi="ar-SA"/>
              </w:rPr>
              <w:t>管路堆放区，</w:t>
            </w:r>
            <w:r>
              <w:rPr>
                <w:rFonts w:hint="eastAsia"/>
                <w:color w:val="auto"/>
                <w:sz w:val="24"/>
                <w:highlight w:val="none"/>
                <w:lang w:val="en-US" w:eastAsia="zh-CN"/>
              </w:rPr>
              <w:t>项目四邻关系图见图2</w:t>
            </w:r>
            <w:r>
              <w:rPr>
                <w:rFonts w:hint="eastAsia" w:ascii="Times New Roman" w:hAnsi="Times New Roman" w:eastAsia="宋体" w:cs="Times New Roman"/>
                <w:color w:val="auto"/>
                <w:kern w:val="2"/>
                <w:sz w:val="24"/>
                <w:szCs w:val="24"/>
                <w:highlight w:val="none"/>
                <w:lang w:val="en-US" w:eastAsia="zh-CN" w:bidi="ar-SA"/>
              </w:rPr>
              <w:t>。</w:t>
            </w:r>
            <w:r>
              <w:rPr>
                <w:rFonts w:hint="default"/>
                <w:color w:val="auto"/>
                <w:sz w:val="24"/>
                <w:highlight w:val="none"/>
              </w:rPr>
              <w:t>项目</w:t>
            </w:r>
            <w:r>
              <w:rPr>
                <w:rFonts w:hint="eastAsia"/>
                <w:color w:val="auto"/>
                <w:sz w:val="24"/>
                <w:highlight w:val="none"/>
              </w:rPr>
              <w:t>周围无自然保护区、集中式生活饮用水水源地、文物景观及其它环境敏感点。</w:t>
            </w:r>
            <w:r>
              <w:rPr>
                <w:rFonts w:hint="default"/>
                <w:color w:val="auto"/>
                <w:sz w:val="24"/>
                <w:highlight w:val="none"/>
              </w:rPr>
              <w:t>周边500m范围内无</w:t>
            </w:r>
            <w:r>
              <w:rPr>
                <w:rFonts w:hint="eastAsia"/>
                <w:color w:val="auto"/>
                <w:sz w:val="24"/>
                <w:highlight w:val="none"/>
                <w:lang w:val="en-US" w:eastAsia="zh-CN"/>
              </w:rPr>
              <w:t>环境</w:t>
            </w:r>
            <w:r>
              <w:rPr>
                <w:rFonts w:hint="default"/>
                <w:color w:val="auto"/>
                <w:sz w:val="24"/>
                <w:highlight w:val="none"/>
              </w:rPr>
              <w:t>敏感目标</w:t>
            </w:r>
            <w:r>
              <w:rPr>
                <w:rFonts w:hint="eastAsia"/>
                <w:color w:val="auto"/>
                <w:sz w:val="24"/>
                <w:highlight w:val="none"/>
                <w:lang w:val="en-US" w:eastAsia="zh-CN"/>
              </w:rPr>
              <w:t>，</w:t>
            </w:r>
            <w:r>
              <w:rPr>
                <w:rFonts w:hint="default"/>
                <w:color w:val="auto"/>
                <w:sz w:val="24"/>
                <w:highlight w:val="none"/>
              </w:rPr>
              <w:t>项目地</w:t>
            </w:r>
            <w:r>
              <w:rPr>
                <w:rFonts w:hint="default" w:ascii="Times New Roman" w:hAnsi="Times New Roman" w:cs="Times New Roman"/>
                <w:color w:val="auto"/>
                <w:sz w:val="24"/>
                <w:highlight w:val="none"/>
              </w:rPr>
              <w:t>理位置见附图</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大气、声</w:t>
            </w:r>
            <w:r>
              <w:rPr>
                <w:rFonts w:hint="default" w:ascii="Times New Roman" w:hAnsi="Times New Roman" w:cs="Times New Roman"/>
                <w:color w:val="auto"/>
                <w:sz w:val="24"/>
                <w:highlight w:val="none"/>
              </w:rPr>
              <w:t>环境保护</w:t>
            </w:r>
            <w:r>
              <w:rPr>
                <w:rFonts w:hint="eastAsia" w:ascii="Times New Roman" w:hAnsi="Times New Roman" w:cs="Times New Roman"/>
                <w:color w:val="auto"/>
                <w:sz w:val="24"/>
                <w:highlight w:val="none"/>
                <w:lang w:val="en-US" w:eastAsia="zh-CN"/>
              </w:rPr>
              <w:t>范围附</w:t>
            </w:r>
            <w:r>
              <w:rPr>
                <w:rFonts w:hint="default" w:ascii="Times New Roman" w:hAnsi="Times New Roman" w:cs="Times New Roman"/>
                <w:color w:val="auto"/>
                <w:sz w:val="24"/>
                <w:highlight w:val="none"/>
              </w:rPr>
              <w:t>图</w:t>
            </w:r>
            <w:r>
              <w:rPr>
                <w:rFonts w:hint="eastAsia" w:ascii="Times New Roman" w:hAnsi="Times New Roman" w:cs="Times New Roman"/>
                <w:color w:val="auto"/>
                <w:sz w:val="24"/>
                <w:highlight w:val="none"/>
                <w:lang w:val="en-US" w:eastAsia="zh-CN"/>
              </w:rPr>
              <w:t>4。</w:t>
            </w:r>
          </w:p>
          <w:p w14:paraId="43DAE9B0">
            <w:pPr>
              <w:keepNext w:val="0"/>
              <w:keepLines w:val="0"/>
              <w:suppressLineNumbers w:val="0"/>
              <w:spacing w:before="0" w:beforeAutospacing="0" w:after="0" w:afterAutospacing="0" w:line="360" w:lineRule="auto"/>
              <w:ind w:left="0" w:right="0" w:firstLine="482" w:firstLineChars="200"/>
              <w:jc w:val="left"/>
              <w:rPr>
                <w:rFonts w:hint="default"/>
                <w:color w:val="auto"/>
                <w:sz w:val="24"/>
                <w:highlight w:val="none"/>
              </w:rPr>
            </w:pPr>
            <w:r>
              <w:rPr>
                <w:rFonts w:hint="eastAsia"/>
                <w:b/>
                <w:bCs/>
                <w:color w:val="auto"/>
                <w:sz w:val="24"/>
                <w:highlight w:val="none"/>
                <w:lang w:val="en-US" w:eastAsia="zh-CN"/>
              </w:rPr>
              <w:t>4.</w:t>
            </w:r>
            <w:r>
              <w:rPr>
                <w:rFonts w:hint="default"/>
                <w:b/>
                <w:bCs/>
                <w:color w:val="auto"/>
                <w:sz w:val="24"/>
                <w:highlight w:val="none"/>
              </w:rPr>
              <w:t>工程建设内容</w:t>
            </w:r>
          </w:p>
          <w:p w14:paraId="06F5129F">
            <w:pPr>
              <w:keepNext w:val="0"/>
              <w:keepLines w:val="0"/>
              <w:suppressLineNumbers w:val="0"/>
              <w:spacing w:before="0" w:beforeAutospacing="0" w:after="0" w:afterAutospacing="0" w:line="360" w:lineRule="auto"/>
              <w:ind w:left="0" w:right="0" w:firstLine="480" w:firstLineChars="200"/>
              <w:jc w:val="left"/>
              <w:rPr>
                <w:rFonts w:hint="default"/>
                <w:color w:val="auto"/>
                <w:sz w:val="24"/>
              </w:rPr>
            </w:pPr>
            <w:r>
              <w:rPr>
                <w:rFonts w:hint="default"/>
                <w:color w:val="auto"/>
                <w:sz w:val="24"/>
              </w:rPr>
              <w:t>本项目主要工程内容如下表2-</w:t>
            </w:r>
            <w:r>
              <w:rPr>
                <w:rFonts w:hint="eastAsia"/>
                <w:color w:val="auto"/>
                <w:sz w:val="24"/>
                <w:lang w:val="en-US" w:eastAsia="zh-CN"/>
              </w:rPr>
              <w:t>1</w:t>
            </w:r>
            <w:r>
              <w:rPr>
                <w:rFonts w:hint="default"/>
                <w:color w:val="auto"/>
                <w:sz w:val="24"/>
              </w:rPr>
              <w:t>所示。</w:t>
            </w:r>
          </w:p>
          <w:p w14:paraId="0DB9A00D">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76B64CD3">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267A72DC">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2B8A84AE">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61BACDCD">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35073D91">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704B75B7">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42A15C9C">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p>
          <w:p w14:paraId="2AFD9FEB">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表2-</w:t>
            </w:r>
            <w:r>
              <w:rPr>
                <w:rFonts w:hint="eastAsia" w:cs="Times New Roman"/>
                <w:b/>
                <w:bCs/>
                <w:color w:val="auto"/>
                <w:sz w:val="24"/>
                <w:szCs w:val="24"/>
                <w:lang w:val="en-US" w:eastAsia="zh-CN"/>
              </w:rPr>
              <w:t>1</w:t>
            </w:r>
            <w:r>
              <w:rPr>
                <w:rFonts w:hint="eastAsia" w:ascii="Times New Roman" w:hAnsi="Times New Roman" w:eastAsia="宋体" w:cs="Times New Roman"/>
                <w:b/>
                <w:bCs/>
                <w:color w:val="auto"/>
                <w:sz w:val="24"/>
                <w:szCs w:val="24"/>
              </w:rPr>
              <w:t xml:space="preserve">  建设内容组成一览表</w:t>
            </w:r>
          </w:p>
          <w:tbl>
            <w:tblPr>
              <w:tblStyle w:val="30"/>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834"/>
              <w:gridCol w:w="5037"/>
              <w:gridCol w:w="703"/>
            </w:tblGrid>
            <w:tr w14:paraId="3CBE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4" w:type="pct"/>
                  <w:noWrap w:val="0"/>
                  <w:vAlign w:val="center"/>
                </w:tcPr>
                <w:p w14:paraId="087E4D13">
                  <w:pPr>
                    <w:pStyle w:val="138"/>
                    <w:keepNext w:val="0"/>
                    <w:keepLines w:val="0"/>
                    <w:suppressLineNumbers w:val="0"/>
                    <w:adjustRightInd w:val="0"/>
                    <w:snapToGrid w:val="0"/>
                    <w:spacing w:before="0" w:beforeAutospacing="0" w:after="0" w:afterAutospacing="0"/>
                    <w:ind w:left="0" w:right="0"/>
                    <w:rPr>
                      <w:rFonts w:hint="default"/>
                      <w:color w:val="auto"/>
                    </w:rPr>
                  </w:pPr>
                  <w:bookmarkStart w:id="4" w:name="_Hlk102404848"/>
                  <w:r>
                    <w:rPr>
                      <w:rFonts w:hint="default"/>
                      <w:color w:val="auto"/>
                    </w:rPr>
                    <w:t>类别</w:t>
                  </w:r>
                </w:p>
              </w:tc>
              <w:tc>
                <w:tcPr>
                  <w:tcW w:w="1098" w:type="pct"/>
                  <w:noWrap w:val="0"/>
                  <w:vAlign w:val="center"/>
                </w:tcPr>
                <w:p w14:paraId="7C8845A6">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工程名称</w:t>
                  </w:r>
                </w:p>
              </w:tc>
              <w:tc>
                <w:tcPr>
                  <w:tcW w:w="3016" w:type="pct"/>
                  <w:noWrap w:val="0"/>
                  <w:vAlign w:val="center"/>
                </w:tcPr>
                <w:p w14:paraId="58D2A571">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工程内容</w:t>
                  </w:r>
                </w:p>
              </w:tc>
              <w:tc>
                <w:tcPr>
                  <w:tcW w:w="421" w:type="pct"/>
                  <w:noWrap w:val="0"/>
                  <w:vAlign w:val="center"/>
                </w:tcPr>
                <w:p w14:paraId="4FE07B6B">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备注</w:t>
                  </w:r>
                </w:p>
              </w:tc>
            </w:tr>
            <w:tr w14:paraId="767D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noWrap w:val="0"/>
                  <w:vAlign w:val="center"/>
                </w:tcPr>
                <w:p w14:paraId="7DAFC2F2">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主体工程</w:t>
                  </w:r>
                </w:p>
              </w:tc>
              <w:tc>
                <w:tcPr>
                  <w:tcW w:w="1098" w:type="pct"/>
                  <w:noWrap w:val="0"/>
                  <w:vAlign w:val="center"/>
                </w:tcPr>
                <w:p w14:paraId="7DD1A235">
                  <w:pPr>
                    <w:pStyle w:val="138"/>
                    <w:keepNext w:val="0"/>
                    <w:keepLines w:val="0"/>
                    <w:suppressLineNumbers w:val="0"/>
                    <w:adjustRightInd w:val="0"/>
                    <w:snapToGrid w:val="0"/>
                    <w:spacing w:before="0" w:beforeAutospacing="0" w:after="0" w:afterAutospacing="0"/>
                    <w:ind w:left="0" w:right="0"/>
                    <w:rPr>
                      <w:rFonts w:hint="default"/>
                      <w:color w:val="auto"/>
                      <w:lang w:val="en-US" w:eastAsia="zh-CN"/>
                    </w:rPr>
                  </w:pPr>
                  <w:r>
                    <w:rPr>
                      <w:rFonts w:hint="eastAsia"/>
                      <w:color w:val="auto"/>
                      <w:lang w:val="en-US" w:eastAsia="zh-CN"/>
                    </w:rPr>
                    <w:t>活动型自动喷漆舱</w:t>
                  </w:r>
                </w:p>
              </w:tc>
              <w:tc>
                <w:tcPr>
                  <w:tcW w:w="3016" w:type="pct"/>
                  <w:noWrap w:val="0"/>
                  <w:vAlign w:val="center"/>
                </w:tcPr>
                <w:p w14:paraId="3876A6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olor w:val="auto"/>
                      <w:lang w:val="en-US" w:eastAsia="zh-CN"/>
                    </w:rPr>
                  </w:pPr>
                  <w:r>
                    <w:rPr>
                      <w:rFonts w:hint="eastAsia"/>
                      <w:color w:val="auto"/>
                      <w:highlight w:val="none"/>
                      <w:lang w:val="en-US" w:eastAsia="zh-CN"/>
                    </w:rPr>
                    <w:t>占地面积360m</w:t>
                  </w:r>
                  <w:r>
                    <w:rPr>
                      <w:rFonts w:hint="eastAsia"/>
                      <w:color w:val="auto"/>
                      <w:highlight w:val="none"/>
                      <w:vertAlign w:val="superscript"/>
                      <w:lang w:val="en-US" w:eastAsia="zh-CN"/>
                    </w:rPr>
                    <w:t>2</w:t>
                  </w:r>
                  <w:r>
                    <w:rPr>
                      <w:rFonts w:hint="eastAsia"/>
                      <w:color w:val="auto"/>
                      <w:highlight w:val="none"/>
                      <w:lang w:val="en-US" w:eastAsia="zh-CN"/>
                    </w:rPr>
                    <w:t>，位于布尔台煤矿厂区工业用地内东北侧</w:t>
                  </w:r>
                  <w:r>
                    <w:rPr>
                      <w:rFonts w:hint="eastAsia"/>
                      <w:color w:val="auto"/>
                      <w:lang w:val="en-US" w:eastAsia="zh-CN"/>
                    </w:rPr>
                    <w:t>，由框架主体、驱动装置、阻燃PVC布、电动卷帘门、防爆照明等组</w:t>
                  </w:r>
                  <w:r>
                    <w:rPr>
                      <w:rFonts w:hint="eastAsia" w:ascii="Times New Roman" w:hAnsi="Times New Roman" w:eastAsia="宋体" w:cs="Times New Roman"/>
                      <w:color w:val="auto"/>
                      <w:lang w:val="en-US" w:eastAsia="zh-CN"/>
                    </w:rPr>
                    <w:t>成的半封闭空房，形成涂装作业有效场所。活动型自动喷漆室尺寸为20000×1</w:t>
                  </w:r>
                  <w:r>
                    <w:rPr>
                      <w:rFonts w:hint="eastAsia" w:cs="Times New Roman"/>
                      <w:color w:val="auto"/>
                      <w:lang w:val="en-US" w:eastAsia="zh-CN"/>
                    </w:rPr>
                    <w:t>8</w:t>
                  </w:r>
                  <w:r>
                    <w:rPr>
                      <w:rFonts w:hint="eastAsia" w:ascii="Times New Roman" w:hAnsi="Times New Roman" w:eastAsia="宋体" w:cs="Times New Roman"/>
                      <w:color w:val="auto"/>
                      <w:lang w:val="en-US" w:eastAsia="zh-CN"/>
                    </w:rPr>
                    <w:t>000×5000mm，室体软接布为高强度阻燃PVC软帘布。喷完漆晾干后即完成喷漆作业。</w:t>
                  </w:r>
                </w:p>
              </w:tc>
              <w:tc>
                <w:tcPr>
                  <w:tcW w:w="421" w:type="pct"/>
                  <w:noWrap w:val="0"/>
                  <w:vAlign w:val="center"/>
                </w:tcPr>
                <w:p w14:paraId="526A44B2">
                  <w:pPr>
                    <w:keepNext w:val="0"/>
                    <w:keepLines w:val="0"/>
                    <w:suppressLineNumbers w:val="0"/>
                    <w:adjustRightInd w:val="0"/>
                    <w:snapToGrid w:val="0"/>
                    <w:spacing w:before="0" w:beforeAutospacing="0" w:after="0" w:afterAutospacing="0"/>
                    <w:ind w:left="0" w:right="0"/>
                    <w:jc w:val="center"/>
                    <w:rPr>
                      <w:rFonts w:hint="eastAsia"/>
                      <w:color w:val="auto"/>
                      <w:lang w:eastAsia="zh-CN"/>
                    </w:rPr>
                  </w:pPr>
                  <w:r>
                    <w:rPr>
                      <w:rFonts w:hint="eastAsia"/>
                      <w:color w:val="auto"/>
                      <w:lang w:val="en-US" w:eastAsia="zh-CN"/>
                    </w:rPr>
                    <w:t>新建</w:t>
                  </w:r>
                </w:p>
              </w:tc>
            </w:tr>
            <w:tr w14:paraId="2618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vMerge w:val="restart"/>
                  <w:noWrap w:val="0"/>
                  <w:vAlign w:val="center"/>
                </w:tcPr>
                <w:p w14:paraId="0B931144">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公用工程</w:t>
                  </w:r>
                </w:p>
              </w:tc>
              <w:tc>
                <w:tcPr>
                  <w:tcW w:w="1098" w:type="pct"/>
                  <w:noWrap w:val="0"/>
                  <w:vAlign w:val="center"/>
                </w:tcPr>
                <w:p w14:paraId="212DB09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给水工程</w:t>
                  </w:r>
                </w:p>
              </w:tc>
              <w:tc>
                <w:tcPr>
                  <w:tcW w:w="3016" w:type="pct"/>
                  <w:noWrap w:val="0"/>
                  <w:vAlign w:val="center"/>
                </w:tcPr>
                <w:p w14:paraId="28DDC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本项目无新增生活用水及生产用水</w:t>
                  </w:r>
                </w:p>
              </w:tc>
              <w:tc>
                <w:tcPr>
                  <w:tcW w:w="421" w:type="pct"/>
                  <w:noWrap w:val="0"/>
                  <w:vAlign w:val="center"/>
                </w:tcPr>
                <w:p w14:paraId="0E188475">
                  <w:pPr>
                    <w:pStyle w:val="138"/>
                    <w:keepNext w:val="0"/>
                    <w:keepLines w:val="0"/>
                    <w:suppressLineNumbers w:val="0"/>
                    <w:adjustRightInd w:val="0"/>
                    <w:snapToGrid w:val="0"/>
                    <w:spacing w:before="0" w:beforeAutospacing="0" w:after="0" w:afterAutospacing="0"/>
                    <w:ind w:left="0" w:right="0"/>
                    <w:rPr>
                      <w:rFonts w:hint="eastAsia"/>
                      <w:color w:val="auto"/>
                      <w:lang w:val="en-US" w:eastAsia="zh-CN"/>
                    </w:rPr>
                  </w:pPr>
                  <w:r>
                    <w:rPr>
                      <w:rFonts w:hint="eastAsia"/>
                      <w:color w:val="auto"/>
                      <w:lang w:val="en-US" w:eastAsia="zh-CN"/>
                    </w:rPr>
                    <w:t>/</w:t>
                  </w:r>
                </w:p>
              </w:tc>
            </w:tr>
            <w:tr w14:paraId="5435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vMerge w:val="continue"/>
                  <w:noWrap w:val="0"/>
                  <w:vAlign w:val="center"/>
                </w:tcPr>
                <w:p w14:paraId="27B04D3A">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4828F9C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排水工程</w:t>
                  </w:r>
                </w:p>
              </w:tc>
              <w:tc>
                <w:tcPr>
                  <w:tcW w:w="3016" w:type="pct"/>
                  <w:noWrap w:val="0"/>
                  <w:vAlign w:val="center"/>
                </w:tcPr>
                <w:p w14:paraId="2030115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本项目不新增生活用水，无生活污水产生；无生产废水产生</w:t>
                  </w:r>
                </w:p>
              </w:tc>
              <w:tc>
                <w:tcPr>
                  <w:tcW w:w="421" w:type="pct"/>
                  <w:noWrap w:val="0"/>
                  <w:vAlign w:val="center"/>
                </w:tcPr>
                <w:p w14:paraId="746B75D5">
                  <w:pPr>
                    <w:keepNext w:val="0"/>
                    <w:keepLines w:val="0"/>
                    <w:suppressLineNumbers w:val="0"/>
                    <w:adjustRightInd w:val="0"/>
                    <w:snapToGrid w:val="0"/>
                    <w:spacing w:before="0" w:beforeAutospacing="0" w:after="0" w:afterAutospacing="0"/>
                    <w:ind w:left="0" w:right="0"/>
                    <w:jc w:val="center"/>
                    <w:rPr>
                      <w:rFonts w:hint="eastAsia"/>
                      <w:color w:val="auto"/>
                      <w:lang w:val="en-US" w:eastAsia="zh-CN"/>
                    </w:rPr>
                  </w:pPr>
                  <w:r>
                    <w:rPr>
                      <w:rFonts w:hint="eastAsia"/>
                      <w:color w:val="auto"/>
                      <w:lang w:val="en-US" w:eastAsia="zh-CN"/>
                    </w:rPr>
                    <w:t>/</w:t>
                  </w:r>
                </w:p>
              </w:tc>
            </w:tr>
            <w:tr w14:paraId="707E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vMerge w:val="continue"/>
                  <w:noWrap w:val="0"/>
                  <w:vAlign w:val="center"/>
                </w:tcPr>
                <w:p w14:paraId="55C7A54C">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21469E14">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供电</w:t>
                  </w:r>
                </w:p>
              </w:tc>
              <w:tc>
                <w:tcPr>
                  <w:tcW w:w="3016" w:type="pct"/>
                  <w:noWrap w:val="0"/>
                  <w:vAlign w:val="center"/>
                </w:tcPr>
                <w:p w14:paraId="084C8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olor w:val="auto"/>
                    </w:rPr>
                  </w:pPr>
                  <w:r>
                    <w:rPr>
                      <w:rFonts w:hint="default"/>
                      <w:color w:val="auto"/>
                      <w:lang w:val="en-US"/>
                    </w:rPr>
                    <w:t>依托</w:t>
                  </w:r>
                  <w:r>
                    <w:rPr>
                      <w:rFonts w:hint="eastAsia"/>
                      <w:color w:val="auto"/>
                      <w:lang w:val="en-US" w:eastAsia="zh-CN"/>
                    </w:rPr>
                    <w:t>布尔台煤矿供电系统</w:t>
                  </w:r>
                </w:p>
              </w:tc>
              <w:tc>
                <w:tcPr>
                  <w:tcW w:w="421" w:type="pct"/>
                  <w:noWrap w:val="0"/>
                  <w:vAlign w:val="center"/>
                </w:tcPr>
                <w:p w14:paraId="7FD74856">
                  <w:pPr>
                    <w:keepNext w:val="0"/>
                    <w:keepLines w:val="0"/>
                    <w:suppressLineNumbers w:val="0"/>
                    <w:adjustRightInd w:val="0"/>
                    <w:snapToGrid w:val="0"/>
                    <w:spacing w:before="0" w:beforeAutospacing="0" w:after="0" w:afterAutospacing="0"/>
                    <w:ind w:left="0" w:right="0"/>
                    <w:rPr>
                      <w:rFonts w:hint="eastAsia"/>
                      <w:color w:val="auto"/>
                      <w:lang w:val="en-US" w:eastAsia="zh-CN"/>
                    </w:rPr>
                  </w:pPr>
                  <w:r>
                    <w:rPr>
                      <w:rFonts w:hint="eastAsia"/>
                      <w:color w:val="auto"/>
                      <w:lang w:val="en-US" w:eastAsia="zh-CN"/>
                    </w:rPr>
                    <w:t>依托</w:t>
                  </w:r>
                </w:p>
              </w:tc>
            </w:tr>
            <w:tr w14:paraId="5F99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64" w:type="pct"/>
                  <w:vMerge w:val="restart"/>
                  <w:noWrap w:val="0"/>
                  <w:vAlign w:val="center"/>
                </w:tcPr>
                <w:p w14:paraId="57081946">
                  <w:pPr>
                    <w:pStyle w:val="138"/>
                    <w:keepNext w:val="0"/>
                    <w:keepLines w:val="0"/>
                    <w:suppressLineNumbers w:val="0"/>
                    <w:adjustRightInd w:val="0"/>
                    <w:snapToGrid w:val="0"/>
                    <w:spacing w:before="0" w:beforeAutospacing="0" w:after="0" w:afterAutospacing="0"/>
                    <w:ind w:left="0" w:right="0"/>
                    <w:rPr>
                      <w:rFonts w:hint="default"/>
                      <w:color w:val="auto"/>
                    </w:rPr>
                  </w:pPr>
                  <w:r>
                    <w:rPr>
                      <w:rFonts w:hint="default"/>
                      <w:color w:val="auto"/>
                    </w:rPr>
                    <w:t>环保工程</w:t>
                  </w:r>
                </w:p>
              </w:tc>
              <w:tc>
                <w:tcPr>
                  <w:tcW w:w="1098" w:type="pct"/>
                  <w:noWrap w:val="0"/>
                  <w:vAlign w:val="center"/>
                </w:tcPr>
                <w:p w14:paraId="3231EDDE">
                  <w:pPr>
                    <w:keepNext w:val="0"/>
                    <w:keepLines w:val="0"/>
                    <w:suppressLineNumbers w:val="0"/>
                    <w:spacing w:before="0" w:beforeAutospacing="0" w:after="0" w:afterAutospacing="0"/>
                    <w:ind w:left="0" w:right="0"/>
                    <w:jc w:val="center"/>
                    <w:rPr>
                      <w:rFonts w:hint="default"/>
                      <w:color w:val="auto"/>
                      <w:lang w:val="en-US" w:eastAsia="zh-CN"/>
                    </w:rPr>
                  </w:pPr>
                  <w:r>
                    <w:rPr>
                      <w:rFonts w:hint="default"/>
                      <w:color w:val="auto"/>
                    </w:rPr>
                    <w:t>废气</w:t>
                  </w:r>
                </w:p>
              </w:tc>
              <w:tc>
                <w:tcPr>
                  <w:tcW w:w="3016" w:type="pct"/>
                  <w:noWrap w:val="0"/>
                  <w:vAlign w:val="center"/>
                </w:tcPr>
                <w:p w14:paraId="4D64F661">
                  <w:pPr>
                    <w:keepNext w:val="0"/>
                    <w:keepLines w:val="0"/>
                    <w:suppressLineNumbers w:val="0"/>
                    <w:spacing w:before="0" w:beforeAutospacing="0" w:after="0" w:afterAutospacing="0"/>
                    <w:ind w:left="0" w:leftChars="0" w:right="0" w:rightChars="0"/>
                    <w:jc w:val="center"/>
                    <w:rPr>
                      <w:rFonts w:hint="default"/>
                      <w:color w:val="auto"/>
                      <w:lang w:val="en-US" w:eastAsia="zh-CN"/>
                    </w:rPr>
                  </w:pPr>
                  <w:r>
                    <w:rPr>
                      <w:rFonts w:hint="eastAsia" w:cs="Times New Roman"/>
                      <w:b w:val="0"/>
                      <w:bCs w:val="0"/>
                      <w:color w:val="auto"/>
                      <w:sz w:val="21"/>
                      <w:szCs w:val="21"/>
                      <w:highlight w:val="none"/>
                      <w:lang w:val="en-US" w:eastAsia="zh-CN"/>
                    </w:rPr>
                    <w:t>G1喷漆、刷漆废气通过</w:t>
                  </w:r>
                  <w:r>
                    <w:rPr>
                      <w:rFonts w:hint="eastAsia" w:ascii="Times New Roman" w:hAnsi="Times New Roman" w:eastAsia="宋体" w:cs="Times New Roman"/>
                      <w:bCs w:val="0"/>
                      <w:color w:val="auto"/>
                      <w:kern w:val="2"/>
                      <w:sz w:val="21"/>
                      <w:szCs w:val="24"/>
                      <w:lang w:val="en-US" w:eastAsia="zh-CN" w:bidi="ar-SA"/>
                    </w:rPr>
                    <w:t>负压收集+纸箱式漆雾过滤器+F6中效过滤袋+F8中效过滤袋+</w:t>
                  </w:r>
                  <w:r>
                    <w:rPr>
                      <w:rFonts w:hint="default" w:ascii="Times New Roman" w:hAnsi="Times New Roman" w:eastAsia="宋体" w:cs="Times New Roman"/>
                      <w:bCs w:val="0"/>
                      <w:color w:val="auto"/>
                      <w:kern w:val="2"/>
                      <w:sz w:val="21"/>
                      <w:szCs w:val="24"/>
                      <w:lang w:val="en-US" w:eastAsia="zh-CN" w:bidi="ar-SA"/>
                    </w:rPr>
                    <w:t>活性炭</w:t>
                  </w:r>
                  <w:r>
                    <w:rPr>
                      <w:rFonts w:hint="eastAsia" w:ascii="Times New Roman" w:hAnsi="Times New Roman" w:eastAsia="宋体" w:cs="Times New Roman"/>
                      <w:bCs w:val="0"/>
                      <w:color w:val="auto"/>
                      <w:kern w:val="2"/>
                      <w:sz w:val="21"/>
                      <w:szCs w:val="24"/>
                      <w:lang w:val="en-US" w:eastAsia="zh-CN" w:bidi="ar-SA"/>
                    </w:rPr>
                    <w:t>吸附脱附</w:t>
                  </w:r>
                  <w:r>
                    <w:rPr>
                      <w:rFonts w:hint="default" w:ascii="Times New Roman" w:hAnsi="Times New Roman" w:eastAsia="宋体" w:cs="Times New Roman"/>
                      <w:bCs w:val="0"/>
                      <w:color w:val="auto"/>
                      <w:kern w:val="2"/>
                      <w:sz w:val="21"/>
                      <w:szCs w:val="24"/>
                      <w:lang w:val="en-US" w:eastAsia="zh-CN" w:bidi="ar-SA"/>
                    </w:rPr>
                    <w:t>+</w:t>
                  </w:r>
                  <w:r>
                    <w:rPr>
                      <w:rFonts w:hint="eastAsia" w:ascii="Times New Roman" w:hAnsi="Times New Roman" w:eastAsia="宋体" w:cs="Times New Roman"/>
                      <w:bCs w:val="0"/>
                      <w:color w:val="auto"/>
                      <w:kern w:val="2"/>
                      <w:sz w:val="21"/>
                      <w:szCs w:val="24"/>
                      <w:lang w:val="en-US" w:eastAsia="zh-CN" w:bidi="ar-SA"/>
                    </w:rPr>
                    <w:t>CO催化燃烧装置处理工艺处理后，经15m高排气筒（DA001）排放。</w:t>
                  </w:r>
                </w:p>
              </w:tc>
              <w:tc>
                <w:tcPr>
                  <w:tcW w:w="421" w:type="pct"/>
                  <w:vMerge w:val="restart"/>
                  <w:noWrap w:val="0"/>
                  <w:vAlign w:val="center"/>
                </w:tcPr>
                <w:p w14:paraId="7299898E">
                  <w:pPr>
                    <w:keepNext w:val="0"/>
                    <w:keepLines w:val="0"/>
                    <w:suppressLineNumbers w:val="0"/>
                    <w:spacing w:before="0" w:beforeAutospacing="0" w:after="0" w:afterAutospacing="0"/>
                    <w:ind w:left="0" w:right="0"/>
                    <w:jc w:val="center"/>
                    <w:rPr>
                      <w:rFonts w:hint="default"/>
                      <w:color w:val="auto"/>
                    </w:rPr>
                  </w:pPr>
                  <w:r>
                    <w:rPr>
                      <w:rFonts w:hint="eastAsia"/>
                      <w:color w:val="auto"/>
                    </w:rPr>
                    <w:t>“三同时”</w:t>
                  </w:r>
                </w:p>
              </w:tc>
            </w:tr>
            <w:tr w14:paraId="64C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vMerge w:val="continue"/>
                  <w:noWrap w:val="0"/>
                  <w:vAlign w:val="center"/>
                </w:tcPr>
                <w:p w14:paraId="3CF423EA">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6E187081">
                  <w:pPr>
                    <w:pStyle w:val="138"/>
                    <w:keepNext w:val="0"/>
                    <w:keepLines w:val="0"/>
                    <w:suppressLineNumbers w:val="0"/>
                    <w:adjustRightInd w:val="0"/>
                    <w:snapToGrid w:val="0"/>
                    <w:spacing w:before="0" w:beforeAutospacing="0" w:after="0" w:afterAutospacing="0"/>
                    <w:ind w:left="0" w:right="0"/>
                    <w:rPr>
                      <w:rFonts w:hint="eastAsia"/>
                      <w:color w:val="auto"/>
                      <w:lang w:val="en-US" w:eastAsia="zh-CN"/>
                    </w:rPr>
                  </w:pPr>
                  <w:r>
                    <w:rPr>
                      <w:rFonts w:hint="eastAsia"/>
                      <w:color w:val="auto"/>
                      <w:lang w:val="en-US" w:eastAsia="zh-CN"/>
                    </w:rPr>
                    <w:t>废水</w:t>
                  </w:r>
                </w:p>
              </w:tc>
              <w:tc>
                <w:tcPr>
                  <w:tcW w:w="3016" w:type="pct"/>
                  <w:noWrap w:val="0"/>
                  <w:vAlign w:val="center"/>
                </w:tcPr>
                <w:p w14:paraId="1DC1B95D">
                  <w:pPr>
                    <w:pStyle w:val="138"/>
                    <w:keepNext w:val="0"/>
                    <w:keepLines w:val="0"/>
                    <w:suppressLineNumbers w:val="0"/>
                    <w:adjustRightInd w:val="0"/>
                    <w:snapToGrid w:val="0"/>
                    <w:spacing w:before="0" w:beforeAutospacing="0" w:after="0" w:afterAutospacing="0"/>
                    <w:ind w:left="0" w:right="0"/>
                    <w:rPr>
                      <w:rFonts w:hint="default"/>
                      <w:color w:val="auto"/>
                      <w:lang w:val="en-US" w:eastAsia="zh-CN"/>
                    </w:rPr>
                  </w:pPr>
                  <w:r>
                    <w:rPr>
                      <w:rFonts w:hint="eastAsia" w:ascii="Times New Roman" w:hAnsi="Times New Roman" w:eastAsia="宋体" w:cs="Times New Roman"/>
                      <w:bCs w:val="0"/>
                      <w:color w:val="auto"/>
                      <w:kern w:val="2"/>
                      <w:sz w:val="21"/>
                      <w:szCs w:val="24"/>
                      <w:lang w:val="en-US" w:eastAsia="zh-CN" w:bidi="ar-SA"/>
                    </w:rPr>
                    <w:t>本项目不新增生活用水，无生活污水产生；无生产废水产生</w:t>
                  </w:r>
                </w:p>
              </w:tc>
              <w:tc>
                <w:tcPr>
                  <w:tcW w:w="421" w:type="pct"/>
                  <w:vMerge w:val="continue"/>
                  <w:noWrap w:val="0"/>
                  <w:vAlign w:val="center"/>
                </w:tcPr>
                <w:p w14:paraId="759A568D">
                  <w:pPr>
                    <w:pStyle w:val="138"/>
                    <w:keepNext w:val="0"/>
                    <w:keepLines w:val="0"/>
                    <w:suppressLineNumbers w:val="0"/>
                    <w:adjustRightInd w:val="0"/>
                    <w:snapToGrid w:val="0"/>
                    <w:spacing w:before="0" w:beforeAutospacing="0" w:after="0" w:afterAutospacing="0"/>
                    <w:ind w:left="0" w:right="0"/>
                    <w:rPr>
                      <w:rFonts w:hint="eastAsia"/>
                      <w:color w:val="auto"/>
                      <w:lang w:val="en-US" w:eastAsia="zh-CN"/>
                    </w:rPr>
                  </w:pPr>
                </w:p>
              </w:tc>
            </w:tr>
            <w:tr w14:paraId="009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64" w:type="pct"/>
                  <w:vMerge w:val="continue"/>
                  <w:noWrap w:val="0"/>
                  <w:vAlign w:val="center"/>
                </w:tcPr>
                <w:p w14:paraId="55208CE7">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7C836891">
                  <w:pPr>
                    <w:pStyle w:val="138"/>
                    <w:keepNext w:val="0"/>
                    <w:keepLines w:val="0"/>
                    <w:suppressLineNumbers w:val="0"/>
                    <w:adjustRightInd w:val="0"/>
                    <w:snapToGrid w:val="0"/>
                    <w:spacing w:before="0" w:beforeAutospacing="0" w:after="0" w:afterAutospacing="0"/>
                    <w:ind w:left="0" w:right="0"/>
                    <w:rPr>
                      <w:rFonts w:hint="default"/>
                      <w:color w:val="auto"/>
                      <w:lang w:val="en-US" w:eastAsia="zh-CN"/>
                    </w:rPr>
                  </w:pPr>
                  <w:r>
                    <w:rPr>
                      <w:rFonts w:hint="eastAsia"/>
                      <w:color w:val="auto"/>
                    </w:rPr>
                    <w:t>固废</w:t>
                  </w:r>
                </w:p>
              </w:tc>
              <w:tc>
                <w:tcPr>
                  <w:tcW w:w="3016" w:type="pct"/>
                  <w:noWrap w:val="0"/>
                  <w:vAlign w:val="center"/>
                </w:tcPr>
                <w:p w14:paraId="28D6D36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本项目不新增劳动定员，无生活垃圾产生。S1废水性漆、S2水性漆桶、S3废漆渣、S4废纸壳、S5废过滤棉、S6废过滤袋、S7废活性炭暂存于布尔台煤矿厂区危废暂存库</w:t>
                  </w:r>
                  <w:r>
                    <w:rPr>
                      <w:rFonts w:hint="default" w:ascii="Times New Roman" w:hAnsi="Times New Roman" w:eastAsia="宋体" w:cs="Times New Roman"/>
                      <w:bCs w:val="0"/>
                      <w:color w:val="auto"/>
                      <w:kern w:val="2"/>
                      <w:sz w:val="21"/>
                      <w:szCs w:val="24"/>
                      <w:lang w:val="en-US" w:eastAsia="zh-CN" w:bidi="ar-SA"/>
                    </w:rPr>
                    <w:t>，</w:t>
                  </w:r>
                  <w:r>
                    <w:rPr>
                      <w:rFonts w:hint="eastAsia" w:ascii="Times New Roman" w:hAnsi="Times New Roman" w:eastAsia="宋体" w:cs="Times New Roman"/>
                      <w:bCs w:val="0"/>
                      <w:color w:val="auto"/>
                      <w:kern w:val="2"/>
                      <w:sz w:val="21"/>
                      <w:szCs w:val="24"/>
                      <w:lang w:val="en-US" w:eastAsia="zh-CN" w:bidi="ar-SA"/>
                    </w:rPr>
                    <w:t>定期</w:t>
                  </w:r>
                  <w:r>
                    <w:rPr>
                      <w:rFonts w:hint="default" w:ascii="Times New Roman" w:hAnsi="Times New Roman" w:eastAsia="宋体" w:cs="Times New Roman"/>
                      <w:bCs w:val="0"/>
                      <w:color w:val="auto"/>
                      <w:kern w:val="2"/>
                      <w:sz w:val="21"/>
                      <w:szCs w:val="24"/>
                      <w:lang w:val="en-US" w:eastAsia="zh-CN" w:bidi="ar-SA"/>
                    </w:rPr>
                    <w:t>委托有资质单位处置</w:t>
                  </w:r>
                  <w:r>
                    <w:rPr>
                      <w:rFonts w:hint="eastAsia" w:ascii="Times New Roman" w:hAnsi="Times New Roman" w:eastAsia="宋体" w:cs="Times New Roman"/>
                      <w:bCs w:val="0"/>
                      <w:color w:val="auto"/>
                      <w:kern w:val="2"/>
                      <w:sz w:val="21"/>
                      <w:szCs w:val="24"/>
                      <w:lang w:val="en-US" w:eastAsia="zh-CN" w:bidi="ar-SA"/>
                    </w:rPr>
                    <w:t>。S8废催化剂定期由厂家更换处置回收，不在厂内进行暂存。</w:t>
                  </w:r>
                </w:p>
              </w:tc>
              <w:tc>
                <w:tcPr>
                  <w:tcW w:w="421" w:type="pct"/>
                  <w:vMerge w:val="continue"/>
                  <w:noWrap w:val="0"/>
                  <w:vAlign w:val="center"/>
                </w:tcPr>
                <w:p w14:paraId="19C48D94">
                  <w:pPr>
                    <w:pStyle w:val="138"/>
                    <w:keepNext w:val="0"/>
                    <w:keepLines w:val="0"/>
                    <w:suppressLineNumbers w:val="0"/>
                    <w:adjustRightInd w:val="0"/>
                    <w:snapToGrid w:val="0"/>
                    <w:spacing w:before="0" w:beforeAutospacing="0" w:after="0" w:afterAutospacing="0"/>
                    <w:ind w:left="0" w:right="0"/>
                    <w:rPr>
                      <w:rFonts w:hint="default"/>
                      <w:color w:val="auto"/>
                    </w:rPr>
                  </w:pPr>
                </w:p>
              </w:tc>
            </w:tr>
            <w:tr w14:paraId="4A5C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pct"/>
                  <w:vMerge w:val="continue"/>
                  <w:noWrap w:val="0"/>
                  <w:vAlign w:val="center"/>
                </w:tcPr>
                <w:p w14:paraId="3AFD0D19">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4C445605">
                  <w:pPr>
                    <w:pStyle w:val="138"/>
                    <w:keepNext w:val="0"/>
                    <w:keepLines w:val="0"/>
                    <w:suppressLineNumbers w:val="0"/>
                    <w:adjustRightInd w:val="0"/>
                    <w:snapToGrid w:val="0"/>
                    <w:spacing w:before="0" w:beforeAutospacing="0" w:after="0" w:afterAutospacing="0"/>
                    <w:ind w:left="0" w:right="0"/>
                    <w:rPr>
                      <w:rFonts w:hint="eastAsia"/>
                      <w:color w:val="auto"/>
                      <w:lang w:val="en-US" w:eastAsia="zh-CN"/>
                    </w:rPr>
                  </w:pPr>
                  <w:r>
                    <w:rPr>
                      <w:rFonts w:hint="eastAsia"/>
                      <w:color w:val="auto"/>
                      <w:lang w:val="en-US" w:eastAsia="zh-CN"/>
                    </w:rPr>
                    <w:t>噪声</w:t>
                  </w:r>
                </w:p>
              </w:tc>
              <w:tc>
                <w:tcPr>
                  <w:tcW w:w="3016" w:type="pct"/>
                  <w:noWrap w:val="0"/>
                  <w:vAlign w:val="center"/>
                </w:tcPr>
                <w:p w14:paraId="6502877B">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Cs w:val="0"/>
                      <w:color w:val="auto"/>
                      <w:kern w:val="2"/>
                      <w:sz w:val="21"/>
                      <w:szCs w:val="24"/>
                      <w:lang w:val="en-US" w:eastAsia="zh-CN" w:bidi="ar-SA"/>
                    </w:rPr>
                  </w:pPr>
                  <w:r>
                    <w:rPr>
                      <w:rFonts w:hint="eastAsia" w:ascii="Times New Roman" w:hAnsi="Times New Roman" w:eastAsia="宋体" w:cs="Times New Roman"/>
                      <w:bCs w:val="0"/>
                      <w:color w:val="auto"/>
                      <w:kern w:val="2"/>
                      <w:sz w:val="21"/>
                      <w:szCs w:val="24"/>
                      <w:lang w:val="en-US" w:eastAsia="zh-CN" w:bidi="ar-SA"/>
                    </w:rPr>
                    <w:t>生产设备选用低噪音设备，设备安装</w:t>
                  </w:r>
                  <w:r>
                    <w:rPr>
                      <w:rFonts w:hint="eastAsia" w:cs="Times New Roman"/>
                      <w:bCs w:val="0"/>
                      <w:color w:val="auto"/>
                      <w:kern w:val="2"/>
                      <w:sz w:val="21"/>
                      <w:szCs w:val="24"/>
                      <w:lang w:val="en-US" w:eastAsia="zh-CN" w:bidi="ar-SA"/>
                    </w:rPr>
                    <w:t>减振</w:t>
                  </w:r>
                  <w:r>
                    <w:rPr>
                      <w:rFonts w:hint="eastAsia" w:ascii="Times New Roman" w:hAnsi="Times New Roman" w:eastAsia="宋体" w:cs="Times New Roman"/>
                      <w:bCs w:val="0"/>
                      <w:color w:val="auto"/>
                      <w:kern w:val="2"/>
                      <w:sz w:val="21"/>
                      <w:szCs w:val="24"/>
                      <w:lang w:val="en-US" w:eastAsia="zh-CN" w:bidi="ar-SA"/>
                    </w:rPr>
                    <w:t>垫，车间墙体隔声，加强设备的维护保养。</w:t>
                  </w:r>
                </w:p>
              </w:tc>
              <w:tc>
                <w:tcPr>
                  <w:tcW w:w="421" w:type="pct"/>
                  <w:vMerge w:val="continue"/>
                  <w:noWrap w:val="0"/>
                  <w:vAlign w:val="center"/>
                </w:tcPr>
                <w:p w14:paraId="599E7978">
                  <w:pPr>
                    <w:pStyle w:val="138"/>
                    <w:keepNext w:val="0"/>
                    <w:keepLines w:val="0"/>
                    <w:suppressLineNumbers w:val="0"/>
                    <w:adjustRightInd w:val="0"/>
                    <w:snapToGrid w:val="0"/>
                    <w:spacing w:before="0" w:beforeAutospacing="0" w:after="0" w:afterAutospacing="0"/>
                    <w:ind w:left="0" w:right="0"/>
                    <w:rPr>
                      <w:rFonts w:hint="default"/>
                      <w:color w:val="auto"/>
                    </w:rPr>
                  </w:pPr>
                </w:p>
              </w:tc>
            </w:tr>
            <w:tr w14:paraId="43A6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4" w:type="pct"/>
                  <w:vMerge w:val="continue"/>
                  <w:noWrap w:val="0"/>
                  <w:vAlign w:val="center"/>
                </w:tcPr>
                <w:p w14:paraId="121097D0">
                  <w:pPr>
                    <w:pStyle w:val="138"/>
                    <w:keepNext w:val="0"/>
                    <w:keepLines w:val="0"/>
                    <w:suppressLineNumbers w:val="0"/>
                    <w:adjustRightInd w:val="0"/>
                    <w:snapToGrid w:val="0"/>
                    <w:spacing w:before="0" w:beforeAutospacing="0" w:after="0" w:afterAutospacing="0"/>
                    <w:ind w:left="0" w:right="0"/>
                    <w:rPr>
                      <w:rFonts w:hint="default"/>
                      <w:color w:val="auto"/>
                    </w:rPr>
                  </w:pPr>
                </w:p>
              </w:tc>
              <w:tc>
                <w:tcPr>
                  <w:tcW w:w="1098" w:type="pct"/>
                  <w:noWrap w:val="0"/>
                  <w:vAlign w:val="center"/>
                </w:tcPr>
                <w:p w14:paraId="11D7F8F2">
                  <w:pPr>
                    <w:pStyle w:val="138"/>
                    <w:keepNext w:val="0"/>
                    <w:keepLines w:val="0"/>
                    <w:suppressLineNumbers w:val="0"/>
                    <w:adjustRightInd w:val="0"/>
                    <w:snapToGrid w:val="0"/>
                    <w:spacing w:before="0" w:beforeAutospacing="0" w:after="0" w:afterAutospacing="0"/>
                    <w:ind w:left="0" w:right="0"/>
                    <w:rPr>
                      <w:rFonts w:hint="eastAsia"/>
                      <w:color w:val="auto"/>
                      <w:lang w:val="en-US" w:eastAsia="zh-CN"/>
                    </w:rPr>
                  </w:pPr>
                  <w:r>
                    <w:rPr>
                      <w:rFonts w:hint="default"/>
                      <w:color w:val="auto"/>
                    </w:rPr>
                    <w:t>防渗工程</w:t>
                  </w:r>
                </w:p>
              </w:tc>
              <w:tc>
                <w:tcPr>
                  <w:tcW w:w="3016" w:type="pct"/>
                  <w:noWrap w:val="0"/>
                  <w:vAlign w:val="center"/>
                </w:tcPr>
                <w:p w14:paraId="41B5FA7C">
                  <w:pPr>
                    <w:pStyle w:val="138"/>
                    <w:keepNext w:val="0"/>
                    <w:keepLines w:val="0"/>
                    <w:suppressLineNumbers w:val="0"/>
                    <w:adjustRightInd w:val="0"/>
                    <w:snapToGrid w:val="0"/>
                    <w:spacing w:before="0" w:beforeAutospacing="0" w:after="0" w:afterAutospacing="0"/>
                    <w:ind w:left="0" w:right="0"/>
                    <w:jc w:val="both"/>
                    <w:rPr>
                      <w:rFonts w:hint="eastAsia"/>
                      <w:color w:val="auto"/>
                      <w:lang w:val="en-US" w:eastAsia="zh-CN"/>
                    </w:rPr>
                  </w:pPr>
                  <w:r>
                    <w:rPr>
                      <w:rFonts w:hint="eastAsia"/>
                      <w:color w:val="auto"/>
                      <w:szCs w:val="21"/>
                    </w:rPr>
                    <w:t>车间</w:t>
                  </w:r>
                  <w:r>
                    <w:rPr>
                      <w:rFonts w:hint="default"/>
                      <w:color w:val="auto"/>
                      <w:szCs w:val="21"/>
                    </w:rPr>
                    <w:t>地面均采取混凝土硬化</w:t>
                  </w:r>
                  <w:r>
                    <w:rPr>
                      <w:rFonts w:hint="eastAsia"/>
                      <w:color w:val="auto"/>
                      <w:szCs w:val="21"/>
                      <w:lang w:val="en-US" w:eastAsia="zh-CN"/>
                    </w:rPr>
                    <w:t>+</w:t>
                  </w:r>
                  <w:r>
                    <w:rPr>
                      <w:rFonts w:hint="eastAsia"/>
                      <w:color w:val="auto"/>
                      <w:lang w:val="en-US" w:eastAsia="zh-CN"/>
                    </w:rPr>
                    <w:t>HDPE膜</w:t>
                  </w:r>
                  <w:r>
                    <w:rPr>
                      <w:rFonts w:hint="default"/>
                      <w:color w:val="auto"/>
                      <w:szCs w:val="21"/>
                    </w:rPr>
                    <w:t>防渗措施，防渗性能均满足一般防渗要求（等效黏土防渗层Mb≥1.5m，渗透系数≤1.0×10</w:t>
                  </w:r>
                  <w:r>
                    <w:rPr>
                      <w:rFonts w:hint="default"/>
                      <w:color w:val="auto"/>
                      <w:szCs w:val="21"/>
                      <w:vertAlign w:val="superscript"/>
                    </w:rPr>
                    <w:t>-7</w:t>
                  </w:r>
                  <w:r>
                    <w:rPr>
                      <w:rFonts w:hint="default"/>
                      <w:color w:val="auto"/>
                      <w:szCs w:val="21"/>
                    </w:rPr>
                    <w:t>cm/s）。</w:t>
                  </w:r>
                </w:p>
              </w:tc>
              <w:tc>
                <w:tcPr>
                  <w:tcW w:w="421" w:type="pct"/>
                  <w:vMerge w:val="continue"/>
                  <w:noWrap w:val="0"/>
                  <w:vAlign w:val="center"/>
                </w:tcPr>
                <w:p w14:paraId="34CBE59A">
                  <w:pPr>
                    <w:pStyle w:val="138"/>
                    <w:keepNext w:val="0"/>
                    <w:keepLines w:val="0"/>
                    <w:suppressLineNumbers w:val="0"/>
                    <w:adjustRightInd w:val="0"/>
                    <w:snapToGrid w:val="0"/>
                    <w:spacing w:before="0" w:beforeAutospacing="0" w:after="0" w:afterAutospacing="0"/>
                    <w:ind w:left="0" w:right="0"/>
                    <w:rPr>
                      <w:rFonts w:hint="default"/>
                      <w:color w:val="auto"/>
                    </w:rPr>
                  </w:pPr>
                </w:p>
              </w:tc>
            </w:tr>
            <w:bookmarkEnd w:id="4"/>
          </w:tbl>
          <w:p w14:paraId="04BCABDD">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5.主要设备</w:t>
            </w:r>
          </w:p>
          <w:p w14:paraId="307CBA0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本项目主要设施见下表。</w:t>
            </w:r>
          </w:p>
          <w:p w14:paraId="4FDED99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表2</w:t>
            </w:r>
            <w:r>
              <w:rPr>
                <w:rFonts w:hint="eastAsia" w:cs="Times New Roman"/>
                <w:b/>
                <w:bCs/>
                <w:color w:val="auto"/>
                <w:sz w:val="24"/>
                <w:szCs w:val="24"/>
                <w:lang w:val="en-US" w:eastAsia="zh-CN"/>
              </w:rPr>
              <w:t>-2</w:t>
            </w:r>
            <w:r>
              <w:rPr>
                <w:rFonts w:hint="eastAsia" w:ascii="Times New Roman" w:hAnsi="Times New Roman" w:eastAsia="宋体" w:cs="Times New Roman"/>
                <w:b/>
                <w:bCs/>
                <w:color w:val="auto"/>
                <w:sz w:val="24"/>
                <w:szCs w:val="24"/>
              </w:rPr>
              <w:t xml:space="preserve">  主要设施一览表</w:t>
            </w:r>
          </w:p>
          <w:tbl>
            <w:tblPr>
              <w:tblStyle w:val="3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4278"/>
              <w:gridCol w:w="1394"/>
              <w:gridCol w:w="948"/>
            </w:tblGrid>
            <w:tr w14:paraId="0BE49E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6" w:type="pct"/>
                  <w:tcBorders>
                    <w:left w:val="single" w:color="auto" w:sz="0" w:space="0"/>
                    <w:tl2br w:val="nil"/>
                    <w:tr2bl w:val="nil"/>
                  </w:tcBorders>
                  <w:noWrap w:val="0"/>
                  <w:vAlign w:val="center"/>
                </w:tcPr>
                <w:p w14:paraId="181ECED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名称</w:t>
                  </w:r>
                </w:p>
              </w:tc>
              <w:tc>
                <w:tcPr>
                  <w:tcW w:w="2541" w:type="pct"/>
                  <w:tcBorders>
                    <w:tl2br w:val="nil"/>
                    <w:tr2bl w:val="nil"/>
                  </w:tcBorders>
                  <w:noWrap w:val="0"/>
                  <w:vAlign w:val="center"/>
                </w:tcPr>
                <w:p w14:paraId="6E476DF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规格型号</w:t>
                  </w:r>
                </w:p>
              </w:tc>
              <w:tc>
                <w:tcPr>
                  <w:tcW w:w="828" w:type="pct"/>
                  <w:tcBorders>
                    <w:tl2br w:val="nil"/>
                    <w:tr2bl w:val="nil"/>
                  </w:tcBorders>
                  <w:noWrap w:val="0"/>
                  <w:vAlign w:val="center"/>
                </w:tcPr>
                <w:p w14:paraId="0BBE758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单位</w:t>
                  </w:r>
                </w:p>
              </w:tc>
              <w:tc>
                <w:tcPr>
                  <w:tcW w:w="563" w:type="pct"/>
                  <w:tcBorders>
                    <w:right w:val="single" w:color="auto" w:sz="4" w:space="0"/>
                    <w:tl2br w:val="nil"/>
                    <w:tr2bl w:val="nil"/>
                  </w:tcBorders>
                  <w:noWrap w:val="0"/>
                  <w:vAlign w:val="center"/>
                </w:tcPr>
                <w:p w14:paraId="0A8F5FB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数量</w:t>
                  </w:r>
                </w:p>
              </w:tc>
            </w:tr>
            <w:tr w14:paraId="0B73B2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6" w:type="pct"/>
                  <w:tcBorders>
                    <w:left w:val="single" w:color="auto" w:sz="4" w:space="0"/>
                    <w:tl2br w:val="nil"/>
                    <w:tr2bl w:val="nil"/>
                  </w:tcBorders>
                  <w:noWrap w:val="0"/>
                  <w:vAlign w:val="center"/>
                </w:tcPr>
                <w:p w14:paraId="2323ED4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移动伸缩喷漆房</w:t>
                  </w:r>
                </w:p>
              </w:tc>
              <w:tc>
                <w:tcPr>
                  <w:tcW w:w="2541" w:type="pct"/>
                  <w:tcBorders>
                    <w:tl2br w:val="nil"/>
                    <w:tr2bl w:val="nil"/>
                  </w:tcBorders>
                  <w:noWrap w:val="0"/>
                  <w:vAlign w:val="center"/>
                </w:tcPr>
                <w:p w14:paraId="7554775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DLSC20189（L×W×H=20000×1</w:t>
                  </w:r>
                  <w:r>
                    <w:rPr>
                      <w:rFonts w:hint="eastAsia" w:cs="Times New Roman"/>
                      <w:color w:val="auto"/>
                      <w:lang w:val="en-US" w:eastAsia="zh-CN"/>
                    </w:rPr>
                    <w:t>8</w:t>
                  </w:r>
                  <w:r>
                    <w:rPr>
                      <w:rFonts w:hint="eastAsia" w:ascii="Times New Roman" w:hAnsi="Times New Roman" w:eastAsia="宋体" w:cs="Times New Roman"/>
                      <w:color w:val="auto"/>
                      <w:lang w:val="en-US" w:eastAsia="zh-CN"/>
                    </w:rPr>
                    <w:t>000×5000mm）</w:t>
                  </w:r>
                </w:p>
              </w:tc>
              <w:tc>
                <w:tcPr>
                  <w:tcW w:w="828" w:type="pct"/>
                  <w:tcBorders>
                    <w:tl2br w:val="nil"/>
                    <w:tr2bl w:val="nil"/>
                  </w:tcBorders>
                  <w:noWrap w:val="0"/>
                  <w:vAlign w:val="center"/>
                </w:tcPr>
                <w:p w14:paraId="2615EC32">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台（套）</w:t>
                  </w:r>
                </w:p>
              </w:tc>
              <w:tc>
                <w:tcPr>
                  <w:tcW w:w="563" w:type="pct"/>
                  <w:tcBorders>
                    <w:right w:val="single" w:color="auto" w:sz="4" w:space="0"/>
                    <w:tl2br w:val="nil"/>
                    <w:tr2bl w:val="nil"/>
                  </w:tcBorders>
                  <w:noWrap w:val="0"/>
                  <w:vAlign w:val="center"/>
                </w:tcPr>
                <w:p w14:paraId="25DD094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r>
            <w:tr w14:paraId="2627DB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6" w:type="pct"/>
                  <w:tcBorders>
                    <w:left w:val="single" w:color="auto" w:sz="4" w:space="0"/>
                    <w:tl2br w:val="nil"/>
                    <w:tr2bl w:val="nil"/>
                  </w:tcBorders>
                  <w:noWrap w:val="0"/>
                  <w:vAlign w:val="center"/>
                </w:tcPr>
                <w:p w14:paraId="2A8B35D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漆雾过滤器</w:t>
                  </w:r>
                </w:p>
              </w:tc>
              <w:tc>
                <w:tcPr>
                  <w:tcW w:w="2541" w:type="pct"/>
                  <w:tcBorders>
                    <w:tl2br w:val="nil"/>
                    <w:tr2bl w:val="nil"/>
                  </w:tcBorders>
                  <w:noWrap w:val="0"/>
                  <w:vAlign w:val="center"/>
                </w:tcPr>
                <w:p w14:paraId="1D51A8E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bCs w:val="0"/>
                      <w:color w:val="auto"/>
                      <w:kern w:val="2"/>
                      <w:sz w:val="21"/>
                      <w:szCs w:val="21"/>
                      <w:lang w:val="en-US" w:eastAsia="zh-CN" w:bidi="ar-SA"/>
                    </w:rPr>
                    <w:t>纸箱式漆雾过滤器+F6中效过滤袋+F8中效过滤袋</w:t>
                  </w:r>
                  <w:r>
                    <w:rPr>
                      <w:rFonts w:hint="eastAsia" w:ascii="Times New Roman" w:hAnsi="Times New Roman" w:eastAsia="宋体" w:cs="Times New Roman"/>
                      <w:color w:val="auto"/>
                      <w:lang w:val="en-US" w:eastAsia="zh-CN"/>
                    </w:rPr>
                    <w:t>，净化效率98%</w:t>
                  </w:r>
                </w:p>
              </w:tc>
              <w:tc>
                <w:tcPr>
                  <w:tcW w:w="828" w:type="pct"/>
                  <w:tcBorders>
                    <w:tl2br w:val="nil"/>
                    <w:tr2bl w:val="nil"/>
                  </w:tcBorders>
                  <w:noWrap w:val="0"/>
                  <w:vAlign w:val="center"/>
                </w:tcPr>
                <w:p w14:paraId="4D578FF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台（套）</w:t>
                  </w:r>
                </w:p>
              </w:tc>
              <w:tc>
                <w:tcPr>
                  <w:tcW w:w="563" w:type="pct"/>
                  <w:tcBorders>
                    <w:right w:val="single" w:color="auto" w:sz="4" w:space="0"/>
                    <w:tl2br w:val="nil"/>
                    <w:tr2bl w:val="nil"/>
                  </w:tcBorders>
                  <w:noWrap w:val="0"/>
                  <w:vAlign w:val="center"/>
                </w:tcPr>
                <w:p w14:paraId="691D7D1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r>
            <w:tr w14:paraId="707D21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6" w:type="pct"/>
                  <w:tcBorders>
                    <w:left w:val="single" w:color="auto" w:sz="4" w:space="0"/>
                    <w:tl2br w:val="nil"/>
                    <w:tr2bl w:val="nil"/>
                  </w:tcBorders>
                  <w:noWrap w:val="0"/>
                  <w:vAlign w:val="center"/>
                </w:tcPr>
                <w:p w14:paraId="3FF865AE">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有机废气处理装置</w:t>
                  </w:r>
                </w:p>
              </w:tc>
              <w:tc>
                <w:tcPr>
                  <w:tcW w:w="2541" w:type="pct"/>
                  <w:tcBorders>
                    <w:tl2br w:val="nil"/>
                    <w:tr2bl w:val="nil"/>
                  </w:tcBorders>
                  <w:noWrap w:val="0"/>
                  <w:vAlign w:val="center"/>
                </w:tcPr>
                <w:p w14:paraId="78007AAA">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活性炭吸附脱附+CO催化燃烧</w:t>
                  </w:r>
                </w:p>
              </w:tc>
              <w:tc>
                <w:tcPr>
                  <w:tcW w:w="828" w:type="pct"/>
                  <w:tcBorders>
                    <w:tl2br w:val="nil"/>
                    <w:tr2bl w:val="nil"/>
                  </w:tcBorders>
                  <w:noWrap w:val="0"/>
                  <w:vAlign w:val="center"/>
                </w:tcPr>
                <w:p w14:paraId="04506B0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台（套）</w:t>
                  </w:r>
                </w:p>
              </w:tc>
              <w:tc>
                <w:tcPr>
                  <w:tcW w:w="563" w:type="pct"/>
                  <w:tcBorders>
                    <w:right w:val="single" w:color="auto" w:sz="4" w:space="0"/>
                    <w:tl2br w:val="nil"/>
                    <w:tr2bl w:val="nil"/>
                  </w:tcBorders>
                  <w:noWrap w:val="0"/>
                  <w:vAlign w:val="center"/>
                </w:tcPr>
                <w:p w14:paraId="160AA27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r>
            <w:tr w14:paraId="5352AA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6" w:type="pct"/>
                  <w:tcBorders>
                    <w:left w:val="single" w:color="auto" w:sz="4" w:space="0"/>
                    <w:tl2br w:val="nil"/>
                    <w:tr2bl w:val="nil"/>
                  </w:tcBorders>
                  <w:noWrap w:val="0"/>
                  <w:vAlign w:val="center"/>
                </w:tcPr>
                <w:p w14:paraId="15C262E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引风机</w:t>
                  </w:r>
                </w:p>
              </w:tc>
              <w:tc>
                <w:tcPr>
                  <w:tcW w:w="2541" w:type="pct"/>
                  <w:tcBorders>
                    <w:tl2br w:val="nil"/>
                    <w:tr2bl w:val="nil"/>
                  </w:tcBorders>
                  <w:noWrap w:val="0"/>
                  <w:vAlign w:val="center"/>
                </w:tcPr>
                <w:p w14:paraId="0D88C7E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vertAlign w:val="baseline"/>
                      <w:lang w:val="en-US" w:eastAsia="zh-CN"/>
                    </w:rPr>
                  </w:pPr>
                  <w:r>
                    <w:rPr>
                      <w:rFonts w:hint="eastAsia" w:ascii="Times New Roman" w:hAnsi="Times New Roman" w:eastAsia="宋体" w:cs="Times New Roman"/>
                      <w:color w:val="auto"/>
                      <w:lang w:val="en-US" w:eastAsia="zh-CN"/>
                    </w:rPr>
                    <w:t>B4-72NO16B（81000m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vertAlign w:val="baseline"/>
                      <w:lang w:val="en-US" w:eastAsia="zh-CN"/>
                    </w:rPr>
                    <w:t>/h</w:t>
                  </w:r>
                  <w:r>
                    <w:rPr>
                      <w:rFonts w:hint="eastAsia" w:ascii="Times New Roman" w:hAnsi="Times New Roman" w:eastAsia="宋体" w:cs="Times New Roman"/>
                      <w:color w:val="auto"/>
                      <w:lang w:val="en-US" w:eastAsia="zh-CN"/>
                    </w:rPr>
                    <w:t>），集气效率98%</w:t>
                  </w:r>
                </w:p>
              </w:tc>
              <w:tc>
                <w:tcPr>
                  <w:tcW w:w="828" w:type="pct"/>
                  <w:tcBorders>
                    <w:tl2br w:val="nil"/>
                    <w:tr2bl w:val="nil"/>
                  </w:tcBorders>
                  <w:noWrap w:val="0"/>
                  <w:vAlign w:val="center"/>
                </w:tcPr>
                <w:p w14:paraId="570EB28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台（套）</w:t>
                  </w:r>
                </w:p>
              </w:tc>
              <w:tc>
                <w:tcPr>
                  <w:tcW w:w="563" w:type="pct"/>
                  <w:tcBorders>
                    <w:right w:val="single" w:color="auto" w:sz="4" w:space="0"/>
                    <w:tl2br w:val="nil"/>
                    <w:tr2bl w:val="nil"/>
                  </w:tcBorders>
                  <w:noWrap w:val="0"/>
                  <w:vAlign w:val="center"/>
                </w:tcPr>
                <w:p w14:paraId="69A2D45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r>
          </w:tbl>
          <w:p w14:paraId="1A9144D1">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6</w:t>
            </w:r>
            <w:r>
              <w:rPr>
                <w:rFonts w:hint="eastAsia" w:ascii="Times New Roman" w:hAnsi="Times New Roman" w:eastAsia="宋体" w:cs="Times New Roman"/>
                <w:b/>
                <w:bCs/>
                <w:color w:val="auto"/>
                <w:sz w:val="24"/>
                <w:lang w:val="en-US" w:eastAsia="zh-CN"/>
              </w:rPr>
              <w:t>.</w:t>
            </w:r>
            <w:r>
              <w:rPr>
                <w:rFonts w:hint="eastAsia" w:ascii="Times New Roman" w:hAnsi="Times New Roman" w:cs="Times New Roman"/>
                <w:b/>
                <w:bCs/>
                <w:color w:val="auto"/>
                <w:sz w:val="24"/>
                <w:lang w:val="en-US" w:eastAsia="zh-CN"/>
              </w:rPr>
              <w:t>产品方案</w:t>
            </w:r>
          </w:p>
          <w:p w14:paraId="5A19F946">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本项目主要是对布尔台煤矿在实际生产运行过程中需对一些小型设备、预制好的零部件、煤矿自行焊接的一些小型设备进行刷漆、喷漆，</w:t>
            </w:r>
            <w:r>
              <w:rPr>
                <w:rFonts w:hint="eastAsia"/>
                <w:b w:val="0"/>
                <w:bCs w:val="0"/>
                <w:color w:val="auto"/>
                <w:kern w:val="0"/>
                <w:sz w:val="24"/>
                <w:highlight w:val="none"/>
                <w:lang w:val="en-US" w:eastAsia="zh-CN"/>
              </w:rPr>
              <w:t>年喷漆约300套设备，</w:t>
            </w:r>
            <w:r>
              <w:rPr>
                <w:rFonts w:hint="eastAsia" w:ascii="Times New Roman" w:hAnsi="Times New Roman" w:eastAsia="宋体" w:cs="Times New Roman"/>
                <w:b w:val="0"/>
                <w:bCs w:val="0"/>
                <w:color w:val="auto"/>
                <w:sz w:val="24"/>
                <w:lang w:val="en-US" w:eastAsia="zh-CN"/>
              </w:rPr>
              <w:t>主要产品方案见下表。</w:t>
            </w:r>
          </w:p>
          <w:p w14:paraId="20068245">
            <w:pPr>
              <w:keepNext w:val="0"/>
              <w:keepLines w:val="0"/>
              <w:suppressLineNumbers w:val="0"/>
              <w:adjustRightInd w:val="0"/>
              <w:spacing w:before="0" w:beforeAutospacing="0" w:after="0" w:afterAutospacing="0"/>
              <w:ind w:left="0" w:right="0"/>
              <w:jc w:val="center"/>
              <w:textAlignment w:val="baseline"/>
              <w:rPr>
                <w:rFonts w:hint="default" w:ascii="Times New Roman" w:hAnsi="Times New Roman" w:cs="Times New Roman" w:eastAsiaTheme="minorEastAsia"/>
                <w:b/>
                <w:bCs/>
                <w:color w:val="auto"/>
                <w:sz w:val="24"/>
                <w:szCs w:val="32"/>
                <w:highlight w:val="none"/>
              </w:rPr>
            </w:pPr>
            <w:r>
              <w:rPr>
                <w:rFonts w:hint="default" w:ascii="Times New Roman" w:hAnsi="Times New Roman" w:cs="Times New Roman" w:eastAsiaTheme="minorEastAsia"/>
                <w:b/>
                <w:bCs/>
                <w:color w:val="auto"/>
                <w:sz w:val="24"/>
                <w:szCs w:val="32"/>
                <w:highlight w:val="none"/>
              </w:rPr>
              <w:t>表2-3  本项目生产规模及产品方案</w:t>
            </w:r>
          </w:p>
          <w:tbl>
            <w:tblPr>
              <w:tblStyle w:val="31"/>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110"/>
              <w:gridCol w:w="1856"/>
              <w:gridCol w:w="1615"/>
              <w:gridCol w:w="1414"/>
            </w:tblGrid>
            <w:tr w14:paraId="6E77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 w:hRule="atLeast"/>
              </w:trPr>
              <w:tc>
                <w:tcPr>
                  <w:tcW w:w="2413" w:type="dxa"/>
                  <w:tcBorders>
                    <w:tl2br w:val="nil"/>
                    <w:tr2bl w:val="nil"/>
                  </w:tcBorders>
                  <w:vAlign w:val="center"/>
                </w:tcPr>
                <w:p w14:paraId="712D32D3">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lang w:val="en-US" w:eastAsia="zh-CN"/>
                    </w:rPr>
                    <w:t>产品名称</w:t>
                  </w:r>
                </w:p>
              </w:tc>
              <w:tc>
                <w:tcPr>
                  <w:tcW w:w="1110" w:type="dxa"/>
                  <w:tcBorders>
                    <w:tl2br w:val="nil"/>
                    <w:tr2bl w:val="nil"/>
                  </w:tcBorders>
                  <w:vAlign w:val="center"/>
                </w:tcPr>
                <w:p w14:paraId="384D6400">
                  <w:pPr>
                    <w:keepNext w:val="0"/>
                    <w:keepLines w:val="0"/>
                    <w:suppressLineNumbers w:val="0"/>
                    <w:adjustRightInd w:val="0"/>
                    <w:spacing w:before="0" w:beforeAutospacing="0" w:after="0" w:afterAutospacing="0" w:line="310" w:lineRule="exact"/>
                    <w:ind w:left="0" w:right="0"/>
                    <w:jc w:val="center"/>
                    <w:rPr>
                      <w:rFonts w:hint="eastAsia" w:ascii="Times New Roman" w:hAnsi="Times New Roman" w:cs="Times New Roman" w:eastAsiaTheme="minorEastAsia"/>
                      <w:color w:val="auto"/>
                      <w:szCs w:val="21"/>
                      <w:highlight w:val="none"/>
                      <w:lang w:eastAsia="zh-CN"/>
                    </w:rPr>
                  </w:pPr>
                  <w:r>
                    <w:rPr>
                      <w:rFonts w:hint="eastAsia" w:cs="Times New Roman" w:eastAsiaTheme="minorEastAsia"/>
                      <w:color w:val="auto"/>
                      <w:szCs w:val="21"/>
                      <w:highlight w:val="none"/>
                      <w:lang w:val="en-US" w:eastAsia="zh-CN"/>
                    </w:rPr>
                    <w:t>数量</w:t>
                  </w:r>
                </w:p>
              </w:tc>
              <w:tc>
                <w:tcPr>
                  <w:tcW w:w="1856" w:type="dxa"/>
                  <w:tcBorders>
                    <w:tl2br w:val="nil"/>
                    <w:tr2bl w:val="nil"/>
                  </w:tcBorders>
                  <w:vAlign w:val="center"/>
                </w:tcPr>
                <w:p w14:paraId="6F6EC877">
                  <w:pPr>
                    <w:keepNext w:val="0"/>
                    <w:keepLines w:val="0"/>
                    <w:suppressLineNumbers w:val="0"/>
                    <w:adjustRightInd w:val="0"/>
                    <w:spacing w:before="0" w:beforeAutospacing="0" w:after="0" w:afterAutospacing="0" w:line="310" w:lineRule="exact"/>
                    <w:ind w:left="0" w:right="0"/>
                    <w:jc w:val="center"/>
                    <w:rPr>
                      <w:rFonts w:hint="eastAsia" w:cs="Times New Roman" w:eastAsiaTheme="minorEastAsia"/>
                      <w:color w:val="auto"/>
                      <w:szCs w:val="21"/>
                      <w:highlight w:val="none"/>
                      <w:lang w:val="en-US" w:eastAsia="zh-CN"/>
                    </w:rPr>
                  </w:pPr>
                  <w:r>
                    <w:rPr>
                      <w:rFonts w:hint="eastAsia" w:cs="Times New Roman" w:eastAsiaTheme="minorEastAsia"/>
                      <w:color w:val="auto"/>
                      <w:szCs w:val="21"/>
                      <w:highlight w:val="none"/>
                      <w:lang w:val="en-US" w:eastAsia="zh-CN"/>
                    </w:rPr>
                    <w:t>单个产品油漆</w:t>
                  </w:r>
                </w:p>
                <w:p w14:paraId="681E7A25">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lang w:val="en-US" w:eastAsia="zh-CN"/>
                    </w:rPr>
                  </w:pPr>
                  <w:r>
                    <w:rPr>
                      <w:rFonts w:hint="eastAsia" w:cs="Times New Roman" w:eastAsiaTheme="minorEastAsia"/>
                      <w:color w:val="auto"/>
                      <w:szCs w:val="21"/>
                      <w:highlight w:val="none"/>
                      <w:lang w:val="en-US" w:eastAsia="zh-CN"/>
                    </w:rPr>
                    <w:t>平均使用量</w:t>
                  </w:r>
                </w:p>
              </w:tc>
              <w:tc>
                <w:tcPr>
                  <w:tcW w:w="1615" w:type="dxa"/>
                  <w:tcBorders>
                    <w:tl2br w:val="nil"/>
                    <w:tr2bl w:val="nil"/>
                  </w:tcBorders>
                  <w:vAlign w:val="center"/>
                </w:tcPr>
                <w:p w14:paraId="66DAAD1C">
                  <w:pPr>
                    <w:keepNext w:val="0"/>
                    <w:keepLines w:val="0"/>
                    <w:suppressLineNumbers w:val="0"/>
                    <w:adjustRightInd w:val="0"/>
                    <w:spacing w:before="0" w:beforeAutospacing="0" w:after="0" w:afterAutospacing="0" w:line="310" w:lineRule="exact"/>
                    <w:ind w:left="0" w:right="0"/>
                    <w:jc w:val="center"/>
                    <w:rPr>
                      <w:rFonts w:hint="eastAsia"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rPr>
                    <w:t>年生产</w:t>
                  </w:r>
                  <w:r>
                    <w:rPr>
                      <w:rFonts w:hint="eastAsia" w:cs="Times New Roman" w:eastAsiaTheme="minorEastAsia"/>
                      <w:color w:val="auto"/>
                      <w:szCs w:val="21"/>
                      <w:highlight w:val="none"/>
                      <w:lang w:val="en-US" w:eastAsia="zh-CN"/>
                    </w:rPr>
                    <w:t>油漆</w:t>
                  </w:r>
                </w:p>
                <w:p w14:paraId="3172BE28">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rPr>
                  </w:pPr>
                  <w:r>
                    <w:rPr>
                      <w:rFonts w:hint="eastAsia" w:cs="Times New Roman" w:eastAsiaTheme="minorEastAsia"/>
                      <w:color w:val="auto"/>
                      <w:szCs w:val="21"/>
                      <w:highlight w:val="none"/>
                      <w:lang w:val="en-US" w:eastAsia="zh-CN"/>
                    </w:rPr>
                    <w:t>使用量</w:t>
                  </w:r>
                </w:p>
              </w:tc>
              <w:tc>
                <w:tcPr>
                  <w:tcW w:w="1414" w:type="dxa"/>
                  <w:tcBorders>
                    <w:tl2br w:val="nil"/>
                    <w:tr2bl w:val="nil"/>
                  </w:tcBorders>
                  <w:vAlign w:val="center"/>
                </w:tcPr>
                <w:p w14:paraId="723DA23F">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备注</w:t>
                  </w:r>
                </w:p>
              </w:tc>
            </w:tr>
            <w:tr w14:paraId="5024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413" w:type="dxa"/>
                  <w:tcBorders>
                    <w:tl2br w:val="nil"/>
                    <w:tr2bl w:val="nil"/>
                  </w:tcBorders>
                  <w:vAlign w:val="center"/>
                </w:tcPr>
                <w:p w14:paraId="1B1FF673">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eastAsiaTheme="minorEastAsia"/>
                      <w:color w:val="auto"/>
                      <w:szCs w:val="21"/>
                      <w:highlight w:val="none"/>
                      <w:lang w:val="en-US" w:eastAsia="zh-CN"/>
                    </w:rPr>
                    <w:t>小型设备、预制好的零部件、煤矿自行焊接的一些小型设备</w:t>
                  </w:r>
                </w:p>
              </w:tc>
              <w:tc>
                <w:tcPr>
                  <w:tcW w:w="1110" w:type="dxa"/>
                  <w:tcBorders>
                    <w:tl2br w:val="nil"/>
                    <w:tr2bl w:val="nil"/>
                  </w:tcBorders>
                  <w:vAlign w:val="center"/>
                </w:tcPr>
                <w:p w14:paraId="1D2D01D2">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kern w:val="0"/>
                      <w:szCs w:val="21"/>
                      <w:highlight w:val="none"/>
                      <w:lang w:val="en-US" w:eastAsia="zh-CN" w:bidi="ar"/>
                    </w:rPr>
                  </w:pPr>
                  <w:r>
                    <w:rPr>
                      <w:rFonts w:hint="eastAsia" w:cs="Times New Roman" w:eastAsiaTheme="minorEastAsia"/>
                      <w:color w:val="auto"/>
                      <w:szCs w:val="21"/>
                      <w:highlight w:val="none"/>
                      <w:lang w:val="en-US" w:eastAsia="zh-CN"/>
                    </w:rPr>
                    <w:t>300套</w:t>
                  </w:r>
                </w:p>
              </w:tc>
              <w:tc>
                <w:tcPr>
                  <w:tcW w:w="1856" w:type="dxa"/>
                  <w:tcBorders>
                    <w:tl2br w:val="nil"/>
                    <w:tr2bl w:val="nil"/>
                  </w:tcBorders>
                  <w:vAlign w:val="center"/>
                </w:tcPr>
                <w:p w14:paraId="18916A17">
                  <w:pPr>
                    <w:keepNext w:val="0"/>
                    <w:keepLines w:val="0"/>
                    <w:suppressLineNumbers w:val="0"/>
                    <w:adjustRightInd w:val="0"/>
                    <w:spacing w:before="0" w:beforeAutospacing="0" w:after="0" w:afterAutospacing="0" w:line="310" w:lineRule="exact"/>
                    <w:ind w:left="0" w:right="0"/>
                    <w:jc w:val="center"/>
                    <w:rPr>
                      <w:rFonts w:hint="default"/>
                      <w:color w:val="auto"/>
                      <w:lang w:val="en-US" w:eastAsia="zh-CN"/>
                    </w:rPr>
                  </w:pPr>
                  <w:r>
                    <w:rPr>
                      <w:rFonts w:hint="eastAsia" w:ascii="Times New Roman" w:hAnsi="Times New Roman" w:cs="Times New Roman" w:eastAsiaTheme="minorEastAsia"/>
                      <w:color w:val="auto"/>
                      <w:szCs w:val="21"/>
                      <w:highlight w:val="none"/>
                      <w:lang w:val="en-US" w:eastAsia="zh-CN"/>
                    </w:rPr>
                    <w:t>32kg</w:t>
                  </w:r>
                </w:p>
              </w:tc>
              <w:tc>
                <w:tcPr>
                  <w:tcW w:w="1615" w:type="dxa"/>
                  <w:tcBorders>
                    <w:tl2br w:val="nil"/>
                    <w:tr2bl w:val="nil"/>
                  </w:tcBorders>
                  <w:vAlign w:val="center"/>
                </w:tcPr>
                <w:p w14:paraId="0D346B1E">
                  <w:pPr>
                    <w:keepNext w:val="0"/>
                    <w:keepLines w:val="0"/>
                    <w:suppressLineNumbers w:val="0"/>
                    <w:adjustRightInd w:val="0"/>
                    <w:spacing w:before="0" w:beforeAutospacing="0" w:after="0" w:afterAutospacing="0" w:line="310" w:lineRule="exact"/>
                    <w:ind w:left="0" w:right="0"/>
                    <w:jc w:val="center"/>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eastAsiaTheme="minorEastAsia"/>
                      <w:color w:val="auto"/>
                      <w:szCs w:val="21"/>
                      <w:highlight w:val="none"/>
                      <w:lang w:val="en-US" w:eastAsia="zh-CN"/>
                    </w:rPr>
                    <w:t>9.6t</w:t>
                  </w:r>
                </w:p>
              </w:tc>
              <w:tc>
                <w:tcPr>
                  <w:tcW w:w="1414" w:type="dxa"/>
                  <w:tcBorders>
                    <w:tl2br w:val="nil"/>
                    <w:tr2bl w:val="nil"/>
                  </w:tcBorders>
                  <w:vAlign w:val="center"/>
                </w:tcPr>
                <w:p w14:paraId="6246BF54">
                  <w:pPr>
                    <w:keepNext w:val="0"/>
                    <w:keepLines w:val="0"/>
                    <w:suppressLineNumbers w:val="0"/>
                    <w:adjustRightInd w:val="0"/>
                    <w:spacing w:before="0" w:beforeAutospacing="0" w:after="0" w:afterAutospacing="0" w:line="310" w:lineRule="exact"/>
                    <w:ind w:left="0" w:right="0"/>
                    <w:jc w:val="center"/>
                    <w:rPr>
                      <w:rFonts w:hint="eastAsia" w:ascii="Times New Roman" w:hAnsi="Times New Roman" w:cs="Times New Roman" w:eastAsiaTheme="minorEastAsia"/>
                      <w:color w:val="auto"/>
                      <w:szCs w:val="21"/>
                      <w:highlight w:val="none"/>
                      <w:lang w:val="en-US" w:eastAsia="zh-CN"/>
                    </w:rPr>
                  </w:pPr>
                  <w:r>
                    <w:rPr>
                      <w:rFonts w:hint="eastAsia" w:cs="Times New Roman" w:eastAsiaTheme="minorEastAsia"/>
                      <w:color w:val="auto"/>
                      <w:szCs w:val="21"/>
                      <w:highlight w:val="none"/>
                      <w:lang w:val="en-US" w:eastAsia="zh-CN"/>
                    </w:rPr>
                    <w:t>/</w:t>
                  </w:r>
                </w:p>
              </w:tc>
            </w:tr>
          </w:tbl>
          <w:p w14:paraId="0FF995A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lang w:val="en-US" w:eastAsia="zh-CN"/>
              </w:rPr>
            </w:pPr>
            <w:r>
              <w:rPr>
                <w:rFonts w:hint="eastAsia" w:cs="Times New Roman"/>
                <w:b/>
                <w:bCs/>
                <w:color w:val="auto"/>
                <w:sz w:val="24"/>
                <w:lang w:val="en-US" w:eastAsia="zh-CN"/>
              </w:rPr>
              <w:t>7</w:t>
            </w:r>
            <w:r>
              <w:rPr>
                <w:rFonts w:hint="eastAsia" w:ascii="Times New Roman" w:hAnsi="Times New Roman" w:eastAsia="宋体" w:cs="Times New Roman"/>
                <w:b/>
                <w:bCs/>
                <w:color w:val="auto"/>
                <w:sz w:val="24"/>
                <w:lang w:val="en-US" w:eastAsia="zh-CN"/>
              </w:rPr>
              <w:t>.原辅料消耗及物料平衡</w:t>
            </w:r>
          </w:p>
          <w:p w14:paraId="2C06B4FE">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（1）原辅料消耗</w:t>
            </w:r>
          </w:p>
          <w:p w14:paraId="119405B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本项目主要是对布尔台煤矿在实际生产运行过程中需对一些小型设备、预制好的零部件、煤矿自行焊接的一些小型设备进行刷漆、喷漆，主要原辅材料消耗见下表。</w:t>
            </w:r>
          </w:p>
          <w:p w14:paraId="48B4E1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rPr>
              <w:t>表2-</w:t>
            </w:r>
            <w:r>
              <w:rPr>
                <w:rFonts w:hint="eastAsia" w:cs="Times New Roman"/>
                <w:b/>
                <w:bCs/>
                <w:color w:val="auto"/>
                <w:sz w:val="24"/>
                <w:szCs w:val="24"/>
                <w:lang w:val="en-US" w:eastAsia="zh-CN"/>
              </w:rPr>
              <w:t>3</w:t>
            </w:r>
            <w:r>
              <w:rPr>
                <w:rFonts w:hint="eastAsia"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 xml:space="preserve">  主要原辅材料消耗一览表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1241"/>
              <w:gridCol w:w="987"/>
              <w:gridCol w:w="1002"/>
              <w:gridCol w:w="1226"/>
              <w:gridCol w:w="1819"/>
              <w:gridCol w:w="1202"/>
            </w:tblGrid>
            <w:tr w14:paraId="12626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tcBorders>
                    <w:top w:val="single" w:color="auto" w:sz="4" w:space="0"/>
                    <w:left w:val="single" w:color="auto" w:sz="0" w:space="0"/>
                    <w:tl2br w:val="nil"/>
                    <w:tr2bl w:val="nil"/>
                  </w:tcBorders>
                  <w:noWrap w:val="0"/>
                  <w:vAlign w:val="center"/>
                </w:tcPr>
                <w:p w14:paraId="3B8343C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序号</w:t>
                  </w:r>
                </w:p>
              </w:tc>
              <w:tc>
                <w:tcPr>
                  <w:tcW w:w="737" w:type="pct"/>
                  <w:tcBorders>
                    <w:top w:val="single" w:color="auto" w:sz="4" w:space="0"/>
                    <w:tl2br w:val="nil"/>
                    <w:tr2bl w:val="nil"/>
                  </w:tcBorders>
                  <w:noWrap w:val="0"/>
                  <w:vAlign w:val="center"/>
                </w:tcPr>
                <w:p w14:paraId="51ED0A3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材料名称</w:t>
                  </w:r>
                </w:p>
              </w:tc>
              <w:tc>
                <w:tcPr>
                  <w:tcW w:w="586" w:type="pct"/>
                  <w:tcBorders>
                    <w:top w:val="single" w:color="auto" w:sz="4" w:space="0"/>
                    <w:tl2br w:val="nil"/>
                    <w:tr2bl w:val="nil"/>
                  </w:tcBorders>
                  <w:noWrap w:val="0"/>
                  <w:vAlign w:val="center"/>
                </w:tcPr>
                <w:p w14:paraId="23B4B62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单位</w:t>
                  </w:r>
                </w:p>
              </w:tc>
              <w:tc>
                <w:tcPr>
                  <w:tcW w:w="595" w:type="pct"/>
                  <w:tcBorders>
                    <w:top w:val="single" w:color="auto" w:sz="4" w:space="0"/>
                    <w:tl2br w:val="nil"/>
                    <w:tr2bl w:val="nil"/>
                  </w:tcBorders>
                  <w:noWrap w:val="0"/>
                  <w:vAlign w:val="center"/>
                </w:tcPr>
                <w:p w14:paraId="128A33C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用量</w:t>
                  </w:r>
                </w:p>
              </w:tc>
              <w:tc>
                <w:tcPr>
                  <w:tcW w:w="728" w:type="pct"/>
                  <w:tcBorders>
                    <w:top w:val="single" w:color="auto" w:sz="4" w:space="0"/>
                    <w:tl2br w:val="nil"/>
                    <w:tr2bl w:val="nil"/>
                  </w:tcBorders>
                  <w:noWrap w:val="0"/>
                  <w:vAlign w:val="center"/>
                </w:tcPr>
                <w:p w14:paraId="282CDD4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来源</w:t>
                  </w:r>
                </w:p>
              </w:tc>
              <w:tc>
                <w:tcPr>
                  <w:tcW w:w="1080" w:type="pct"/>
                  <w:tcBorders>
                    <w:top w:val="single" w:color="auto" w:sz="4" w:space="0"/>
                    <w:tl2br w:val="nil"/>
                    <w:tr2bl w:val="nil"/>
                  </w:tcBorders>
                  <w:noWrap w:val="0"/>
                  <w:vAlign w:val="center"/>
                </w:tcPr>
                <w:p w14:paraId="42D8837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存贮方式及位置</w:t>
                  </w:r>
                </w:p>
              </w:tc>
              <w:tc>
                <w:tcPr>
                  <w:tcW w:w="714" w:type="pct"/>
                  <w:tcBorders>
                    <w:top w:val="single" w:color="auto" w:sz="4" w:space="0"/>
                    <w:right w:val="single" w:color="auto" w:sz="4" w:space="0"/>
                    <w:tl2br w:val="nil"/>
                    <w:tr2bl w:val="nil"/>
                  </w:tcBorders>
                  <w:noWrap w:val="0"/>
                  <w:vAlign w:val="center"/>
                </w:tcPr>
                <w:p w14:paraId="5198501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val="0"/>
                      <w:color w:val="auto"/>
                      <w:szCs w:val="21"/>
                      <w:lang w:val="en-US" w:eastAsia="zh-CN"/>
                    </w:rPr>
                  </w:pPr>
                  <w:r>
                    <w:rPr>
                      <w:rFonts w:hint="eastAsia" w:ascii="Times New Roman" w:hAnsi="Times New Roman" w:eastAsia="宋体" w:cs="Times New Roman"/>
                      <w:b/>
                      <w:bCs w:val="0"/>
                      <w:color w:val="auto"/>
                      <w:szCs w:val="21"/>
                      <w:lang w:val="en-US" w:eastAsia="zh-CN"/>
                    </w:rPr>
                    <w:t>物料状态</w:t>
                  </w:r>
                </w:p>
              </w:tc>
            </w:tr>
            <w:tr w14:paraId="095A9B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tcBorders>
                    <w:left w:val="single" w:color="auto" w:sz="4" w:space="0"/>
                    <w:tl2br w:val="nil"/>
                    <w:tr2bl w:val="nil"/>
                  </w:tcBorders>
                  <w:noWrap w:val="0"/>
                  <w:vAlign w:val="center"/>
                </w:tcPr>
                <w:p w14:paraId="5E5BB9D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737" w:type="pct"/>
                  <w:tcBorders>
                    <w:tl2br w:val="nil"/>
                    <w:tr2bl w:val="nil"/>
                  </w:tcBorders>
                  <w:noWrap w:val="0"/>
                  <w:vAlign w:val="center"/>
                </w:tcPr>
                <w:p w14:paraId="0999620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底漆</w:t>
                  </w:r>
                </w:p>
              </w:tc>
              <w:tc>
                <w:tcPr>
                  <w:tcW w:w="586" w:type="pct"/>
                  <w:tcBorders>
                    <w:tl2br w:val="nil"/>
                    <w:tr2bl w:val="nil"/>
                  </w:tcBorders>
                  <w:noWrap w:val="0"/>
                  <w:vAlign w:val="center"/>
                </w:tcPr>
                <w:p w14:paraId="6267909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t/a</w:t>
                  </w:r>
                </w:p>
              </w:tc>
              <w:tc>
                <w:tcPr>
                  <w:tcW w:w="595" w:type="pct"/>
                  <w:tcBorders>
                    <w:tl2br w:val="nil"/>
                    <w:tr2bl w:val="nil"/>
                  </w:tcBorders>
                  <w:noWrap w:val="0"/>
                  <w:vAlign w:val="center"/>
                </w:tcPr>
                <w:p w14:paraId="7E5C342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4.8</w:t>
                  </w:r>
                </w:p>
              </w:tc>
              <w:tc>
                <w:tcPr>
                  <w:tcW w:w="728" w:type="pct"/>
                  <w:tcBorders>
                    <w:tl2br w:val="nil"/>
                    <w:tr2bl w:val="nil"/>
                  </w:tcBorders>
                  <w:noWrap w:val="0"/>
                  <w:vAlign w:val="center"/>
                </w:tcPr>
                <w:p w14:paraId="0A92F0E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c>
                <w:tcPr>
                  <w:tcW w:w="1080" w:type="pct"/>
                  <w:tcBorders>
                    <w:tl2br w:val="nil"/>
                    <w:tr2bl w:val="nil"/>
                  </w:tcBorders>
                  <w:noWrap w:val="0"/>
                  <w:vAlign w:val="center"/>
                </w:tcPr>
                <w:p w14:paraId="2662745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lang w:val="en-US" w:eastAsia="zh-CN"/>
                    </w:rPr>
                    <w:t>不贮存，现用现买</w:t>
                  </w:r>
                </w:p>
              </w:tc>
              <w:tc>
                <w:tcPr>
                  <w:tcW w:w="714" w:type="pct"/>
                  <w:tcBorders>
                    <w:right w:val="single" w:color="auto" w:sz="4" w:space="0"/>
                    <w:tl2br w:val="nil"/>
                    <w:tr2bl w:val="nil"/>
                  </w:tcBorders>
                  <w:noWrap w:val="0"/>
                  <w:vAlign w:val="center"/>
                </w:tcPr>
                <w:p w14:paraId="4B7574B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水性醇酸</w:t>
                  </w:r>
                  <w:r>
                    <w:rPr>
                      <w:rFonts w:hint="eastAsia"/>
                      <w:color w:val="auto"/>
                      <w:lang w:eastAsia="zh-CN"/>
                    </w:rPr>
                    <w:t>钢</w:t>
                  </w:r>
                  <w:r>
                    <w:rPr>
                      <w:rFonts w:hint="eastAsia" w:ascii="Times New Roman" w:hAnsi="Times New Roman" w:eastAsia="宋体" w:cs="Times New Roman"/>
                      <w:color w:val="auto"/>
                      <w:szCs w:val="21"/>
                      <w:lang w:val="en-US" w:eastAsia="zh-CN"/>
                    </w:rPr>
                    <w:t>结构漆</w:t>
                  </w:r>
                </w:p>
              </w:tc>
            </w:tr>
            <w:tr w14:paraId="05773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tcBorders>
                    <w:left w:val="single" w:color="auto" w:sz="4" w:space="0"/>
                    <w:bottom w:val="single" w:color="auto" w:sz="4" w:space="0"/>
                    <w:tl2br w:val="nil"/>
                    <w:tr2bl w:val="nil"/>
                  </w:tcBorders>
                  <w:noWrap w:val="0"/>
                  <w:vAlign w:val="center"/>
                </w:tcPr>
                <w:p w14:paraId="5329064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737" w:type="pct"/>
                  <w:tcBorders>
                    <w:bottom w:val="single" w:color="auto" w:sz="4" w:space="0"/>
                    <w:tl2br w:val="nil"/>
                    <w:tr2bl w:val="nil"/>
                  </w:tcBorders>
                  <w:noWrap w:val="0"/>
                  <w:vAlign w:val="center"/>
                </w:tcPr>
                <w:p w14:paraId="73F973D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面漆</w:t>
                  </w:r>
                </w:p>
              </w:tc>
              <w:tc>
                <w:tcPr>
                  <w:tcW w:w="586" w:type="pct"/>
                  <w:tcBorders>
                    <w:bottom w:val="single" w:color="auto" w:sz="4" w:space="0"/>
                    <w:tl2br w:val="nil"/>
                    <w:tr2bl w:val="nil"/>
                  </w:tcBorders>
                  <w:noWrap w:val="0"/>
                  <w:vAlign w:val="center"/>
                </w:tcPr>
                <w:p w14:paraId="29CBF1D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t/a</w:t>
                  </w:r>
                </w:p>
              </w:tc>
              <w:tc>
                <w:tcPr>
                  <w:tcW w:w="595" w:type="pct"/>
                  <w:tcBorders>
                    <w:bottom w:val="single" w:color="auto" w:sz="4" w:space="0"/>
                    <w:tl2br w:val="nil"/>
                    <w:tr2bl w:val="nil"/>
                  </w:tcBorders>
                  <w:noWrap w:val="0"/>
                  <w:vAlign w:val="center"/>
                </w:tcPr>
                <w:p w14:paraId="43B2148E">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4.8</w:t>
                  </w:r>
                </w:p>
              </w:tc>
              <w:tc>
                <w:tcPr>
                  <w:tcW w:w="728" w:type="pct"/>
                  <w:tcBorders>
                    <w:bottom w:val="single" w:color="auto" w:sz="4" w:space="0"/>
                    <w:tl2br w:val="nil"/>
                    <w:tr2bl w:val="nil"/>
                  </w:tcBorders>
                  <w:noWrap w:val="0"/>
                  <w:vAlign w:val="center"/>
                </w:tcPr>
                <w:p w14:paraId="25503D93">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外购</w:t>
                  </w:r>
                </w:p>
              </w:tc>
              <w:tc>
                <w:tcPr>
                  <w:tcW w:w="1080" w:type="pct"/>
                  <w:tcBorders>
                    <w:bottom w:val="single" w:color="auto" w:sz="4" w:space="0"/>
                    <w:tl2br w:val="nil"/>
                    <w:tr2bl w:val="nil"/>
                  </w:tcBorders>
                  <w:noWrap w:val="0"/>
                  <w:vAlign w:val="center"/>
                </w:tcPr>
                <w:p w14:paraId="3CBC9FA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不贮存，现用现买</w:t>
                  </w:r>
                </w:p>
              </w:tc>
              <w:tc>
                <w:tcPr>
                  <w:tcW w:w="714" w:type="pct"/>
                  <w:tcBorders>
                    <w:bottom w:val="single" w:color="auto" w:sz="4" w:space="0"/>
                    <w:right w:val="single" w:color="auto" w:sz="4" w:space="0"/>
                    <w:tl2br w:val="nil"/>
                    <w:tr2bl w:val="nil"/>
                  </w:tcBorders>
                  <w:noWrap w:val="0"/>
                  <w:vAlign w:val="center"/>
                </w:tcPr>
                <w:p w14:paraId="2EA06122">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水性面漆</w:t>
                  </w:r>
                </w:p>
              </w:tc>
            </w:tr>
          </w:tbl>
          <w:p w14:paraId="617C9788">
            <w:pPr>
              <w:pStyle w:val="13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本项目主要使用原料为底漆、面漆均为水性漆，本次水性漆成分一览表主要参考水性醇酸钢结构防锈漆质量标准，原材料需满足《水性醇酸钢结构防锈漆》（T/ZZB0908-2018），原料成分见表2-</w:t>
            </w:r>
            <w:r>
              <w:rPr>
                <w:rFonts w:hint="eastAsia" w:cs="Times New Roman"/>
                <w:b w:val="0"/>
                <w:bCs w:val="0"/>
                <w:color w:val="auto"/>
                <w:kern w:val="2"/>
                <w:sz w:val="24"/>
                <w:szCs w:val="24"/>
                <w:lang w:val="en-US" w:eastAsia="zh-CN" w:bidi="ar-SA"/>
              </w:rPr>
              <w:t>4</w:t>
            </w:r>
            <w:r>
              <w:rPr>
                <w:rFonts w:hint="eastAsia" w:ascii="Times New Roman" w:hAnsi="Times New Roman" w:eastAsia="宋体" w:cs="Times New Roman"/>
                <w:b w:val="0"/>
                <w:bCs w:val="0"/>
                <w:color w:val="auto"/>
                <w:kern w:val="2"/>
                <w:sz w:val="24"/>
                <w:szCs w:val="24"/>
                <w:lang w:val="en-US" w:eastAsia="zh-CN" w:bidi="ar-SA"/>
              </w:rPr>
              <w:t>。</w:t>
            </w:r>
          </w:p>
          <w:p w14:paraId="1C9C50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val="en-US" w:eastAsia="zh-CN"/>
              </w:rPr>
            </w:pPr>
            <w:r>
              <w:rPr>
                <w:rFonts w:hint="eastAsia" w:ascii="Times New Roman" w:hAnsi="Times New Roman" w:eastAsia="宋体" w:cs="Times New Roman"/>
                <w:b/>
                <w:bCs/>
                <w:color w:val="auto"/>
                <w:sz w:val="24"/>
                <w:szCs w:val="24"/>
              </w:rPr>
              <w:t>表2-</w:t>
            </w:r>
            <w:r>
              <w:rPr>
                <w:rFonts w:hint="eastAsia" w:cs="Times New Roman"/>
                <w:b/>
                <w:bCs/>
                <w:color w:val="auto"/>
                <w:sz w:val="24"/>
                <w:szCs w:val="24"/>
                <w:lang w:val="en-US" w:eastAsia="zh-CN"/>
              </w:rPr>
              <w:t>4</w:t>
            </w:r>
            <w:r>
              <w:rPr>
                <w:rFonts w:hint="eastAsia"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 xml:space="preserve">  本项目水性漆成分一览表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792"/>
              <w:gridCol w:w="643"/>
              <w:gridCol w:w="1324"/>
              <w:gridCol w:w="1203"/>
              <w:gridCol w:w="738"/>
              <w:gridCol w:w="821"/>
              <w:gridCol w:w="2254"/>
            </w:tblGrid>
            <w:tr w14:paraId="6AB6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45F12FB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序号</w:t>
                  </w:r>
                </w:p>
              </w:tc>
              <w:tc>
                <w:tcPr>
                  <w:tcW w:w="471" w:type="pct"/>
                  <w:tcBorders>
                    <w:tl2br w:val="nil"/>
                    <w:tr2bl w:val="nil"/>
                  </w:tcBorders>
                  <w:noWrap w:val="0"/>
                  <w:vAlign w:val="center"/>
                </w:tcPr>
                <w:p w14:paraId="4C2B88E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原材料</w:t>
                  </w:r>
                </w:p>
              </w:tc>
              <w:tc>
                <w:tcPr>
                  <w:tcW w:w="382" w:type="pct"/>
                  <w:tcBorders>
                    <w:tl2br w:val="nil"/>
                    <w:tr2bl w:val="nil"/>
                  </w:tcBorders>
                  <w:noWrap w:val="0"/>
                  <w:vAlign w:val="center"/>
                </w:tcPr>
                <w:p w14:paraId="2B2C982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形态</w:t>
                  </w:r>
                </w:p>
              </w:tc>
              <w:tc>
                <w:tcPr>
                  <w:tcW w:w="787" w:type="pct"/>
                  <w:tcBorders>
                    <w:tl2br w:val="nil"/>
                    <w:tr2bl w:val="nil"/>
                  </w:tcBorders>
                  <w:noWrap w:val="0"/>
                  <w:vAlign w:val="center"/>
                </w:tcPr>
                <w:p w14:paraId="645FC09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不挥发物含量%</w:t>
                  </w:r>
                </w:p>
              </w:tc>
              <w:tc>
                <w:tcPr>
                  <w:tcW w:w="715" w:type="pct"/>
                  <w:tcBorders>
                    <w:tl2br w:val="nil"/>
                    <w:tr2bl w:val="nil"/>
                  </w:tcBorders>
                  <w:noWrap w:val="0"/>
                  <w:vAlign w:val="center"/>
                </w:tcPr>
                <w:p w14:paraId="463534D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挥发物含量（g/L）</w:t>
                  </w:r>
                </w:p>
              </w:tc>
              <w:tc>
                <w:tcPr>
                  <w:tcW w:w="439" w:type="pct"/>
                  <w:tcBorders>
                    <w:tl2br w:val="nil"/>
                    <w:tr2bl w:val="nil"/>
                  </w:tcBorders>
                  <w:noWrap w:val="0"/>
                  <w:vAlign w:val="center"/>
                </w:tcPr>
                <w:p w14:paraId="04ACBC1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密度kg/L</w:t>
                  </w:r>
                </w:p>
              </w:tc>
              <w:tc>
                <w:tcPr>
                  <w:tcW w:w="488" w:type="pct"/>
                  <w:tcBorders>
                    <w:tl2br w:val="nil"/>
                    <w:tr2bl w:val="nil"/>
                  </w:tcBorders>
                  <w:noWrap w:val="0"/>
                  <w:vAlign w:val="center"/>
                </w:tcPr>
                <w:p w14:paraId="3DE90EB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含水率%</w:t>
                  </w:r>
                </w:p>
              </w:tc>
              <w:tc>
                <w:tcPr>
                  <w:tcW w:w="1340" w:type="pct"/>
                  <w:tcBorders>
                    <w:tl2br w:val="nil"/>
                    <w:tr2bl w:val="nil"/>
                  </w:tcBorders>
                  <w:noWrap w:val="0"/>
                  <w:vAlign w:val="center"/>
                </w:tcPr>
                <w:p w14:paraId="0522E84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标准</w:t>
                  </w:r>
                </w:p>
              </w:tc>
            </w:tr>
            <w:tr w14:paraId="69E4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5EA0AEC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71" w:type="pct"/>
                  <w:tcBorders>
                    <w:tl2br w:val="nil"/>
                    <w:tr2bl w:val="nil"/>
                  </w:tcBorders>
                  <w:noWrap w:val="0"/>
                  <w:vAlign w:val="center"/>
                </w:tcPr>
                <w:p w14:paraId="7D3EFB8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底漆</w:t>
                  </w:r>
                </w:p>
              </w:tc>
              <w:tc>
                <w:tcPr>
                  <w:tcW w:w="382" w:type="pct"/>
                  <w:tcBorders>
                    <w:tl2br w:val="nil"/>
                    <w:tr2bl w:val="nil"/>
                  </w:tcBorders>
                  <w:noWrap w:val="0"/>
                  <w:vAlign w:val="center"/>
                </w:tcPr>
                <w:p w14:paraId="2632DF8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液态</w:t>
                  </w:r>
                </w:p>
              </w:tc>
              <w:tc>
                <w:tcPr>
                  <w:tcW w:w="787" w:type="pct"/>
                  <w:tcBorders>
                    <w:tl2br w:val="nil"/>
                    <w:tr2bl w:val="nil"/>
                  </w:tcBorders>
                  <w:noWrap w:val="0"/>
                  <w:vAlign w:val="center"/>
                </w:tcPr>
                <w:p w14:paraId="22DDB6A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≥50（本项目取85%）</w:t>
                  </w:r>
                </w:p>
              </w:tc>
              <w:tc>
                <w:tcPr>
                  <w:tcW w:w="715" w:type="pct"/>
                  <w:tcBorders>
                    <w:tl2br w:val="nil"/>
                    <w:tr2bl w:val="nil"/>
                  </w:tcBorders>
                  <w:noWrap w:val="0"/>
                  <w:vAlign w:val="center"/>
                </w:tcPr>
                <w:p w14:paraId="323E635E">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≤150（15%）</w:t>
                  </w:r>
                </w:p>
              </w:tc>
              <w:tc>
                <w:tcPr>
                  <w:tcW w:w="439" w:type="pct"/>
                  <w:tcBorders>
                    <w:tl2br w:val="nil"/>
                    <w:tr2bl w:val="nil"/>
                  </w:tcBorders>
                  <w:noWrap w:val="0"/>
                  <w:vAlign w:val="center"/>
                </w:tcPr>
                <w:p w14:paraId="0DD03D0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88" w:type="pct"/>
                  <w:tcBorders>
                    <w:tl2br w:val="nil"/>
                    <w:tr2bl w:val="nil"/>
                  </w:tcBorders>
                  <w:noWrap w:val="0"/>
                  <w:vAlign w:val="center"/>
                </w:tcPr>
                <w:p w14:paraId="2113F64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340" w:type="pct"/>
                  <w:vMerge w:val="restart"/>
                  <w:tcBorders>
                    <w:tl2br w:val="nil"/>
                    <w:tr2bl w:val="nil"/>
                  </w:tcBorders>
                  <w:noWrap w:val="0"/>
                  <w:vAlign w:val="center"/>
                </w:tcPr>
                <w:p w14:paraId="113552B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《水性醇酸钢结构防锈漆》（T/ZZB0908-2018）</w:t>
                  </w:r>
                </w:p>
              </w:tc>
            </w:tr>
            <w:tr w14:paraId="2773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1812DA4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471" w:type="pct"/>
                  <w:tcBorders>
                    <w:tl2br w:val="nil"/>
                    <w:tr2bl w:val="nil"/>
                  </w:tcBorders>
                  <w:noWrap w:val="0"/>
                  <w:vAlign w:val="center"/>
                </w:tcPr>
                <w:p w14:paraId="638ADC9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面漆</w:t>
                  </w:r>
                </w:p>
              </w:tc>
              <w:tc>
                <w:tcPr>
                  <w:tcW w:w="382" w:type="pct"/>
                  <w:tcBorders>
                    <w:tl2br w:val="nil"/>
                    <w:tr2bl w:val="nil"/>
                  </w:tcBorders>
                  <w:noWrap w:val="0"/>
                  <w:vAlign w:val="center"/>
                </w:tcPr>
                <w:p w14:paraId="6AB3BEC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液态</w:t>
                  </w:r>
                </w:p>
              </w:tc>
              <w:tc>
                <w:tcPr>
                  <w:tcW w:w="787" w:type="pct"/>
                  <w:tcBorders>
                    <w:tl2br w:val="nil"/>
                    <w:tr2bl w:val="nil"/>
                  </w:tcBorders>
                  <w:noWrap w:val="0"/>
                  <w:vAlign w:val="center"/>
                </w:tcPr>
                <w:p w14:paraId="462704B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≥40（本项目取80%）</w:t>
                  </w:r>
                </w:p>
              </w:tc>
              <w:tc>
                <w:tcPr>
                  <w:tcW w:w="715" w:type="pct"/>
                  <w:tcBorders>
                    <w:tl2br w:val="nil"/>
                    <w:tr2bl w:val="nil"/>
                  </w:tcBorders>
                  <w:noWrap w:val="0"/>
                  <w:vAlign w:val="center"/>
                </w:tcPr>
                <w:p w14:paraId="2D72214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≤200（20%）</w:t>
                  </w:r>
                </w:p>
              </w:tc>
              <w:tc>
                <w:tcPr>
                  <w:tcW w:w="439" w:type="pct"/>
                  <w:tcBorders>
                    <w:tl2br w:val="nil"/>
                    <w:tr2bl w:val="nil"/>
                  </w:tcBorders>
                  <w:noWrap w:val="0"/>
                  <w:vAlign w:val="center"/>
                </w:tcPr>
                <w:p w14:paraId="012CFB8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88" w:type="pct"/>
                  <w:tcBorders>
                    <w:tl2br w:val="nil"/>
                    <w:tr2bl w:val="nil"/>
                  </w:tcBorders>
                  <w:noWrap w:val="0"/>
                  <w:vAlign w:val="center"/>
                </w:tcPr>
                <w:p w14:paraId="7B2736C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340" w:type="pct"/>
                  <w:vMerge w:val="continue"/>
                  <w:tcBorders>
                    <w:tl2br w:val="nil"/>
                    <w:tr2bl w:val="nil"/>
                  </w:tcBorders>
                  <w:noWrap w:val="0"/>
                  <w:vAlign w:val="center"/>
                </w:tcPr>
                <w:p w14:paraId="730DA8A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p>
              </w:tc>
            </w:tr>
          </w:tbl>
          <w:p w14:paraId="6A39AA97">
            <w:pPr>
              <w:pStyle w:val="13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（2）物料平衡</w:t>
            </w:r>
          </w:p>
          <w:p w14:paraId="31FD44A5">
            <w:pPr>
              <w:pStyle w:val="13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本项目主要利用底漆和面漆作为原料，对上湾煤矿在实际生产运行过程中需对一些小型设备、预制好的零部件、煤矿自行焊接的一些小型设备进行刷漆、喷漆。本项目物料平衡见表2-</w:t>
            </w:r>
            <w:r>
              <w:rPr>
                <w:rFonts w:hint="eastAsia" w:cs="Times New Roman"/>
                <w:b w:val="0"/>
                <w:bCs w:val="0"/>
                <w:color w:val="auto"/>
                <w:kern w:val="2"/>
                <w:sz w:val="24"/>
                <w:szCs w:val="24"/>
                <w:lang w:val="en-US" w:eastAsia="zh-CN" w:bidi="ar-SA"/>
              </w:rPr>
              <w:t>5</w:t>
            </w:r>
            <w:r>
              <w:rPr>
                <w:rFonts w:hint="eastAsia" w:ascii="Times New Roman" w:hAnsi="Times New Roman" w:eastAsia="宋体" w:cs="Times New Roman"/>
                <w:b w:val="0"/>
                <w:bCs w:val="0"/>
                <w:color w:val="auto"/>
                <w:kern w:val="2"/>
                <w:sz w:val="24"/>
                <w:szCs w:val="24"/>
                <w:lang w:val="en-US" w:eastAsia="zh-CN" w:bidi="ar-SA"/>
              </w:rPr>
              <w:t>。</w:t>
            </w:r>
          </w:p>
          <w:p w14:paraId="52F34D7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rPr>
              <w:t>表2-</w:t>
            </w:r>
            <w:r>
              <w:rPr>
                <w:rFonts w:hint="eastAsia" w:cs="Times New Roman"/>
                <w:b/>
                <w:bCs/>
                <w:color w:val="auto"/>
                <w:sz w:val="24"/>
                <w:szCs w:val="24"/>
                <w:highlight w:val="none"/>
                <w:lang w:val="en-US" w:eastAsia="zh-CN"/>
              </w:rPr>
              <w:t>5</w:t>
            </w:r>
            <w:r>
              <w:rPr>
                <w:rFonts w:hint="eastAsia" w:ascii="Times New Roman" w:hAnsi="Times New Roman" w:eastAsia="宋体" w:cs="Times New Roman"/>
                <w:b/>
                <w:bCs/>
                <w:color w:val="auto"/>
                <w:sz w:val="24"/>
                <w:szCs w:val="24"/>
                <w:highlight w:val="none"/>
                <w:lang w:val="en-US" w:eastAsia="zh-CN"/>
              </w:rPr>
              <w:t xml:space="preserve">  </w:t>
            </w:r>
            <w:r>
              <w:rPr>
                <w:rFonts w:hint="eastAsia" w:ascii="Times New Roman" w:hAnsi="Times New Roman" w:eastAsia="宋体" w:cs="Times New Roman"/>
                <w:b/>
                <w:bCs/>
                <w:color w:val="auto"/>
                <w:sz w:val="24"/>
                <w:szCs w:val="24"/>
                <w:highlight w:val="none"/>
              </w:rPr>
              <w:t xml:space="preserve"> </w:t>
            </w:r>
            <w:r>
              <w:rPr>
                <w:rFonts w:hint="eastAsia" w:ascii="Times New Roman" w:hAnsi="Times New Roman" w:eastAsia="宋体" w:cs="Times New Roman"/>
                <w:b/>
                <w:bCs/>
                <w:color w:val="auto"/>
                <w:sz w:val="24"/>
                <w:szCs w:val="24"/>
                <w:highlight w:val="none"/>
                <w:lang w:val="en-US" w:eastAsia="zh-CN"/>
              </w:rPr>
              <w:t>物料平衡一览表</w:t>
            </w:r>
          </w:p>
          <w:tbl>
            <w:tblPr>
              <w:tblStyle w:val="3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888"/>
              <w:gridCol w:w="1888"/>
              <w:gridCol w:w="1888"/>
              <w:gridCol w:w="1890"/>
            </w:tblGrid>
            <w:tr w14:paraId="7C1B9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restart"/>
                  <w:tcBorders>
                    <w:top w:val="single" w:color="auto" w:sz="4" w:space="0"/>
                    <w:left w:val="single" w:color="auto" w:sz="0" w:space="0"/>
                    <w:tl2br w:val="nil"/>
                    <w:tr2bl w:val="nil"/>
                  </w:tcBorders>
                  <w:noWrap w:val="0"/>
                  <w:vAlign w:val="center"/>
                </w:tcPr>
                <w:p w14:paraId="3B7FB60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序号</w:t>
                  </w:r>
                </w:p>
              </w:tc>
              <w:tc>
                <w:tcPr>
                  <w:tcW w:w="2244" w:type="pct"/>
                  <w:gridSpan w:val="2"/>
                  <w:tcBorders>
                    <w:top w:val="single" w:color="auto" w:sz="4" w:space="0"/>
                    <w:tl2br w:val="nil"/>
                    <w:tr2bl w:val="nil"/>
                  </w:tcBorders>
                  <w:noWrap w:val="0"/>
                  <w:vAlign w:val="center"/>
                </w:tcPr>
                <w:p w14:paraId="0DCF9962">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投入</w:t>
                  </w:r>
                </w:p>
              </w:tc>
              <w:tc>
                <w:tcPr>
                  <w:tcW w:w="2245" w:type="pct"/>
                  <w:gridSpan w:val="2"/>
                  <w:tcBorders>
                    <w:top w:val="single" w:color="auto" w:sz="4" w:space="0"/>
                    <w:right w:val="single" w:color="auto" w:sz="4" w:space="0"/>
                    <w:tl2br w:val="nil"/>
                    <w:tr2bl w:val="nil"/>
                  </w:tcBorders>
                  <w:noWrap w:val="0"/>
                  <w:vAlign w:val="center"/>
                </w:tcPr>
                <w:p w14:paraId="21A944C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产出</w:t>
                  </w:r>
                </w:p>
              </w:tc>
            </w:tr>
            <w:tr w14:paraId="2AC82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tcBorders>
                    <w:left w:val="single" w:color="auto" w:sz="4" w:space="0"/>
                    <w:tl2br w:val="nil"/>
                    <w:tr2bl w:val="nil"/>
                  </w:tcBorders>
                  <w:noWrap w:val="0"/>
                  <w:vAlign w:val="center"/>
                </w:tcPr>
                <w:p w14:paraId="0D326BDC">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p>
              </w:tc>
              <w:tc>
                <w:tcPr>
                  <w:tcW w:w="1122" w:type="pct"/>
                  <w:tcBorders>
                    <w:tl2br w:val="nil"/>
                    <w:tr2bl w:val="nil"/>
                  </w:tcBorders>
                  <w:noWrap w:val="0"/>
                  <w:vAlign w:val="center"/>
                </w:tcPr>
                <w:p w14:paraId="074B0C7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物料名称</w:t>
                  </w:r>
                </w:p>
              </w:tc>
              <w:tc>
                <w:tcPr>
                  <w:tcW w:w="1122" w:type="pct"/>
                  <w:tcBorders>
                    <w:tl2br w:val="nil"/>
                    <w:tr2bl w:val="nil"/>
                  </w:tcBorders>
                  <w:noWrap w:val="0"/>
                  <w:vAlign w:val="center"/>
                </w:tcPr>
                <w:p w14:paraId="2BCBDDEA">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用量（t/a）</w:t>
                  </w:r>
                </w:p>
              </w:tc>
              <w:tc>
                <w:tcPr>
                  <w:tcW w:w="1122" w:type="pct"/>
                  <w:tcBorders>
                    <w:tl2br w:val="nil"/>
                    <w:tr2bl w:val="nil"/>
                  </w:tcBorders>
                  <w:noWrap w:val="0"/>
                  <w:vAlign w:val="center"/>
                </w:tcPr>
                <w:p w14:paraId="114457D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产品名称</w:t>
                  </w:r>
                </w:p>
              </w:tc>
              <w:tc>
                <w:tcPr>
                  <w:tcW w:w="1123" w:type="pct"/>
                  <w:tcBorders>
                    <w:right w:val="single" w:color="auto" w:sz="4" w:space="0"/>
                    <w:tl2br w:val="nil"/>
                    <w:tr2bl w:val="nil"/>
                  </w:tcBorders>
                  <w:noWrap w:val="0"/>
                  <w:vAlign w:val="center"/>
                </w:tcPr>
                <w:p w14:paraId="508748F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产量（t/a）</w:t>
                  </w:r>
                </w:p>
              </w:tc>
            </w:tr>
            <w:tr w14:paraId="61DD7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tl2br w:val="nil"/>
                    <w:tr2bl w:val="nil"/>
                  </w:tcBorders>
                  <w:noWrap w:val="0"/>
                  <w:vAlign w:val="center"/>
                </w:tcPr>
                <w:p w14:paraId="76950E4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1122" w:type="pct"/>
                  <w:tcBorders>
                    <w:tl2br w:val="nil"/>
                    <w:tr2bl w:val="nil"/>
                  </w:tcBorders>
                  <w:noWrap w:val="0"/>
                  <w:vAlign w:val="center"/>
                </w:tcPr>
                <w:p w14:paraId="1FDDD25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底漆</w:t>
                  </w:r>
                </w:p>
              </w:tc>
              <w:tc>
                <w:tcPr>
                  <w:tcW w:w="1122" w:type="pct"/>
                  <w:tcBorders>
                    <w:tl2br w:val="nil"/>
                    <w:tr2bl w:val="nil"/>
                  </w:tcBorders>
                  <w:noWrap w:val="0"/>
                  <w:vAlign w:val="center"/>
                </w:tcPr>
                <w:p w14:paraId="39F4C8E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4.8</w:t>
                  </w:r>
                </w:p>
              </w:tc>
              <w:tc>
                <w:tcPr>
                  <w:tcW w:w="1844" w:type="dxa"/>
                  <w:tcBorders>
                    <w:tl2br w:val="nil"/>
                    <w:tr2bl w:val="nil"/>
                  </w:tcBorders>
                  <w:noWrap w:val="0"/>
                  <w:vAlign w:val="center"/>
                </w:tcPr>
                <w:p w14:paraId="7933F75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水性漆</w:t>
                  </w:r>
                  <w:r>
                    <w:rPr>
                      <w:rFonts w:hint="eastAsia" w:cs="Times New Roman"/>
                      <w:color w:val="auto"/>
                      <w:szCs w:val="21"/>
                      <w:highlight w:val="none"/>
                      <w:lang w:val="en-US" w:eastAsia="zh-CN"/>
                    </w:rPr>
                    <w:t>喷漆到</w:t>
                  </w:r>
                  <w:r>
                    <w:rPr>
                      <w:rFonts w:hint="eastAsia" w:ascii="Times New Roman" w:hAnsi="Times New Roman" w:eastAsia="宋体" w:cs="Times New Roman"/>
                      <w:color w:val="auto"/>
                      <w:szCs w:val="21"/>
                      <w:highlight w:val="none"/>
                      <w:lang w:val="en-US" w:eastAsia="zh-CN"/>
                    </w:rPr>
                    <w:t>产品量</w:t>
                  </w:r>
                </w:p>
              </w:tc>
              <w:tc>
                <w:tcPr>
                  <w:tcW w:w="1846" w:type="dxa"/>
                  <w:tcBorders>
                    <w:right w:val="single" w:color="auto" w:sz="4" w:space="0"/>
                    <w:tl2br w:val="nil"/>
                    <w:tr2bl w:val="nil"/>
                  </w:tcBorders>
                  <w:noWrap w:val="0"/>
                  <w:vAlign w:val="center"/>
                </w:tcPr>
                <w:p w14:paraId="1F0A49A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3.266</w:t>
                  </w:r>
                </w:p>
              </w:tc>
            </w:tr>
            <w:tr w14:paraId="6100F3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tl2br w:val="nil"/>
                    <w:tr2bl w:val="nil"/>
                  </w:tcBorders>
                  <w:noWrap w:val="0"/>
                  <w:vAlign w:val="center"/>
                </w:tcPr>
                <w:p w14:paraId="530AD7C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1122" w:type="pct"/>
                  <w:tcBorders>
                    <w:tl2br w:val="nil"/>
                    <w:tr2bl w:val="nil"/>
                  </w:tcBorders>
                  <w:noWrap w:val="0"/>
                  <w:vAlign w:val="center"/>
                </w:tcPr>
                <w:p w14:paraId="014E049F">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面漆</w:t>
                  </w:r>
                </w:p>
              </w:tc>
              <w:tc>
                <w:tcPr>
                  <w:tcW w:w="1122" w:type="pct"/>
                  <w:tcBorders>
                    <w:tl2br w:val="nil"/>
                    <w:tr2bl w:val="nil"/>
                  </w:tcBorders>
                  <w:noWrap w:val="0"/>
                  <w:vAlign w:val="center"/>
                </w:tcPr>
                <w:p w14:paraId="6F7EDCD9">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4.8</w:t>
                  </w:r>
                </w:p>
              </w:tc>
              <w:tc>
                <w:tcPr>
                  <w:tcW w:w="1844" w:type="dxa"/>
                  <w:tcBorders>
                    <w:tl2br w:val="nil"/>
                    <w:tr2bl w:val="nil"/>
                  </w:tcBorders>
                  <w:noWrap w:val="0"/>
                  <w:vAlign w:val="center"/>
                </w:tcPr>
                <w:p w14:paraId="1DF724B5">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喷漆、刷漆废气</w:t>
                  </w:r>
                </w:p>
                <w:p w14:paraId="3C4B799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有组织废气量</w:t>
                  </w:r>
                </w:p>
              </w:tc>
              <w:tc>
                <w:tcPr>
                  <w:tcW w:w="1846" w:type="dxa"/>
                  <w:tcBorders>
                    <w:right w:val="single" w:color="auto" w:sz="4" w:space="0"/>
                    <w:tl2br w:val="nil"/>
                    <w:tr2bl w:val="nil"/>
                  </w:tcBorders>
                  <w:noWrap w:val="0"/>
                  <w:vAlign w:val="center"/>
                </w:tcPr>
                <w:p w14:paraId="2609F90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0.0819</w:t>
                  </w:r>
                </w:p>
              </w:tc>
            </w:tr>
            <w:tr w14:paraId="26517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tl2br w:val="nil"/>
                    <w:tr2bl w:val="nil"/>
                  </w:tcBorders>
                  <w:noWrap w:val="0"/>
                  <w:vAlign w:val="center"/>
                </w:tcPr>
                <w:p w14:paraId="5D22466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1122" w:type="pct"/>
                  <w:tcBorders>
                    <w:tl2br w:val="nil"/>
                    <w:tr2bl w:val="nil"/>
                  </w:tcBorders>
                  <w:noWrap w:val="0"/>
                  <w:vAlign w:val="center"/>
                </w:tcPr>
                <w:p w14:paraId="49A4E36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p>
              </w:tc>
              <w:tc>
                <w:tcPr>
                  <w:tcW w:w="1122" w:type="pct"/>
                  <w:tcBorders>
                    <w:tl2br w:val="nil"/>
                    <w:tr2bl w:val="nil"/>
                  </w:tcBorders>
                  <w:noWrap w:val="0"/>
                  <w:vAlign w:val="center"/>
                </w:tcPr>
                <w:p w14:paraId="659507C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p>
              </w:tc>
              <w:tc>
                <w:tcPr>
                  <w:tcW w:w="1844" w:type="dxa"/>
                  <w:tcBorders>
                    <w:tl2br w:val="nil"/>
                    <w:tr2bl w:val="nil"/>
                  </w:tcBorders>
                  <w:noWrap w:val="0"/>
                  <w:vAlign w:val="center"/>
                </w:tcPr>
                <w:p w14:paraId="6D818D72">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喷漆、刷漆废气</w:t>
                  </w:r>
                </w:p>
                <w:p w14:paraId="5A3346D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无组织废气量</w:t>
                  </w:r>
                </w:p>
              </w:tc>
              <w:tc>
                <w:tcPr>
                  <w:tcW w:w="1846" w:type="dxa"/>
                  <w:tcBorders>
                    <w:right w:val="single" w:color="auto" w:sz="4" w:space="0"/>
                    <w:tl2br w:val="nil"/>
                    <w:tr2bl w:val="nil"/>
                  </w:tcBorders>
                  <w:noWrap w:val="0"/>
                  <w:vAlign w:val="center"/>
                </w:tcPr>
                <w:p w14:paraId="13F38D2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0.084</w:t>
                  </w:r>
                </w:p>
              </w:tc>
            </w:tr>
            <w:tr w14:paraId="6D581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tl2br w:val="nil"/>
                    <w:tr2bl w:val="nil"/>
                  </w:tcBorders>
                  <w:noWrap w:val="0"/>
                  <w:vAlign w:val="center"/>
                </w:tcPr>
                <w:p w14:paraId="5B78EF5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w:t>
                  </w:r>
                </w:p>
              </w:tc>
              <w:tc>
                <w:tcPr>
                  <w:tcW w:w="1122" w:type="pct"/>
                  <w:tcBorders>
                    <w:tl2br w:val="nil"/>
                    <w:tr2bl w:val="nil"/>
                  </w:tcBorders>
                  <w:noWrap w:val="0"/>
                  <w:vAlign w:val="center"/>
                </w:tcPr>
                <w:p w14:paraId="3315AC82">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p>
              </w:tc>
              <w:tc>
                <w:tcPr>
                  <w:tcW w:w="1122" w:type="pct"/>
                  <w:tcBorders>
                    <w:tl2br w:val="nil"/>
                    <w:tr2bl w:val="nil"/>
                  </w:tcBorders>
                  <w:noWrap w:val="0"/>
                  <w:vAlign w:val="center"/>
                </w:tcPr>
                <w:p w14:paraId="68FEEFF0">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p>
              </w:tc>
              <w:tc>
                <w:tcPr>
                  <w:tcW w:w="1844" w:type="dxa"/>
                  <w:tcBorders>
                    <w:tl2br w:val="nil"/>
                    <w:tr2bl w:val="nil"/>
                  </w:tcBorders>
                  <w:noWrap w:val="0"/>
                  <w:vAlign w:val="center"/>
                </w:tcPr>
                <w:p w14:paraId="29CF035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废气处理设施处理量</w:t>
                  </w:r>
                </w:p>
              </w:tc>
              <w:tc>
                <w:tcPr>
                  <w:tcW w:w="1846" w:type="dxa"/>
                  <w:tcBorders>
                    <w:right w:val="single" w:color="auto" w:sz="4" w:space="0"/>
                    <w:tl2br w:val="nil"/>
                    <w:tr2bl w:val="nil"/>
                  </w:tcBorders>
                  <w:noWrap w:val="0"/>
                  <w:vAlign w:val="center"/>
                </w:tcPr>
                <w:p w14:paraId="5CD0751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4.0201</w:t>
                  </w:r>
                </w:p>
              </w:tc>
            </w:tr>
            <w:tr w14:paraId="70347A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tl2br w:val="nil"/>
                    <w:tr2bl w:val="nil"/>
                  </w:tcBorders>
                  <w:noWrap w:val="0"/>
                  <w:vAlign w:val="center"/>
                </w:tcPr>
                <w:p w14:paraId="6A18CEB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w:t>
                  </w:r>
                </w:p>
              </w:tc>
              <w:tc>
                <w:tcPr>
                  <w:tcW w:w="1122" w:type="pct"/>
                  <w:tcBorders>
                    <w:tl2br w:val="nil"/>
                    <w:tr2bl w:val="nil"/>
                  </w:tcBorders>
                  <w:noWrap w:val="0"/>
                  <w:vAlign w:val="center"/>
                </w:tcPr>
                <w:p w14:paraId="2D28623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p>
              </w:tc>
              <w:tc>
                <w:tcPr>
                  <w:tcW w:w="1122" w:type="pct"/>
                  <w:tcBorders>
                    <w:tl2br w:val="nil"/>
                    <w:tr2bl w:val="nil"/>
                  </w:tcBorders>
                  <w:noWrap w:val="0"/>
                  <w:vAlign w:val="center"/>
                </w:tcPr>
                <w:p w14:paraId="49C4991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p>
              </w:tc>
              <w:tc>
                <w:tcPr>
                  <w:tcW w:w="1844" w:type="dxa"/>
                  <w:tcBorders>
                    <w:tl2br w:val="nil"/>
                    <w:tr2bl w:val="nil"/>
                  </w:tcBorders>
                  <w:noWrap w:val="0"/>
                  <w:vAlign w:val="center"/>
                </w:tcPr>
                <w:p w14:paraId="6DFC87B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废漆渣</w:t>
                  </w:r>
                </w:p>
              </w:tc>
              <w:tc>
                <w:tcPr>
                  <w:tcW w:w="1846" w:type="dxa"/>
                  <w:tcBorders>
                    <w:right w:val="single" w:color="auto" w:sz="4" w:space="0"/>
                    <w:tl2br w:val="nil"/>
                    <w:tr2bl w:val="nil"/>
                  </w:tcBorders>
                  <w:noWrap w:val="0"/>
                  <w:vAlign w:val="center"/>
                </w:tcPr>
                <w:p w14:paraId="5B6310DA">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2.148</w:t>
                  </w:r>
                </w:p>
              </w:tc>
            </w:tr>
            <w:tr w14:paraId="257874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tcBorders>
                    <w:left w:val="single" w:color="auto" w:sz="4" w:space="0"/>
                    <w:bottom w:val="single" w:color="auto" w:sz="4" w:space="0"/>
                    <w:tl2br w:val="nil"/>
                    <w:tr2bl w:val="nil"/>
                  </w:tcBorders>
                  <w:noWrap w:val="0"/>
                  <w:vAlign w:val="center"/>
                </w:tcPr>
                <w:p w14:paraId="4AEF063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合计</w:t>
                  </w:r>
                </w:p>
              </w:tc>
              <w:tc>
                <w:tcPr>
                  <w:tcW w:w="1122" w:type="pct"/>
                  <w:tcBorders>
                    <w:bottom w:val="single" w:color="auto" w:sz="4" w:space="0"/>
                    <w:tl2br w:val="nil"/>
                    <w:tr2bl w:val="nil"/>
                  </w:tcBorders>
                  <w:noWrap w:val="0"/>
                  <w:vAlign w:val="center"/>
                </w:tcPr>
                <w:p w14:paraId="1FDBCC4B">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p>
              </w:tc>
              <w:tc>
                <w:tcPr>
                  <w:tcW w:w="1122" w:type="pct"/>
                  <w:tcBorders>
                    <w:bottom w:val="single" w:color="auto" w:sz="4" w:space="0"/>
                    <w:tl2br w:val="nil"/>
                    <w:tr2bl w:val="nil"/>
                  </w:tcBorders>
                  <w:noWrap w:val="0"/>
                  <w:vAlign w:val="center"/>
                </w:tcPr>
                <w:p w14:paraId="739DF75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9.6</w:t>
                  </w:r>
                </w:p>
              </w:tc>
              <w:tc>
                <w:tcPr>
                  <w:tcW w:w="1122" w:type="pct"/>
                  <w:tcBorders>
                    <w:bottom w:val="single" w:color="auto" w:sz="4" w:space="0"/>
                    <w:tl2br w:val="nil"/>
                    <w:tr2bl w:val="nil"/>
                  </w:tcBorders>
                  <w:noWrap w:val="0"/>
                  <w:vAlign w:val="center"/>
                </w:tcPr>
                <w:p w14:paraId="056A25C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highlight w:val="none"/>
                      <w:lang w:val="en-US" w:eastAsia="zh-CN"/>
                    </w:rPr>
                  </w:pPr>
                </w:p>
              </w:tc>
              <w:tc>
                <w:tcPr>
                  <w:tcW w:w="1123" w:type="pct"/>
                  <w:tcBorders>
                    <w:bottom w:val="single" w:color="auto" w:sz="4" w:space="0"/>
                    <w:right w:val="single" w:color="auto" w:sz="4" w:space="0"/>
                    <w:tl2br w:val="nil"/>
                    <w:tr2bl w:val="nil"/>
                  </w:tcBorders>
                  <w:noWrap w:val="0"/>
                  <w:vAlign w:val="center"/>
                </w:tcPr>
                <w:p w14:paraId="5DBC42E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9.6</w:t>
                  </w:r>
                </w:p>
              </w:tc>
            </w:tr>
          </w:tbl>
          <w:p w14:paraId="775C08C5">
            <w:pPr>
              <w:keepNext w:val="0"/>
              <w:keepLines w:val="0"/>
              <w:suppressLineNumbers w:val="0"/>
              <w:spacing w:before="240" w:beforeLines="100" w:beforeAutospacing="0" w:after="0" w:afterAutospacing="0" w:line="360" w:lineRule="auto"/>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drawing>
                <wp:inline distT="0" distB="0" distL="114300" distR="114300">
                  <wp:extent cx="4466590" cy="5353050"/>
                  <wp:effectExtent l="0" t="0" r="0" b="0"/>
                  <wp:docPr id="4" name="图片 4" descr="未命名文件(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文件(68)2"/>
                          <pic:cNvPicPr>
                            <a:picLocks noChangeAspect="1"/>
                          </pic:cNvPicPr>
                        </pic:nvPicPr>
                        <pic:blipFill>
                          <a:blip r:embed="rId23"/>
                          <a:stretch>
                            <a:fillRect/>
                          </a:stretch>
                        </pic:blipFill>
                        <pic:spPr>
                          <a:xfrm>
                            <a:off x="0" y="0"/>
                            <a:ext cx="4466590" cy="5353050"/>
                          </a:xfrm>
                          <a:prstGeom prst="rect">
                            <a:avLst/>
                          </a:prstGeom>
                        </pic:spPr>
                      </pic:pic>
                    </a:graphicData>
                  </a:graphic>
                </wp:inline>
              </w:drawing>
            </w:r>
          </w:p>
          <w:p w14:paraId="66F7A88B">
            <w:pPr>
              <w:keepNext w:val="0"/>
              <w:keepLines w:val="0"/>
              <w:suppressLineNumbers w:val="0"/>
              <w:spacing w:before="240" w:beforeLines="100" w:beforeAutospacing="0" w:after="0" w:afterAutospacing="0" w:line="360" w:lineRule="auto"/>
              <w:ind w:left="0" w:right="0"/>
              <w:jc w:val="center"/>
              <w:rPr>
                <w:rFonts w:hint="eastAsia"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 xml:space="preserve">  项目物料平衡图</w:t>
            </w:r>
            <w:r>
              <w:rPr>
                <w:rFonts w:hint="eastAsia" w:ascii="Times New Roman" w:hAnsi="Times New Roman" w:eastAsia="宋体" w:cs="Times New Roman"/>
                <w:b/>
                <w:bCs/>
                <w:color w:val="auto"/>
                <w:sz w:val="24"/>
                <w:szCs w:val="24"/>
                <w:highlight w:val="none"/>
                <w:lang w:val="en-US" w:eastAsia="zh-CN"/>
              </w:rPr>
              <w:t>（单位：t/a）</w:t>
            </w:r>
          </w:p>
          <w:p w14:paraId="7A29A4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8</w:t>
            </w:r>
            <w:r>
              <w:rPr>
                <w:rFonts w:hint="eastAsia"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公用工程</w:t>
            </w:r>
          </w:p>
          <w:p w14:paraId="4519CD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highlight w:val="none"/>
                <w:lang w:eastAsia="zh-CN"/>
              </w:rPr>
            </w:pPr>
            <w:r>
              <w:rPr>
                <w:rFonts w:hint="eastAsia" w:ascii="Times New Roman" w:hAnsi="Times New Roman" w:eastAsia="宋体" w:cs="Times New Roman"/>
                <w:b w:val="0"/>
                <w:bCs w:val="0"/>
                <w:color w:val="auto"/>
                <w:sz w:val="24"/>
                <w:highlight w:val="none"/>
                <w:lang w:eastAsia="zh-CN"/>
              </w:rPr>
              <w:t>（</w:t>
            </w:r>
            <w:r>
              <w:rPr>
                <w:rFonts w:hint="eastAsia" w:ascii="Times New Roman" w:hAnsi="Times New Roman" w:eastAsia="宋体" w:cs="Times New Roman"/>
                <w:b w:val="0"/>
                <w:bCs w:val="0"/>
                <w:color w:val="auto"/>
                <w:sz w:val="24"/>
                <w:highlight w:val="none"/>
                <w:lang w:val="en-US" w:eastAsia="zh-CN"/>
              </w:rPr>
              <w:t>1</w:t>
            </w:r>
            <w:r>
              <w:rPr>
                <w:rFonts w:hint="eastAsia"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给</w:t>
            </w:r>
            <w:r>
              <w:rPr>
                <w:rFonts w:hint="eastAsia" w:ascii="Times New Roman" w:hAnsi="Times New Roman" w:eastAsia="宋体" w:cs="Times New Roman"/>
                <w:b w:val="0"/>
                <w:bCs w:val="0"/>
                <w:color w:val="auto"/>
                <w:sz w:val="24"/>
                <w:highlight w:val="none"/>
                <w:lang w:val="en-US" w:eastAsia="zh-CN"/>
              </w:rPr>
              <w:t>水</w:t>
            </w:r>
          </w:p>
          <w:p w14:paraId="6CD2CC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highlight w:val="none"/>
                <w:lang w:val="en-US"/>
              </w:rPr>
            </w:pPr>
            <w:r>
              <w:rPr>
                <w:rFonts w:hint="eastAsia" w:ascii="Times New Roman" w:hAnsi="Times New Roman" w:eastAsia="宋体" w:cs="Times New Roman"/>
                <w:b w:val="0"/>
                <w:bCs w:val="0"/>
                <w:color w:val="auto"/>
                <w:sz w:val="24"/>
                <w:highlight w:val="none"/>
                <w:lang w:val="en-US" w:eastAsia="zh-CN"/>
              </w:rPr>
              <w:t>本项目依托</w:t>
            </w:r>
            <w:r>
              <w:rPr>
                <w:rFonts w:hint="eastAsia"/>
                <w:color w:val="auto"/>
                <w:sz w:val="24"/>
                <w:highlight w:val="none"/>
                <w:lang w:val="en-US" w:eastAsia="zh-CN"/>
              </w:rPr>
              <w:t>布尔台煤矿</w:t>
            </w:r>
            <w:r>
              <w:rPr>
                <w:rFonts w:hint="eastAsia" w:ascii="Times New Roman" w:hAnsi="Times New Roman" w:eastAsia="宋体" w:cs="Times New Roman"/>
                <w:b w:val="0"/>
                <w:bCs w:val="0"/>
                <w:color w:val="auto"/>
                <w:sz w:val="24"/>
                <w:highlight w:val="none"/>
                <w:lang w:val="en-US" w:eastAsia="zh-CN"/>
              </w:rPr>
              <w:t>机修车间现有劳动定员，无新增生活用水；项目无新增生产用水。</w:t>
            </w:r>
          </w:p>
          <w:p w14:paraId="5CD45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2</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排水</w:t>
            </w:r>
          </w:p>
          <w:p w14:paraId="556084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highlight w:val="none"/>
                <w:lang w:val="en-US"/>
              </w:rPr>
            </w:pPr>
            <w:r>
              <w:rPr>
                <w:rFonts w:hint="eastAsia" w:ascii="Times New Roman" w:hAnsi="Times New Roman" w:eastAsia="宋体" w:cs="Times New Roman"/>
                <w:b w:val="0"/>
                <w:bCs w:val="0"/>
                <w:color w:val="auto"/>
                <w:sz w:val="24"/>
                <w:highlight w:val="none"/>
                <w:lang w:val="en-US" w:eastAsia="zh-CN"/>
              </w:rPr>
              <w:t>本项目依托</w:t>
            </w:r>
            <w:r>
              <w:rPr>
                <w:rFonts w:hint="eastAsia"/>
                <w:color w:val="auto"/>
                <w:sz w:val="24"/>
                <w:highlight w:val="none"/>
                <w:lang w:val="en-US" w:eastAsia="zh-CN"/>
              </w:rPr>
              <w:t>布尔台煤矿</w:t>
            </w:r>
            <w:r>
              <w:rPr>
                <w:rFonts w:hint="eastAsia" w:ascii="Times New Roman" w:hAnsi="Times New Roman" w:eastAsia="宋体" w:cs="Times New Roman"/>
                <w:b w:val="0"/>
                <w:bCs w:val="0"/>
                <w:color w:val="auto"/>
                <w:sz w:val="24"/>
                <w:highlight w:val="none"/>
                <w:lang w:val="en-US" w:eastAsia="zh-CN"/>
              </w:rPr>
              <w:t>机修车间现有劳动定员，无新增生活污水；项目无新增生产废水。</w:t>
            </w:r>
          </w:p>
          <w:p w14:paraId="5624D2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3</w:t>
            </w:r>
            <w:r>
              <w:rPr>
                <w:rFonts w:hint="eastAsia"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rPr>
              <w:t>供电</w:t>
            </w:r>
          </w:p>
          <w:p w14:paraId="3A382D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val="0"/>
                <w:bCs w:val="0"/>
                <w:color w:val="auto"/>
                <w:sz w:val="24"/>
                <w:highlight w:val="none"/>
                <w:lang w:val="en-US" w:eastAsia="zh-CN"/>
              </w:rPr>
              <w:t>本项目依托</w:t>
            </w:r>
            <w:r>
              <w:rPr>
                <w:rFonts w:hint="eastAsia"/>
                <w:b w:val="0"/>
                <w:bCs w:val="0"/>
                <w:color w:val="auto"/>
                <w:sz w:val="24"/>
                <w:highlight w:val="none"/>
                <w:lang w:val="en-US" w:eastAsia="zh-CN"/>
              </w:rPr>
              <w:t>布尔台煤矿</w:t>
            </w:r>
            <w:r>
              <w:rPr>
                <w:rFonts w:hint="default" w:ascii="Times New Roman" w:hAnsi="Times New Roman" w:eastAsia="宋体" w:cs="Times New Roman"/>
                <w:b w:val="0"/>
                <w:bCs w:val="0"/>
                <w:color w:val="auto"/>
                <w:sz w:val="24"/>
                <w:highlight w:val="none"/>
                <w:lang w:val="en-US" w:eastAsia="zh-CN"/>
              </w:rPr>
              <w:t>供电系统</w:t>
            </w:r>
            <w:r>
              <w:rPr>
                <w:rFonts w:hint="eastAsia" w:ascii="Times New Roman" w:hAnsi="Times New Roman" w:eastAsia="宋体" w:cs="Times New Roman"/>
                <w:b w:val="0"/>
                <w:bCs w:val="0"/>
                <w:color w:val="auto"/>
                <w:sz w:val="24"/>
                <w:highlight w:val="none"/>
                <w:lang w:val="en-US" w:eastAsia="zh-CN"/>
              </w:rPr>
              <w:t>，由当地市政电网供给，用电量约为21400kw▪h</w:t>
            </w:r>
            <w:r>
              <w:rPr>
                <w:rFonts w:hint="default" w:ascii="Times New Roman" w:hAnsi="Times New Roman" w:eastAsia="宋体" w:cs="Times New Roman"/>
                <w:b w:val="0"/>
                <w:bCs w:val="0"/>
                <w:color w:val="auto"/>
                <w:sz w:val="24"/>
                <w:highlight w:val="none"/>
                <w:lang w:val="en-US" w:eastAsia="zh-CN"/>
              </w:rPr>
              <w:t>。</w:t>
            </w:r>
          </w:p>
        </w:tc>
      </w:tr>
      <w:tr w14:paraId="392EB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457" w:type="pct"/>
            <w:noWrap w:val="0"/>
            <w:vAlign w:val="center"/>
          </w:tcPr>
          <w:p w14:paraId="0224A470">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工艺流程和产排污环节</w:t>
            </w:r>
          </w:p>
        </w:tc>
        <w:tc>
          <w:tcPr>
            <w:tcW w:w="4542" w:type="pct"/>
            <w:noWrap w:val="0"/>
            <w:vAlign w:val="top"/>
          </w:tcPr>
          <w:p w14:paraId="4672FDB4">
            <w:pPr>
              <w:keepNext w:val="0"/>
              <w:keepLines w:val="0"/>
              <w:suppressLineNumbers w:val="0"/>
              <w:spacing w:before="0" w:beforeAutospacing="0" w:after="0" w:afterAutospacing="0" w:line="480" w:lineRule="exact"/>
              <w:ind w:left="0" w:right="0"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eastAsia="zh-CN"/>
              </w:rPr>
              <w:t>一</w:t>
            </w:r>
            <w:r>
              <w:rPr>
                <w:rFonts w:hint="default" w:ascii="Times New Roman" w:hAnsi="Times New Roman" w:eastAsia="宋体" w:cs="Times New Roman"/>
                <w:b/>
                <w:color w:val="auto"/>
                <w:sz w:val="24"/>
                <w:szCs w:val="24"/>
                <w:highlight w:val="none"/>
              </w:rPr>
              <w:t>、施工期</w:t>
            </w:r>
          </w:p>
          <w:p w14:paraId="530E397D">
            <w:pPr>
              <w:keepNext w:val="0"/>
              <w:keepLines w:val="0"/>
              <w:suppressLineNumbers w:val="0"/>
              <w:spacing w:before="0" w:beforeAutospacing="0" w:after="0" w:afterAutospacing="0" w:line="500" w:lineRule="exact"/>
              <w:ind w:left="0" w:right="0" w:firstLine="482"/>
              <w:rPr>
                <w:rFonts w:hint="default" w:eastAsia="宋体"/>
                <w:bCs/>
                <w:color w:val="auto"/>
                <w:sz w:val="24"/>
                <w:highlight w:val="none"/>
              </w:rPr>
            </w:pPr>
            <w:r>
              <w:rPr>
                <w:rFonts w:hint="eastAsia" w:hAnsi="宋体" w:eastAsia="宋体"/>
                <w:color w:val="auto"/>
                <w:sz w:val="24"/>
                <w:highlight w:val="none"/>
              </w:rPr>
              <w:t>本项目利用现有车间空地进行建设，施工期只进行内部的装修改造</w:t>
            </w:r>
            <w:r>
              <w:rPr>
                <w:rFonts w:hint="default" w:hAnsi="宋体" w:eastAsia="宋体"/>
                <w:bCs/>
                <w:color w:val="auto"/>
                <w:sz w:val="24"/>
                <w:highlight w:val="none"/>
              </w:rPr>
              <w:t>。施工期工艺流程及产污环节见下图。</w:t>
            </w:r>
          </w:p>
          <w:p w14:paraId="41917284">
            <w:pPr>
              <w:keepNext w:val="0"/>
              <w:keepLines w:val="0"/>
              <w:suppressLineNumbers w:val="0"/>
              <w:spacing w:before="0" w:beforeAutospacing="0" w:after="0" w:afterAutospacing="0" w:line="360" w:lineRule="auto"/>
              <w:ind w:left="0" w:right="0" w:firstLine="482"/>
              <w:jc w:val="center"/>
              <w:rPr>
                <w:rFonts w:hint="default" w:eastAsia="宋体"/>
                <w:bCs/>
                <w:color w:val="auto"/>
                <w:sz w:val="24"/>
                <w:highlight w:val="none"/>
              </w:rPr>
            </w:pPr>
            <w:r>
              <w:rPr>
                <w:rFonts w:hint="default"/>
                <w:color w:val="auto"/>
                <w:highlight w:val="none"/>
              </w:rPr>
              <w:object>
                <v:shape id="_x0000_i1025" o:spt="75" type="#_x0000_t75" style="height:133.5pt;width:273.5pt;" o:ole="t" filled="f" o:preferrelative="t" stroked="f" coordsize="21600,21600">
                  <v:path/>
                  <v:fill on="f" focussize="0,0"/>
                  <v:stroke on="f" joinstyle="miter"/>
                  <v:imagedata r:id="rId25" o:title=""/>
                  <o:lock v:ext="edit" aspectratio="t"/>
                  <w10:wrap type="none"/>
                  <w10:anchorlock/>
                </v:shape>
                <o:OLEObject Type="Embed" ProgID="Visio.Drawing.11" ShapeID="_x0000_i1025" DrawAspect="Content" ObjectID="_1468075725" r:id="rId24">
                  <o:LockedField>false</o:LockedField>
                </o:OLEObject>
              </w:object>
            </w:r>
          </w:p>
          <w:p w14:paraId="25EC7CCA">
            <w:pPr>
              <w:keepNext w:val="0"/>
              <w:keepLines w:val="0"/>
              <w:suppressLineNumbers w:val="0"/>
              <w:spacing w:before="0" w:beforeAutospacing="0" w:after="0" w:afterAutospacing="0" w:line="360" w:lineRule="auto"/>
              <w:ind w:left="0" w:right="0"/>
              <w:jc w:val="center"/>
              <w:rPr>
                <w:rFonts w:hint="default" w:eastAsia="宋体"/>
                <w:b/>
                <w:color w:val="auto"/>
                <w:sz w:val="24"/>
                <w:highlight w:val="none"/>
              </w:rPr>
            </w:pPr>
            <w:r>
              <w:rPr>
                <w:rFonts w:hint="default" w:hAnsi="宋体" w:eastAsia="宋体"/>
                <w:b/>
                <w:color w:val="auto"/>
                <w:sz w:val="24"/>
                <w:highlight w:val="none"/>
              </w:rPr>
              <w:t>图</w:t>
            </w:r>
            <w:r>
              <w:rPr>
                <w:rFonts w:hint="eastAsia" w:eastAsia="宋体"/>
                <w:b/>
                <w:color w:val="auto"/>
                <w:sz w:val="24"/>
                <w:highlight w:val="none"/>
                <w:lang w:val="en-US" w:eastAsia="zh-CN"/>
              </w:rPr>
              <w:t>2-</w:t>
            </w:r>
            <w:r>
              <w:rPr>
                <w:rFonts w:hint="eastAsia"/>
                <w:b/>
                <w:color w:val="auto"/>
                <w:sz w:val="24"/>
                <w:highlight w:val="none"/>
                <w:lang w:val="en-US" w:eastAsia="zh-CN"/>
              </w:rPr>
              <w:t>2</w:t>
            </w:r>
            <w:r>
              <w:rPr>
                <w:rFonts w:hint="eastAsia" w:eastAsia="宋体"/>
                <w:b/>
                <w:color w:val="auto"/>
                <w:sz w:val="24"/>
                <w:highlight w:val="none"/>
              </w:rPr>
              <w:t xml:space="preserve">  </w:t>
            </w:r>
            <w:r>
              <w:rPr>
                <w:rFonts w:hint="default" w:hAnsi="宋体" w:eastAsia="宋体"/>
                <w:b/>
                <w:color w:val="auto"/>
                <w:sz w:val="24"/>
                <w:highlight w:val="none"/>
              </w:rPr>
              <w:t>施工期工艺流程及产污环节图</w:t>
            </w:r>
          </w:p>
          <w:p w14:paraId="2E84E119">
            <w:pPr>
              <w:keepNext w:val="0"/>
              <w:keepLines w:val="0"/>
              <w:suppressLineNumbers w:val="0"/>
              <w:spacing w:before="0" w:beforeAutospacing="0" w:after="0" w:afterAutospacing="0" w:line="500" w:lineRule="exact"/>
              <w:ind w:left="0" w:right="0" w:firstLine="482"/>
              <w:rPr>
                <w:rFonts w:hint="default" w:eastAsia="宋体"/>
                <w:bCs/>
                <w:color w:val="auto"/>
                <w:sz w:val="24"/>
                <w:highlight w:val="none"/>
              </w:rPr>
            </w:pPr>
            <w:r>
              <w:rPr>
                <w:rFonts w:hint="default" w:hAnsi="宋体" w:eastAsia="宋体"/>
                <w:bCs/>
                <w:color w:val="auto"/>
                <w:sz w:val="24"/>
                <w:highlight w:val="none"/>
              </w:rPr>
              <w:t>（</w:t>
            </w:r>
            <w:r>
              <w:rPr>
                <w:rFonts w:hint="default" w:eastAsia="宋体"/>
                <w:bCs/>
                <w:color w:val="auto"/>
                <w:sz w:val="24"/>
                <w:highlight w:val="none"/>
              </w:rPr>
              <w:t>1</w:t>
            </w:r>
            <w:r>
              <w:rPr>
                <w:rFonts w:hint="default" w:hAnsi="宋体" w:eastAsia="宋体"/>
                <w:bCs/>
                <w:color w:val="auto"/>
                <w:sz w:val="24"/>
                <w:highlight w:val="none"/>
              </w:rPr>
              <w:t>）基础工程：基础工程主要为</w:t>
            </w:r>
            <w:r>
              <w:rPr>
                <w:rFonts w:hint="eastAsia" w:hAnsi="宋体" w:eastAsia="宋体"/>
                <w:bCs/>
                <w:color w:val="auto"/>
                <w:sz w:val="24"/>
                <w:highlight w:val="none"/>
              </w:rPr>
              <w:t>内部地面、墙壁、水暖的改造及装修</w:t>
            </w:r>
            <w:r>
              <w:rPr>
                <w:rFonts w:hint="default" w:hAnsi="宋体" w:eastAsia="宋体"/>
                <w:bCs/>
                <w:color w:val="auto"/>
                <w:sz w:val="24"/>
                <w:highlight w:val="none"/>
              </w:rPr>
              <w:t>。</w:t>
            </w:r>
            <w:r>
              <w:rPr>
                <w:rFonts w:hint="eastAsia" w:hAnsi="宋体" w:eastAsia="宋体"/>
                <w:bCs/>
                <w:color w:val="auto"/>
                <w:sz w:val="24"/>
                <w:highlight w:val="none"/>
              </w:rPr>
              <w:t>主要污染物为装修材料运输过程及装修产生的粉尘、噪声及固废。</w:t>
            </w:r>
          </w:p>
          <w:p w14:paraId="337B7188">
            <w:pPr>
              <w:keepNext w:val="0"/>
              <w:keepLines w:val="0"/>
              <w:suppressLineNumbers w:val="0"/>
              <w:spacing w:before="0" w:beforeAutospacing="0" w:after="0" w:afterAutospacing="0" w:line="500" w:lineRule="exact"/>
              <w:ind w:left="0" w:right="0" w:firstLine="482"/>
              <w:rPr>
                <w:rFonts w:hint="default" w:eastAsia="宋体"/>
                <w:bCs/>
                <w:color w:val="auto"/>
                <w:sz w:val="24"/>
                <w:highlight w:val="none"/>
              </w:rPr>
            </w:pPr>
            <w:r>
              <w:rPr>
                <w:rFonts w:hint="default" w:hAnsi="宋体" w:eastAsia="宋体"/>
                <w:bCs/>
                <w:color w:val="auto"/>
                <w:sz w:val="24"/>
                <w:highlight w:val="none"/>
              </w:rPr>
              <w:t>（</w:t>
            </w:r>
            <w:r>
              <w:rPr>
                <w:rFonts w:hint="default" w:eastAsia="宋体"/>
                <w:bCs/>
                <w:color w:val="auto"/>
                <w:sz w:val="24"/>
                <w:highlight w:val="none"/>
              </w:rPr>
              <w:t>2</w:t>
            </w:r>
            <w:r>
              <w:rPr>
                <w:rFonts w:hint="default" w:hAnsi="宋体" w:eastAsia="宋体"/>
                <w:bCs/>
                <w:color w:val="auto"/>
                <w:sz w:val="24"/>
                <w:highlight w:val="none"/>
              </w:rPr>
              <w:t>）装饰工程：</w:t>
            </w:r>
            <w:r>
              <w:rPr>
                <w:rFonts w:hint="eastAsia" w:hAnsi="宋体" w:eastAsia="宋体"/>
                <w:bCs/>
                <w:color w:val="auto"/>
                <w:sz w:val="24"/>
                <w:highlight w:val="none"/>
                <w:lang w:val="en-US" w:eastAsia="zh-CN"/>
              </w:rPr>
              <w:t>钢架防腐喷涂过程</w:t>
            </w:r>
            <w:r>
              <w:rPr>
                <w:rFonts w:hint="default" w:hAnsi="宋体" w:eastAsia="宋体"/>
                <w:bCs/>
                <w:color w:val="auto"/>
                <w:sz w:val="24"/>
                <w:highlight w:val="none"/>
              </w:rPr>
              <w:t>，有少量有机废气挥发。</w:t>
            </w:r>
          </w:p>
          <w:p w14:paraId="7E4F3295">
            <w:pPr>
              <w:keepNext w:val="0"/>
              <w:keepLines w:val="0"/>
              <w:suppressLineNumbers w:val="0"/>
              <w:spacing w:before="0" w:beforeAutospacing="0" w:after="0" w:afterAutospacing="0" w:line="500" w:lineRule="exact"/>
              <w:ind w:left="0" w:right="0" w:firstLine="482"/>
              <w:rPr>
                <w:rFonts w:hint="default" w:hAnsi="宋体" w:eastAsia="宋体"/>
                <w:bCs/>
                <w:color w:val="auto"/>
                <w:sz w:val="24"/>
                <w:highlight w:val="none"/>
              </w:rPr>
            </w:pPr>
            <w:r>
              <w:rPr>
                <w:rFonts w:hint="default" w:hAnsi="宋体" w:eastAsia="宋体"/>
                <w:bCs/>
                <w:color w:val="auto"/>
                <w:sz w:val="24"/>
                <w:highlight w:val="none"/>
              </w:rPr>
              <w:t>（</w:t>
            </w:r>
            <w:r>
              <w:rPr>
                <w:rFonts w:hint="eastAsia" w:hAnsi="宋体" w:eastAsia="宋体"/>
                <w:bCs/>
                <w:color w:val="auto"/>
                <w:sz w:val="24"/>
                <w:highlight w:val="none"/>
                <w:lang w:val="en-US" w:eastAsia="zh-CN"/>
              </w:rPr>
              <w:t>3</w:t>
            </w:r>
            <w:r>
              <w:rPr>
                <w:rFonts w:hint="default" w:hAnsi="宋体" w:eastAsia="宋体"/>
                <w:bCs/>
                <w:color w:val="auto"/>
                <w:sz w:val="24"/>
                <w:highlight w:val="none"/>
              </w:rPr>
              <w:t>）设备安装：包括</w:t>
            </w:r>
            <w:r>
              <w:rPr>
                <w:rFonts w:hint="eastAsia" w:hAnsi="宋体" w:eastAsia="宋体"/>
                <w:bCs/>
                <w:color w:val="auto"/>
                <w:sz w:val="24"/>
                <w:highlight w:val="none"/>
              </w:rPr>
              <w:t>维修设备、</w:t>
            </w:r>
            <w:r>
              <w:rPr>
                <w:rFonts w:hint="default" w:hAnsi="宋体" w:eastAsia="宋体"/>
                <w:bCs/>
                <w:color w:val="auto"/>
                <w:sz w:val="24"/>
                <w:highlight w:val="none"/>
              </w:rPr>
              <w:t>照明设备、通风设备</w:t>
            </w:r>
            <w:r>
              <w:rPr>
                <w:rFonts w:hint="eastAsia" w:hAnsi="宋体"/>
                <w:bCs/>
                <w:color w:val="auto"/>
                <w:sz w:val="24"/>
                <w:highlight w:val="none"/>
                <w:lang w:eastAsia="zh-CN"/>
              </w:rPr>
              <w:t>的</w:t>
            </w:r>
            <w:r>
              <w:rPr>
                <w:rFonts w:hint="default" w:hAnsi="宋体" w:eastAsia="宋体"/>
                <w:bCs/>
                <w:color w:val="auto"/>
                <w:sz w:val="24"/>
                <w:highlight w:val="none"/>
              </w:rPr>
              <w:t>安装施工，主要污染物是施工机械产生的噪声等。</w:t>
            </w:r>
          </w:p>
          <w:p w14:paraId="2C8351CB">
            <w:pPr>
              <w:keepNext w:val="0"/>
              <w:keepLines w:val="0"/>
              <w:suppressLineNumbers w:val="0"/>
              <w:snapToGrid w:val="0"/>
              <w:spacing w:before="0" w:beforeAutospacing="0" w:after="0" w:afterAutospacing="0" w:line="500" w:lineRule="exact"/>
              <w:ind w:left="0" w:right="0" w:firstLine="482" w:firstLineChars="200"/>
              <w:rPr>
                <w:rFonts w:hint="default" w:ascii="Times New Roman" w:hAnsi="Times New Roman" w:eastAsia="宋体" w:cs="Times New Roman"/>
                <w:b/>
                <w:color w:val="auto"/>
                <w:sz w:val="24"/>
                <w:highlight w:val="none"/>
              </w:rPr>
            </w:pPr>
            <w:r>
              <w:rPr>
                <w:rFonts w:hint="eastAsia" w:eastAsia="宋体" w:cs="Times New Roman"/>
                <w:b/>
                <w:color w:val="auto"/>
                <w:sz w:val="24"/>
                <w:highlight w:val="none"/>
                <w:lang w:val="en-US" w:eastAsia="zh-CN"/>
              </w:rPr>
              <w:t>二、</w:t>
            </w:r>
            <w:r>
              <w:rPr>
                <w:rFonts w:hint="default" w:ascii="Times New Roman" w:hAnsi="Times New Roman" w:eastAsia="宋体" w:cs="Times New Roman"/>
                <w:b/>
                <w:color w:val="auto"/>
                <w:sz w:val="24"/>
                <w:highlight w:val="none"/>
              </w:rPr>
              <w:t>运营期工艺流程简述</w:t>
            </w:r>
          </w:p>
          <w:p w14:paraId="01A3D945">
            <w:pPr>
              <w:keepNext w:val="0"/>
              <w:keepLines w:val="0"/>
              <w:suppressLineNumbers w:val="0"/>
              <w:spacing w:before="0" w:beforeAutospacing="0" w:after="0" w:afterAutospacing="0" w:line="500" w:lineRule="exact"/>
              <w:ind w:left="0" w:right="0" w:firstLine="482"/>
              <w:rPr>
                <w:rFonts w:hint="default" w:ascii="Times New Roman" w:hAnsi="宋体" w:eastAsia="宋体" w:cs="Times New Roman"/>
                <w:bCs/>
                <w:color w:val="auto"/>
                <w:sz w:val="24"/>
                <w:highlight w:val="none"/>
              </w:rPr>
            </w:pPr>
            <w:r>
              <w:rPr>
                <w:rFonts w:hint="default" w:ascii="Times New Roman" w:hAnsi="宋体" w:eastAsia="宋体" w:cs="Times New Roman"/>
                <w:bCs/>
                <w:color w:val="auto"/>
                <w:sz w:val="24"/>
                <w:highlight w:val="none"/>
              </w:rPr>
              <w:t>项目主要</w:t>
            </w:r>
            <w:r>
              <w:rPr>
                <w:rFonts w:hint="eastAsia" w:ascii="Times New Roman" w:hAnsi="宋体" w:eastAsia="宋体" w:cs="Times New Roman"/>
                <w:bCs/>
                <w:color w:val="auto"/>
                <w:sz w:val="24"/>
                <w:highlight w:val="none"/>
              </w:rPr>
              <w:t>用</w:t>
            </w:r>
            <w:r>
              <w:rPr>
                <w:rFonts w:hint="eastAsia" w:ascii="Times New Roman" w:hAnsi="宋体" w:eastAsia="宋体" w:cs="Times New Roman"/>
                <w:bCs/>
                <w:color w:val="auto"/>
                <w:sz w:val="24"/>
                <w:highlight w:val="none"/>
                <w:lang w:val="en-US" w:eastAsia="zh-CN"/>
              </w:rPr>
              <w:t>水性漆9.6</w:t>
            </w:r>
            <w:r>
              <w:rPr>
                <w:rFonts w:hint="eastAsia" w:ascii="Times New Roman" w:hAnsi="宋体" w:eastAsia="宋体" w:cs="Times New Roman"/>
                <w:bCs/>
                <w:color w:val="auto"/>
                <w:sz w:val="24"/>
                <w:highlight w:val="none"/>
              </w:rPr>
              <w:t>t（含稀释剂）</w:t>
            </w:r>
            <w:r>
              <w:rPr>
                <w:rFonts w:hint="eastAsia" w:ascii="Times New Roman" w:hAnsi="宋体" w:eastAsia="宋体" w:cs="Times New Roman"/>
                <w:bCs/>
                <w:color w:val="auto"/>
                <w:sz w:val="24"/>
                <w:highlight w:val="none"/>
                <w:lang w:eastAsia="zh-CN"/>
              </w:rPr>
              <w:t>，</w:t>
            </w:r>
            <w:r>
              <w:rPr>
                <w:rFonts w:hint="eastAsia" w:ascii="Times New Roman" w:hAnsi="宋体" w:eastAsia="宋体" w:cs="Times New Roman"/>
                <w:bCs/>
                <w:color w:val="auto"/>
                <w:sz w:val="24"/>
                <w:highlight w:val="none"/>
                <w:lang w:val="en-US" w:eastAsia="zh-CN"/>
              </w:rPr>
              <w:t>对煤矿生产过程中小型设备、预制好的零部件、煤矿自行焊接的一些小型设备表面进行喷漆及刷漆处理，具体工艺</w:t>
            </w:r>
            <w:r>
              <w:rPr>
                <w:rFonts w:hint="eastAsia" w:hAnsi="宋体" w:cs="Times New Roman"/>
                <w:bCs/>
                <w:color w:val="auto"/>
                <w:sz w:val="24"/>
                <w:highlight w:val="none"/>
                <w:lang w:val="en-US" w:eastAsia="zh-CN"/>
              </w:rPr>
              <w:t>流程</w:t>
            </w:r>
            <w:r>
              <w:rPr>
                <w:rFonts w:hint="default" w:ascii="Times New Roman" w:hAnsi="宋体" w:eastAsia="宋体" w:cs="Times New Roman"/>
                <w:bCs/>
                <w:color w:val="auto"/>
                <w:sz w:val="24"/>
                <w:highlight w:val="none"/>
              </w:rPr>
              <w:t>如下：</w:t>
            </w:r>
          </w:p>
          <w:p w14:paraId="34160F47">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5E8FF0FD">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2320CF19">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378461EF">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7FEF4050">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2BFBD17E">
            <w:pPr>
              <w:pStyle w:val="38"/>
              <w:keepNext w:val="0"/>
              <w:keepLines w:val="0"/>
              <w:suppressLineNumbers w:val="0"/>
              <w:spacing w:before="0" w:beforeAutospacing="0" w:after="0" w:afterAutospacing="0"/>
              <w:ind w:left="0" w:right="0"/>
              <w:rPr>
                <w:rFonts w:hint="default" w:ascii="Times New Roman" w:hAnsi="宋体" w:eastAsia="宋体" w:cs="Times New Roman"/>
                <w:bCs/>
                <w:color w:val="auto"/>
                <w:sz w:val="24"/>
                <w:highlight w:val="none"/>
              </w:rPr>
            </w:pPr>
          </w:p>
          <w:p w14:paraId="2698B759">
            <w:pPr>
              <w:keepNext w:val="0"/>
              <w:keepLines w:val="0"/>
              <w:suppressLineNumbers w:val="0"/>
              <w:bidi w:val="0"/>
              <w:spacing w:before="0" w:beforeAutospacing="0" w:after="0" w:afterAutospacing="0"/>
              <w:ind w:left="0" w:right="0"/>
              <w:jc w:val="center"/>
              <w:rPr>
                <w:rFonts w:hint="eastAsia" w:ascii="Times New Roman" w:hAnsi="宋体" w:eastAsia="宋体" w:cs="Times New Roman"/>
                <w:bCs/>
                <w:color w:val="auto"/>
                <w:sz w:val="24"/>
                <w:highlight w:val="none"/>
                <w:lang w:val="en-US" w:eastAsia="zh-CN"/>
              </w:rPr>
            </w:pPr>
            <w:r>
              <w:rPr>
                <w:rFonts w:hint="eastAsia" w:ascii="Times New Roman" w:hAnsi="宋体" w:eastAsia="宋体" w:cs="Times New Roman"/>
                <w:bCs/>
                <w:color w:val="auto"/>
                <w:sz w:val="24"/>
                <w:highlight w:val="none"/>
                <w:lang w:val="en-US" w:eastAsia="zh-CN"/>
              </w:rPr>
              <w:drawing>
                <wp:inline distT="0" distB="0" distL="114300" distR="114300">
                  <wp:extent cx="3589020" cy="4485640"/>
                  <wp:effectExtent l="0" t="0" r="0" b="0"/>
                  <wp:docPr id="41" name="图片 41" descr="未命名文件(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未命名文件(68)"/>
                          <pic:cNvPicPr>
                            <a:picLocks noChangeAspect="1"/>
                          </pic:cNvPicPr>
                        </pic:nvPicPr>
                        <pic:blipFill>
                          <a:blip r:embed="rId26"/>
                          <a:stretch>
                            <a:fillRect/>
                          </a:stretch>
                        </pic:blipFill>
                        <pic:spPr>
                          <a:xfrm>
                            <a:off x="0" y="0"/>
                            <a:ext cx="3589020" cy="4485640"/>
                          </a:xfrm>
                          <a:prstGeom prst="rect">
                            <a:avLst/>
                          </a:prstGeom>
                        </pic:spPr>
                      </pic:pic>
                    </a:graphicData>
                  </a:graphic>
                </wp:inline>
              </w:drawing>
            </w:r>
          </w:p>
          <w:p w14:paraId="3D2E858B">
            <w:pPr>
              <w:keepNext w:val="0"/>
              <w:keepLines w:val="0"/>
              <w:suppressLineNumbers w:val="0"/>
              <w:spacing w:before="0" w:beforeAutospacing="0" w:after="0" w:afterAutospacing="0" w:line="480" w:lineRule="exact"/>
              <w:ind w:left="0" w:right="0"/>
              <w:jc w:val="center"/>
              <w:rPr>
                <w:rFonts w:hint="default" w:ascii="Times New Roman" w:hAnsi="Times New Roman" w:eastAsia="宋体" w:cs="Times New Roman"/>
                <w:color w:val="auto"/>
                <w:sz w:val="24"/>
                <w:highlight w:val="none"/>
                <w:lang w:val="en-US" w:eastAsia="zh-CN"/>
              </w:rPr>
            </w:pPr>
            <w:r>
              <w:rPr>
                <w:rFonts w:hint="default"/>
                <w:b/>
                <w:bCs/>
                <w:color w:val="auto"/>
                <w:sz w:val="24"/>
                <w:szCs w:val="24"/>
              </w:rPr>
              <w:t>图2-</w:t>
            </w:r>
            <w:r>
              <w:rPr>
                <w:rFonts w:hint="eastAsia"/>
                <w:b/>
                <w:bCs/>
                <w:color w:val="auto"/>
                <w:sz w:val="24"/>
                <w:szCs w:val="24"/>
                <w:lang w:val="en-US" w:eastAsia="zh-CN"/>
              </w:rPr>
              <w:t>3</w:t>
            </w:r>
            <w:r>
              <w:rPr>
                <w:rFonts w:hint="default"/>
                <w:b/>
                <w:bCs/>
                <w:color w:val="auto"/>
                <w:sz w:val="24"/>
                <w:szCs w:val="24"/>
              </w:rPr>
              <w:t xml:space="preserve">  </w:t>
            </w:r>
            <w:r>
              <w:rPr>
                <w:rFonts w:hint="eastAsia"/>
                <w:b/>
                <w:bCs/>
                <w:color w:val="auto"/>
                <w:sz w:val="24"/>
                <w:szCs w:val="24"/>
                <w:lang w:val="en-US" w:eastAsia="zh-CN"/>
              </w:rPr>
              <w:t>工艺流程</w:t>
            </w:r>
            <w:r>
              <w:rPr>
                <w:rFonts w:hint="default"/>
                <w:b/>
                <w:bCs/>
                <w:color w:val="auto"/>
                <w:sz w:val="24"/>
                <w:szCs w:val="24"/>
              </w:rPr>
              <w:t>及产污节点图</w:t>
            </w:r>
          </w:p>
          <w:p w14:paraId="5EB40E25">
            <w:pPr>
              <w:keepNext w:val="0"/>
              <w:keepLines w:val="0"/>
              <w:suppressLineNumbers w:val="0"/>
              <w:spacing w:before="0" w:beforeAutospacing="0" w:after="0" w:afterAutospacing="0" w:line="500" w:lineRule="exact"/>
              <w:ind w:left="0" w:right="0" w:firstLine="482"/>
              <w:rPr>
                <w:rFonts w:hint="default" w:ascii="Times New Roman" w:hAnsi="宋体" w:eastAsia="宋体" w:cs="Times New Roman"/>
                <w:b/>
                <w:bCs w:val="0"/>
                <w:color w:val="auto"/>
                <w:sz w:val="24"/>
                <w:highlight w:val="none"/>
              </w:rPr>
            </w:pPr>
            <w:r>
              <w:rPr>
                <w:rFonts w:hint="eastAsia" w:hAnsi="宋体" w:eastAsia="宋体" w:cs="Times New Roman"/>
                <w:b/>
                <w:bCs w:val="0"/>
                <w:color w:val="auto"/>
                <w:sz w:val="24"/>
                <w:highlight w:val="none"/>
                <w:lang w:val="en-US" w:eastAsia="zh-CN"/>
              </w:rPr>
              <w:t>1.</w:t>
            </w:r>
            <w:r>
              <w:rPr>
                <w:rFonts w:hint="eastAsia" w:ascii="Times New Roman" w:hAnsi="宋体" w:eastAsia="宋体" w:cs="Times New Roman"/>
                <w:b/>
                <w:bCs w:val="0"/>
                <w:color w:val="auto"/>
                <w:sz w:val="24"/>
                <w:highlight w:val="none"/>
                <w:lang w:val="en-US" w:eastAsia="zh-CN"/>
              </w:rPr>
              <w:t>刷漆、喷漆工艺流程</w:t>
            </w:r>
            <w:r>
              <w:rPr>
                <w:rFonts w:hint="default" w:ascii="Times New Roman" w:hAnsi="宋体" w:eastAsia="宋体" w:cs="Times New Roman"/>
                <w:b/>
                <w:bCs w:val="0"/>
                <w:color w:val="auto"/>
                <w:sz w:val="24"/>
                <w:highlight w:val="none"/>
              </w:rPr>
              <w:t>简述</w:t>
            </w:r>
          </w:p>
          <w:p w14:paraId="1C0DF863">
            <w:pPr>
              <w:keepNext w:val="0"/>
              <w:keepLines w:val="0"/>
              <w:suppressLineNumbers w:val="0"/>
              <w:spacing w:before="0" w:beforeAutospacing="0" w:after="0" w:afterAutospacing="0" w:line="500" w:lineRule="exact"/>
              <w:ind w:left="0" w:right="0" w:firstLine="482"/>
              <w:rPr>
                <w:rFonts w:hint="default"/>
                <w:color w:val="auto"/>
              </w:rPr>
            </w:pPr>
            <w:r>
              <w:rPr>
                <w:rFonts w:hint="eastAsia" w:ascii="Times New Roman" w:hAnsi="宋体" w:eastAsia="宋体" w:cs="Times New Roman"/>
                <w:bCs/>
                <w:color w:val="auto"/>
                <w:sz w:val="24"/>
                <w:highlight w:val="none"/>
                <w:lang w:val="en-US" w:eastAsia="zh-CN"/>
              </w:rPr>
              <w:t>用外购调配好的水性漆对煤矿生产过程中小型设备、预制好的零部件、煤矿自行焊接的一些小型设备表面进行喷漆及刷漆处理，以上设备送入自动喷漆生产线进行喷漆，喷漆完成后对不均匀部位进行刷漆处理，喷漆及刷漆工序均在喷漆房中完成，项目建设一座长20m、宽1</w:t>
            </w:r>
            <w:r>
              <w:rPr>
                <w:rFonts w:hint="eastAsia" w:hAnsi="宋体" w:cs="Times New Roman"/>
                <w:bCs/>
                <w:color w:val="auto"/>
                <w:sz w:val="24"/>
                <w:highlight w:val="none"/>
                <w:lang w:val="en-US" w:eastAsia="zh-CN"/>
              </w:rPr>
              <w:t>8</w:t>
            </w:r>
            <w:r>
              <w:rPr>
                <w:rFonts w:hint="eastAsia" w:ascii="Times New Roman" w:hAnsi="宋体" w:eastAsia="宋体" w:cs="Times New Roman"/>
                <w:bCs/>
                <w:color w:val="auto"/>
                <w:sz w:val="24"/>
                <w:highlight w:val="none"/>
                <w:lang w:val="en-US" w:eastAsia="zh-CN"/>
              </w:rPr>
              <w:t>m、高5m的喷漆房，喷漆房在运行状态下，喷漆房内呈负压状态，漆房外空气将会储蓄从门口进入漆房，保持室内外压力平衡，通过引风机将车间内废气引入废气处理系统，引风机集气效率为98%。喷漆作业产生的颗粒物、苯系物（苯、甲苯、二甲苯）及非甲烷总烃会及时被负压抽至废气处理系统净化处理系统（漆雾过滤+活性炭吸附脱附+CO催化燃烧系统）净化处理，喷完漆晾干后即完成喷漆作业。</w:t>
            </w:r>
          </w:p>
          <w:p w14:paraId="2BFD81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2.运营期产污环节</w:t>
            </w:r>
          </w:p>
          <w:p w14:paraId="4DC5ED42">
            <w:pPr>
              <w:pStyle w:val="122"/>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32"/>
                <w:highlight w:val="none"/>
              </w:rPr>
            </w:pPr>
            <w:r>
              <w:rPr>
                <w:rFonts w:hint="default" w:ascii="Times New Roman" w:hAnsi="Times New Roman" w:eastAsia="宋体" w:cs="Times New Roman"/>
                <w:color w:val="auto"/>
                <w:kern w:val="2"/>
                <w:szCs w:val="32"/>
                <w:highlight w:val="none"/>
              </w:rPr>
              <w:t>本项目产污环节具体见表2-</w:t>
            </w:r>
            <w:r>
              <w:rPr>
                <w:rFonts w:hint="eastAsia" w:cs="Times New Roman"/>
                <w:color w:val="auto"/>
                <w:kern w:val="2"/>
                <w:szCs w:val="32"/>
                <w:highlight w:val="none"/>
                <w:lang w:val="en-US" w:eastAsia="zh-CN"/>
              </w:rPr>
              <w:t>6</w:t>
            </w:r>
            <w:r>
              <w:rPr>
                <w:rFonts w:hint="default" w:ascii="Times New Roman" w:hAnsi="Times New Roman" w:eastAsia="宋体" w:cs="Times New Roman"/>
                <w:color w:val="auto"/>
                <w:kern w:val="2"/>
                <w:szCs w:val="32"/>
                <w:highlight w:val="none"/>
              </w:rPr>
              <w:t>。</w:t>
            </w:r>
          </w:p>
          <w:p w14:paraId="2F39F194">
            <w:pPr>
              <w:pStyle w:val="122"/>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olor w:val="auto"/>
                <w:kern w:val="2"/>
                <w:szCs w:val="32"/>
                <w:highlight w:val="none"/>
              </w:rPr>
            </w:pPr>
          </w:p>
          <w:p w14:paraId="019145F1">
            <w:pPr>
              <w:pStyle w:val="122"/>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olor w:val="auto"/>
                <w:kern w:val="2"/>
                <w:szCs w:val="32"/>
                <w:highlight w:val="none"/>
              </w:rPr>
            </w:pPr>
            <w:r>
              <w:rPr>
                <w:rFonts w:hint="default" w:ascii="Times New Roman" w:hAnsi="Times New Roman" w:eastAsia="宋体" w:cs="Times New Roman"/>
                <w:b/>
                <w:bCs/>
                <w:color w:val="auto"/>
                <w:kern w:val="2"/>
                <w:szCs w:val="32"/>
                <w:highlight w:val="none"/>
              </w:rPr>
              <w:t>表2-</w:t>
            </w:r>
            <w:r>
              <w:rPr>
                <w:rFonts w:hint="eastAsia" w:cs="Times New Roman"/>
                <w:b/>
                <w:bCs/>
                <w:color w:val="auto"/>
                <w:kern w:val="2"/>
                <w:szCs w:val="32"/>
                <w:highlight w:val="none"/>
                <w:lang w:val="en-US" w:eastAsia="zh-CN"/>
              </w:rPr>
              <w:t>6</w:t>
            </w:r>
            <w:r>
              <w:rPr>
                <w:rFonts w:hint="default" w:ascii="Times New Roman" w:hAnsi="Times New Roman" w:eastAsia="宋体" w:cs="Times New Roman"/>
                <w:b/>
                <w:bCs/>
                <w:color w:val="auto"/>
                <w:kern w:val="2"/>
                <w:szCs w:val="32"/>
                <w:highlight w:val="none"/>
                <w:lang w:val="en-US" w:eastAsia="zh-CN"/>
              </w:rPr>
              <w:t xml:space="preserve">   </w:t>
            </w:r>
            <w:r>
              <w:rPr>
                <w:rFonts w:hint="default" w:ascii="Times New Roman" w:hAnsi="Times New Roman" w:eastAsia="宋体" w:cs="Times New Roman"/>
                <w:b/>
                <w:bCs/>
                <w:color w:val="auto"/>
                <w:kern w:val="2"/>
                <w:szCs w:val="32"/>
                <w:highlight w:val="none"/>
              </w:rPr>
              <w:t xml:space="preserve"> 本项目产污环节</w:t>
            </w:r>
          </w:p>
          <w:tbl>
            <w:tblPr>
              <w:tblStyle w:val="31"/>
              <w:tblW w:w="499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35"/>
              <w:gridCol w:w="1408"/>
              <w:gridCol w:w="1440"/>
              <w:gridCol w:w="4613"/>
            </w:tblGrid>
            <w:tr w14:paraId="05CBD0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tcBorders>
                    <w:tl2br w:val="nil"/>
                    <w:tr2bl w:val="nil"/>
                  </w:tcBorders>
                  <w:noWrap w:val="0"/>
                  <w:vAlign w:val="center"/>
                </w:tcPr>
                <w:p w14:paraId="7ABA5F0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vertAlign w:val="baseline"/>
                    </w:rPr>
                    <w:t>污染类型</w:t>
                  </w:r>
                </w:p>
              </w:tc>
              <w:tc>
                <w:tcPr>
                  <w:tcW w:w="838" w:type="pct"/>
                  <w:tcBorders>
                    <w:tl2br w:val="nil"/>
                    <w:tr2bl w:val="nil"/>
                  </w:tcBorders>
                  <w:noWrap w:val="0"/>
                  <w:vAlign w:val="center"/>
                </w:tcPr>
                <w:p w14:paraId="011FFBD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vertAlign w:val="baseline"/>
                    </w:rPr>
                    <w:t>生产工序</w:t>
                  </w:r>
                </w:p>
              </w:tc>
              <w:tc>
                <w:tcPr>
                  <w:tcW w:w="857" w:type="pct"/>
                  <w:tcBorders>
                    <w:tl2br w:val="nil"/>
                    <w:tr2bl w:val="nil"/>
                  </w:tcBorders>
                  <w:noWrap w:val="0"/>
                  <w:vAlign w:val="center"/>
                </w:tcPr>
                <w:p w14:paraId="2CCC33F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vertAlign w:val="baseline"/>
                    </w:rPr>
                    <w:t>污染因子</w:t>
                  </w:r>
                </w:p>
              </w:tc>
              <w:tc>
                <w:tcPr>
                  <w:tcW w:w="2746" w:type="pct"/>
                  <w:tcBorders>
                    <w:tl2br w:val="nil"/>
                    <w:tr2bl w:val="nil"/>
                  </w:tcBorders>
                  <w:noWrap w:val="0"/>
                  <w:vAlign w:val="center"/>
                </w:tcPr>
                <w:p w14:paraId="5954D8D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color w:val="auto"/>
                      <w:kern w:val="0"/>
                      <w:sz w:val="21"/>
                      <w:szCs w:val="21"/>
                      <w:highlight w:val="none"/>
                      <w:vertAlign w:val="baseline"/>
                      <w:lang w:val="en-US" w:eastAsia="zh-CN" w:bidi="ar-SA"/>
                    </w:rPr>
                  </w:pPr>
                  <w:r>
                    <w:rPr>
                      <w:rFonts w:hint="default" w:ascii="Times New Roman" w:hAnsi="Times New Roman" w:eastAsia="宋体" w:cs="Times New Roman"/>
                      <w:b/>
                      <w:color w:val="auto"/>
                      <w:highlight w:val="none"/>
                      <w:lang w:eastAsia="zh-CN"/>
                    </w:rPr>
                    <w:t>治理措施</w:t>
                  </w:r>
                </w:p>
              </w:tc>
            </w:tr>
            <w:tr w14:paraId="0156D9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57" w:type="pct"/>
                  <w:vMerge w:val="restart"/>
                  <w:tcBorders>
                    <w:tl2br w:val="nil"/>
                    <w:tr2bl w:val="nil"/>
                  </w:tcBorders>
                  <w:noWrap w:val="0"/>
                  <w:vAlign w:val="center"/>
                </w:tcPr>
                <w:p w14:paraId="6268D73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废气</w:t>
                  </w:r>
                </w:p>
              </w:tc>
              <w:tc>
                <w:tcPr>
                  <w:tcW w:w="838" w:type="pct"/>
                  <w:tcBorders>
                    <w:tl2br w:val="nil"/>
                    <w:tr2bl w:val="nil"/>
                  </w:tcBorders>
                  <w:noWrap w:val="0"/>
                  <w:vAlign w:val="center"/>
                </w:tcPr>
                <w:p w14:paraId="5E3F8E0C">
                  <w:pPr>
                    <w:keepNext w:val="0"/>
                    <w:keepLines w:val="0"/>
                    <w:suppressLineNumbers w:val="0"/>
                    <w:spacing w:before="0" w:beforeAutospacing="0" w:after="0" w:afterAutospacing="0"/>
                    <w:ind w:left="0" w:leftChars="0" w:right="0" w:righ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G1</w:t>
                  </w:r>
                </w:p>
                <w:p w14:paraId="43976D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b w:val="0"/>
                      <w:bCs w:val="0"/>
                      <w:color w:val="auto"/>
                      <w:sz w:val="21"/>
                      <w:szCs w:val="21"/>
                      <w:highlight w:val="none"/>
                      <w:lang w:val="en-US" w:eastAsia="zh-CN"/>
                    </w:rPr>
                    <w:t>喷漆、刷漆废气</w:t>
                  </w:r>
                </w:p>
              </w:tc>
              <w:tc>
                <w:tcPr>
                  <w:tcW w:w="857" w:type="pct"/>
                  <w:tcBorders>
                    <w:tl2br w:val="nil"/>
                    <w:tr2bl w:val="nil"/>
                  </w:tcBorders>
                  <w:noWrap w:val="0"/>
                  <w:vAlign w:val="center"/>
                </w:tcPr>
                <w:p w14:paraId="431D705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宋体" w:eastAsia="宋体" w:cs="Times New Roman"/>
                      <w:bCs/>
                      <w:color w:val="auto"/>
                      <w:sz w:val="21"/>
                      <w:szCs w:val="21"/>
                      <w:highlight w:val="none"/>
                      <w:lang w:val="en-US" w:eastAsia="zh-CN"/>
                    </w:rPr>
                    <w:t>颗粒物、苯系物（苯、甲苯、二甲苯）及非甲烷总烃</w:t>
                  </w:r>
                </w:p>
              </w:tc>
              <w:tc>
                <w:tcPr>
                  <w:tcW w:w="2746" w:type="pct"/>
                  <w:tcBorders>
                    <w:tl2br w:val="nil"/>
                    <w:tr2bl w:val="nil"/>
                  </w:tcBorders>
                  <w:noWrap w:val="0"/>
                  <w:vAlign w:val="center"/>
                </w:tcPr>
                <w:p w14:paraId="7390C8D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yellow"/>
                      <w:vertAlign w:val="baseline"/>
                    </w:rPr>
                  </w:pPr>
                  <w:r>
                    <w:rPr>
                      <w:rFonts w:hint="eastAsia" w:ascii="Times New Roman" w:hAnsi="Times New Roman" w:eastAsia="宋体" w:cs="Times New Roman"/>
                      <w:bCs w:val="0"/>
                      <w:color w:val="auto"/>
                      <w:kern w:val="2"/>
                      <w:sz w:val="21"/>
                      <w:szCs w:val="21"/>
                      <w:lang w:val="en-US" w:eastAsia="zh-CN" w:bidi="ar-SA"/>
                    </w:rPr>
                    <w:t>负压收集+漆雾过滤（纸箱式漆雾过滤器+F6中效过滤袋+F8中效过滤袋）+</w:t>
                  </w:r>
                  <w:r>
                    <w:rPr>
                      <w:rFonts w:hint="default" w:ascii="Times New Roman" w:hAnsi="Times New Roman" w:eastAsia="宋体" w:cs="Times New Roman"/>
                      <w:bCs w:val="0"/>
                      <w:color w:val="auto"/>
                      <w:kern w:val="2"/>
                      <w:sz w:val="21"/>
                      <w:szCs w:val="21"/>
                      <w:lang w:val="en-US" w:eastAsia="zh-CN" w:bidi="ar-SA"/>
                    </w:rPr>
                    <w:t>活性炭</w:t>
                  </w:r>
                  <w:r>
                    <w:rPr>
                      <w:rFonts w:hint="eastAsia" w:ascii="Times New Roman" w:hAnsi="Times New Roman" w:eastAsia="宋体" w:cs="Times New Roman"/>
                      <w:bCs w:val="0"/>
                      <w:color w:val="auto"/>
                      <w:kern w:val="2"/>
                      <w:sz w:val="21"/>
                      <w:szCs w:val="21"/>
                      <w:lang w:val="en-US" w:eastAsia="zh-CN" w:bidi="ar-SA"/>
                    </w:rPr>
                    <w:t>吸附脱附</w:t>
                  </w:r>
                  <w:r>
                    <w:rPr>
                      <w:rFonts w:hint="default" w:ascii="Times New Roman" w:hAnsi="Times New Roman" w:eastAsia="宋体" w:cs="Times New Roman"/>
                      <w:bCs w:val="0"/>
                      <w:color w:val="auto"/>
                      <w:kern w:val="2"/>
                      <w:sz w:val="21"/>
                      <w:szCs w:val="21"/>
                      <w:lang w:val="en-US" w:eastAsia="zh-CN" w:bidi="ar-SA"/>
                    </w:rPr>
                    <w:t>+</w:t>
                  </w:r>
                  <w:r>
                    <w:rPr>
                      <w:rFonts w:hint="eastAsia" w:ascii="Times New Roman" w:hAnsi="Times New Roman" w:eastAsia="宋体" w:cs="Times New Roman"/>
                      <w:bCs w:val="0"/>
                      <w:color w:val="auto"/>
                      <w:kern w:val="2"/>
                      <w:sz w:val="21"/>
                      <w:szCs w:val="21"/>
                      <w:lang w:val="en-US" w:eastAsia="zh-CN" w:bidi="ar-SA"/>
                    </w:rPr>
                    <w:t>CO催化燃烧装置处理工艺处理后，经15m高排气筒（DA001）排放。</w:t>
                  </w:r>
                </w:p>
              </w:tc>
            </w:tr>
            <w:tr w14:paraId="571512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8" w:hRule="atLeast"/>
                <w:jc w:val="center"/>
              </w:trPr>
              <w:tc>
                <w:tcPr>
                  <w:tcW w:w="557" w:type="pct"/>
                  <w:vMerge w:val="continue"/>
                  <w:tcBorders>
                    <w:tl2br w:val="nil"/>
                    <w:tr2bl w:val="nil"/>
                  </w:tcBorders>
                  <w:noWrap w:val="0"/>
                  <w:vAlign w:val="center"/>
                </w:tcPr>
                <w:p w14:paraId="05BFB47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2E8BEEA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G2</w:t>
                  </w:r>
                </w:p>
                <w:p w14:paraId="0A09A84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催化燃烧废气</w:t>
                  </w:r>
                </w:p>
              </w:tc>
              <w:tc>
                <w:tcPr>
                  <w:tcW w:w="857" w:type="pct"/>
                  <w:tcBorders>
                    <w:tl2br w:val="nil"/>
                    <w:tr2bl w:val="nil"/>
                  </w:tcBorders>
                  <w:noWrap w:val="0"/>
                  <w:vAlign w:val="center"/>
                </w:tcPr>
                <w:p w14:paraId="5EDEF9C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CO</w:t>
                  </w:r>
                  <w:r>
                    <w:rPr>
                      <w:rFonts w:hint="eastAsia" w:cs="Times New Roman"/>
                      <w:color w:val="auto"/>
                      <w:sz w:val="21"/>
                      <w:szCs w:val="21"/>
                      <w:highlight w:val="none"/>
                      <w:vertAlign w:val="subscript"/>
                      <w:lang w:val="en-US" w:eastAsia="zh-CN"/>
                    </w:rPr>
                    <w:t>2</w:t>
                  </w:r>
                  <w:r>
                    <w:rPr>
                      <w:rFonts w:hint="eastAsia" w:cs="Times New Roman"/>
                      <w:color w:val="auto"/>
                      <w:sz w:val="21"/>
                      <w:szCs w:val="21"/>
                      <w:highlight w:val="none"/>
                      <w:vertAlign w:val="baseline"/>
                      <w:lang w:val="en-US" w:eastAsia="zh-CN"/>
                    </w:rPr>
                    <w:t>、水蒸气</w:t>
                  </w:r>
                </w:p>
              </w:tc>
              <w:tc>
                <w:tcPr>
                  <w:tcW w:w="2746" w:type="pct"/>
                  <w:tcBorders>
                    <w:tl2br w:val="nil"/>
                    <w:tr2bl w:val="nil"/>
                  </w:tcBorders>
                  <w:noWrap w:val="0"/>
                  <w:vAlign w:val="center"/>
                </w:tcPr>
                <w:p w14:paraId="1F1075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宋体" w:eastAsia="宋体" w:cs="Times New Roman"/>
                      <w:bCs/>
                      <w:color w:val="auto"/>
                      <w:sz w:val="21"/>
                      <w:szCs w:val="21"/>
                      <w:highlight w:val="none"/>
                      <w:lang w:val="en-US" w:eastAsia="zh-CN"/>
                    </w:rPr>
                    <w:t>本项目CO催化燃烧温度为200-300℃左右，在200-300℃的温度下，基本不会产生热力型氮氧化物，且有机废气成分中无氮元素，因此本项目催化燃烧废气中不考虑氮氧化物。</w:t>
                  </w:r>
                </w:p>
              </w:tc>
            </w:tr>
            <w:tr w14:paraId="4EC25B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tcBorders>
                    <w:tl2br w:val="nil"/>
                    <w:tr2bl w:val="nil"/>
                  </w:tcBorders>
                  <w:noWrap w:val="0"/>
                  <w:vAlign w:val="center"/>
                </w:tcPr>
                <w:p w14:paraId="4353EB9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rPr>
                    <w:t>噪声</w:t>
                  </w:r>
                </w:p>
              </w:tc>
              <w:tc>
                <w:tcPr>
                  <w:tcW w:w="838" w:type="pct"/>
                  <w:tcBorders>
                    <w:tl2br w:val="nil"/>
                    <w:tr2bl w:val="nil"/>
                  </w:tcBorders>
                  <w:noWrap w:val="0"/>
                  <w:vAlign w:val="center"/>
                </w:tcPr>
                <w:p w14:paraId="03686A7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设备噪声</w:t>
                  </w:r>
                </w:p>
              </w:tc>
              <w:tc>
                <w:tcPr>
                  <w:tcW w:w="857" w:type="pct"/>
                  <w:tcBorders>
                    <w:tl2br w:val="nil"/>
                    <w:tr2bl w:val="nil"/>
                  </w:tcBorders>
                  <w:noWrap w:val="0"/>
                  <w:vAlign w:val="center"/>
                </w:tcPr>
                <w:p w14:paraId="65549F0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rPr>
                    <w:t>等效A声级</w:t>
                  </w:r>
                </w:p>
              </w:tc>
              <w:tc>
                <w:tcPr>
                  <w:tcW w:w="2746" w:type="pct"/>
                  <w:tcBorders>
                    <w:tl2br w:val="nil"/>
                    <w:tr2bl w:val="nil"/>
                  </w:tcBorders>
                  <w:noWrap w:val="0"/>
                  <w:vAlign w:val="center"/>
                </w:tcPr>
                <w:p w14:paraId="468588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rPr>
                    <w:t>采用低噪设备，基础减震</w:t>
                  </w:r>
                </w:p>
              </w:tc>
            </w:tr>
            <w:tr w14:paraId="61AD7F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restart"/>
                  <w:tcBorders>
                    <w:tl2br w:val="nil"/>
                    <w:tr2bl w:val="nil"/>
                  </w:tcBorders>
                  <w:noWrap w:val="0"/>
                  <w:vAlign w:val="center"/>
                </w:tcPr>
                <w:p w14:paraId="583881B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固体废物</w:t>
                  </w:r>
                </w:p>
              </w:tc>
              <w:tc>
                <w:tcPr>
                  <w:tcW w:w="838" w:type="pct"/>
                  <w:tcBorders>
                    <w:tl2br w:val="nil"/>
                    <w:tr2bl w:val="nil"/>
                  </w:tcBorders>
                  <w:noWrap w:val="0"/>
                  <w:vAlign w:val="center"/>
                </w:tcPr>
                <w:p w14:paraId="037E1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b w:val="0"/>
                      <w:bCs w:val="0"/>
                      <w:color w:val="auto"/>
                      <w:sz w:val="21"/>
                      <w:szCs w:val="21"/>
                      <w:lang w:val="en-US" w:eastAsia="zh-CN"/>
                    </w:rPr>
                    <w:t>S1废水性漆</w:t>
                  </w:r>
                </w:p>
              </w:tc>
              <w:tc>
                <w:tcPr>
                  <w:tcW w:w="857" w:type="pct"/>
                  <w:tcBorders>
                    <w:tl2br w:val="nil"/>
                    <w:tr2bl w:val="nil"/>
                  </w:tcBorders>
                  <w:noWrap w:val="0"/>
                  <w:vAlign w:val="center"/>
                </w:tcPr>
                <w:p w14:paraId="4A565BB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b w:val="0"/>
                      <w:bCs w:val="0"/>
                      <w:color w:val="auto"/>
                      <w:sz w:val="21"/>
                      <w:szCs w:val="21"/>
                      <w:lang w:val="en-US" w:eastAsia="zh-CN"/>
                    </w:rPr>
                    <w:t>废水性漆</w:t>
                  </w:r>
                </w:p>
              </w:tc>
              <w:tc>
                <w:tcPr>
                  <w:tcW w:w="2746" w:type="pct"/>
                  <w:vMerge w:val="restart"/>
                  <w:tcBorders>
                    <w:tl2br w:val="nil"/>
                    <w:tr2bl w:val="nil"/>
                  </w:tcBorders>
                  <w:noWrap w:val="0"/>
                  <w:vAlign w:val="center"/>
                </w:tcPr>
                <w:p w14:paraId="42905F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lang w:val="en-US" w:eastAsia="zh-CN"/>
                    </w:rPr>
                    <w:t>刷漆、喷漆过程中会产生废漆桶及废水性漆，暂存于布尔台煤矿厂区危废暂存库</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定期</w:t>
                  </w:r>
                  <w:r>
                    <w:rPr>
                      <w:rFonts w:hint="default" w:ascii="Times New Roman" w:hAnsi="Times New Roman" w:eastAsia="宋体" w:cs="Times New Roman"/>
                      <w:color w:val="auto"/>
                      <w:sz w:val="21"/>
                      <w:szCs w:val="21"/>
                      <w:lang w:val="en-US" w:eastAsia="zh-CN"/>
                    </w:rPr>
                    <w:t>委托有资质单位处置</w:t>
                  </w:r>
                  <w:r>
                    <w:rPr>
                      <w:rFonts w:hint="eastAsia" w:ascii="Times New Roman" w:hAnsi="Times New Roman" w:eastAsia="宋体" w:cs="Times New Roman"/>
                      <w:color w:val="auto"/>
                      <w:sz w:val="21"/>
                      <w:szCs w:val="21"/>
                      <w:lang w:val="en-US" w:eastAsia="zh-CN"/>
                    </w:rPr>
                    <w:t>。</w:t>
                  </w:r>
                </w:p>
              </w:tc>
            </w:tr>
            <w:tr w14:paraId="1AF288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5C6C852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557BF8C7">
                  <w:pPr>
                    <w:keepNext w:val="0"/>
                    <w:keepLines w:val="0"/>
                    <w:widowControl/>
                    <w:suppressLineNumbers w:val="0"/>
                    <w:spacing w:before="0" w:beforeAutospacing="0" w:after="0" w:afterAutospacing="0"/>
                    <w:ind w:left="0" w:leftChars="0" w:right="0" w:rightChars="0"/>
                    <w:jc w:val="center"/>
                    <w:textAlignment w:val="center"/>
                    <w:rPr>
                      <w:rFonts w:hint="eastAsia" w:eastAsia="宋体"/>
                      <w:b w:val="0"/>
                      <w:bCs w:val="0"/>
                      <w:color w:val="auto"/>
                      <w:sz w:val="21"/>
                      <w:szCs w:val="21"/>
                      <w:lang w:val="en-US" w:eastAsia="zh-CN"/>
                    </w:rPr>
                  </w:pPr>
                  <w:r>
                    <w:rPr>
                      <w:rStyle w:val="128"/>
                      <w:rFonts w:hint="eastAsia" w:cs="Times New Roman"/>
                      <w:color w:val="auto"/>
                      <w:sz w:val="21"/>
                      <w:szCs w:val="21"/>
                      <w:lang w:val="en-US" w:eastAsia="zh-CN" w:bidi="ar"/>
                    </w:rPr>
                    <w:t>S2</w:t>
                  </w:r>
                  <w:r>
                    <w:rPr>
                      <w:rFonts w:hint="eastAsia" w:eastAsia="宋体"/>
                      <w:b w:val="0"/>
                      <w:bCs w:val="0"/>
                      <w:color w:val="auto"/>
                      <w:sz w:val="21"/>
                      <w:szCs w:val="21"/>
                      <w:lang w:val="en-US" w:eastAsia="zh-CN"/>
                    </w:rPr>
                    <w:t>水性漆桶</w:t>
                  </w:r>
                </w:p>
              </w:tc>
              <w:tc>
                <w:tcPr>
                  <w:tcW w:w="857" w:type="pct"/>
                  <w:tcBorders>
                    <w:tl2br w:val="nil"/>
                    <w:tr2bl w:val="nil"/>
                  </w:tcBorders>
                  <w:noWrap w:val="0"/>
                  <w:vAlign w:val="center"/>
                </w:tcPr>
                <w:p w14:paraId="4E84B5F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eastAsia" w:eastAsia="宋体"/>
                      <w:b w:val="0"/>
                      <w:bCs w:val="0"/>
                      <w:color w:val="auto"/>
                      <w:sz w:val="21"/>
                      <w:szCs w:val="21"/>
                      <w:lang w:val="en-US" w:eastAsia="zh-CN"/>
                    </w:rPr>
                  </w:pPr>
                  <w:r>
                    <w:rPr>
                      <w:rFonts w:hint="eastAsia" w:eastAsia="宋体"/>
                      <w:b w:val="0"/>
                      <w:bCs w:val="0"/>
                      <w:color w:val="auto"/>
                      <w:sz w:val="21"/>
                      <w:szCs w:val="21"/>
                      <w:lang w:val="en-US" w:eastAsia="zh-CN"/>
                    </w:rPr>
                    <w:t>水性漆桶</w:t>
                  </w:r>
                </w:p>
              </w:tc>
              <w:tc>
                <w:tcPr>
                  <w:tcW w:w="2746" w:type="pct"/>
                  <w:vMerge w:val="continue"/>
                  <w:tcBorders>
                    <w:tl2br w:val="nil"/>
                    <w:tr2bl w:val="nil"/>
                  </w:tcBorders>
                  <w:noWrap w:val="0"/>
                  <w:vAlign w:val="center"/>
                </w:tcPr>
                <w:p w14:paraId="60DEEC2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 w:val="21"/>
                      <w:szCs w:val="21"/>
                      <w:lang w:val="en-US" w:eastAsia="zh-CN"/>
                    </w:rPr>
                  </w:pPr>
                </w:p>
              </w:tc>
            </w:tr>
            <w:tr w14:paraId="03F809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08F936C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4FAC8E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Style w:val="128"/>
                      <w:rFonts w:hint="eastAsia" w:cs="Times New Roman"/>
                      <w:color w:val="auto"/>
                      <w:sz w:val="21"/>
                      <w:szCs w:val="21"/>
                      <w:lang w:val="en-US" w:eastAsia="zh-CN" w:bidi="ar"/>
                    </w:rPr>
                    <w:t>S3废漆渣</w:t>
                  </w:r>
                </w:p>
              </w:tc>
              <w:tc>
                <w:tcPr>
                  <w:tcW w:w="857" w:type="pct"/>
                  <w:tcBorders>
                    <w:tl2br w:val="nil"/>
                    <w:tr2bl w:val="nil"/>
                  </w:tcBorders>
                  <w:noWrap w:val="0"/>
                  <w:vAlign w:val="center"/>
                </w:tcPr>
                <w:p w14:paraId="370AE8F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Style w:val="128"/>
                      <w:rFonts w:hint="eastAsia" w:cs="Times New Roman"/>
                      <w:color w:val="auto"/>
                      <w:sz w:val="21"/>
                      <w:szCs w:val="21"/>
                      <w:lang w:val="en-US" w:eastAsia="zh-CN" w:bidi="ar"/>
                    </w:rPr>
                    <w:t>废漆渣</w:t>
                  </w:r>
                </w:p>
              </w:tc>
              <w:tc>
                <w:tcPr>
                  <w:tcW w:w="2746" w:type="pct"/>
                  <w:vMerge w:val="restart"/>
                  <w:tcBorders>
                    <w:tl2br w:val="nil"/>
                    <w:tr2bl w:val="nil"/>
                  </w:tcBorders>
                  <w:noWrap w:val="0"/>
                  <w:vAlign w:val="center"/>
                </w:tcPr>
                <w:p w14:paraId="6222B1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sz w:val="21"/>
                      <w:szCs w:val="21"/>
                      <w:lang w:val="en-US" w:eastAsia="zh-CN"/>
                    </w:rPr>
                    <w:t>漆雾过滤系统会产生废漆渣</w:t>
                  </w:r>
                  <w:r>
                    <w:rPr>
                      <w:rFonts w:hint="eastAsia" w:eastAsia="宋体" w:cs="Times New Roman"/>
                      <w:color w:val="auto"/>
                      <w:sz w:val="21"/>
                      <w:szCs w:val="21"/>
                      <w:lang w:val="en-US" w:eastAsia="zh-CN"/>
                    </w:rPr>
                    <w:t>、</w:t>
                  </w:r>
                  <w:r>
                    <w:rPr>
                      <w:rStyle w:val="128"/>
                      <w:rFonts w:hint="eastAsia" w:cs="Times New Roman"/>
                      <w:color w:val="auto"/>
                      <w:sz w:val="21"/>
                      <w:szCs w:val="21"/>
                      <w:lang w:val="en-US" w:eastAsia="zh-CN" w:bidi="ar"/>
                    </w:rPr>
                    <w:t>废纸壳</w:t>
                  </w:r>
                  <w:r>
                    <w:rPr>
                      <w:rFonts w:hint="eastAsia" w:ascii="Times New Roman" w:hAnsi="Times New Roman" w:eastAsia="宋体" w:cs="Times New Roman"/>
                      <w:color w:val="auto"/>
                      <w:sz w:val="21"/>
                      <w:szCs w:val="21"/>
                      <w:lang w:val="en-US" w:eastAsia="zh-CN"/>
                    </w:rPr>
                    <w:t>，暂存于布尔台煤矿厂区危废暂存库</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定期</w:t>
                  </w:r>
                  <w:r>
                    <w:rPr>
                      <w:rFonts w:hint="default" w:ascii="Times New Roman" w:hAnsi="Times New Roman" w:eastAsia="宋体" w:cs="Times New Roman"/>
                      <w:color w:val="auto"/>
                      <w:sz w:val="21"/>
                      <w:szCs w:val="21"/>
                      <w:lang w:val="en-US" w:eastAsia="zh-CN"/>
                    </w:rPr>
                    <w:t>委托有资质单位处置</w:t>
                  </w:r>
                  <w:r>
                    <w:rPr>
                      <w:rFonts w:hint="eastAsia" w:ascii="Times New Roman" w:hAnsi="Times New Roman" w:eastAsia="宋体" w:cs="Times New Roman"/>
                      <w:color w:val="auto"/>
                      <w:sz w:val="21"/>
                      <w:szCs w:val="21"/>
                      <w:lang w:val="en-US" w:eastAsia="zh-CN"/>
                    </w:rPr>
                    <w:t>。</w:t>
                  </w:r>
                </w:p>
              </w:tc>
            </w:tr>
            <w:tr w14:paraId="71B65B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78B6299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3BCC41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S4废纸壳</w:t>
                  </w:r>
                </w:p>
              </w:tc>
              <w:tc>
                <w:tcPr>
                  <w:tcW w:w="857" w:type="pct"/>
                  <w:tcBorders>
                    <w:tl2br w:val="nil"/>
                    <w:tr2bl w:val="nil"/>
                  </w:tcBorders>
                  <w:noWrap w:val="0"/>
                  <w:vAlign w:val="center"/>
                </w:tcPr>
                <w:p w14:paraId="5349FD8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废纸壳</w:t>
                  </w:r>
                </w:p>
              </w:tc>
              <w:tc>
                <w:tcPr>
                  <w:tcW w:w="2746" w:type="pct"/>
                  <w:vMerge w:val="continue"/>
                  <w:tcBorders>
                    <w:tl2br w:val="nil"/>
                    <w:tr2bl w:val="nil"/>
                  </w:tcBorders>
                  <w:noWrap w:val="0"/>
                  <w:vAlign w:val="center"/>
                </w:tcPr>
                <w:p w14:paraId="703163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vertAlign w:val="baseline"/>
                      <w:lang w:val="en-US" w:eastAsia="zh-CN"/>
                    </w:rPr>
                  </w:pPr>
                </w:p>
              </w:tc>
            </w:tr>
            <w:tr w14:paraId="61116D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0B3CC58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3484B9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S5废过滤棉</w:t>
                  </w:r>
                </w:p>
              </w:tc>
              <w:tc>
                <w:tcPr>
                  <w:tcW w:w="857" w:type="pct"/>
                  <w:tcBorders>
                    <w:tl2br w:val="nil"/>
                    <w:tr2bl w:val="nil"/>
                  </w:tcBorders>
                  <w:noWrap w:val="0"/>
                  <w:vAlign w:val="center"/>
                </w:tcPr>
                <w:p w14:paraId="1F7DEB1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废过滤棉</w:t>
                  </w:r>
                </w:p>
              </w:tc>
              <w:tc>
                <w:tcPr>
                  <w:tcW w:w="2746" w:type="pct"/>
                  <w:tcBorders>
                    <w:tl2br w:val="nil"/>
                    <w:tr2bl w:val="nil"/>
                  </w:tcBorders>
                  <w:noWrap w:val="0"/>
                  <w:vAlign w:val="center"/>
                </w:tcPr>
                <w:p w14:paraId="1DCDBE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lang w:val="en-US" w:eastAsia="zh-CN"/>
                    </w:rPr>
                    <w:t>本项目漆雾过滤系统会产生废过滤棉，产生废过滤棉暂存于布尔台煤矿厂区危废暂存库，定期委托有资质单位处置。</w:t>
                  </w:r>
                </w:p>
              </w:tc>
            </w:tr>
            <w:tr w14:paraId="103B20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11EF96D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1085F3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S6废过滤袋</w:t>
                  </w:r>
                </w:p>
              </w:tc>
              <w:tc>
                <w:tcPr>
                  <w:tcW w:w="857" w:type="pct"/>
                  <w:tcBorders>
                    <w:tl2br w:val="nil"/>
                    <w:tr2bl w:val="nil"/>
                  </w:tcBorders>
                  <w:noWrap w:val="0"/>
                  <w:vAlign w:val="center"/>
                </w:tcPr>
                <w:p w14:paraId="6FDF802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废过滤袋</w:t>
                  </w:r>
                </w:p>
              </w:tc>
              <w:tc>
                <w:tcPr>
                  <w:tcW w:w="2746" w:type="pct"/>
                  <w:tcBorders>
                    <w:tl2br w:val="nil"/>
                    <w:tr2bl w:val="nil"/>
                  </w:tcBorders>
                  <w:noWrap w:val="0"/>
                  <w:vAlign w:val="center"/>
                </w:tcPr>
                <w:p w14:paraId="1B72B9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lang w:val="en-US" w:eastAsia="zh-CN"/>
                    </w:rPr>
                    <w:t>本项目漆雾过滤系统会产生废过滤袋，产生废过滤袋暂存于布尔台煤矿厂区危废暂存库，定期委托有资质单位处置。</w:t>
                  </w:r>
                </w:p>
              </w:tc>
            </w:tr>
            <w:tr w14:paraId="7A6B9D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6007F94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3B6349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Style w:val="128"/>
                      <w:rFonts w:hint="eastAsia" w:cs="Times New Roman"/>
                      <w:color w:val="auto"/>
                      <w:sz w:val="21"/>
                      <w:szCs w:val="21"/>
                      <w:lang w:val="en-US" w:eastAsia="zh-CN" w:bidi="ar"/>
                    </w:rPr>
                    <w:t>S7</w:t>
                  </w:r>
                  <w:r>
                    <w:rPr>
                      <w:rFonts w:hint="eastAsia" w:ascii="Times New Roman" w:hAnsi="Times New Roman" w:eastAsia="宋体" w:cs="Times New Roman"/>
                      <w:b w:val="0"/>
                      <w:bCs w:val="0"/>
                      <w:color w:val="auto"/>
                      <w:sz w:val="21"/>
                      <w:szCs w:val="21"/>
                      <w:lang w:val="en-US" w:eastAsia="zh-CN"/>
                    </w:rPr>
                    <w:t>废活性炭</w:t>
                  </w:r>
                </w:p>
              </w:tc>
              <w:tc>
                <w:tcPr>
                  <w:tcW w:w="857" w:type="pct"/>
                  <w:tcBorders>
                    <w:bottom w:val="single" w:color="auto" w:sz="4" w:space="0"/>
                    <w:tl2br w:val="nil"/>
                    <w:tr2bl w:val="nil"/>
                  </w:tcBorders>
                  <w:noWrap w:val="0"/>
                  <w:vAlign w:val="center"/>
                </w:tcPr>
                <w:p w14:paraId="045A381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lang w:val="en-US" w:eastAsia="zh-CN"/>
                    </w:rPr>
                    <w:t>废活性炭</w:t>
                  </w:r>
                </w:p>
              </w:tc>
              <w:tc>
                <w:tcPr>
                  <w:tcW w:w="2746" w:type="pct"/>
                  <w:tcBorders>
                    <w:bottom w:val="single" w:color="auto" w:sz="4" w:space="0"/>
                    <w:tl2br w:val="nil"/>
                    <w:tr2bl w:val="nil"/>
                  </w:tcBorders>
                  <w:noWrap w:val="0"/>
                  <w:vAlign w:val="center"/>
                </w:tcPr>
                <w:p w14:paraId="74DA8B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lang w:val="en-US" w:eastAsia="zh-CN"/>
                    </w:rPr>
                    <w:t>本项目废气处理系统产生的废活性炭，暂存于布尔台煤矿厂区危废暂存库，定期委托有资质单位处置。</w:t>
                  </w:r>
                </w:p>
              </w:tc>
            </w:tr>
            <w:tr w14:paraId="5E123B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57" w:type="pct"/>
                  <w:vMerge w:val="continue"/>
                  <w:tcBorders>
                    <w:tl2br w:val="nil"/>
                    <w:tr2bl w:val="nil"/>
                  </w:tcBorders>
                  <w:noWrap w:val="0"/>
                  <w:vAlign w:val="center"/>
                </w:tcPr>
                <w:p w14:paraId="6163BD3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838" w:type="pct"/>
                  <w:tcBorders>
                    <w:tl2br w:val="nil"/>
                    <w:tr2bl w:val="nil"/>
                  </w:tcBorders>
                  <w:noWrap w:val="0"/>
                  <w:vAlign w:val="center"/>
                </w:tcPr>
                <w:p w14:paraId="2391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b w:val="0"/>
                      <w:bCs w:val="0"/>
                      <w:color w:val="auto"/>
                      <w:sz w:val="21"/>
                      <w:szCs w:val="21"/>
                      <w:lang w:val="en-US" w:eastAsia="zh-CN"/>
                    </w:rPr>
                    <w:t>S8</w:t>
                  </w:r>
                  <w:r>
                    <w:rPr>
                      <w:rFonts w:hint="eastAsia" w:ascii="Times New Roman" w:hAnsi="Times New Roman" w:eastAsia="宋体" w:cs="Times New Roman"/>
                      <w:b w:val="0"/>
                      <w:bCs w:val="0"/>
                      <w:color w:val="auto"/>
                      <w:sz w:val="21"/>
                      <w:szCs w:val="21"/>
                      <w:lang w:val="en-US" w:eastAsia="zh-CN"/>
                    </w:rPr>
                    <w:t>废催化剂</w:t>
                  </w:r>
                </w:p>
              </w:tc>
              <w:tc>
                <w:tcPr>
                  <w:tcW w:w="857" w:type="pct"/>
                  <w:tcBorders>
                    <w:top w:val="single" w:color="auto" w:sz="4" w:space="0"/>
                    <w:tl2br w:val="nil"/>
                    <w:tr2bl w:val="nil"/>
                  </w:tcBorders>
                  <w:noWrap w:val="0"/>
                  <w:vAlign w:val="center"/>
                </w:tcPr>
                <w:p w14:paraId="7777595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lang w:val="en-US" w:eastAsia="zh-CN"/>
                    </w:rPr>
                    <w:t>废催化剂</w:t>
                  </w:r>
                </w:p>
              </w:tc>
              <w:tc>
                <w:tcPr>
                  <w:tcW w:w="2746" w:type="pct"/>
                  <w:tcBorders>
                    <w:top w:val="single" w:color="auto" w:sz="4" w:space="0"/>
                    <w:tl2br w:val="nil"/>
                    <w:tr2bl w:val="nil"/>
                  </w:tcBorders>
                  <w:noWrap w:val="0"/>
                  <w:vAlign w:val="center"/>
                </w:tcPr>
                <w:p w14:paraId="6ACE8FD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lang w:val="en-US" w:eastAsia="zh-CN"/>
                    </w:rPr>
                    <w:t>催化燃烧</w:t>
                  </w:r>
                  <w:r>
                    <w:rPr>
                      <w:rFonts w:hint="eastAsia" w:ascii="Times New Roman" w:hAnsi="Times New Roman" w:eastAsia="宋体" w:cs="Times New Roman"/>
                      <w:color w:val="auto"/>
                      <w:sz w:val="21"/>
                      <w:szCs w:val="21"/>
                      <w:lang w:val="en-US" w:eastAsia="zh-CN"/>
                    </w:rPr>
                    <w:t>废气处理系统会产生废催化剂（催化剂为陶瓷基载体的Pt、Pd贵金属型催化剂），按一般固废处置，该催化剂定期由厂家更换处置回收，不进行暂存。</w:t>
                  </w:r>
                </w:p>
              </w:tc>
            </w:tr>
          </w:tbl>
          <w:p w14:paraId="1553C67A">
            <w:pPr>
              <w:pStyle w:val="107"/>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bCs/>
                <w:color w:val="auto"/>
                <w:szCs w:val="21"/>
                <w:highlight w:val="none"/>
              </w:rPr>
            </w:pPr>
          </w:p>
        </w:tc>
      </w:tr>
      <w:tr w14:paraId="29875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457" w:type="pct"/>
            <w:noWrap w:val="0"/>
            <w:vAlign w:val="center"/>
          </w:tcPr>
          <w:p w14:paraId="60C8DE34">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kern w:val="2"/>
                <w:sz w:val="24"/>
                <w:szCs w:val="24"/>
                <w:highlight w:val="none"/>
              </w:rPr>
              <w:t>与项目有关的原有环境污染问题</w:t>
            </w:r>
          </w:p>
        </w:tc>
        <w:tc>
          <w:tcPr>
            <w:tcW w:w="4542" w:type="pct"/>
            <w:noWrap w:val="0"/>
            <w:vAlign w:val="top"/>
          </w:tcPr>
          <w:p w14:paraId="66C3F778">
            <w:pPr>
              <w:pStyle w:val="107"/>
              <w:keepNext w:val="0"/>
              <w:keepLines w:val="0"/>
              <w:suppressLineNumbers w:val="0"/>
              <w:spacing w:before="0" w:beforeAutospacing="0" w:after="0" w:afterAutospacing="0"/>
              <w:ind w:left="0" w:right="0" w:firstLine="480"/>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highlight w:val="none"/>
                <w:lang w:val="en-US" w:eastAsia="zh-CN"/>
              </w:rPr>
              <w:t>无</w:t>
            </w:r>
          </w:p>
        </w:tc>
      </w:tr>
    </w:tbl>
    <w:p w14:paraId="6F63FC30">
      <w:pPr>
        <w:pStyle w:val="29"/>
        <w:ind w:left="0" w:leftChars="0" w:firstLine="0" w:firstLineChars="0"/>
        <w:rPr>
          <w:rFonts w:hint="default" w:ascii="Times New Roman" w:hAnsi="Times New Roman" w:eastAsia="宋体" w:cs="Times New Roman"/>
          <w:color w:val="auto"/>
          <w:highlight w:val="none"/>
          <w:lang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56BB9B6">
      <w:pPr>
        <w:tabs>
          <w:tab w:val="left" w:pos="0"/>
        </w:tabs>
        <w:snapToGrid w:val="0"/>
        <w:jc w:val="center"/>
        <w:outlineLvl w:val="0"/>
        <w:rPr>
          <w:rFonts w:hint="default" w:ascii="Times New Roman" w:hAnsi="Times New Roman" w:eastAsia="宋体" w:cs="Times New Roman"/>
          <w:b/>
          <w:color w:val="auto"/>
          <w:sz w:val="32"/>
          <w:highlight w:val="none"/>
        </w:rPr>
      </w:pPr>
      <w:r>
        <w:rPr>
          <w:rFonts w:hint="default" w:ascii="Times New Roman" w:hAnsi="Times New Roman" w:eastAsia="宋体" w:cs="Times New Roman"/>
          <w:b/>
          <w:color w:val="auto"/>
          <w:sz w:val="32"/>
          <w:highlight w:val="none"/>
          <w:lang w:val="en-US" w:eastAsia="zh-CN"/>
        </w:rPr>
        <w:t>三、</w:t>
      </w:r>
      <w:r>
        <w:rPr>
          <w:rFonts w:hint="default" w:ascii="Times New Roman" w:hAnsi="Times New Roman" w:eastAsia="宋体" w:cs="Times New Roman"/>
          <w:b/>
          <w:color w:val="auto"/>
          <w:sz w:val="32"/>
          <w:highlight w:val="none"/>
        </w:rPr>
        <w:t>区域环境质量现状、环境保护目标及评价标准</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9"/>
        <w:gridCol w:w="8599"/>
      </w:tblGrid>
      <w:tr w14:paraId="72D49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371" w:type="pct"/>
            <w:noWrap w:val="0"/>
            <w:vAlign w:val="center"/>
          </w:tcPr>
          <w:p w14:paraId="61FF0DA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区域</w:t>
            </w:r>
          </w:p>
          <w:p w14:paraId="76EEE2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w:t>
            </w:r>
          </w:p>
          <w:p w14:paraId="7900807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质量</w:t>
            </w:r>
          </w:p>
          <w:p w14:paraId="5FF4FB8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现状</w:t>
            </w:r>
          </w:p>
        </w:tc>
        <w:tc>
          <w:tcPr>
            <w:tcW w:w="4628" w:type="pct"/>
            <w:noWrap w:val="0"/>
            <w:vAlign w:val="center"/>
          </w:tcPr>
          <w:p w14:paraId="0019D88C">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大气环境质量现状</w:t>
            </w:r>
          </w:p>
          <w:p w14:paraId="1B718053">
            <w:pPr>
              <w:keepNext w:val="0"/>
              <w:keepLines w:val="0"/>
              <w:suppressLineNumbers w:val="0"/>
              <w:spacing w:before="0" w:beforeAutospacing="0" w:after="0" w:afterAutospacing="0" w:line="360" w:lineRule="auto"/>
              <w:ind w:left="0" w:right="0" w:firstLine="51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（1）基本污染物环境质量现状评价</w:t>
            </w:r>
          </w:p>
          <w:p w14:paraId="580D4CA4">
            <w:pPr>
              <w:keepNext w:val="0"/>
              <w:keepLines w:val="0"/>
              <w:suppressLineNumbers w:val="0"/>
              <w:wordWrap w:val="0"/>
              <w:spacing w:before="0" w:beforeAutospacing="0" w:after="0" w:afterAutospacing="0" w:line="360" w:lineRule="auto"/>
              <w:ind w:left="0" w:right="0" w:firstLine="482"/>
              <w:rPr>
                <w:rFonts w:hint="eastAsia"/>
                <w:color w:val="auto"/>
                <w:sz w:val="24"/>
              </w:rPr>
            </w:pPr>
            <w:r>
              <w:rPr>
                <w:rFonts w:hint="eastAsia"/>
                <w:color w:val="auto"/>
                <w:sz w:val="24"/>
              </w:rPr>
              <w:t>根据2</w:t>
            </w:r>
            <w:r>
              <w:rPr>
                <w:rFonts w:hint="default"/>
                <w:color w:val="auto"/>
                <w:sz w:val="24"/>
              </w:rPr>
              <w:t>02</w:t>
            </w:r>
            <w:r>
              <w:rPr>
                <w:rFonts w:hint="eastAsia"/>
                <w:color w:val="auto"/>
                <w:sz w:val="24"/>
                <w:lang w:val="en-US" w:eastAsia="zh-CN"/>
              </w:rPr>
              <w:t>4</w:t>
            </w:r>
            <w:r>
              <w:rPr>
                <w:rFonts w:hint="eastAsia"/>
                <w:color w:val="auto"/>
                <w:sz w:val="24"/>
              </w:rPr>
              <w:t>年6月</w:t>
            </w:r>
            <w:r>
              <w:rPr>
                <w:rFonts w:hint="eastAsia"/>
                <w:color w:val="auto"/>
                <w:sz w:val="24"/>
                <w:lang w:val="en-US" w:eastAsia="zh-CN"/>
              </w:rPr>
              <w:t>4</w:t>
            </w:r>
            <w:r>
              <w:rPr>
                <w:rFonts w:hint="eastAsia"/>
                <w:color w:val="auto"/>
                <w:sz w:val="24"/>
              </w:rPr>
              <w:t>日内蒙古自治区生态环境厅发布的《202</w:t>
            </w:r>
            <w:r>
              <w:rPr>
                <w:rFonts w:hint="eastAsia"/>
                <w:color w:val="auto"/>
                <w:sz w:val="24"/>
                <w:lang w:val="en-US" w:eastAsia="zh-CN"/>
              </w:rPr>
              <w:t>3</w:t>
            </w:r>
            <w:r>
              <w:rPr>
                <w:rFonts w:hint="eastAsia"/>
                <w:color w:val="auto"/>
                <w:sz w:val="24"/>
              </w:rPr>
              <w:t>年内蒙古自治区生态环境状况公报》</w:t>
            </w:r>
            <w:r>
              <w:rPr>
                <w:rFonts w:hint="default" w:ascii="宋体"/>
                <w:color w:val="auto"/>
                <w:sz w:val="24"/>
              </w:rPr>
              <w:t>，</w:t>
            </w:r>
            <w:r>
              <w:rPr>
                <w:rFonts w:hint="default"/>
                <w:color w:val="auto"/>
                <w:sz w:val="24"/>
              </w:rPr>
              <w:t>202</w:t>
            </w:r>
            <w:r>
              <w:rPr>
                <w:rFonts w:hint="eastAsia"/>
                <w:color w:val="auto"/>
                <w:sz w:val="24"/>
                <w:lang w:val="en-US" w:eastAsia="zh-CN"/>
              </w:rPr>
              <w:t>3</w:t>
            </w:r>
            <w:r>
              <w:rPr>
                <w:rFonts w:hint="default"/>
                <w:color w:val="auto"/>
                <w:sz w:val="24"/>
              </w:rPr>
              <w:t>年</w:t>
            </w:r>
            <w:r>
              <w:rPr>
                <w:rFonts w:hint="eastAsia"/>
                <w:color w:val="auto"/>
                <w:sz w:val="24"/>
              </w:rPr>
              <w:t>鄂尔多斯市</w:t>
            </w:r>
            <w:r>
              <w:rPr>
                <w:rFonts w:hint="default"/>
                <w:color w:val="auto"/>
                <w:sz w:val="24"/>
              </w:rPr>
              <w:t>全年优良天数达到</w:t>
            </w:r>
            <w:r>
              <w:rPr>
                <w:rFonts w:hint="eastAsia"/>
                <w:color w:val="auto"/>
                <w:sz w:val="24"/>
                <w:lang w:val="en-US" w:eastAsia="zh-CN"/>
              </w:rPr>
              <w:t>317</w:t>
            </w:r>
            <w:r>
              <w:rPr>
                <w:rFonts w:hint="default"/>
                <w:color w:val="auto"/>
                <w:sz w:val="24"/>
              </w:rPr>
              <w:t>天，</w:t>
            </w:r>
            <w:r>
              <w:rPr>
                <w:rFonts w:hint="eastAsia"/>
                <w:color w:val="auto"/>
                <w:sz w:val="24"/>
              </w:rPr>
              <w:t>优良</w:t>
            </w:r>
            <w:r>
              <w:rPr>
                <w:rFonts w:hint="default"/>
                <w:color w:val="auto"/>
                <w:sz w:val="24"/>
              </w:rPr>
              <w:t>天数比例为8</w:t>
            </w:r>
            <w:r>
              <w:rPr>
                <w:rFonts w:hint="eastAsia"/>
                <w:color w:val="auto"/>
                <w:sz w:val="24"/>
                <w:lang w:val="en-US" w:eastAsia="zh-CN"/>
              </w:rPr>
              <w:t>6</w:t>
            </w:r>
            <w:r>
              <w:rPr>
                <w:rFonts w:hint="default"/>
                <w:color w:val="auto"/>
                <w:sz w:val="24"/>
              </w:rPr>
              <w:t>.8%</w:t>
            </w:r>
            <w:r>
              <w:rPr>
                <w:rFonts w:hint="eastAsia"/>
                <w:color w:val="auto"/>
                <w:sz w:val="24"/>
                <w:lang w:eastAsia="zh-CN"/>
              </w:rPr>
              <w:t>。</w:t>
            </w:r>
            <w:r>
              <w:rPr>
                <w:rFonts w:hint="eastAsia"/>
                <w:color w:val="auto"/>
                <w:sz w:val="24"/>
                <w:lang w:val="en-US" w:eastAsia="zh-CN"/>
              </w:rPr>
              <w:t>2023年，全区城市环境空气各项污染物年均浓度均达标。各盟市中除乌海市可吸入颗粒物不达标外其他盟市其他各项污染物均达标。</w:t>
            </w:r>
            <w:r>
              <w:rPr>
                <w:rFonts w:hint="default"/>
                <w:color w:val="auto"/>
                <w:sz w:val="24"/>
              </w:rPr>
              <w:t>本项目位于</w:t>
            </w:r>
            <w:r>
              <w:rPr>
                <w:rFonts w:hint="eastAsia"/>
                <w:color w:val="auto"/>
                <w:sz w:val="24"/>
              </w:rPr>
              <w:t>鄂尔多斯市伊金霍洛旗</w:t>
            </w:r>
            <w:r>
              <w:rPr>
                <w:rFonts w:hint="default"/>
                <w:color w:val="auto"/>
                <w:sz w:val="24"/>
              </w:rPr>
              <w:t>，则项目所在区域为达标区。</w:t>
            </w:r>
          </w:p>
          <w:p w14:paraId="006E7B0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（2）特征污染物环境空气质量现状</w:t>
            </w:r>
          </w:p>
          <w:p w14:paraId="184BB63C">
            <w:pPr>
              <w:keepNext w:val="0"/>
              <w:keepLines w:val="0"/>
              <w:suppressLineNumbers w:val="0"/>
              <w:wordWrap w:val="0"/>
              <w:spacing w:before="0" w:beforeAutospacing="0" w:after="0" w:afterAutospacing="0" w:line="360" w:lineRule="auto"/>
              <w:ind w:left="0" w:right="0"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按照《环境影响评价技术导则</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大气环境》</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HJ2.2-2018</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及《建设项目环境影响报告表编制技术指南（污染影响类）（试行）》的</w:t>
            </w:r>
            <w:r>
              <w:rPr>
                <w:rFonts w:hint="default" w:ascii="Times New Roman" w:hAnsi="Times New Roman" w:eastAsia="宋体" w:cs="Times New Roman"/>
                <w:color w:val="auto"/>
                <w:sz w:val="24"/>
                <w:highlight w:val="none"/>
              </w:rPr>
              <w:t>要求，结合厂址所在区域地形特点以及当地气象特征，本次评价共设置1个大气环境质量现状补充监测点</w:t>
            </w:r>
            <w:r>
              <w:rPr>
                <w:rFonts w:hint="eastAsia" w:ascii="Times New Roman" w:hAnsi="Times New Roman" w:eastAsia="宋体" w:cs="Times New Roman"/>
                <w:color w:val="auto"/>
                <w:sz w:val="24"/>
                <w:highlight w:val="none"/>
                <w:lang w:eastAsia="zh-CN"/>
              </w:rPr>
              <w:t>，</w:t>
            </w:r>
            <w:r>
              <w:rPr>
                <w:rFonts w:hint="eastAsia"/>
                <w:color w:val="auto"/>
                <w:sz w:val="24"/>
                <w:highlight w:val="none"/>
                <w:lang w:val="en-US" w:eastAsia="zh-CN"/>
              </w:rPr>
              <w:t>北京华成星科检测服务有限公司于2024年8月30日至2024年9月1日连续3天在项目厂址对TSP、非甲烷总烃、苯系物（苯、甲苯、二甲苯）进行采样</w:t>
            </w:r>
            <w:r>
              <w:rPr>
                <w:rFonts w:hint="default" w:ascii="Times New Roman" w:hAnsi="Times New Roman" w:eastAsia="宋体" w:cs="Times New Roman"/>
                <w:color w:val="auto"/>
                <w:sz w:val="24"/>
                <w:highlight w:val="none"/>
              </w:rPr>
              <w:t>。基本信息见表</w:t>
            </w:r>
            <w:r>
              <w:rPr>
                <w:rFonts w:hint="default"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w:t>
            </w:r>
          </w:p>
          <w:p w14:paraId="4A6029DF">
            <w:pPr>
              <w:keepNext w:val="0"/>
              <w:keepLines w:val="0"/>
              <w:widowControl/>
              <w:suppressLineNumbers w:val="0"/>
              <w:spacing w:before="0" w:beforeAutospacing="0" w:after="0" w:afterAutospacing="0" w:line="500" w:lineRule="exact"/>
              <w:ind w:left="0" w:right="0" w:firstLine="482" w:firstLineChars="200"/>
              <w:jc w:val="center"/>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表</w:t>
            </w:r>
            <w:r>
              <w:rPr>
                <w:rFonts w:hint="eastAsia" w:ascii="Times New Roman" w:hAnsi="Times New Roman" w:eastAsia="宋体" w:cs="Times New Roman"/>
                <w:b/>
                <w:bCs/>
                <w:color w:val="auto"/>
                <w:kern w:val="0"/>
                <w:sz w:val="24"/>
                <w:highlight w:val="none"/>
                <w:lang w:val="en-US" w:eastAsia="zh-CN"/>
              </w:rPr>
              <w:t>3-1</w:t>
            </w:r>
            <w:r>
              <w:rPr>
                <w:rFonts w:hint="default" w:ascii="Times New Roman" w:hAnsi="Times New Roman" w:eastAsia="宋体" w:cs="Times New Roman"/>
                <w:b/>
                <w:bCs/>
                <w:color w:val="auto"/>
                <w:kern w:val="0"/>
                <w:sz w:val="24"/>
                <w:highlight w:val="none"/>
                <w:lang w:val="en-US" w:eastAsia="zh-CN"/>
              </w:rPr>
              <w:t xml:space="preserve">     大气环境现状监测布点及监测因子分布情况</w:t>
            </w:r>
          </w:p>
          <w:tbl>
            <w:tblPr>
              <w:tblStyle w:val="30"/>
              <w:tblW w:w="8383"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2158"/>
              <w:gridCol w:w="4724"/>
            </w:tblGrid>
            <w:tr w14:paraId="505965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95" w:type="pct"/>
                  <w:tcBorders>
                    <w:left w:val="single" w:color="auto" w:sz="0" w:space="0"/>
                    <w:tl2br w:val="nil"/>
                    <w:tr2bl w:val="nil"/>
                  </w:tcBorders>
                  <w:noWrap w:val="0"/>
                  <w:vAlign w:val="center"/>
                </w:tcPr>
                <w:p w14:paraId="4CCDDB13">
                  <w:pPr>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
                      <w:bCs/>
                      <w:color w:val="auto"/>
                      <w:sz w:val="21"/>
                      <w:szCs w:val="21"/>
                      <w:highlight w:val="none"/>
                    </w:rPr>
                    <w:t>序号</w:t>
                  </w:r>
                </w:p>
              </w:tc>
              <w:tc>
                <w:tcPr>
                  <w:tcW w:w="1287" w:type="pct"/>
                  <w:tcBorders>
                    <w:tl2br w:val="nil"/>
                    <w:tr2bl w:val="nil"/>
                  </w:tcBorders>
                  <w:noWrap w:val="0"/>
                  <w:vAlign w:val="center"/>
                </w:tcPr>
                <w:p w14:paraId="5FA61ED7">
                  <w:pPr>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监测点名称</w:t>
                  </w:r>
                </w:p>
              </w:tc>
              <w:tc>
                <w:tcPr>
                  <w:tcW w:w="2817" w:type="pct"/>
                  <w:tcBorders>
                    <w:right w:val="single" w:color="auto" w:sz="4" w:space="0"/>
                    <w:tl2br w:val="nil"/>
                    <w:tr2bl w:val="nil"/>
                  </w:tcBorders>
                  <w:noWrap w:val="0"/>
                  <w:vAlign w:val="center"/>
                </w:tcPr>
                <w:p w14:paraId="38F70720">
                  <w:pPr>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监测项目</w:t>
                  </w:r>
                </w:p>
              </w:tc>
            </w:tr>
            <w:tr w14:paraId="5B2715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95" w:type="pct"/>
                  <w:tcBorders>
                    <w:left w:val="single" w:color="auto" w:sz="4" w:space="0"/>
                    <w:tl2br w:val="nil"/>
                    <w:tr2bl w:val="nil"/>
                  </w:tcBorders>
                  <w:noWrap w:val="0"/>
                  <w:vAlign w:val="center"/>
                </w:tcPr>
                <w:p w14:paraId="233D6BF8">
                  <w:pPr>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G1</w:t>
                  </w:r>
                </w:p>
              </w:tc>
              <w:tc>
                <w:tcPr>
                  <w:tcW w:w="1287" w:type="pct"/>
                  <w:tcBorders>
                    <w:tl2br w:val="nil"/>
                    <w:tr2bl w:val="nil"/>
                  </w:tcBorders>
                  <w:noWrap w:val="0"/>
                  <w:vAlign w:val="center"/>
                </w:tcPr>
                <w:p w14:paraId="2EE0E6E9">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项目厂址</w:t>
                  </w:r>
                </w:p>
              </w:tc>
              <w:tc>
                <w:tcPr>
                  <w:tcW w:w="2817" w:type="pct"/>
                  <w:tcBorders>
                    <w:right w:val="single" w:color="auto" w:sz="4" w:space="0"/>
                    <w:tl2br w:val="nil"/>
                    <w:tr2bl w:val="nil"/>
                  </w:tcBorders>
                  <w:noWrap w:val="0"/>
                  <w:vAlign w:val="center"/>
                </w:tcPr>
                <w:p w14:paraId="75553F2B">
                  <w:pPr>
                    <w:keepNext w:val="0"/>
                    <w:keepLines w:val="0"/>
                    <w:suppressLineNumbers w:val="0"/>
                    <w:spacing w:before="0" w:beforeAutospacing="0" w:after="0" w:afterAutospacing="0"/>
                    <w:ind w:left="0" w:right="0"/>
                    <w:jc w:val="center"/>
                    <w:rPr>
                      <w:rFonts w:hint="default" w:ascii="Times New Roman" w:hAnsi="Times New Roman" w:eastAsia="宋体"/>
                      <w:color w:val="auto"/>
                      <w:kern w:val="2"/>
                      <w:sz w:val="21"/>
                      <w:szCs w:val="21"/>
                      <w:highlight w:val="none"/>
                      <w:lang w:val="en-US" w:eastAsia="zh-CN"/>
                    </w:rPr>
                  </w:pPr>
                  <w:r>
                    <w:rPr>
                      <w:rFonts w:hint="default" w:ascii="Times New Roman" w:hAnsi="Times New Roman" w:eastAsia="宋体"/>
                      <w:color w:val="auto"/>
                      <w:kern w:val="2"/>
                      <w:sz w:val="21"/>
                      <w:szCs w:val="21"/>
                      <w:highlight w:val="none"/>
                      <w:lang w:val="en-US" w:eastAsia="zh-CN"/>
                    </w:rPr>
                    <w:t>TSP、</w:t>
                  </w:r>
                  <w:r>
                    <w:rPr>
                      <w:rFonts w:hint="eastAsia" w:ascii="Times New Roman" w:hAnsi="Times New Roman" w:eastAsia="宋体"/>
                      <w:color w:val="auto"/>
                      <w:kern w:val="2"/>
                      <w:sz w:val="21"/>
                      <w:szCs w:val="21"/>
                      <w:highlight w:val="none"/>
                      <w:lang w:val="en-US" w:eastAsia="zh-CN"/>
                    </w:rPr>
                    <w:t>苯系物（</w:t>
                  </w:r>
                  <w:r>
                    <w:rPr>
                      <w:rFonts w:hint="default" w:ascii="Times New Roman" w:hAnsi="Times New Roman" w:eastAsia="宋体"/>
                      <w:color w:val="auto"/>
                      <w:kern w:val="2"/>
                      <w:sz w:val="21"/>
                      <w:szCs w:val="21"/>
                      <w:highlight w:val="none"/>
                      <w:lang w:val="en-US" w:eastAsia="zh-CN"/>
                    </w:rPr>
                    <w:t>苯、甲苯、二甲苯</w:t>
                  </w:r>
                  <w:r>
                    <w:rPr>
                      <w:rFonts w:hint="eastAsia" w:ascii="Times New Roman" w:hAnsi="Times New Roman" w:eastAsia="宋体"/>
                      <w:color w:val="auto"/>
                      <w:kern w:val="2"/>
                      <w:sz w:val="21"/>
                      <w:szCs w:val="21"/>
                      <w:highlight w:val="none"/>
                      <w:lang w:val="en-US" w:eastAsia="zh-CN"/>
                    </w:rPr>
                    <w:t>）</w:t>
                  </w:r>
                  <w:r>
                    <w:rPr>
                      <w:rFonts w:hint="default" w:ascii="Times New Roman" w:hAnsi="Times New Roman" w:eastAsia="宋体"/>
                      <w:color w:val="auto"/>
                      <w:kern w:val="2"/>
                      <w:sz w:val="21"/>
                      <w:szCs w:val="21"/>
                      <w:highlight w:val="none"/>
                      <w:lang w:val="en-US" w:eastAsia="zh-CN"/>
                    </w:rPr>
                    <w:t>、非甲烷总烃</w:t>
                  </w:r>
                </w:p>
              </w:tc>
            </w:tr>
          </w:tbl>
          <w:p w14:paraId="2126A7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监测因子</w:t>
            </w:r>
          </w:p>
          <w:p w14:paraId="01354EC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根据工程性质，确定监测因子为</w:t>
            </w:r>
            <w:r>
              <w:rPr>
                <w:rFonts w:hint="eastAsia"/>
                <w:color w:val="auto"/>
                <w:sz w:val="24"/>
                <w:highlight w:val="none"/>
                <w:lang w:val="en-US" w:eastAsia="zh-CN"/>
              </w:rPr>
              <w:t>TSP、苯系物（苯、甲苯、二甲苯）、非甲烷总烃</w:t>
            </w:r>
            <w:r>
              <w:rPr>
                <w:rFonts w:hint="default" w:ascii="Times New Roman" w:hAnsi="Times New Roman" w:eastAsia="宋体" w:cs="Times New Roman"/>
                <w:color w:val="auto"/>
                <w:sz w:val="24"/>
                <w:szCs w:val="24"/>
                <w:highlight w:val="none"/>
              </w:rPr>
              <w:t>。</w:t>
            </w:r>
          </w:p>
          <w:p w14:paraId="7091FA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监测布点</w:t>
            </w:r>
          </w:p>
          <w:p w14:paraId="01DD50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w:t>
            </w:r>
            <w:r>
              <w:rPr>
                <w:rFonts w:hint="eastAsia" w:ascii="Times New Roman" w:hAnsi="Times New Roman" w:eastAsia="宋体" w:cs="Times New Roman"/>
                <w:color w:val="auto"/>
                <w:sz w:val="24"/>
                <w:szCs w:val="24"/>
                <w:highlight w:val="none"/>
                <w:lang w:val="en-US" w:eastAsia="zh-CN"/>
              </w:rPr>
              <w:t>项目厂址</w:t>
            </w:r>
            <w:r>
              <w:rPr>
                <w:rFonts w:hint="default" w:ascii="Times New Roman" w:hAnsi="Times New Roman" w:eastAsia="宋体" w:cs="Times New Roman"/>
                <w:color w:val="auto"/>
                <w:sz w:val="24"/>
                <w:szCs w:val="24"/>
                <w:highlight w:val="none"/>
              </w:rPr>
              <w:t>布设1个监测点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E110°3′46.63</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″，N39°28′58.28</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w:t>
            </w:r>
          </w:p>
          <w:p w14:paraId="06672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监测时间及频次</w:t>
            </w:r>
          </w:p>
          <w:p w14:paraId="0A281DDC">
            <w:pPr>
              <w:pStyle w:val="14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监测时间：连续监测</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天，</w:t>
            </w:r>
            <w:r>
              <w:rPr>
                <w:rFonts w:hint="eastAsia" w:ascii="Times New Roman" w:hAnsi="Times New Roman" w:eastAsia="宋体" w:cs="Times New Roman"/>
                <w:color w:val="auto"/>
                <w:sz w:val="24"/>
                <w:szCs w:val="24"/>
                <w:highlight w:val="none"/>
                <w:lang w:val="en-US" w:eastAsia="zh-CN"/>
              </w:rPr>
              <w:t>采样</w:t>
            </w:r>
            <w:r>
              <w:rPr>
                <w:rFonts w:hint="default" w:ascii="Times New Roman" w:hAnsi="Times New Roman" w:eastAsia="宋体" w:cs="Times New Roman"/>
                <w:color w:val="auto"/>
                <w:sz w:val="24"/>
                <w:szCs w:val="24"/>
                <w:highlight w:val="none"/>
              </w:rPr>
              <w:t>时间为</w:t>
            </w:r>
            <w:r>
              <w:rPr>
                <w:rFonts w:hint="eastAsia"/>
                <w:color w:val="auto"/>
                <w:sz w:val="24"/>
                <w:highlight w:val="none"/>
                <w:lang w:val="en-US" w:eastAsia="zh-CN"/>
              </w:rPr>
              <w:t>2024年8月30日至2024年9月1日</w:t>
            </w:r>
            <w:r>
              <w:rPr>
                <w:rFonts w:hint="default" w:ascii="Times New Roman" w:hAnsi="Times New Roman" w:eastAsia="宋体" w:cs="Times New Roman"/>
                <w:color w:val="auto"/>
                <w:sz w:val="24"/>
                <w:szCs w:val="24"/>
                <w:highlight w:val="none"/>
              </w:rPr>
              <w:t>。</w:t>
            </w:r>
          </w:p>
          <w:p w14:paraId="4BF02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rPr>
              <w:t>监测频次：</w:t>
            </w:r>
            <w:r>
              <w:rPr>
                <w:rFonts w:hint="eastAsia" w:ascii="Times New Roman" w:hAnsi="Times New Roman" w:eastAsia="宋体" w:cs="Times New Roman"/>
                <w:color w:val="auto"/>
                <w:sz w:val="24"/>
                <w:highlight w:val="none"/>
                <w:lang w:val="en-US" w:eastAsia="zh-CN"/>
              </w:rPr>
              <w:t>监测时间为连续监测3天，TSP每天连续采样不少于24h，苯、甲苯、二甲苯、非甲烷总烃每小时至少有45min的采样时间。同时观测风向、风速、全云量等气象条件。</w:t>
            </w:r>
          </w:p>
          <w:p w14:paraId="16CBCF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监测方法</w:t>
            </w:r>
          </w:p>
          <w:p w14:paraId="2F159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环境空气质量现状监测采取的分析方法见表</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p>
          <w:p w14:paraId="79E4CDFB">
            <w:pPr>
              <w:keepNext w:val="0"/>
              <w:keepLines w:val="0"/>
              <w:widowControl/>
              <w:suppressLineNumbers w:val="0"/>
              <w:spacing w:before="0" w:beforeAutospacing="0" w:after="0" w:afterAutospacing="0" w:line="500" w:lineRule="exact"/>
              <w:ind w:left="0" w:right="0" w:firstLine="482" w:firstLineChars="200"/>
              <w:jc w:val="center"/>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表</w:t>
            </w:r>
            <w:r>
              <w:rPr>
                <w:rFonts w:hint="eastAsia" w:ascii="Times New Roman" w:hAnsi="Times New Roman" w:eastAsia="宋体" w:cs="Times New Roman"/>
                <w:b/>
                <w:bCs/>
                <w:color w:val="auto"/>
                <w:kern w:val="0"/>
                <w:sz w:val="24"/>
                <w:highlight w:val="none"/>
                <w:lang w:val="en-US" w:eastAsia="zh-CN"/>
              </w:rPr>
              <w:t>3-2</w:t>
            </w:r>
            <w:r>
              <w:rPr>
                <w:rFonts w:hint="default" w:ascii="Times New Roman" w:hAnsi="Times New Roman" w:eastAsia="宋体" w:cs="Times New Roman"/>
                <w:b/>
                <w:bCs/>
                <w:color w:val="auto"/>
                <w:kern w:val="0"/>
                <w:sz w:val="24"/>
                <w:highlight w:val="none"/>
                <w:lang w:val="en-US" w:eastAsia="zh-CN"/>
              </w:rPr>
              <w:t xml:space="preserve">   大气污染物分析方法一览表</w:t>
            </w:r>
          </w:p>
          <w:tbl>
            <w:tblPr>
              <w:tblStyle w:val="30"/>
              <w:tblW w:w="817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85" w:type="dxa"/>
                <w:bottom w:w="0" w:type="dxa"/>
                <w:right w:w="85" w:type="dxa"/>
              </w:tblCellMar>
            </w:tblPr>
            <w:tblGrid>
              <w:gridCol w:w="491"/>
              <w:gridCol w:w="1274"/>
              <w:gridCol w:w="1474"/>
              <w:gridCol w:w="2685"/>
              <w:gridCol w:w="2253"/>
            </w:tblGrid>
            <w:tr w14:paraId="7BFFE7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0" w:space="0"/>
                    <w:tl2br w:val="nil"/>
                    <w:tr2bl w:val="nil"/>
                  </w:tcBorders>
                  <w:noWrap w:val="0"/>
                  <w:vAlign w:val="center"/>
                </w:tcPr>
                <w:p w14:paraId="75FF1C10">
                  <w:pPr>
                    <w:keepNext w:val="0"/>
                    <w:keepLines w:val="0"/>
                    <w:suppressLineNumbers w:val="0"/>
                    <w:snapToGrid w:val="0"/>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序号</w:t>
                  </w:r>
                </w:p>
              </w:tc>
              <w:tc>
                <w:tcPr>
                  <w:tcW w:w="779" w:type="pct"/>
                  <w:tcBorders>
                    <w:tl2br w:val="nil"/>
                    <w:tr2bl w:val="nil"/>
                  </w:tcBorders>
                  <w:noWrap w:val="0"/>
                  <w:vAlign w:val="center"/>
                </w:tcPr>
                <w:p w14:paraId="23530E75">
                  <w:pPr>
                    <w:keepNext w:val="0"/>
                    <w:keepLines w:val="0"/>
                    <w:suppressLineNumbers w:val="0"/>
                    <w:snapToGri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检测项目</w:t>
                  </w:r>
                </w:p>
              </w:tc>
              <w:tc>
                <w:tcPr>
                  <w:tcW w:w="901" w:type="pct"/>
                  <w:tcBorders>
                    <w:tl2br w:val="nil"/>
                    <w:tr2bl w:val="nil"/>
                  </w:tcBorders>
                  <w:noWrap w:val="0"/>
                  <w:vAlign w:val="center"/>
                </w:tcPr>
                <w:p w14:paraId="43EB899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color w:val="auto"/>
                      <w:szCs w:val="21"/>
                      <w:highlight w:val="none"/>
                    </w:rPr>
                    <w:t>检出限</w:t>
                  </w:r>
                </w:p>
              </w:tc>
              <w:tc>
                <w:tcPr>
                  <w:tcW w:w="1641" w:type="pct"/>
                  <w:tcBorders>
                    <w:tl2br w:val="nil"/>
                    <w:tr2bl w:val="nil"/>
                  </w:tcBorders>
                  <w:noWrap w:val="0"/>
                  <w:vAlign w:val="center"/>
                </w:tcPr>
                <w:p w14:paraId="57844AF9">
                  <w:pPr>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color w:val="auto"/>
                      <w:szCs w:val="21"/>
                      <w:highlight w:val="none"/>
                    </w:rPr>
                    <w:t>检测</w:t>
                  </w:r>
                  <w:r>
                    <w:rPr>
                      <w:rFonts w:hint="default"/>
                      <w:color w:val="auto"/>
                      <w:szCs w:val="21"/>
                      <w:highlight w:val="none"/>
                      <w:lang w:val="zh-TW" w:eastAsia="zh-TW"/>
                    </w:rPr>
                    <w:t>标准（方法）</w:t>
                  </w:r>
                </w:p>
              </w:tc>
              <w:tc>
                <w:tcPr>
                  <w:tcW w:w="1377" w:type="pct"/>
                  <w:tcBorders>
                    <w:right w:val="single" w:color="auto" w:sz="4" w:space="0"/>
                    <w:tl2br w:val="nil"/>
                    <w:tr2bl w:val="nil"/>
                  </w:tcBorders>
                  <w:noWrap w:val="0"/>
                  <w:vAlign w:val="center"/>
                </w:tcPr>
                <w:p w14:paraId="7A0DF27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color w:val="auto"/>
                      <w:szCs w:val="21"/>
                      <w:highlight w:val="none"/>
                    </w:rPr>
                    <w:t>主要检测仪器及编号</w:t>
                  </w:r>
                </w:p>
              </w:tc>
            </w:tr>
            <w:tr w14:paraId="195E8D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4" w:space="0"/>
                    <w:tl2br w:val="nil"/>
                    <w:tr2bl w:val="nil"/>
                  </w:tcBorders>
                  <w:noWrap w:val="0"/>
                  <w:vAlign w:val="center"/>
                </w:tcPr>
                <w:p w14:paraId="6EC15182">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779" w:type="pct"/>
                  <w:tcBorders>
                    <w:tl2br w:val="nil"/>
                    <w:tr2bl w:val="nil"/>
                  </w:tcBorders>
                  <w:noWrap w:val="0"/>
                  <w:vAlign w:val="center"/>
                </w:tcPr>
                <w:p w14:paraId="7D1EE92A">
                  <w:pPr>
                    <w:keepNext w:val="0"/>
                    <w:keepLines w:val="0"/>
                    <w:suppressLineNumbers w:val="0"/>
                    <w:spacing w:before="0" w:beforeAutospacing="0" w:after="0" w:afterAutospacing="0" w:line="240" w:lineRule="atLeast"/>
                    <w:ind w:left="0" w:right="0"/>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总悬浮颗粒物</w:t>
                  </w:r>
                </w:p>
              </w:tc>
              <w:tc>
                <w:tcPr>
                  <w:tcW w:w="901" w:type="pct"/>
                  <w:tcBorders>
                    <w:tl2br w:val="nil"/>
                    <w:tr2bl w:val="nil"/>
                  </w:tcBorders>
                  <w:noWrap w:val="0"/>
                  <w:vAlign w:val="center"/>
                </w:tcPr>
                <w:p w14:paraId="7D275656">
                  <w:pPr>
                    <w:keepNext w:val="0"/>
                    <w:keepLines w:val="0"/>
                    <w:suppressLineNumbers w:val="0"/>
                    <w:spacing w:before="0" w:beforeAutospacing="0" w:after="0" w:afterAutospacing="0"/>
                    <w:ind w:left="0" w:right="0"/>
                    <w:jc w:val="center"/>
                    <w:rPr>
                      <w:rFonts w:hint="eastAsia" w:ascii="Times New Roman" w:hAnsi="Times New Roman" w:eastAsia="宋体"/>
                      <w:color w:val="auto"/>
                      <w:kern w:val="2"/>
                      <w:sz w:val="21"/>
                      <w:szCs w:val="21"/>
                      <w:highlight w:val="none"/>
                      <w:lang w:val="en-US" w:eastAsia="zh-CN" w:bidi="ar-SA"/>
                    </w:rPr>
                  </w:pPr>
                  <w:r>
                    <w:rPr>
                      <w:rFonts w:hint="eastAsia"/>
                      <w:color w:val="auto"/>
                      <w:szCs w:val="21"/>
                      <w:highlight w:val="none"/>
                      <w:lang w:val="en-US" w:eastAsia="zh-CN"/>
                    </w:rPr>
                    <w:t>7</w:t>
                  </w:r>
                  <w:r>
                    <w:rPr>
                      <w:rFonts w:hint="default"/>
                      <w:bCs/>
                      <w:color w:val="auto"/>
                      <w:szCs w:val="21"/>
                      <w:highlight w:val="none"/>
                    </w:rPr>
                    <w:t>μg/</w:t>
                  </w:r>
                  <w:r>
                    <w:rPr>
                      <w:rFonts w:hint="default"/>
                      <w:color w:val="auto"/>
                      <w:szCs w:val="21"/>
                      <w:highlight w:val="none"/>
                    </w:rPr>
                    <w:t>m</w:t>
                  </w:r>
                  <w:r>
                    <w:rPr>
                      <w:rFonts w:hint="default"/>
                      <w:color w:val="auto"/>
                      <w:szCs w:val="21"/>
                      <w:highlight w:val="none"/>
                      <w:vertAlign w:val="superscript"/>
                    </w:rPr>
                    <w:t>3</w:t>
                  </w:r>
                </w:p>
              </w:tc>
              <w:tc>
                <w:tcPr>
                  <w:tcW w:w="1641" w:type="pct"/>
                  <w:tcBorders>
                    <w:tl2br w:val="nil"/>
                    <w:tr2bl w:val="nil"/>
                  </w:tcBorders>
                  <w:noWrap w:val="0"/>
                  <w:vAlign w:val="center"/>
                </w:tcPr>
                <w:p w14:paraId="11EB4C0B">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highlight w:val="none"/>
                      <w:lang w:val="en-US" w:eastAsia="zh-CN" w:bidi="ar-SA"/>
                    </w:rPr>
                  </w:pPr>
                  <w:r>
                    <w:rPr>
                      <w:rFonts w:hint="eastAsia"/>
                      <w:color w:val="auto"/>
                      <w:szCs w:val="21"/>
                      <w:highlight w:val="none"/>
                    </w:rPr>
                    <w:t>《环境空气 总悬浮颗粒物的测定 重量法》</w:t>
                  </w:r>
                  <w:r>
                    <w:rPr>
                      <w:rFonts w:hint="eastAsia"/>
                      <w:color w:val="auto"/>
                      <w:szCs w:val="21"/>
                      <w:highlight w:val="none"/>
                      <w:lang w:val="en-US" w:eastAsia="zh-CN"/>
                    </w:rPr>
                    <w:t>/HJ1263-2022</w:t>
                  </w:r>
                </w:p>
              </w:tc>
              <w:tc>
                <w:tcPr>
                  <w:tcW w:w="1377" w:type="pct"/>
                  <w:tcBorders>
                    <w:right w:val="single" w:color="auto" w:sz="4" w:space="0"/>
                    <w:tl2br w:val="nil"/>
                    <w:tr2bl w:val="nil"/>
                  </w:tcBorders>
                  <w:noWrap w:val="0"/>
                  <w:vAlign w:val="center"/>
                </w:tcPr>
                <w:p w14:paraId="0A1D962A">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恒温恒湿称重系统</w:t>
                  </w:r>
                </w:p>
                <w:p w14:paraId="2F8AA870">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PT-PM2.5D、YQ-073</w:t>
                  </w:r>
                </w:p>
                <w:p w14:paraId="70BE5C6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电子天平</w:t>
                  </w:r>
                </w:p>
                <w:p w14:paraId="6EDD5AB6">
                  <w:pPr>
                    <w:keepNext w:val="0"/>
                    <w:keepLines w:val="0"/>
                    <w:suppressLineNumbers w:val="0"/>
                    <w:spacing w:before="0" w:beforeAutospacing="0" w:after="0" w:afterAutospacing="0"/>
                    <w:ind w:left="0" w:right="0"/>
                    <w:jc w:val="center"/>
                    <w:rPr>
                      <w:rFonts w:hint="default" w:ascii="Times New Roman" w:hAnsi="Times New Roman"/>
                      <w:color w:val="auto"/>
                      <w:kern w:val="2"/>
                      <w:sz w:val="21"/>
                      <w:szCs w:val="21"/>
                      <w:highlight w:val="none"/>
                      <w:lang w:val="en-US" w:eastAsia="zh-CN" w:bidi="ar-SA"/>
                    </w:rPr>
                  </w:pPr>
                  <w:r>
                    <w:rPr>
                      <w:rFonts w:hint="eastAsia"/>
                      <w:color w:val="auto"/>
                      <w:szCs w:val="21"/>
                      <w:highlight w:val="none"/>
                    </w:rPr>
                    <w:t>FA1035、YQ-075</w:t>
                  </w:r>
                </w:p>
              </w:tc>
            </w:tr>
            <w:tr w14:paraId="44217B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4" w:space="0"/>
                    <w:tl2br w:val="nil"/>
                    <w:tr2bl w:val="nil"/>
                  </w:tcBorders>
                  <w:noWrap w:val="0"/>
                  <w:vAlign w:val="center"/>
                </w:tcPr>
                <w:p w14:paraId="3862F1CE">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779" w:type="pct"/>
                  <w:tcBorders>
                    <w:tl2br w:val="nil"/>
                    <w:tr2bl w:val="nil"/>
                  </w:tcBorders>
                  <w:noWrap w:val="0"/>
                  <w:vAlign w:val="center"/>
                </w:tcPr>
                <w:p w14:paraId="605FC554">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苯</w:t>
                  </w:r>
                </w:p>
              </w:tc>
              <w:tc>
                <w:tcPr>
                  <w:tcW w:w="901" w:type="pct"/>
                  <w:tcBorders>
                    <w:tl2br w:val="nil"/>
                    <w:tr2bl w:val="nil"/>
                  </w:tcBorders>
                  <w:noWrap w:val="0"/>
                  <w:vAlign w:val="center"/>
                </w:tcPr>
                <w:p w14:paraId="7481CD8C">
                  <w:pPr>
                    <w:keepNext w:val="0"/>
                    <w:keepLines w:val="0"/>
                    <w:suppressLineNumbers w:val="0"/>
                    <w:spacing w:before="0" w:beforeAutospacing="0" w:after="0" w:afterAutospacing="0"/>
                    <w:ind w:left="0" w:right="0"/>
                    <w:jc w:val="center"/>
                    <w:rPr>
                      <w:rFonts w:hint="eastAsia"/>
                      <w:color w:val="auto"/>
                      <w:szCs w:val="21"/>
                      <w:highlight w:val="none"/>
                      <w:lang w:val="en-US" w:eastAsia="zh-CN"/>
                    </w:rPr>
                  </w:pPr>
                  <w:r>
                    <w:rPr>
                      <w:rFonts w:hint="default"/>
                      <w:color w:val="auto"/>
                      <w:szCs w:val="21"/>
                      <w:highlight w:val="none"/>
                      <w:lang w:bidi="ar"/>
                    </w:rPr>
                    <w:t>0.0</w:t>
                  </w:r>
                  <w:r>
                    <w:rPr>
                      <w:rFonts w:hint="eastAsia"/>
                      <w:color w:val="auto"/>
                      <w:szCs w:val="21"/>
                      <w:highlight w:val="none"/>
                      <w:lang w:bidi="ar"/>
                    </w:rPr>
                    <w:t>7</w:t>
                  </w:r>
                  <w:r>
                    <w:rPr>
                      <w:rFonts w:hint="default"/>
                      <w:color w:val="auto"/>
                      <w:szCs w:val="21"/>
                      <w:highlight w:val="none"/>
                      <w:lang w:val="zh-TW" w:eastAsia="zh-TW" w:bidi="ar"/>
                    </w:rPr>
                    <w:t>mg/m</w:t>
                  </w:r>
                  <w:r>
                    <w:rPr>
                      <w:rFonts w:hint="default"/>
                      <w:color w:val="auto"/>
                      <w:szCs w:val="21"/>
                      <w:highlight w:val="none"/>
                      <w:vertAlign w:val="superscript"/>
                      <w:lang w:val="zh-TW" w:eastAsia="zh-TW" w:bidi="ar"/>
                    </w:rPr>
                    <w:t>3</w:t>
                  </w:r>
                </w:p>
              </w:tc>
              <w:tc>
                <w:tcPr>
                  <w:tcW w:w="1641" w:type="pct"/>
                  <w:vMerge w:val="restart"/>
                  <w:tcBorders>
                    <w:tl2br w:val="nil"/>
                    <w:tr2bl w:val="nil"/>
                  </w:tcBorders>
                  <w:noWrap w:val="0"/>
                  <w:vAlign w:val="center"/>
                </w:tcPr>
                <w:p w14:paraId="33813B15">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bidi="ar"/>
                    </w:rPr>
                    <w:t>《环境空气 苯系物的测定 活性炭吸附/二硫化碳解吸-气相色谱法》/HJ 584-2010</w:t>
                  </w:r>
                </w:p>
              </w:tc>
              <w:tc>
                <w:tcPr>
                  <w:tcW w:w="1377" w:type="pct"/>
                  <w:vMerge w:val="restart"/>
                  <w:tcBorders>
                    <w:right w:val="single" w:color="auto" w:sz="4" w:space="0"/>
                    <w:tl2br w:val="nil"/>
                    <w:tr2bl w:val="nil"/>
                  </w:tcBorders>
                  <w:noWrap w:val="0"/>
                  <w:vAlign w:val="center"/>
                </w:tcPr>
                <w:p w14:paraId="28FEE377">
                  <w:pPr>
                    <w:keepNext w:val="0"/>
                    <w:keepLines w:val="0"/>
                    <w:widowControl/>
                    <w:suppressLineNumbers w:val="0"/>
                    <w:spacing w:before="0" w:beforeAutospacing="0" w:after="0" w:afterAutospacing="0"/>
                    <w:ind w:left="0" w:right="0"/>
                    <w:jc w:val="center"/>
                    <w:textAlignment w:val="center"/>
                    <w:rPr>
                      <w:rFonts w:hint="eastAsia"/>
                      <w:color w:val="auto"/>
                      <w:szCs w:val="21"/>
                      <w:highlight w:val="none"/>
                    </w:rPr>
                  </w:pPr>
                  <w:r>
                    <w:rPr>
                      <w:rFonts w:hint="eastAsia"/>
                      <w:color w:val="auto"/>
                      <w:szCs w:val="21"/>
                      <w:highlight w:val="none"/>
                    </w:rPr>
                    <w:t>气相色谱仪</w:t>
                  </w:r>
                </w:p>
                <w:p w14:paraId="07BA2C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olor w:val="auto"/>
                      <w:szCs w:val="21"/>
                      <w:highlight w:val="none"/>
                    </w:rPr>
                    <w:t>GC-2014C、</w:t>
                  </w:r>
                  <w:r>
                    <w:rPr>
                      <w:rFonts w:hint="default"/>
                      <w:color w:val="auto"/>
                      <w:szCs w:val="21"/>
                      <w:highlight w:val="none"/>
                    </w:rPr>
                    <w:t>YQ-</w:t>
                  </w:r>
                  <w:r>
                    <w:rPr>
                      <w:rFonts w:hint="eastAsia"/>
                      <w:color w:val="auto"/>
                      <w:szCs w:val="21"/>
                      <w:highlight w:val="none"/>
                      <w:lang w:val="en-US" w:eastAsia="zh-CN"/>
                    </w:rPr>
                    <w:t>192</w:t>
                  </w:r>
                </w:p>
              </w:tc>
            </w:tr>
            <w:tr w14:paraId="45DC74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4" w:space="0"/>
                    <w:tl2br w:val="nil"/>
                    <w:tr2bl w:val="nil"/>
                  </w:tcBorders>
                  <w:noWrap w:val="0"/>
                  <w:vAlign w:val="center"/>
                </w:tcPr>
                <w:p w14:paraId="67F2B9F0">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779" w:type="pct"/>
                  <w:tcBorders>
                    <w:tl2br w:val="nil"/>
                    <w:tr2bl w:val="nil"/>
                  </w:tcBorders>
                  <w:noWrap w:val="0"/>
                  <w:vAlign w:val="center"/>
                </w:tcPr>
                <w:p w14:paraId="5DD7AC6A">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甲苯</w:t>
                  </w:r>
                </w:p>
              </w:tc>
              <w:tc>
                <w:tcPr>
                  <w:tcW w:w="901" w:type="pct"/>
                  <w:tcBorders>
                    <w:tl2br w:val="nil"/>
                    <w:tr2bl w:val="nil"/>
                  </w:tcBorders>
                  <w:noWrap w:val="0"/>
                  <w:vAlign w:val="center"/>
                </w:tcPr>
                <w:p w14:paraId="0C760066">
                  <w:pPr>
                    <w:keepNext w:val="0"/>
                    <w:keepLines w:val="0"/>
                    <w:suppressLineNumbers w:val="0"/>
                    <w:spacing w:before="0" w:beforeAutospacing="0" w:after="0" w:afterAutospacing="0"/>
                    <w:ind w:left="0" w:right="0"/>
                    <w:jc w:val="center"/>
                    <w:rPr>
                      <w:rFonts w:hint="eastAsia"/>
                      <w:color w:val="auto"/>
                      <w:szCs w:val="21"/>
                      <w:highlight w:val="none"/>
                      <w:lang w:val="en-US" w:eastAsia="zh-CN"/>
                    </w:rPr>
                  </w:pPr>
                  <w:r>
                    <w:rPr>
                      <w:rFonts w:hint="default"/>
                      <w:color w:val="auto"/>
                      <w:szCs w:val="21"/>
                      <w:highlight w:val="none"/>
                    </w:rPr>
                    <w:t>1.5×10</w:t>
                  </w:r>
                  <w:r>
                    <w:rPr>
                      <w:rFonts w:hint="default"/>
                      <w:color w:val="auto"/>
                      <w:szCs w:val="21"/>
                      <w:highlight w:val="none"/>
                      <w:vertAlign w:val="superscript"/>
                    </w:rPr>
                    <w:t xml:space="preserve">-3 </w:t>
                  </w:r>
                  <w:r>
                    <w:rPr>
                      <w:rFonts w:hint="default"/>
                      <w:color w:val="auto"/>
                      <w:szCs w:val="21"/>
                      <w:highlight w:val="none"/>
                    </w:rPr>
                    <w:t>mg/m</w:t>
                  </w:r>
                  <w:r>
                    <w:rPr>
                      <w:rFonts w:hint="default"/>
                      <w:color w:val="auto"/>
                      <w:szCs w:val="21"/>
                      <w:highlight w:val="none"/>
                      <w:vertAlign w:val="superscript"/>
                    </w:rPr>
                    <w:t>3</w:t>
                  </w:r>
                </w:p>
              </w:tc>
              <w:tc>
                <w:tcPr>
                  <w:tcW w:w="1641" w:type="pct"/>
                  <w:vMerge w:val="continue"/>
                  <w:tcBorders>
                    <w:tl2br w:val="nil"/>
                    <w:tr2bl w:val="nil"/>
                  </w:tcBorders>
                  <w:noWrap w:val="0"/>
                  <w:vAlign w:val="center"/>
                </w:tcPr>
                <w:p w14:paraId="3D89725D">
                  <w:pPr>
                    <w:keepNext w:val="0"/>
                    <w:keepLines w:val="0"/>
                    <w:suppressLineNumbers w:val="0"/>
                    <w:spacing w:before="0" w:beforeAutospacing="0" w:after="0" w:afterAutospacing="0"/>
                    <w:ind w:left="0" w:right="0"/>
                    <w:jc w:val="center"/>
                    <w:rPr>
                      <w:rFonts w:hint="eastAsia"/>
                      <w:color w:val="auto"/>
                      <w:szCs w:val="21"/>
                      <w:highlight w:val="none"/>
                    </w:rPr>
                  </w:pPr>
                </w:p>
              </w:tc>
              <w:tc>
                <w:tcPr>
                  <w:tcW w:w="1377" w:type="pct"/>
                  <w:vMerge w:val="continue"/>
                  <w:tcBorders>
                    <w:right w:val="single" w:color="auto" w:sz="4" w:space="0"/>
                    <w:tl2br w:val="nil"/>
                    <w:tr2bl w:val="nil"/>
                  </w:tcBorders>
                  <w:noWrap w:val="0"/>
                  <w:vAlign w:val="center"/>
                </w:tcPr>
                <w:p w14:paraId="6C0AF35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eastAsia="zh-CN"/>
                    </w:rPr>
                  </w:pPr>
                </w:p>
              </w:tc>
            </w:tr>
            <w:tr w14:paraId="1FC700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4" w:space="0"/>
                    <w:tl2br w:val="nil"/>
                    <w:tr2bl w:val="nil"/>
                  </w:tcBorders>
                  <w:noWrap w:val="0"/>
                  <w:vAlign w:val="center"/>
                </w:tcPr>
                <w:p w14:paraId="66DB7B1C">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779" w:type="pct"/>
                  <w:tcBorders>
                    <w:tl2br w:val="nil"/>
                    <w:tr2bl w:val="nil"/>
                  </w:tcBorders>
                  <w:noWrap w:val="0"/>
                  <w:vAlign w:val="center"/>
                </w:tcPr>
                <w:p w14:paraId="3EF5BA06">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二甲苯</w:t>
                  </w:r>
                </w:p>
              </w:tc>
              <w:tc>
                <w:tcPr>
                  <w:tcW w:w="901" w:type="pct"/>
                  <w:tcBorders>
                    <w:tl2br w:val="nil"/>
                    <w:tr2bl w:val="nil"/>
                  </w:tcBorders>
                  <w:noWrap w:val="0"/>
                  <w:vAlign w:val="center"/>
                </w:tcPr>
                <w:p w14:paraId="309A28A2">
                  <w:pPr>
                    <w:keepNext w:val="0"/>
                    <w:keepLines w:val="0"/>
                    <w:suppressLineNumbers w:val="0"/>
                    <w:spacing w:before="0" w:beforeAutospacing="0" w:after="0" w:afterAutospacing="0"/>
                    <w:ind w:left="0" w:right="0"/>
                    <w:jc w:val="center"/>
                    <w:rPr>
                      <w:rFonts w:hint="eastAsia"/>
                      <w:color w:val="auto"/>
                      <w:szCs w:val="21"/>
                      <w:highlight w:val="none"/>
                      <w:lang w:val="en-US" w:eastAsia="zh-CN"/>
                    </w:rPr>
                  </w:pPr>
                  <w:r>
                    <w:rPr>
                      <w:rFonts w:hint="default"/>
                      <w:color w:val="auto"/>
                      <w:szCs w:val="21"/>
                      <w:highlight w:val="none"/>
                    </w:rPr>
                    <w:t>1.5×10</w:t>
                  </w:r>
                  <w:r>
                    <w:rPr>
                      <w:rFonts w:hint="default"/>
                      <w:color w:val="auto"/>
                      <w:szCs w:val="21"/>
                      <w:highlight w:val="none"/>
                      <w:vertAlign w:val="superscript"/>
                    </w:rPr>
                    <w:t xml:space="preserve">-3 </w:t>
                  </w:r>
                  <w:r>
                    <w:rPr>
                      <w:rFonts w:hint="default"/>
                      <w:color w:val="auto"/>
                      <w:szCs w:val="21"/>
                      <w:highlight w:val="none"/>
                    </w:rPr>
                    <w:t>mg/m</w:t>
                  </w:r>
                  <w:r>
                    <w:rPr>
                      <w:rFonts w:hint="default"/>
                      <w:color w:val="auto"/>
                      <w:szCs w:val="21"/>
                      <w:highlight w:val="none"/>
                      <w:vertAlign w:val="superscript"/>
                    </w:rPr>
                    <w:t>3</w:t>
                  </w:r>
                </w:p>
              </w:tc>
              <w:tc>
                <w:tcPr>
                  <w:tcW w:w="1641" w:type="pct"/>
                  <w:vMerge w:val="continue"/>
                  <w:tcBorders>
                    <w:tl2br w:val="nil"/>
                    <w:tr2bl w:val="nil"/>
                  </w:tcBorders>
                  <w:noWrap w:val="0"/>
                  <w:vAlign w:val="center"/>
                </w:tcPr>
                <w:p w14:paraId="7ACFCEAE">
                  <w:pPr>
                    <w:keepNext w:val="0"/>
                    <w:keepLines w:val="0"/>
                    <w:suppressLineNumbers w:val="0"/>
                    <w:spacing w:before="0" w:beforeAutospacing="0" w:after="0" w:afterAutospacing="0"/>
                    <w:ind w:left="0" w:right="0"/>
                    <w:jc w:val="center"/>
                    <w:rPr>
                      <w:rFonts w:hint="eastAsia"/>
                      <w:color w:val="auto"/>
                      <w:szCs w:val="21"/>
                      <w:highlight w:val="none"/>
                    </w:rPr>
                  </w:pPr>
                </w:p>
              </w:tc>
              <w:tc>
                <w:tcPr>
                  <w:tcW w:w="1377" w:type="pct"/>
                  <w:vMerge w:val="continue"/>
                  <w:tcBorders>
                    <w:right w:val="single" w:color="auto" w:sz="4" w:space="0"/>
                    <w:tl2br w:val="nil"/>
                    <w:tr2bl w:val="nil"/>
                  </w:tcBorders>
                  <w:noWrap w:val="0"/>
                  <w:vAlign w:val="center"/>
                </w:tcPr>
                <w:p w14:paraId="403B798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eastAsia="zh-CN"/>
                    </w:rPr>
                  </w:pPr>
                </w:p>
              </w:tc>
            </w:tr>
            <w:tr w14:paraId="5915FC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85" w:type="dxa"/>
                  <w:bottom w:w="0" w:type="dxa"/>
                  <w:right w:w="85" w:type="dxa"/>
                </w:tblCellMar>
              </w:tblPrEx>
              <w:trPr>
                <w:trHeight w:val="363" w:hRule="atLeast"/>
                <w:jc w:val="center"/>
              </w:trPr>
              <w:tc>
                <w:tcPr>
                  <w:tcW w:w="300" w:type="pct"/>
                  <w:tcBorders>
                    <w:left w:val="single" w:color="auto" w:sz="4" w:space="0"/>
                    <w:tl2br w:val="nil"/>
                    <w:tr2bl w:val="nil"/>
                  </w:tcBorders>
                  <w:noWrap w:val="0"/>
                  <w:vAlign w:val="center"/>
                </w:tcPr>
                <w:p w14:paraId="6F22739B">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779" w:type="pct"/>
                  <w:tcBorders>
                    <w:tl2br w:val="nil"/>
                    <w:tr2bl w:val="nil"/>
                  </w:tcBorders>
                  <w:noWrap w:val="0"/>
                  <w:vAlign w:val="center"/>
                </w:tcPr>
                <w:p w14:paraId="4BCB8B1A">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非甲烷总烃</w:t>
                  </w:r>
                </w:p>
              </w:tc>
              <w:tc>
                <w:tcPr>
                  <w:tcW w:w="901" w:type="pct"/>
                  <w:tcBorders>
                    <w:tl2br w:val="nil"/>
                    <w:tr2bl w:val="nil"/>
                  </w:tcBorders>
                  <w:noWrap w:val="0"/>
                  <w:vAlign w:val="center"/>
                </w:tcPr>
                <w:p w14:paraId="62642AD2">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r>
                    <w:rPr>
                      <w:rFonts w:hint="default"/>
                      <w:color w:val="auto"/>
                      <w:szCs w:val="21"/>
                      <w:highlight w:val="none"/>
                    </w:rPr>
                    <w:t>mg/m</w:t>
                  </w:r>
                  <w:r>
                    <w:rPr>
                      <w:rFonts w:hint="default"/>
                      <w:color w:val="auto"/>
                      <w:szCs w:val="21"/>
                      <w:highlight w:val="none"/>
                      <w:vertAlign w:val="superscript"/>
                    </w:rPr>
                    <w:t>3</w:t>
                  </w:r>
                </w:p>
              </w:tc>
              <w:tc>
                <w:tcPr>
                  <w:tcW w:w="1641" w:type="pct"/>
                  <w:tcBorders>
                    <w:tl2br w:val="nil"/>
                    <w:tr2bl w:val="nil"/>
                  </w:tcBorders>
                  <w:noWrap w:val="0"/>
                  <w:vAlign w:val="center"/>
                </w:tcPr>
                <w:p w14:paraId="36AAB0AF">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bidi="ar"/>
                    </w:rPr>
                    <w:t>《环境空气 总烃、甲烷和非甲烷总烃的测定 直接进样-气相色谱法》/HJ 604-2017</w:t>
                  </w:r>
                </w:p>
              </w:tc>
              <w:tc>
                <w:tcPr>
                  <w:tcW w:w="1377" w:type="pct"/>
                  <w:tcBorders>
                    <w:right w:val="single" w:color="auto" w:sz="4" w:space="0"/>
                    <w:tl2br w:val="nil"/>
                    <w:tr2bl w:val="nil"/>
                  </w:tcBorders>
                  <w:noWrap w:val="0"/>
                  <w:vAlign w:val="center"/>
                </w:tcPr>
                <w:p w14:paraId="572C2DD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气相色谱仪</w:t>
                  </w:r>
                </w:p>
                <w:p w14:paraId="1E858E3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eastAsia="zh-CN"/>
                    </w:rPr>
                  </w:pPr>
                  <w:r>
                    <w:rPr>
                      <w:rFonts w:hint="eastAsia"/>
                      <w:color w:val="auto"/>
                      <w:szCs w:val="21"/>
                      <w:highlight w:val="none"/>
                    </w:rPr>
                    <w:t>GC-7820</w:t>
                  </w:r>
                  <w:r>
                    <w:rPr>
                      <w:rFonts w:hint="default"/>
                      <w:color w:val="auto"/>
                      <w:szCs w:val="21"/>
                      <w:highlight w:val="none"/>
                    </w:rPr>
                    <w:t>型、YQ-004</w:t>
                  </w:r>
                </w:p>
              </w:tc>
            </w:tr>
          </w:tbl>
          <w:p w14:paraId="177B784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5）</w:t>
            </w:r>
            <w:r>
              <w:rPr>
                <w:rFonts w:hint="eastAsia" w:cs="Times New Roman"/>
                <w:color w:val="auto"/>
                <w:sz w:val="24"/>
                <w:szCs w:val="24"/>
                <w:highlight w:val="none"/>
                <w:lang w:val="en-US" w:eastAsia="zh-CN"/>
              </w:rPr>
              <w:t>气象条件</w:t>
            </w:r>
          </w:p>
          <w:p w14:paraId="3B161683">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 xml:space="preserve">3-3  </w:t>
            </w:r>
            <w:r>
              <w:rPr>
                <w:rFonts w:hint="default" w:ascii="Times New Roman" w:hAnsi="Times New Roman" w:eastAsia="宋体" w:cs="Times New Roman"/>
                <w:b/>
                <w:bCs/>
                <w:color w:val="auto"/>
                <w:sz w:val="24"/>
                <w:szCs w:val="24"/>
                <w:highlight w:val="none"/>
                <w:lang w:val="en-US" w:eastAsia="zh-CN"/>
              </w:rPr>
              <w:t>气象条件</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8"/>
              <w:gridCol w:w="1438"/>
              <w:gridCol w:w="1438"/>
              <w:gridCol w:w="1438"/>
              <w:gridCol w:w="1438"/>
            </w:tblGrid>
            <w:tr w14:paraId="0AC3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jc w:val="center"/>
              </w:trPr>
              <w:tc>
                <w:tcPr>
                  <w:tcW w:w="2556" w:type="dxa"/>
                  <w:tcBorders>
                    <w:tl2br w:val="nil"/>
                    <w:tr2bl w:val="nil"/>
                  </w:tcBorders>
                  <w:noWrap w:val="0"/>
                  <w:vAlign w:val="center"/>
                </w:tcPr>
                <w:p w14:paraId="3F76FCD1">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bidi="ar"/>
                    </w:rPr>
                  </w:pPr>
                  <w:r>
                    <w:rPr>
                      <w:rFonts w:hint="default"/>
                      <w:color w:val="auto"/>
                      <w:szCs w:val="21"/>
                      <w:highlight w:val="none"/>
                      <w:lang w:bidi="ar"/>
                    </w:rPr>
                    <w:t>监测日期</w:t>
                  </w:r>
                </w:p>
              </w:tc>
              <w:tc>
                <w:tcPr>
                  <w:tcW w:w="859" w:type="pct"/>
                  <w:tcBorders>
                    <w:tl2br w:val="nil"/>
                    <w:tr2bl w:val="nil"/>
                  </w:tcBorders>
                  <w:noWrap w:val="0"/>
                  <w:vAlign w:val="center"/>
                </w:tcPr>
                <w:p w14:paraId="4F23EC19">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lang w:bidi="ar"/>
                    </w:rPr>
                    <w:t>风向</w:t>
                  </w:r>
                </w:p>
              </w:tc>
              <w:tc>
                <w:tcPr>
                  <w:tcW w:w="859" w:type="pct"/>
                  <w:tcBorders>
                    <w:tl2br w:val="nil"/>
                    <w:tr2bl w:val="nil"/>
                  </w:tcBorders>
                  <w:noWrap w:val="0"/>
                  <w:vAlign w:val="center"/>
                </w:tcPr>
                <w:p w14:paraId="28790DC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lang w:bidi="ar"/>
                    </w:rPr>
                    <w:t>风速（m/s）</w:t>
                  </w:r>
                </w:p>
              </w:tc>
              <w:tc>
                <w:tcPr>
                  <w:tcW w:w="859" w:type="pct"/>
                  <w:tcBorders>
                    <w:tl2br w:val="nil"/>
                    <w:tr2bl w:val="nil"/>
                  </w:tcBorders>
                  <w:noWrap w:val="0"/>
                  <w:vAlign w:val="center"/>
                </w:tcPr>
                <w:p w14:paraId="14F0301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lang w:bidi="ar"/>
                    </w:rPr>
                    <w:t>气温（℃）</w:t>
                  </w:r>
                </w:p>
              </w:tc>
              <w:tc>
                <w:tcPr>
                  <w:tcW w:w="859" w:type="pct"/>
                  <w:tcBorders>
                    <w:tl2br w:val="nil"/>
                    <w:tr2bl w:val="nil"/>
                  </w:tcBorders>
                  <w:noWrap w:val="0"/>
                  <w:vAlign w:val="center"/>
                </w:tcPr>
                <w:p w14:paraId="6C53330A">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bidi="ar"/>
                    </w:rPr>
                  </w:pPr>
                  <w:r>
                    <w:rPr>
                      <w:rFonts w:hint="default"/>
                      <w:color w:val="auto"/>
                      <w:szCs w:val="21"/>
                      <w:highlight w:val="none"/>
                      <w:lang w:bidi="ar"/>
                    </w:rPr>
                    <w:t>大气压（kPa）</w:t>
                  </w:r>
                </w:p>
              </w:tc>
            </w:tr>
            <w:tr w14:paraId="41FF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blHeader/>
                <w:jc w:val="center"/>
              </w:trPr>
              <w:tc>
                <w:tcPr>
                  <w:tcW w:w="2556" w:type="dxa"/>
                  <w:tcBorders>
                    <w:tl2br w:val="nil"/>
                    <w:tr2bl w:val="nil"/>
                  </w:tcBorders>
                  <w:noWrap w:val="0"/>
                  <w:vAlign w:val="center"/>
                </w:tcPr>
                <w:p w14:paraId="6FC519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bidi="ar"/>
                    </w:rPr>
                  </w:pPr>
                  <w:r>
                    <w:rPr>
                      <w:rFonts w:hint="eastAsia"/>
                      <w:color w:val="auto"/>
                      <w:highlight w:val="none"/>
                    </w:rPr>
                    <w:t>202</w:t>
                  </w:r>
                  <w:r>
                    <w:rPr>
                      <w:rFonts w:hint="eastAsia"/>
                      <w:color w:val="auto"/>
                      <w:highlight w:val="none"/>
                      <w:lang w:val="en-US" w:eastAsia="zh-CN"/>
                    </w:rPr>
                    <w:t>4.08.30</w:t>
                  </w:r>
                </w:p>
              </w:tc>
              <w:tc>
                <w:tcPr>
                  <w:tcW w:w="859" w:type="pct"/>
                  <w:tcBorders>
                    <w:tl2br w:val="nil"/>
                    <w:tr2bl w:val="nil"/>
                  </w:tcBorders>
                  <w:noWrap w:val="0"/>
                  <w:vAlign w:val="center"/>
                </w:tcPr>
                <w:p w14:paraId="4FEA0A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东南</w:t>
                  </w:r>
                </w:p>
              </w:tc>
              <w:tc>
                <w:tcPr>
                  <w:tcW w:w="859" w:type="pct"/>
                  <w:tcBorders>
                    <w:tl2br w:val="nil"/>
                    <w:tr2bl w:val="nil"/>
                  </w:tcBorders>
                  <w:noWrap w:val="0"/>
                  <w:vAlign w:val="center"/>
                </w:tcPr>
                <w:p w14:paraId="566819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2.3</w:t>
                  </w:r>
                </w:p>
              </w:tc>
              <w:tc>
                <w:tcPr>
                  <w:tcW w:w="859" w:type="pct"/>
                  <w:tcBorders>
                    <w:tl2br w:val="nil"/>
                    <w:tr2bl w:val="nil"/>
                  </w:tcBorders>
                  <w:noWrap w:val="0"/>
                  <w:vAlign w:val="center"/>
                </w:tcPr>
                <w:p w14:paraId="4CF490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23.6 </w:t>
                  </w:r>
                </w:p>
              </w:tc>
              <w:tc>
                <w:tcPr>
                  <w:tcW w:w="859" w:type="pct"/>
                  <w:tcBorders>
                    <w:tl2br w:val="nil"/>
                    <w:tr2bl w:val="nil"/>
                  </w:tcBorders>
                  <w:noWrap w:val="0"/>
                  <w:vAlign w:val="center"/>
                </w:tcPr>
                <w:p w14:paraId="77A603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85.22 </w:t>
                  </w:r>
                </w:p>
              </w:tc>
            </w:tr>
            <w:tr w14:paraId="3A15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2556" w:type="dxa"/>
                  <w:tcBorders>
                    <w:tl2br w:val="nil"/>
                    <w:tr2bl w:val="nil"/>
                  </w:tcBorders>
                  <w:noWrap w:val="0"/>
                  <w:vAlign w:val="center"/>
                </w:tcPr>
                <w:p w14:paraId="2B8FDC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bidi="ar"/>
                    </w:rPr>
                  </w:pPr>
                  <w:r>
                    <w:rPr>
                      <w:rFonts w:hint="eastAsia"/>
                      <w:color w:val="auto"/>
                      <w:highlight w:val="none"/>
                    </w:rPr>
                    <w:t>202</w:t>
                  </w:r>
                  <w:r>
                    <w:rPr>
                      <w:rFonts w:hint="eastAsia"/>
                      <w:color w:val="auto"/>
                      <w:highlight w:val="none"/>
                      <w:lang w:val="en-US" w:eastAsia="zh-CN"/>
                    </w:rPr>
                    <w:t>4.08.31</w:t>
                  </w:r>
                </w:p>
              </w:tc>
              <w:tc>
                <w:tcPr>
                  <w:tcW w:w="859" w:type="pct"/>
                  <w:tcBorders>
                    <w:tl2br w:val="nil"/>
                    <w:tr2bl w:val="nil"/>
                  </w:tcBorders>
                  <w:noWrap w:val="0"/>
                  <w:vAlign w:val="center"/>
                </w:tcPr>
                <w:p w14:paraId="6E0D68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东北</w:t>
                  </w:r>
                </w:p>
              </w:tc>
              <w:tc>
                <w:tcPr>
                  <w:tcW w:w="859" w:type="pct"/>
                  <w:tcBorders>
                    <w:tl2br w:val="nil"/>
                    <w:tr2bl w:val="nil"/>
                  </w:tcBorders>
                  <w:noWrap w:val="0"/>
                  <w:vAlign w:val="center"/>
                </w:tcPr>
                <w:p w14:paraId="31B5EC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2.4</w:t>
                  </w:r>
                </w:p>
              </w:tc>
              <w:tc>
                <w:tcPr>
                  <w:tcW w:w="859" w:type="pct"/>
                  <w:tcBorders>
                    <w:tl2br w:val="nil"/>
                    <w:tr2bl w:val="nil"/>
                  </w:tcBorders>
                  <w:noWrap w:val="0"/>
                  <w:vAlign w:val="center"/>
                </w:tcPr>
                <w:p w14:paraId="4A23E9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22.0 </w:t>
                  </w:r>
                </w:p>
              </w:tc>
              <w:tc>
                <w:tcPr>
                  <w:tcW w:w="859" w:type="pct"/>
                  <w:tcBorders>
                    <w:tl2br w:val="nil"/>
                    <w:tr2bl w:val="nil"/>
                  </w:tcBorders>
                  <w:noWrap w:val="0"/>
                  <w:vAlign w:val="center"/>
                </w:tcPr>
                <w:p w14:paraId="269328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85.06 </w:t>
                  </w:r>
                </w:p>
              </w:tc>
            </w:tr>
            <w:tr w14:paraId="574E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2556" w:type="dxa"/>
                  <w:tcBorders>
                    <w:tl2br w:val="nil"/>
                    <w:tr2bl w:val="nil"/>
                  </w:tcBorders>
                  <w:noWrap w:val="0"/>
                  <w:vAlign w:val="center"/>
                </w:tcPr>
                <w:p w14:paraId="4B71805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bidi="ar"/>
                    </w:rPr>
                  </w:pPr>
                  <w:r>
                    <w:rPr>
                      <w:rFonts w:hint="eastAsia"/>
                      <w:color w:val="auto"/>
                      <w:highlight w:val="none"/>
                    </w:rPr>
                    <w:t>202</w:t>
                  </w:r>
                  <w:r>
                    <w:rPr>
                      <w:rFonts w:hint="eastAsia"/>
                      <w:color w:val="auto"/>
                      <w:highlight w:val="none"/>
                      <w:lang w:val="en-US" w:eastAsia="zh-CN"/>
                    </w:rPr>
                    <w:t>4.09.01</w:t>
                  </w:r>
                </w:p>
              </w:tc>
              <w:tc>
                <w:tcPr>
                  <w:tcW w:w="859" w:type="pct"/>
                  <w:tcBorders>
                    <w:tl2br w:val="nil"/>
                    <w:tr2bl w:val="nil"/>
                  </w:tcBorders>
                  <w:noWrap w:val="0"/>
                  <w:vAlign w:val="center"/>
                </w:tcPr>
                <w:p w14:paraId="4EC8BE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东北</w:t>
                  </w:r>
                </w:p>
              </w:tc>
              <w:tc>
                <w:tcPr>
                  <w:tcW w:w="859" w:type="pct"/>
                  <w:tcBorders>
                    <w:tl2br w:val="nil"/>
                    <w:tr2bl w:val="nil"/>
                  </w:tcBorders>
                  <w:noWrap w:val="0"/>
                  <w:vAlign w:val="center"/>
                </w:tcPr>
                <w:p w14:paraId="5B1E19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2.4</w:t>
                  </w:r>
                </w:p>
              </w:tc>
              <w:tc>
                <w:tcPr>
                  <w:tcW w:w="859" w:type="pct"/>
                  <w:tcBorders>
                    <w:tl2br w:val="nil"/>
                    <w:tr2bl w:val="nil"/>
                  </w:tcBorders>
                  <w:noWrap w:val="0"/>
                  <w:vAlign w:val="center"/>
                </w:tcPr>
                <w:p w14:paraId="5C594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18.0 </w:t>
                  </w:r>
                </w:p>
              </w:tc>
              <w:tc>
                <w:tcPr>
                  <w:tcW w:w="859" w:type="pct"/>
                  <w:tcBorders>
                    <w:tl2br w:val="nil"/>
                    <w:tr2bl w:val="nil"/>
                  </w:tcBorders>
                  <w:noWrap w:val="0"/>
                  <w:vAlign w:val="center"/>
                </w:tcPr>
                <w:p w14:paraId="23989D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highlight w:val="none"/>
                      <w:lang w:val="en-US" w:eastAsia="zh-CN"/>
                    </w:rPr>
                    <w:t xml:space="preserve">85.53 </w:t>
                  </w:r>
                </w:p>
              </w:tc>
            </w:tr>
          </w:tbl>
          <w:p w14:paraId="646AC2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监测结果</w:t>
            </w:r>
          </w:p>
          <w:p w14:paraId="0FBCB432">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3-3  检测结果</w:t>
            </w:r>
            <w:r>
              <w:rPr>
                <w:rFonts w:hint="eastAsia" w:ascii="Times New Roman" w:hAnsi="Times New Roman" w:cs="Times New Roman"/>
                <w:b/>
                <w:bCs/>
                <w:color w:val="auto"/>
                <w:sz w:val="24"/>
                <w:szCs w:val="24"/>
                <w:highlight w:val="none"/>
                <w:lang w:val="en-US" w:eastAsia="zh-CN"/>
              </w:rPr>
              <w:t>（1）</w:t>
            </w:r>
          </w:p>
          <w:tbl>
            <w:tblPr>
              <w:tblStyle w:val="30"/>
              <w:tblW w:w="49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59"/>
              <w:gridCol w:w="1117"/>
              <w:gridCol w:w="1117"/>
              <w:gridCol w:w="1117"/>
              <w:gridCol w:w="1125"/>
              <w:gridCol w:w="1810"/>
            </w:tblGrid>
            <w:tr w14:paraId="62292D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1228" w:type="pct"/>
                  <w:gridSpan w:val="2"/>
                  <w:tcBorders>
                    <w:top w:val="single" w:color="auto" w:sz="4" w:space="0"/>
                  </w:tcBorders>
                  <w:noWrap w:val="0"/>
                  <w:vAlign w:val="center"/>
                </w:tcPr>
                <w:p w14:paraId="5393EEF2">
                  <w:pPr>
                    <w:keepNext w:val="0"/>
                    <w:keepLines w:val="0"/>
                    <w:suppressLineNumbers w:val="0"/>
                    <w:spacing w:before="0" w:beforeAutospacing="0" w:after="0" w:afterAutospacing="0"/>
                    <w:ind w:left="0" w:right="0"/>
                    <w:jc w:val="center"/>
                    <w:rPr>
                      <w:rFonts w:hint="default"/>
                      <w:color w:val="auto"/>
                      <w:szCs w:val="21"/>
                      <w:highlight w:val="none"/>
                      <w:lang w:bidi="ar"/>
                    </w:rPr>
                  </w:pPr>
                  <w:r>
                    <w:rPr>
                      <w:rFonts w:hint="eastAsia"/>
                      <w:color w:val="auto"/>
                      <w:szCs w:val="21"/>
                      <w:highlight w:val="none"/>
                      <w:lang w:bidi="ar"/>
                    </w:rPr>
                    <w:t>采样位置</w:t>
                  </w:r>
                </w:p>
              </w:tc>
              <w:tc>
                <w:tcPr>
                  <w:tcW w:w="2685" w:type="pct"/>
                  <w:gridSpan w:val="4"/>
                  <w:tcBorders>
                    <w:top w:val="single" w:color="auto" w:sz="4" w:space="0"/>
                  </w:tcBorders>
                  <w:noWrap w:val="0"/>
                  <w:vAlign w:val="center"/>
                </w:tcPr>
                <w:p w14:paraId="091BCC6A">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olor w:val="auto"/>
                      <w:szCs w:val="21"/>
                      <w:highlight w:val="none"/>
                      <w:lang w:val="en-US" w:eastAsia="zh-CN"/>
                    </w:rPr>
                  </w:pPr>
                  <w:bookmarkStart w:id="5" w:name="OLE_LINK14"/>
                  <w:r>
                    <w:rPr>
                      <w:rFonts w:hint="eastAsia" w:ascii="Times New Roman" w:hAnsi="Times New Roman"/>
                      <w:color w:val="auto"/>
                      <w:szCs w:val="21"/>
                      <w:highlight w:val="none"/>
                      <w:lang w:val="en-US" w:eastAsia="zh-CN"/>
                    </w:rPr>
                    <w:t>1#项目厂址</w:t>
                  </w:r>
                  <w:bookmarkEnd w:id="5"/>
                </w:p>
              </w:tc>
              <w:tc>
                <w:tcPr>
                  <w:tcW w:w="1086" w:type="pct"/>
                  <w:vMerge w:val="restart"/>
                  <w:tcBorders>
                    <w:top w:val="single" w:color="auto" w:sz="4" w:space="0"/>
                    <w:right w:val="single" w:color="auto" w:sz="4" w:space="0"/>
                  </w:tcBorders>
                  <w:noWrap w:val="0"/>
                  <w:vAlign w:val="center"/>
                </w:tcPr>
                <w:p w14:paraId="479F689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执行标准及限值</w:t>
                  </w:r>
                </w:p>
                <w:p w14:paraId="197713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color w:val="auto"/>
                      <w:szCs w:val="21"/>
                      <w:highlight w:val="none"/>
                      <w:lang w:val="en-US" w:eastAsia="zh-CN" w:bidi="ar"/>
                    </w:rPr>
                    <w:t>（</w:t>
                  </w:r>
                  <w:r>
                    <w:rPr>
                      <w:rFonts w:hint="eastAsia" w:ascii="Times New Roman" w:hAnsi="Times New Roman" w:eastAsia="宋体" w:cs="Times New Roman"/>
                      <w:color w:val="auto"/>
                      <w:szCs w:val="21"/>
                      <w:highlight w:val="none"/>
                      <w:lang w:val="en-US" w:eastAsia="zh-CN" w:bidi="ar"/>
                    </w:rPr>
                    <w:t xml:space="preserve">HJ 2.2-2018 </w:t>
                  </w:r>
                  <w:r>
                    <w:rPr>
                      <w:rFonts w:hint="default" w:ascii="Times New Roman" w:hAnsi="Times New Roman" w:eastAsia="宋体" w:cs="Times New Roman"/>
                      <w:color w:val="auto"/>
                      <w:szCs w:val="21"/>
                      <w:highlight w:val="none"/>
                      <w:lang w:val="en-US" w:eastAsia="zh-CN" w:bidi="ar"/>
                    </w:rPr>
                    <w:t>）</w:t>
                  </w:r>
                </w:p>
                <w:p w14:paraId="0CCE1D1F">
                  <w:pPr>
                    <w:keepNext w:val="0"/>
                    <w:keepLines w:val="0"/>
                    <w:suppressLineNumbers w:val="0"/>
                    <w:spacing w:before="0" w:beforeAutospacing="0" w:after="0" w:afterAutospacing="0"/>
                    <w:ind w:left="0" w:right="0"/>
                    <w:jc w:val="center"/>
                    <w:rPr>
                      <w:rFonts w:hint="default" w:ascii="Times New Roman" w:hAnsi="Times New Roman"/>
                      <w:color w:val="auto"/>
                      <w:szCs w:val="21"/>
                      <w:highlight w:val="none"/>
                    </w:rPr>
                  </w:pPr>
                  <w:r>
                    <w:rPr>
                      <w:rFonts w:hint="eastAsia" w:ascii="Times New Roman" w:hAnsi="Times New Roman" w:eastAsia="宋体" w:cs="Times New Roman"/>
                      <w:color w:val="auto"/>
                      <w:szCs w:val="21"/>
                      <w:highlight w:val="none"/>
                      <w:lang w:val="en-US" w:eastAsia="zh-CN" w:bidi="ar"/>
                    </w:rPr>
                    <w:t>（DB 13/1577-2012）</w:t>
                  </w:r>
                </w:p>
              </w:tc>
            </w:tr>
            <w:tr w14:paraId="498E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228" w:type="pct"/>
                  <w:gridSpan w:val="2"/>
                  <w:tcBorders>
                    <w:left w:val="single" w:color="auto" w:sz="4" w:space="0"/>
                  </w:tcBorders>
                  <w:noWrap w:val="0"/>
                  <w:vAlign w:val="center"/>
                </w:tcPr>
                <w:p w14:paraId="68FB2B0F">
                  <w:pPr>
                    <w:keepNext w:val="0"/>
                    <w:keepLines w:val="0"/>
                    <w:suppressLineNumbers w:val="0"/>
                    <w:spacing w:before="0" w:beforeAutospacing="0" w:after="0" w:afterAutospacing="0"/>
                    <w:ind w:left="0" w:right="0"/>
                    <w:jc w:val="center"/>
                    <w:rPr>
                      <w:rFonts w:hint="default"/>
                      <w:color w:val="auto"/>
                      <w:szCs w:val="21"/>
                      <w:highlight w:val="none"/>
                    </w:rPr>
                  </w:pPr>
                  <w:bookmarkStart w:id="6" w:name="OLE_LINK7" w:colFirst="4" w:colLast="4"/>
                  <w:r>
                    <w:rPr>
                      <w:rFonts w:hint="default"/>
                      <w:color w:val="auto"/>
                      <w:szCs w:val="21"/>
                      <w:highlight w:val="none"/>
                      <w:lang w:bidi="ar"/>
                    </w:rPr>
                    <w:t>检测项目</w:t>
                  </w:r>
                </w:p>
              </w:tc>
              <w:tc>
                <w:tcPr>
                  <w:tcW w:w="670" w:type="pct"/>
                  <w:noWrap w:val="0"/>
                  <w:vAlign w:val="center"/>
                </w:tcPr>
                <w:p w14:paraId="4C2CAA8B">
                  <w:pPr>
                    <w:keepNext w:val="0"/>
                    <w:keepLines w:val="0"/>
                    <w:suppressLineNumbers w:val="0"/>
                    <w:spacing w:before="0" w:beforeAutospacing="0" w:after="0" w:afterAutospacing="0"/>
                    <w:ind w:left="0" w:right="0"/>
                    <w:jc w:val="center"/>
                    <w:rPr>
                      <w:rFonts w:hint="default"/>
                      <w:color w:val="auto"/>
                      <w:szCs w:val="21"/>
                      <w:highlight w:val="none"/>
                      <w:lang w:bidi="ar"/>
                    </w:rPr>
                  </w:pPr>
                  <w:r>
                    <w:rPr>
                      <w:rFonts w:hint="eastAsia"/>
                      <w:color w:val="auto"/>
                      <w:szCs w:val="21"/>
                      <w:highlight w:val="none"/>
                    </w:rPr>
                    <w:t>非甲烷总烃</w:t>
                  </w:r>
                  <w:r>
                    <w:rPr>
                      <w:rFonts w:hint="eastAsia"/>
                      <w:color w:val="auto"/>
                      <w:szCs w:val="21"/>
                      <w:highlight w:val="none"/>
                      <w:lang w:bidi="ar"/>
                    </w:rPr>
                    <w:t>(</w:t>
                  </w:r>
                  <w:r>
                    <w:rPr>
                      <w:rFonts w:hint="eastAsia" w:eastAsia="PMingLiU"/>
                      <w:color w:val="auto"/>
                      <w:szCs w:val="21"/>
                      <w:highlight w:val="none"/>
                    </w:rPr>
                    <w:t>mg/m</w:t>
                  </w:r>
                  <w:r>
                    <w:rPr>
                      <w:rFonts w:hint="eastAsia" w:eastAsia="PMingLiU"/>
                      <w:color w:val="auto"/>
                      <w:szCs w:val="21"/>
                      <w:highlight w:val="none"/>
                      <w:vertAlign w:val="superscript"/>
                    </w:rPr>
                    <w:t>3</w:t>
                  </w:r>
                  <w:r>
                    <w:rPr>
                      <w:rFonts w:hint="eastAsia"/>
                      <w:color w:val="auto"/>
                      <w:szCs w:val="21"/>
                      <w:highlight w:val="none"/>
                      <w:lang w:bidi="ar"/>
                    </w:rPr>
                    <w:t>)</w:t>
                  </w:r>
                </w:p>
              </w:tc>
              <w:tc>
                <w:tcPr>
                  <w:tcW w:w="670" w:type="pct"/>
                  <w:noWrap w:val="0"/>
                  <w:vAlign w:val="center"/>
                </w:tcPr>
                <w:p w14:paraId="15428DFD">
                  <w:pPr>
                    <w:keepNext w:val="0"/>
                    <w:keepLines w:val="0"/>
                    <w:suppressLineNumbers w:val="0"/>
                    <w:spacing w:before="0" w:beforeAutospacing="0" w:after="0" w:afterAutospacing="0"/>
                    <w:ind w:left="0" w:right="0"/>
                    <w:jc w:val="center"/>
                    <w:rPr>
                      <w:rFonts w:hint="default"/>
                      <w:color w:val="auto"/>
                      <w:kern w:val="2"/>
                      <w:sz w:val="21"/>
                      <w:szCs w:val="21"/>
                      <w:highlight w:val="none"/>
                      <w:lang w:val="en-US" w:eastAsia="zh-CN" w:bidi="ar"/>
                    </w:rPr>
                  </w:pPr>
                  <w:r>
                    <w:rPr>
                      <w:rFonts w:hint="eastAsia"/>
                      <w:color w:val="auto"/>
                      <w:szCs w:val="21"/>
                      <w:highlight w:val="none"/>
                      <w:lang w:val="en-US" w:eastAsia="zh-CN" w:bidi="ar"/>
                    </w:rPr>
                    <w:t>苯</w:t>
                  </w:r>
                  <w:r>
                    <w:rPr>
                      <w:rFonts w:hint="eastAsia"/>
                      <w:color w:val="auto"/>
                      <w:szCs w:val="21"/>
                      <w:highlight w:val="none"/>
                      <w:lang w:bidi="ar"/>
                    </w:rPr>
                    <w:t>(</w:t>
                  </w:r>
                  <w:r>
                    <w:rPr>
                      <w:rFonts w:hint="eastAsia" w:eastAsia="PMingLiU"/>
                      <w:color w:val="auto"/>
                      <w:szCs w:val="21"/>
                      <w:highlight w:val="none"/>
                    </w:rPr>
                    <w:t>mg/m</w:t>
                  </w:r>
                  <w:r>
                    <w:rPr>
                      <w:rFonts w:hint="eastAsia" w:eastAsia="PMingLiU"/>
                      <w:color w:val="auto"/>
                      <w:szCs w:val="21"/>
                      <w:highlight w:val="none"/>
                      <w:vertAlign w:val="superscript"/>
                    </w:rPr>
                    <w:t>3</w:t>
                  </w:r>
                  <w:r>
                    <w:rPr>
                      <w:rFonts w:hint="eastAsia"/>
                      <w:color w:val="auto"/>
                      <w:szCs w:val="21"/>
                      <w:highlight w:val="none"/>
                      <w:lang w:bidi="ar"/>
                    </w:rPr>
                    <w:t>)</w:t>
                  </w:r>
                </w:p>
              </w:tc>
              <w:tc>
                <w:tcPr>
                  <w:tcW w:w="670" w:type="pct"/>
                  <w:noWrap w:val="0"/>
                  <w:vAlign w:val="center"/>
                </w:tcPr>
                <w:p w14:paraId="32588C35">
                  <w:pPr>
                    <w:keepNext w:val="0"/>
                    <w:keepLines w:val="0"/>
                    <w:suppressLineNumbers w:val="0"/>
                    <w:spacing w:before="0" w:beforeAutospacing="0" w:after="0" w:afterAutospacing="0"/>
                    <w:ind w:left="0" w:right="0"/>
                    <w:jc w:val="center"/>
                    <w:rPr>
                      <w:rFonts w:hint="default"/>
                      <w:color w:val="auto"/>
                      <w:kern w:val="2"/>
                      <w:sz w:val="21"/>
                      <w:szCs w:val="21"/>
                      <w:highlight w:val="none"/>
                      <w:lang w:val="en-US" w:eastAsia="zh-CN" w:bidi="ar"/>
                    </w:rPr>
                  </w:pPr>
                  <w:r>
                    <w:rPr>
                      <w:rFonts w:hint="eastAsia"/>
                      <w:color w:val="auto"/>
                      <w:szCs w:val="21"/>
                      <w:highlight w:val="none"/>
                      <w:lang w:val="en-US" w:eastAsia="zh-CN" w:bidi="ar"/>
                    </w:rPr>
                    <w:t>甲苯</w:t>
                  </w:r>
                  <w:r>
                    <w:rPr>
                      <w:rFonts w:hint="eastAsia"/>
                      <w:color w:val="auto"/>
                      <w:szCs w:val="21"/>
                      <w:highlight w:val="none"/>
                      <w:lang w:bidi="ar"/>
                    </w:rPr>
                    <w:t>(</w:t>
                  </w:r>
                  <w:r>
                    <w:rPr>
                      <w:rFonts w:hint="eastAsia" w:eastAsia="PMingLiU"/>
                      <w:color w:val="auto"/>
                      <w:szCs w:val="21"/>
                      <w:highlight w:val="none"/>
                    </w:rPr>
                    <w:t>mg/m</w:t>
                  </w:r>
                  <w:r>
                    <w:rPr>
                      <w:rFonts w:hint="eastAsia" w:eastAsia="PMingLiU"/>
                      <w:color w:val="auto"/>
                      <w:szCs w:val="21"/>
                      <w:highlight w:val="none"/>
                      <w:vertAlign w:val="superscript"/>
                    </w:rPr>
                    <w:t>3</w:t>
                  </w:r>
                  <w:r>
                    <w:rPr>
                      <w:rFonts w:hint="eastAsia"/>
                      <w:color w:val="auto"/>
                      <w:szCs w:val="21"/>
                      <w:highlight w:val="none"/>
                      <w:lang w:bidi="ar"/>
                    </w:rPr>
                    <w:t>)</w:t>
                  </w:r>
                </w:p>
              </w:tc>
              <w:tc>
                <w:tcPr>
                  <w:tcW w:w="674" w:type="pct"/>
                  <w:noWrap w:val="0"/>
                  <w:vAlign w:val="center"/>
                </w:tcPr>
                <w:p w14:paraId="41514BFD">
                  <w:pPr>
                    <w:keepNext w:val="0"/>
                    <w:keepLines w:val="0"/>
                    <w:suppressLineNumbers w:val="0"/>
                    <w:spacing w:before="0" w:beforeAutospacing="0" w:after="0" w:afterAutospacing="0"/>
                    <w:ind w:left="0" w:right="0"/>
                    <w:jc w:val="center"/>
                    <w:rPr>
                      <w:rFonts w:hint="default"/>
                      <w:color w:val="auto"/>
                      <w:szCs w:val="21"/>
                      <w:highlight w:val="none"/>
                      <w:lang w:bidi="ar"/>
                    </w:rPr>
                  </w:pPr>
                  <w:r>
                    <w:rPr>
                      <w:rFonts w:hint="eastAsia"/>
                      <w:color w:val="auto"/>
                      <w:szCs w:val="21"/>
                      <w:highlight w:val="none"/>
                      <w:lang w:val="en-US" w:eastAsia="zh-CN" w:bidi="ar"/>
                    </w:rPr>
                    <w:t>二甲苯</w:t>
                  </w:r>
                  <w:r>
                    <w:rPr>
                      <w:rFonts w:hint="eastAsia"/>
                      <w:color w:val="auto"/>
                      <w:szCs w:val="21"/>
                      <w:highlight w:val="none"/>
                      <w:lang w:bidi="ar"/>
                    </w:rPr>
                    <w:t>(</w:t>
                  </w:r>
                  <w:r>
                    <w:rPr>
                      <w:rFonts w:hint="eastAsia" w:eastAsia="PMingLiU"/>
                      <w:color w:val="auto"/>
                      <w:szCs w:val="21"/>
                      <w:highlight w:val="none"/>
                    </w:rPr>
                    <w:t>mg/m</w:t>
                  </w:r>
                  <w:r>
                    <w:rPr>
                      <w:rFonts w:hint="eastAsia" w:eastAsia="PMingLiU"/>
                      <w:color w:val="auto"/>
                      <w:szCs w:val="21"/>
                      <w:highlight w:val="none"/>
                      <w:vertAlign w:val="superscript"/>
                    </w:rPr>
                    <w:t>3</w:t>
                  </w:r>
                  <w:r>
                    <w:rPr>
                      <w:rFonts w:hint="eastAsia"/>
                      <w:color w:val="auto"/>
                      <w:szCs w:val="21"/>
                      <w:highlight w:val="none"/>
                      <w:lang w:bidi="ar"/>
                    </w:rPr>
                    <w:t>)</w:t>
                  </w:r>
                </w:p>
              </w:tc>
              <w:tc>
                <w:tcPr>
                  <w:tcW w:w="1086" w:type="pct"/>
                  <w:vMerge w:val="continue"/>
                  <w:tcBorders>
                    <w:right w:val="single" w:color="auto" w:sz="4" w:space="0"/>
                  </w:tcBorders>
                  <w:noWrap w:val="0"/>
                  <w:vAlign w:val="center"/>
                </w:tcPr>
                <w:p w14:paraId="6EDE902E">
                  <w:pPr>
                    <w:keepNext w:val="0"/>
                    <w:keepLines w:val="0"/>
                    <w:suppressLineNumbers w:val="0"/>
                    <w:spacing w:before="0" w:beforeAutospacing="0" w:after="0" w:afterAutospacing="0"/>
                    <w:ind w:left="0" w:right="0"/>
                    <w:jc w:val="center"/>
                    <w:rPr>
                      <w:rFonts w:hint="eastAsia"/>
                      <w:color w:val="auto"/>
                      <w:szCs w:val="21"/>
                      <w:highlight w:val="none"/>
                    </w:rPr>
                  </w:pPr>
                </w:p>
              </w:tc>
            </w:tr>
            <w:bookmarkEnd w:id="6"/>
            <w:tr w14:paraId="5AEA3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1228" w:type="pct"/>
                  <w:gridSpan w:val="2"/>
                  <w:tcBorders>
                    <w:left w:val="single" w:color="auto" w:sz="4" w:space="0"/>
                  </w:tcBorders>
                  <w:noWrap w:val="0"/>
                  <w:vAlign w:val="center"/>
                </w:tcPr>
                <w:p w14:paraId="028D8D84">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lang w:bidi="ar"/>
                    </w:rPr>
                    <w:t>采样日期</w:t>
                  </w:r>
                </w:p>
              </w:tc>
              <w:tc>
                <w:tcPr>
                  <w:tcW w:w="2685" w:type="pct"/>
                  <w:gridSpan w:val="4"/>
                  <w:noWrap w:val="0"/>
                  <w:vAlign w:val="center"/>
                </w:tcPr>
                <w:p w14:paraId="3122D5F4">
                  <w:pPr>
                    <w:keepNext w:val="0"/>
                    <w:keepLines w:val="0"/>
                    <w:suppressLineNumbers w:val="0"/>
                    <w:spacing w:before="0" w:beforeAutospacing="0" w:after="0" w:afterAutospacing="0"/>
                    <w:ind w:left="0" w:right="0"/>
                    <w:jc w:val="center"/>
                    <w:rPr>
                      <w:rFonts w:hint="default"/>
                      <w:color w:val="auto"/>
                      <w:szCs w:val="21"/>
                      <w:highlight w:val="none"/>
                      <w:lang w:bidi="ar"/>
                    </w:rPr>
                  </w:pPr>
                  <w:r>
                    <w:rPr>
                      <w:rFonts w:hint="default"/>
                      <w:color w:val="auto"/>
                      <w:szCs w:val="21"/>
                      <w:highlight w:val="none"/>
                      <w:lang w:bidi="ar"/>
                    </w:rPr>
                    <w:t>检测结果</w:t>
                  </w:r>
                </w:p>
              </w:tc>
              <w:tc>
                <w:tcPr>
                  <w:tcW w:w="1086" w:type="pct"/>
                  <w:vMerge w:val="continue"/>
                  <w:tcBorders>
                    <w:right w:val="single" w:color="auto" w:sz="4" w:space="0"/>
                  </w:tcBorders>
                  <w:noWrap w:val="0"/>
                  <w:vAlign w:val="center"/>
                </w:tcPr>
                <w:p w14:paraId="63E3C932">
                  <w:pPr>
                    <w:keepNext w:val="0"/>
                    <w:keepLines w:val="0"/>
                    <w:suppressLineNumbers w:val="0"/>
                    <w:spacing w:before="0" w:beforeAutospacing="0" w:after="0" w:afterAutospacing="0"/>
                    <w:ind w:left="0" w:right="0"/>
                    <w:jc w:val="center"/>
                    <w:rPr>
                      <w:rFonts w:hint="default"/>
                      <w:color w:val="auto"/>
                      <w:kern w:val="2"/>
                      <w:sz w:val="21"/>
                      <w:szCs w:val="21"/>
                      <w:highlight w:val="none"/>
                      <w:lang w:val="en-US" w:eastAsia="zh-CN" w:bidi="ar"/>
                    </w:rPr>
                  </w:pPr>
                </w:p>
              </w:tc>
            </w:tr>
            <w:tr w14:paraId="5AB6B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472" w:type="pct"/>
                  <w:vMerge w:val="restart"/>
                  <w:tcBorders>
                    <w:left w:val="single" w:color="auto" w:sz="4" w:space="0"/>
                  </w:tcBorders>
                  <w:noWrap w:val="0"/>
                  <w:vAlign w:val="center"/>
                </w:tcPr>
                <w:p w14:paraId="74395503">
                  <w:pPr>
                    <w:keepNext w:val="0"/>
                    <w:keepLines w:val="0"/>
                    <w:suppressLineNumbers w:val="0"/>
                    <w:spacing w:before="0" w:beforeAutospacing="0" w:after="0" w:afterAutospacing="0"/>
                    <w:ind w:left="0" w:right="0"/>
                    <w:jc w:val="center"/>
                    <w:rPr>
                      <w:rFonts w:hint="default" w:eastAsia="宋体"/>
                      <w:color w:val="auto"/>
                      <w:highlight w:val="none"/>
                      <w:lang w:val="en-US" w:eastAsia="zh-CN"/>
                    </w:rPr>
                  </w:pPr>
                  <w:bookmarkStart w:id="7" w:name="OLE_LINK10"/>
                  <w:bookmarkStart w:id="8" w:name="OLE_LINK8" w:colFirst="3" w:colLast="5"/>
                  <w:bookmarkStart w:id="9" w:name="OLE_LINK12" w:colFirst="0" w:colLast="0"/>
                  <w:bookmarkStart w:id="10" w:name="OLE_LINK15" w:colFirst="2" w:colLast="2"/>
                  <w:r>
                    <w:rPr>
                      <w:rFonts w:hint="eastAsia"/>
                      <w:color w:val="auto"/>
                      <w:highlight w:val="none"/>
                    </w:rPr>
                    <w:t>202</w:t>
                  </w:r>
                  <w:r>
                    <w:rPr>
                      <w:rFonts w:hint="eastAsia"/>
                      <w:color w:val="auto"/>
                      <w:highlight w:val="none"/>
                      <w:lang w:val="en-US" w:eastAsia="zh-CN"/>
                    </w:rPr>
                    <w:t>4.08.3</w:t>
                  </w:r>
                  <w:bookmarkEnd w:id="7"/>
                  <w:r>
                    <w:rPr>
                      <w:rFonts w:hint="eastAsia"/>
                      <w:color w:val="auto"/>
                      <w:highlight w:val="none"/>
                      <w:lang w:val="en-US" w:eastAsia="zh-CN"/>
                    </w:rPr>
                    <w:t>0</w:t>
                  </w:r>
                </w:p>
              </w:tc>
              <w:tc>
                <w:tcPr>
                  <w:tcW w:w="755" w:type="pct"/>
                  <w:noWrap w:val="0"/>
                  <w:vAlign w:val="center"/>
                </w:tcPr>
                <w:p w14:paraId="48C74EAB">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2</w:t>
                  </w:r>
                  <w:r>
                    <w:rPr>
                      <w:rFonts w:hint="default"/>
                      <w:bCs/>
                      <w:color w:val="auto"/>
                      <w:highlight w:val="none"/>
                    </w:rPr>
                    <w:t>:00-0</w:t>
                  </w:r>
                  <w:r>
                    <w:rPr>
                      <w:rFonts w:hint="eastAsia"/>
                      <w:bCs/>
                      <w:color w:val="auto"/>
                      <w:highlight w:val="none"/>
                    </w:rPr>
                    <w:t>3</w:t>
                  </w:r>
                  <w:r>
                    <w:rPr>
                      <w:rFonts w:hint="default"/>
                      <w:bCs/>
                      <w:color w:val="auto"/>
                      <w:highlight w:val="none"/>
                    </w:rPr>
                    <w:t>:00</w:t>
                  </w:r>
                </w:p>
              </w:tc>
              <w:tc>
                <w:tcPr>
                  <w:tcW w:w="670" w:type="pct"/>
                  <w:noWrap w:val="0"/>
                  <w:vAlign w:val="center"/>
                </w:tcPr>
                <w:p w14:paraId="00674CC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0.37</w:t>
                  </w:r>
                </w:p>
              </w:tc>
              <w:tc>
                <w:tcPr>
                  <w:tcW w:w="670" w:type="pct"/>
                  <w:noWrap w:val="0"/>
                  <w:vAlign w:val="center"/>
                </w:tcPr>
                <w:p w14:paraId="488E8D61">
                  <w:pPr>
                    <w:keepNext w:val="0"/>
                    <w:keepLines w:val="0"/>
                    <w:suppressLineNumbers w:val="0"/>
                    <w:spacing w:before="0" w:beforeAutospacing="0" w:after="0" w:afterAutospacing="0"/>
                    <w:ind w:left="0" w:right="0"/>
                    <w:jc w:val="center"/>
                    <w:rPr>
                      <w:rFonts w:hint="eastAsia"/>
                      <w:color w:val="auto"/>
                      <w:kern w:val="2"/>
                      <w:sz w:val="21"/>
                      <w:szCs w:val="21"/>
                      <w:highlight w:val="none"/>
                      <w:lang w:val="en-US" w:eastAsia="zh-CN" w:bidi="ar"/>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2BD2F26B">
                  <w:pPr>
                    <w:keepNext w:val="0"/>
                    <w:keepLines w:val="0"/>
                    <w:suppressLineNumbers w:val="0"/>
                    <w:spacing w:before="0" w:beforeAutospacing="0" w:after="0" w:afterAutospacing="0"/>
                    <w:ind w:left="0" w:right="0"/>
                    <w:jc w:val="center"/>
                    <w:rPr>
                      <w:rFonts w:hint="eastAsia"/>
                      <w:color w:val="auto"/>
                      <w:kern w:val="2"/>
                      <w:sz w:val="21"/>
                      <w:szCs w:val="21"/>
                      <w:highlight w:val="none"/>
                      <w:lang w:val="en-US" w:eastAsia="zh-CN" w:bidi="ar"/>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7755341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restart"/>
                  <w:tcBorders>
                    <w:right w:val="single" w:color="auto" w:sz="4" w:space="0"/>
                  </w:tcBorders>
                  <w:noWrap w:val="0"/>
                  <w:vAlign w:val="center"/>
                </w:tcPr>
                <w:p w14:paraId="4BD827EC">
                  <w:pPr>
                    <w:keepNext w:val="0"/>
                    <w:keepLines w:val="0"/>
                    <w:suppressLineNumbers w:val="0"/>
                    <w:spacing w:before="0" w:beforeAutospacing="0" w:after="0" w:afterAutospacing="0"/>
                    <w:ind w:left="0" w:right="0"/>
                    <w:jc w:val="center"/>
                    <w:rPr>
                      <w:rFonts w:hint="eastAsia"/>
                      <w:color w:val="auto"/>
                      <w:highlight w:val="none"/>
                      <w:vertAlign w:val="superscript"/>
                    </w:rPr>
                  </w:pPr>
                  <w:r>
                    <w:rPr>
                      <w:rFonts w:hint="eastAsia" w:ascii="Times New Roman" w:hAnsi="Times New Roman" w:eastAsia="宋体" w:cs="Times New Roman"/>
                      <w:color w:val="auto"/>
                      <w:szCs w:val="21"/>
                      <w:highlight w:val="none"/>
                      <w:lang w:bidi="ar"/>
                    </w:rPr>
                    <w:t>非甲烷总烃</w:t>
                  </w:r>
                  <w:r>
                    <w:rPr>
                      <w:rFonts w:hint="eastAsia" w:ascii="Times New Roman" w:hAnsi="Times New Roman" w:eastAsia="宋体" w:cs="Times New Roman"/>
                      <w:color w:val="auto"/>
                      <w:szCs w:val="21"/>
                      <w:highlight w:val="none"/>
                      <w:lang w:eastAsia="zh-CN" w:bidi="ar"/>
                    </w:rPr>
                    <w:t>：</w:t>
                  </w:r>
                  <w:r>
                    <w:rPr>
                      <w:rFonts w:hint="eastAsia" w:ascii="Times New Roman" w:hAnsi="Times New Roman" w:eastAsia="宋体" w:cs="Times New Roman"/>
                      <w:color w:val="auto"/>
                      <w:szCs w:val="21"/>
                      <w:highlight w:val="none"/>
                      <w:lang w:val="en-US" w:eastAsia="zh-CN" w:bidi="ar"/>
                    </w:rPr>
                    <w:t>2.0</w:t>
                  </w:r>
                  <w:r>
                    <w:rPr>
                      <w:rFonts w:hint="eastAsia" w:ascii="Times New Roman" w:hAnsi="Times New Roman" w:eastAsia="宋体" w:cs="Times New Roman"/>
                      <w:color w:val="auto"/>
                      <w:szCs w:val="21"/>
                      <w:highlight w:val="none"/>
                      <w:lang w:bidi="ar"/>
                    </w:rPr>
                    <w:t>mg/m</w:t>
                  </w:r>
                  <w:r>
                    <w:rPr>
                      <w:rFonts w:hint="eastAsia"/>
                      <w:color w:val="auto"/>
                      <w:highlight w:val="none"/>
                      <w:vertAlign w:val="superscript"/>
                    </w:rPr>
                    <w:t>3</w:t>
                  </w:r>
                </w:p>
                <w:p w14:paraId="7235F82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苯：0.11</w:t>
                  </w:r>
                  <w:r>
                    <w:rPr>
                      <w:rFonts w:hint="eastAsia" w:ascii="Times New Roman" w:hAnsi="Times New Roman" w:eastAsia="宋体" w:cs="Times New Roman"/>
                      <w:color w:val="auto"/>
                      <w:szCs w:val="21"/>
                      <w:highlight w:val="none"/>
                    </w:rPr>
                    <w:t>mg/m</w:t>
                  </w:r>
                  <w:r>
                    <w:rPr>
                      <w:rFonts w:hint="eastAsia" w:ascii="Times New Roman" w:hAnsi="Times New Roman" w:eastAsia="宋体" w:cs="Times New Roman"/>
                      <w:color w:val="auto"/>
                      <w:szCs w:val="21"/>
                      <w:highlight w:val="none"/>
                      <w:vertAlign w:val="superscript"/>
                    </w:rPr>
                    <w:t>3</w:t>
                  </w:r>
                </w:p>
                <w:p w14:paraId="637C1F6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甲苯：0.2</w:t>
                  </w:r>
                  <w:r>
                    <w:rPr>
                      <w:rFonts w:hint="eastAsia" w:ascii="Times New Roman" w:hAnsi="Times New Roman" w:eastAsia="宋体" w:cs="Times New Roman"/>
                      <w:color w:val="auto"/>
                      <w:szCs w:val="21"/>
                      <w:highlight w:val="none"/>
                    </w:rPr>
                    <w:t>mg/m</w:t>
                  </w:r>
                  <w:r>
                    <w:rPr>
                      <w:rFonts w:hint="eastAsia" w:ascii="Times New Roman" w:hAnsi="Times New Roman" w:eastAsia="宋体" w:cs="Times New Roman"/>
                      <w:color w:val="auto"/>
                      <w:szCs w:val="21"/>
                      <w:highlight w:val="none"/>
                      <w:vertAlign w:val="superscript"/>
                    </w:rPr>
                    <w:t>3</w:t>
                  </w:r>
                </w:p>
                <w:p w14:paraId="3D6A4E21">
                  <w:pPr>
                    <w:keepNext w:val="0"/>
                    <w:keepLines w:val="0"/>
                    <w:suppressLineNumbers w:val="0"/>
                    <w:spacing w:before="0" w:beforeAutospacing="0" w:after="0" w:afterAutospacing="0"/>
                    <w:ind w:left="0" w:right="0"/>
                    <w:jc w:val="center"/>
                    <w:rPr>
                      <w:rFonts w:hint="default" w:eastAsia="宋体"/>
                      <w:color w:val="auto"/>
                      <w:highlight w:val="none"/>
                      <w:vertAlign w:val="superscript"/>
                      <w:lang w:val="en-US" w:eastAsia="zh-CN"/>
                    </w:rPr>
                  </w:pPr>
                  <w:r>
                    <w:rPr>
                      <w:rFonts w:hint="eastAsia" w:ascii="Times New Roman" w:hAnsi="Times New Roman" w:eastAsia="宋体" w:cs="Times New Roman"/>
                      <w:color w:val="auto"/>
                      <w:szCs w:val="21"/>
                      <w:highlight w:val="none"/>
                      <w:lang w:val="en-US" w:eastAsia="zh-CN"/>
                    </w:rPr>
                    <w:t>二甲苯：0.2</w:t>
                  </w:r>
                  <w:r>
                    <w:rPr>
                      <w:rFonts w:hint="eastAsia" w:ascii="Times New Roman" w:hAnsi="Times New Roman" w:eastAsia="宋体" w:cs="Times New Roman"/>
                      <w:color w:val="auto"/>
                      <w:szCs w:val="21"/>
                      <w:highlight w:val="none"/>
                    </w:rPr>
                    <w:t>mg/m</w:t>
                  </w:r>
                  <w:r>
                    <w:rPr>
                      <w:rFonts w:hint="eastAsia" w:ascii="Times New Roman" w:hAnsi="Times New Roman" w:eastAsia="宋体" w:cs="Times New Roman"/>
                      <w:color w:val="auto"/>
                      <w:szCs w:val="21"/>
                      <w:highlight w:val="none"/>
                      <w:vertAlign w:val="superscript"/>
                    </w:rPr>
                    <w:t>3</w:t>
                  </w:r>
                </w:p>
              </w:tc>
            </w:tr>
            <w:bookmarkEnd w:id="8"/>
            <w:tr w14:paraId="0A02AF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714D836D">
                  <w:pPr>
                    <w:keepNext w:val="0"/>
                    <w:keepLines w:val="0"/>
                    <w:suppressLineNumbers w:val="0"/>
                    <w:spacing w:before="0" w:beforeAutospacing="0" w:after="0" w:afterAutospacing="0"/>
                    <w:ind w:left="0" w:right="0"/>
                    <w:jc w:val="center"/>
                    <w:rPr>
                      <w:rFonts w:hint="default"/>
                      <w:color w:val="auto"/>
                      <w:highlight w:val="none"/>
                    </w:rPr>
                  </w:pPr>
                  <w:bookmarkStart w:id="11" w:name="OLE_LINK9" w:colFirst="3" w:colLast="5"/>
                </w:p>
              </w:tc>
              <w:tc>
                <w:tcPr>
                  <w:tcW w:w="755" w:type="pct"/>
                  <w:noWrap w:val="0"/>
                  <w:vAlign w:val="center"/>
                </w:tcPr>
                <w:p w14:paraId="33736867">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8</w:t>
                  </w:r>
                  <w:r>
                    <w:rPr>
                      <w:rFonts w:hint="default"/>
                      <w:bCs/>
                      <w:color w:val="auto"/>
                      <w:highlight w:val="none"/>
                    </w:rPr>
                    <w:t>:00-</w:t>
                  </w:r>
                  <w:r>
                    <w:rPr>
                      <w:rFonts w:hint="eastAsia"/>
                      <w:bCs/>
                      <w:color w:val="auto"/>
                      <w:highlight w:val="none"/>
                    </w:rPr>
                    <w:t>09</w:t>
                  </w:r>
                  <w:r>
                    <w:rPr>
                      <w:rFonts w:hint="default"/>
                      <w:bCs/>
                      <w:color w:val="auto"/>
                      <w:highlight w:val="none"/>
                    </w:rPr>
                    <w:t>:00</w:t>
                  </w:r>
                </w:p>
              </w:tc>
              <w:tc>
                <w:tcPr>
                  <w:tcW w:w="670" w:type="pct"/>
                  <w:noWrap w:val="0"/>
                  <w:vAlign w:val="center"/>
                </w:tcPr>
                <w:p w14:paraId="78098C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0.38</w:t>
                  </w:r>
                </w:p>
              </w:tc>
              <w:tc>
                <w:tcPr>
                  <w:tcW w:w="670" w:type="pct"/>
                  <w:noWrap w:val="0"/>
                  <w:vAlign w:val="center"/>
                </w:tcPr>
                <w:p w14:paraId="509C73A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64B02EF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0BF36DE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224D7DF6">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335ED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587B466F">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3D7E0A56">
                  <w:pPr>
                    <w:keepNext w:val="0"/>
                    <w:keepLines w:val="0"/>
                    <w:suppressLineNumbers w:val="0"/>
                    <w:spacing w:before="0" w:beforeAutospacing="0" w:after="0" w:afterAutospacing="0"/>
                    <w:ind w:left="0" w:right="0"/>
                    <w:jc w:val="center"/>
                    <w:rPr>
                      <w:rFonts w:hint="default"/>
                      <w:bCs/>
                      <w:color w:val="auto"/>
                      <w:highlight w:val="none"/>
                    </w:rPr>
                  </w:pPr>
                  <w:r>
                    <w:rPr>
                      <w:rFonts w:hint="default"/>
                      <w:color w:val="auto"/>
                      <w:szCs w:val="21"/>
                      <w:highlight w:val="none"/>
                    </w:rPr>
                    <w:t>1</w:t>
                  </w:r>
                  <w:r>
                    <w:rPr>
                      <w:rFonts w:hint="eastAsia"/>
                      <w:color w:val="auto"/>
                      <w:szCs w:val="21"/>
                      <w:highlight w:val="none"/>
                    </w:rPr>
                    <w:t>4</w:t>
                  </w:r>
                  <w:r>
                    <w:rPr>
                      <w:rFonts w:hint="default"/>
                      <w:color w:val="auto"/>
                      <w:szCs w:val="21"/>
                      <w:highlight w:val="none"/>
                    </w:rPr>
                    <w:t>:00-1</w:t>
                  </w:r>
                  <w:r>
                    <w:rPr>
                      <w:rFonts w:hint="eastAsia"/>
                      <w:color w:val="auto"/>
                      <w:szCs w:val="21"/>
                      <w:highlight w:val="none"/>
                    </w:rPr>
                    <w:t>5</w:t>
                  </w:r>
                  <w:r>
                    <w:rPr>
                      <w:rFonts w:hint="default"/>
                      <w:color w:val="auto"/>
                      <w:szCs w:val="21"/>
                      <w:highlight w:val="none"/>
                    </w:rPr>
                    <w:t>:00</w:t>
                  </w:r>
                </w:p>
              </w:tc>
              <w:tc>
                <w:tcPr>
                  <w:tcW w:w="670" w:type="pct"/>
                  <w:noWrap w:val="0"/>
                  <w:vAlign w:val="center"/>
                </w:tcPr>
                <w:p w14:paraId="45F923D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0.25</w:t>
                  </w:r>
                </w:p>
              </w:tc>
              <w:tc>
                <w:tcPr>
                  <w:tcW w:w="670" w:type="pct"/>
                  <w:noWrap w:val="0"/>
                  <w:vAlign w:val="center"/>
                </w:tcPr>
                <w:p w14:paraId="4CCEAF8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7CA792A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4CA9298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6F4FD33B">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21389E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72" w:type="pct"/>
                  <w:vMerge w:val="continue"/>
                  <w:tcBorders>
                    <w:left w:val="single" w:color="auto" w:sz="4" w:space="0"/>
                  </w:tcBorders>
                  <w:noWrap w:val="0"/>
                  <w:vAlign w:val="center"/>
                </w:tcPr>
                <w:p w14:paraId="09268339">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47BD4392">
                  <w:pPr>
                    <w:keepNext w:val="0"/>
                    <w:keepLines w:val="0"/>
                    <w:suppressLineNumbers w:val="0"/>
                    <w:spacing w:before="0" w:beforeAutospacing="0" w:after="0" w:afterAutospacing="0"/>
                    <w:ind w:left="0" w:right="0"/>
                    <w:jc w:val="center"/>
                    <w:rPr>
                      <w:rFonts w:hint="default"/>
                      <w:bCs/>
                      <w:color w:val="auto"/>
                      <w:highlight w:val="none"/>
                    </w:rPr>
                  </w:pPr>
                  <w:r>
                    <w:rPr>
                      <w:rFonts w:hint="eastAsia"/>
                      <w:bCs/>
                      <w:color w:val="auto"/>
                      <w:highlight w:val="none"/>
                    </w:rPr>
                    <w:t>20:00-21:00</w:t>
                  </w:r>
                </w:p>
              </w:tc>
              <w:tc>
                <w:tcPr>
                  <w:tcW w:w="670" w:type="pct"/>
                  <w:noWrap w:val="0"/>
                  <w:vAlign w:val="center"/>
                </w:tcPr>
                <w:p w14:paraId="50B9FCB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0.14</w:t>
                  </w:r>
                </w:p>
              </w:tc>
              <w:tc>
                <w:tcPr>
                  <w:tcW w:w="670" w:type="pct"/>
                  <w:noWrap w:val="0"/>
                  <w:vAlign w:val="center"/>
                </w:tcPr>
                <w:p w14:paraId="3789D4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4DEA62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2ABD206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14202498">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5F7AB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472" w:type="pct"/>
                  <w:vMerge w:val="restart"/>
                  <w:tcBorders>
                    <w:left w:val="single" w:color="auto" w:sz="4" w:space="0"/>
                  </w:tcBorders>
                  <w:noWrap w:val="0"/>
                  <w:vAlign w:val="center"/>
                </w:tcPr>
                <w:p w14:paraId="06A31F39">
                  <w:pPr>
                    <w:keepNext w:val="0"/>
                    <w:keepLines w:val="0"/>
                    <w:suppressLineNumbers w:val="0"/>
                    <w:spacing w:before="0" w:beforeAutospacing="0" w:after="0" w:afterAutospacing="0"/>
                    <w:ind w:left="0" w:right="0"/>
                    <w:jc w:val="center"/>
                    <w:rPr>
                      <w:rFonts w:hint="default"/>
                      <w:color w:val="auto"/>
                      <w:highlight w:val="none"/>
                      <w:lang w:val="en-US"/>
                    </w:rPr>
                  </w:pPr>
                  <w:r>
                    <w:rPr>
                      <w:rFonts w:hint="eastAsia"/>
                      <w:color w:val="auto"/>
                      <w:highlight w:val="none"/>
                    </w:rPr>
                    <w:t>202</w:t>
                  </w:r>
                  <w:r>
                    <w:rPr>
                      <w:rFonts w:hint="eastAsia"/>
                      <w:color w:val="auto"/>
                      <w:highlight w:val="none"/>
                      <w:lang w:val="en-US" w:eastAsia="zh-CN"/>
                    </w:rPr>
                    <w:t>4.08.31</w:t>
                  </w:r>
                </w:p>
              </w:tc>
              <w:tc>
                <w:tcPr>
                  <w:tcW w:w="755" w:type="pct"/>
                  <w:noWrap w:val="0"/>
                  <w:vAlign w:val="center"/>
                </w:tcPr>
                <w:p w14:paraId="1D394968">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2</w:t>
                  </w:r>
                  <w:r>
                    <w:rPr>
                      <w:rFonts w:hint="default"/>
                      <w:bCs/>
                      <w:color w:val="auto"/>
                      <w:highlight w:val="none"/>
                    </w:rPr>
                    <w:t>:00-0</w:t>
                  </w:r>
                  <w:r>
                    <w:rPr>
                      <w:rFonts w:hint="eastAsia"/>
                      <w:bCs/>
                      <w:color w:val="auto"/>
                      <w:highlight w:val="none"/>
                    </w:rPr>
                    <w:t>3</w:t>
                  </w:r>
                  <w:r>
                    <w:rPr>
                      <w:rFonts w:hint="default"/>
                      <w:bCs/>
                      <w:color w:val="auto"/>
                      <w:highlight w:val="none"/>
                    </w:rPr>
                    <w:t>:00</w:t>
                  </w:r>
                </w:p>
              </w:tc>
              <w:tc>
                <w:tcPr>
                  <w:tcW w:w="670" w:type="pct"/>
                  <w:noWrap w:val="0"/>
                  <w:vAlign w:val="center"/>
                </w:tcPr>
                <w:p w14:paraId="4A773FF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0.39</w:t>
                  </w:r>
                </w:p>
              </w:tc>
              <w:tc>
                <w:tcPr>
                  <w:tcW w:w="670" w:type="pct"/>
                  <w:noWrap w:val="0"/>
                  <w:vAlign w:val="center"/>
                </w:tcPr>
                <w:p w14:paraId="20B389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2777376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20635AE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07E515A0">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62FF8B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38C5FD5C">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5E23EF0A">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8</w:t>
                  </w:r>
                  <w:r>
                    <w:rPr>
                      <w:rFonts w:hint="default"/>
                      <w:bCs/>
                      <w:color w:val="auto"/>
                      <w:highlight w:val="none"/>
                    </w:rPr>
                    <w:t>:00-</w:t>
                  </w:r>
                  <w:r>
                    <w:rPr>
                      <w:rFonts w:hint="eastAsia"/>
                      <w:bCs/>
                      <w:color w:val="auto"/>
                      <w:highlight w:val="none"/>
                    </w:rPr>
                    <w:t>09</w:t>
                  </w:r>
                  <w:r>
                    <w:rPr>
                      <w:rFonts w:hint="default"/>
                      <w:bCs/>
                      <w:color w:val="auto"/>
                      <w:highlight w:val="none"/>
                    </w:rPr>
                    <w:t>:00</w:t>
                  </w:r>
                </w:p>
              </w:tc>
              <w:tc>
                <w:tcPr>
                  <w:tcW w:w="670" w:type="pct"/>
                  <w:noWrap w:val="0"/>
                  <w:vAlign w:val="center"/>
                </w:tcPr>
                <w:p w14:paraId="464D7EF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0.35</w:t>
                  </w:r>
                </w:p>
              </w:tc>
              <w:tc>
                <w:tcPr>
                  <w:tcW w:w="670" w:type="pct"/>
                  <w:noWrap w:val="0"/>
                  <w:vAlign w:val="center"/>
                </w:tcPr>
                <w:p w14:paraId="2E4E1DC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6A1AB92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13C4B77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4D6CD04C">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7553E4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3A3727FB">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60FE0DFA">
                  <w:pPr>
                    <w:keepNext w:val="0"/>
                    <w:keepLines w:val="0"/>
                    <w:suppressLineNumbers w:val="0"/>
                    <w:spacing w:before="0" w:beforeAutospacing="0" w:after="0" w:afterAutospacing="0"/>
                    <w:ind w:left="0" w:right="0"/>
                    <w:jc w:val="center"/>
                    <w:rPr>
                      <w:rFonts w:hint="default"/>
                      <w:bCs/>
                      <w:color w:val="auto"/>
                      <w:highlight w:val="none"/>
                    </w:rPr>
                  </w:pPr>
                  <w:r>
                    <w:rPr>
                      <w:rFonts w:hint="default"/>
                      <w:color w:val="auto"/>
                      <w:szCs w:val="21"/>
                      <w:highlight w:val="none"/>
                    </w:rPr>
                    <w:t>1</w:t>
                  </w:r>
                  <w:r>
                    <w:rPr>
                      <w:rFonts w:hint="eastAsia"/>
                      <w:color w:val="auto"/>
                      <w:szCs w:val="21"/>
                      <w:highlight w:val="none"/>
                    </w:rPr>
                    <w:t>4</w:t>
                  </w:r>
                  <w:r>
                    <w:rPr>
                      <w:rFonts w:hint="default"/>
                      <w:color w:val="auto"/>
                      <w:szCs w:val="21"/>
                      <w:highlight w:val="none"/>
                    </w:rPr>
                    <w:t>:00-1</w:t>
                  </w:r>
                  <w:r>
                    <w:rPr>
                      <w:rFonts w:hint="eastAsia"/>
                      <w:color w:val="auto"/>
                      <w:szCs w:val="21"/>
                      <w:highlight w:val="none"/>
                    </w:rPr>
                    <w:t>5</w:t>
                  </w:r>
                  <w:r>
                    <w:rPr>
                      <w:rFonts w:hint="default"/>
                      <w:color w:val="auto"/>
                      <w:szCs w:val="21"/>
                      <w:highlight w:val="none"/>
                    </w:rPr>
                    <w:t>:00</w:t>
                  </w:r>
                </w:p>
              </w:tc>
              <w:tc>
                <w:tcPr>
                  <w:tcW w:w="670" w:type="pct"/>
                  <w:noWrap w:val="0"/>
                  <w:vAlign w:val="center"/>
                </w:tcPr>
                <w:p w14:paraId="1620D95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0.16</w:t>
                  </w:r>
                </w:p>
              </w:tc>
              <w:tc>
                <w:tcPr>
                  <w:tcW w:w="670" w:type="pct"/>
                  <w:noWrap w:val="0"/>
                  <w:vAlign w:val="center"/>
                </w:tcPr>
                <w:p w14:paraId="04C6A83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040D3F7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5C7EC9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57D92742">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72CB8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472" w:type="pct"/>
                  <w:vMerge w:val="continue"/>
                  <w:tcBorders>
                    <w:left w:val="single" w:color="auto" w:sz="4" w:space="0"/>
                  </w:tcBorders>
                  <w:noWrap w:val="0"/>
                  <w:vAlign w:val="center"/>
                </w:tcPr>
                <w:p w14:paraId="565A509C">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24A01845">
                  <w:pPr>
                    <w:keepNext w:val="0"/>
                    <w:keepLines w:val="0"/>
                    <w:suppressLineNumbers w:val="0"/>
                    <w:spacing w:before="0" w:beforeAutospacing="0" w:after="0" w:afterAutospacing="0"/>
                    <w:ind w:left="0" w:right="0"/>
                    <w:jc w:val="center"/>
                    <w:rPr>
                      <w:rFonts w:hint="default"/>
                      <w:bCs/>
                      <w:color w:val="auto"/>
                      <w:highlight w:val="none"/>
                    </w:rPr>
                  </w:pPr>
                  <w:r>
                    <w:rPr>
                      <w:rFonts w:hint="eastAsia"/>
                      <w:bCs/>
                      <w:color w:val="auto"/>
                      <w:highlight w:val="none"/>
                    </w:rPr>
                    <w:t>20:00-21:00</w:t>
                  </w:r>
                </w:p>
              </w:tc>
              <w:tc>
                <w:tcPr>
                  <w:tcW w:w="670" w:type="pct"/>
                  <w:noWrap w:val="0"/>
                  <w:vAlign w:val="center"/>
                </w:tcPr>
                <w:p w14:paraId="45A924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0.31</w:t>
                  </w:r>
                </w:p>
              </w:tc>
              <w:tc>
                <w:tcPr>
                  <w:tcW w:w="670" w:type="pct"/>
                  <w:noWrap w:val="0"/>
                  <w:vAlign w:val="center"/>
                </w:tcPr>
                <w:p w14:paraId="01162B1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22673A5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45CB4F2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5A0DE33D">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1944A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restart"/>
                  <w:tcBorders>
                    <w:left w:val="single" w:color="auto" w:sz="4" w:space="0"/>
                  </w:tcBorders>
                  <w:noWrap w:val="0"/>
                  <w:vAlign w:val="center"/>
                </w:tcPr>
                <w:p w14:paraId="7178312E">
                  <w:pPr>
                    <w:keepNext w:val="0"/>
                    <w:keepLines w:val="0"/>
                    <w:suppressLineNumbers w:val="0"/>
                    <w:spacing w:before="0" w:beforeAutospacing="0" w:after="0" w:afterAutospacing="0"/>
                    <w:ind w:left="0" w:right="0"/>
                    <w:jc w:val="center"/>
                    <w:rPr>
                      <w:rFonts w:hint="default"/>
                      <w:color w:val="auto"/>
                      <w:highlight w:val="none"/>
                      <w:lang w:val="en-US"/>
                    </w:rPr>
                  </w:pPr>
                  <w:r>
                    <w:rPr>
                      <w:rFonts w:hint="eastAsia"/>
                      <w:color w:val="auto"/>
                      <w:highlight w:val="none"/>
                    </w:rPr>
                    <w:t>202</w:t>
                  </w:r>
                  <w:r>
                    <w:rPr>
                      <w:rFonts w:hint="eastAsia"/>
                      <w:color w:val="auto"/>
                      <w:highlight w:val="none"/>
                      <w:lang w:val="en-US" w:eastAsia="zh-CN"/>
                    </w:rPr>
                    <w:t>4.09.01</w:t>
                  </w:r>
                </w:p>
              </w:tc>
              <w:tc>
                <w:tcPr>
                  <w:tcW w:w="755" w:type="pct"/>
                  <w:noWrap w:val="0"/>
                  <w:vAlign w:val="center"/>
                </w:tcPr>
                <w:p w14:paraId="08654EFF">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2</w:t>
                  </w:r>
                  <w:r>
                    <w:rPr>
                      <w:rFonts w:hint="default"/>
                      <w:bCs/>
                      <w:color w:val="auto"/>
                      <w:highlight w:val="none"/>
                    </w:rPr>
                    <w:t>:00-0</w:t>
                  </w:r>
                  <w:r>
                    <w:rPr>
                      <w:rFonts w:hint="eastAsia"/>
                      <w:bCs/>
                      <w:color w:val="auto"/>
                      <w:highlight w:val="none"/>
                    </w:rPr>
                    <w:t>3</w:t>
                  </w:r>
                  <w:r>
                    <w:rPr>
                      <w:rFonts w:hint="default"/>
                      <w:bCs/>
                      <w:color w:val="auto"/>
                      <w:highlight w:val="none"/>
                    </w:rPr>
                    <w:t>:00</w:t>
                  </w:r>
                </w:p>
              </w:tc>
              <w:tc>
                <w:tcPr>
                  <w:tcW w:w="670" w:type="pct"/>
                  <w:noWrap w:val="0"/>
                  <w:vAlign w:val="center"/>
                </w:tcPr>
                <w:p w14:paraId="6DAA6C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0.16</w:t>
                  </w:r>
                </w:p>
              </w:tc>
              <w:tc>
                <w:tcPr>
                  <w:tcW w:w="670" w:type="pct"/>
                  <w:noWrap w:val="0"/>
                  <w:vAlign w:val="center"/>
                </w:tcPr>
                <w:p w14:paraId="69B361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3F53D07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5E51466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51E7A9B6">
                  <w:pPr>
                    <w:keepNext w:val="0"/>
                    <w:keepLines w:val="0"/>
                    <w:suppressLineNumbers w:val="0"/>
                    <w:spacing w:before="0" w:beforeAutospacing="0" w:after="0" w:afterAutospacing="0"/>
                    <w:ind w:left="0" w:right="0"/>
                    <w:jc w:val="center"/>
                    <w:rPr>
                      <w:rFonts w:hint="default"/>
                      <w:color w:val="auto"/>
                      <w:szCs w:val="21"/>
                      <w:highlight w:val="none"/>
                      <w:lang w:bidi="ar"/>
                    </w:rPr>
                  </w:pPr>
                </w:p>
              </w:tc>
            </w:tr>
            <w:bookmarkEnd w:id="9"/>
            <w:tr w14:paraId="29DC6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02C8C67A">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632A9054">
                  <w:pPr>
                    <w:keepNext w:val="0"/>
                    <w:keepLines w:val="0"/>
                    <w:suppressLineNumbers w:val="0"/>
                    <w:spacing w:before="0" w:beforeAutospacing="0" w:after="0" w:afterAutospacing="0"/>
                    <w:ind w:left="0" w:right="0"/>
                    <w:jc w:val="center"/>
                    <w:rPr>
                      <w:rFonts w:hint="default"/>
                      <w:bCs/>
                      <w:color w:val="auto"/>
                      <w:highlight w:val="none"/>
                    </w:rPr>
                  </w:pPr>
                  <w:r>
                    <w:rPr>
                      <w:rFonts w:hint="default"/>
                      <w:bCs/>
                      <w:color w:val="auto"/>
                      <w:highlight w:val="none"/>
                    </w:rPr>
                    <w:t>0</w:t>
                  </w:r>
                  <w:r>
                    <w:rPr>
                      <w:rFonts w:hint="eastAsia"/>
                      <w:bCs/>
                      <w:color w:val="auto"/>
                      <w:highlight w:val="none"/>
                    </w:rPr>
                    <w:t>8</w:t>
                  </w:r>
                  <w:r>
                    <w:rPr>
                      <w:rFonts w:hint="default"/>
                      <w:bCs/>
                      <w:color w:val="auto"/>
                      <w:highlight w:val="none"/>
                    </w:rPr>
                    <w:t>:00-</w:t>
                  </w:r>
                  <w:r>
                    <w:rPr>
                      <w:rFonts w:hint="eastAsia"/>
                      <w:bCs/>
                      <w:color w:val="auto"/>
                      <w:highlight w:val="none"/>
                    </w:rPr>
                    <w:t>09</w:t>
                  </w:r>
                  <w:r>
                    <w:rPr>
                      <w:rFonts w:hint="default"/>
                      <w:bCs/>
                      <w:color w:val="auto"/>
                      <w:highlight w:val="none"/>
                    </w:rPr>
                    <w:t>:00</w:t>
                  </w:r>
                </w:p>
              </w:tc>
              <w:tc>
                <w:tcPr>
                  <w:tcW w:w="670" w:type="pct"/>
                  <w:noWrap w:val="0"/>
                  <w:vAlign w:val="center"/>
                </w:tcPr>
                <w:p w14:paraId="2E47FB9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0.21</w:t>
                  </w:r>
                </w:p>
              </w:tc>
              <w:tc>
                <w:tcPr>
                  <w:tcW w:w="670" w:type="pct"/>
                  <w:noWrap w:val="0"/>
                  <w:vAlign w:val="center"/>
                </w:tcPr>
                <w:p w14:paraId="61AB88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54E52EA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7AA7408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4F29D959">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56A07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472" w:type="pct"/>
                  <w:vMerge w:val="continue"/>
                  <w:tcBorders>
                    <w:left w:val="single" w:color="auto" w:sz="4" w:space="0"/>
                  </w:tcBorders>
                  <w:noWrap w:val="0"/>
                  <w:vAlign w:val="center"/>
                </w:tcPr>
                <w:p w14:paraId="3A82DE85">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69F810CC">
                  <w:pPr>
                    <w:keepNext w:val="0"/>
                    <w:keepLines w:val="0"/>
                    <w:suppressLineNumbers w:val="0"/>
                    <w:spacing w:before="0" w:beforeAutospacing="0" w:after="0" w:afterAutospacing="0"/>
                    <w:ind w:left="0" w:right="0"/>
                    <w:jc w:val="center"/>
                    <w:rPr>
                      <w:rFonts w:hint="default"/>
                      <w:bCs/>
                      <w:color w:val="auto"/>
                      <w:highlight w:val="none"/>
                    </w:rPr>
                  </w:pPr>
                  <w:r>
                    <w:rPr>
                      <w:rFonts w:hint="default"/>
                      <w:color w:val="auto"/>
                      <w:szCs w:val="21"/>
                      <w:highlight w:val="none"/>
                    </w:rPr>
                    <w:t>1</w:t>
                  </w:r>
                  <w:r>
                    <w:rPr>
                      <w:rFonts w:hint="eastAsia"/>
                      <w:color w:val="auto"/>
                      <w:szCs w:val="21"/>
                      <w:highlight w:val="none"/>
                    </w:rPr>
                    <w:t>4</w:t>
                  </w:r>
                  <w:r>
                    <w:rPr>
                      <w:rFonts w:hint="default"/>
                      <w:color w:val="auto"/>
                      <w:szCs w:val="21"/>
                      <w:highlight w:val="none"/>
                    </w:rPr>
                    <w:t>:00-1</w:t>
                  </w:r>
                  <w:r>
                    <w:rPr>
                      <w:rFonts w:hint="eastAsia"/>
                      <w:color w:val="auto"/>
                      <w:szCs w:val="21"/>
                      <w:highlight w:val="none"/>
                    </w:rPr>
                    <w:t>5</w:t>
                  </w:r>
                  <w:r>
                    <w:rPr>
                      <w:rFonts w:hint="default"/>
                      <w:color w:val="auto"/>
                      <w:szCs w:val="21"/>
                      <w:highlight w:val="none"/>
                    </w:rPr>
                    <w:t>:00</w:t>
                  </w:r>
                </w:p>
              </w:tc>
              <w:tc>
                <w:tcPr>
                  <w:tcW w:w="670" w:type="pct"/>
                  <w:noWrap w:val="0"/>
                  <w:vAlign w:val="center"/>
                </w:tcPr>
                <w:p w14:paraId="125C474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0.18</w:t>
                  </w:r>
                </w:p>
              </w:tc>
              <w:tc>
                <w:tcPr>
                  <w:tcW w:w="670" w:type="pct"/>
                  <w:noWrap w:val="0"/>
                  <w:vAlign w:val="center"/>
                </w:tcPr>
                <w:p w14:paraId="027E59C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198D794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7F2738E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64389D5D">
                  <w:pPr>
                    <w:keepNext w:val="0"/>
                    <w:keepLines w:val="0"/>
                    <w:suppressLineNumbers w:val="0"/>
                    <w:spacing w:before="0" w:beforeAutospacing="0" w:after="0" w:afterAutospacing="0"/>
                    <w:ind w:left="0" w:right="0"/>
                    <w:jc w:val="center"/>
                    <w:rPr>
                      <w:rFonts w:hint="default"/>
                      <w:color w:val="auto"/>
                      <w:szCs w:val="21"/>
                      <w:highlight w:val="none"/>
                      <w:lang w:bidi="ar"/>
                    </w:rPr>
                  </w:pPr>
                </w:p>
              </w:tc>
            </w:tr>
            <w:tr w14:paraId="7F709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472" w:type="pct"/>
                  <w:vMerge w:val="continue"/>
                  <w:tcBorders>
                    <w:left w:val="single" w:color="auto" w:sz="4" w:space="0"/>
                  </w:tcBorders>
                  <w:noWrap w:val="0"/>
                  <w:vAlign w:val="center"/>
                </w:tcPr>
                <w:p w14:paraId="093C11E4">
                  <w:pPr>
                    <w:keepNext w:val="0"/>
                    <w:keepLines w:val="0"/>
                    <w:suppressLineNumbers w:val="0"/>
                    <w:spacing w:before="0" w:beforeAutospacing="0" w:after="0" w:afterAutospacing="0"/>
                    <w:ind w:left="0" w:right="0"/>
                    <w:jc w:val="center"/>
                    <w:rPr>
                      <w:rFonts w:hint="default"/>
                      <w:color w:val="auto"/>
                      <w:highlight w:val="none"/>
                    </w:rPr>
                  </w:pPr>
                </w:p>
              </w:tc>
              <w:tc>
                <w:tcPr>
                  <w:tcW w:w="755" w:type="pct"/>
                  <w:noWrap w:val="0"/>
                  <w:vAlign w:val="center"/>
                </w:tcPr>
                <w:p w14:paraId="5EAFE662">
                  <w:pPr>
                    <w:keepNext w:val="0"/>
                    <w:keepLines w:val="0"/>
                    <w:suppressLineNumbers w:val="0"/>
                    <w:spacing w:before="0" w:beforeAutospacing="0" w:after="0" w:afterAutospacing="0"/>
                    <w:ind w:left="0" w:right="0"/>
                    <w:jc w:val="center"/>
                    <w:rPr>
                      <w:rFonts w:hint="default"/>
                      <w:bCs/>
                      <w:color w:val="auto"/>
                      <w:highlight w:val="none"/>
                    </w:rPr>
                  </w:pPr>
                  <w:r>
                    <w:rPr>
                      <w:rFonts w:hint="eastAsia"/>
                      <w:bCs/>
                      <w:color w:val="auto"/>
                      <w:highlight w:val="none"/>
                    </w:rPr>
                    <w:t>20:00-21:00</w:t>
                  </w:r>
                </w:p>
              </w:tc>
              <w:tc>
                <w:tcPr>
                  <w:tcW w:w="670" w:type="pct"/>
                  <w:noWrap w:val="0"/>
                  <w:vAlign w:val="center"/>
                </w:tcPr>
                <w:p w14:paraId="0A6CB23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0.37</w:t>
                  </w:r>
                </w:p>
              </w:tc>
              <w:tc>
                <w:tcPr>
                  <w:tcW w:w="670" w:type="pct"/>
                  <w:noWrap w:val="0"/>
                  <w:vAlign w:val="center"/>
                </w:tcPr>
                <w:p w14:paraId="0D8460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0" w:type="pct"/>
                  <w:noWrap w:val="0"/>
                  <w:vAlign w:val="center"/>
                </w:tcPr>
                <w:p w14:paraId="5149D56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default"/>
                      <w:color w:val="auto"/>
                      <w:szCs w:val="21"/>
                      <w:highlight w:val="none"/>
                    </w:rPr>
                    <w:t>1.5×10</w:t>
                  </w:r>
                  <w:r>
                    <w:rPr>
                      <w:rFonts w:hint="default"/>
                      <w:color w:val="auto"/>
                      <w:szCs w:val="21"/>
                      <w:highlight w:val="none"/>
                      <w:vertAlign w:val="superscript"/>
                    </w:rPr>
                    <w:t xml:space="preserve">-3 </w:t>
                  </w:r>
                </w:p>
              </w:tc>
              <w:tc>
                <w:tcPr>
                  <w:tcW w:w="674" w:type="pct"/>
                  <w:noWrap w:val="0"/>
                  <w:vAlign w:val="center"/>
                </w:tcPr>
                <w:p w14:paraId="29F5442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rPr>
                    <w:t>&lt;</w:t>
                  </w:r>
                  <w:r>
                    <w:rPr>
                      <w:rFonts w:hint="eastAsia"/>
                      <w:color w:val="auto"/>
                      <w:szCs w:val="21"/>
                      <w:highlight w:val="none"/>
                      <w:lang w:val="en-US" w:eastAsia="zh-CN"/>
                    </w:rPr>
                    <w:t>4</w:t>
                  </w:r>
                  <w:r>
                    <w:rPr>
                      <w:rFonts w:hint="default"/>
                      <w:color w:val="auto"/>
                      <w:szCs w:val="21"/>
                      <w:highlight w:val="none"/>
                    </w:rPr>
                    <w:t>.5×10</w:t>
                  </w:r>
                  <w:r>
                    <w:rPr>
                      <w:rFonts w:hint="default"/>
                      <w:color w:val="auto"/>
                      <w:szCs w:val="21"/>
                      <w:highlight w:val="none"/>
                      <w:vertAlign w:val="superscript"/>
                    </w:rPr>
                    <w:t xml:space="preserve">-3 </w:t>
                  </w:r>
                </w:p>
              </w:tc>
              <w:tc>
                <w:tcPr>
                  <w:tcW w:w="1086" w:type="pct"/>
                  <w:vMerge w:val="continue"/>
                  <w:tcBorders>
                    <w:right w:val="single" w:color="auto" w:sz="4" w:space="0"/>
                  </w:tcBorders>
                  <w:noWrap w:val="0"/>
                  <w:vAlign w:val="center"/>
                </w:tcPr>
                <w:p w14:paraId="5DE05AA9">
                  <w:pPr>
                    <w:keepNext w:val="0"/>
                    <w:keepLines w:val="0"/>
                    <w:suppressLineNumbers w:val="0"/>
                    <w:spacing w:before="0" w:beforeAutospacing="0" w:after="0" w:afterAutospacing="0"/>
                    <w:ind w:left="0" w:right="0"/>
                    <w:jc w:val="center"/>
                    <w:rPr>
                      <w:rFonts w:hint="default"/>
                      <w:color w:val="auto"/>
                      <w:szCs w:val="21"/>
                      <w:highlight w:val="none"/>
                      <w:lang w:bidi="ar"/>
                    </w:rPr>
                  </w:pPr>
                </w:p>
              </w:tc>
            </w:tr>
            <w:bookmarkEnd w:id="10"/>
            <w:bookmarkEnd w:id="11"/>
            <w:tr w14:paraId="32F22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5000" w:type="pct"/>
                  <w:gridSpan w:val="7"/>
                  <w:tcBorders>
                    <w:left w:val="single" w:color="auto" w:sz="4" w:space="0"/>
                    <w:bottom w:val="single" w:color="auto" w:sz="4" w:space="0"/>
                    <w:right w:val="single" w:color="auto" w:sz="4" w:space="0"/>
                  </w:tcBorders>
                  <w:noWrap w:val="0"/>
                  <w:vAlign w:val="center"/>
                </w:tcPr>
                <w:p w14:paraId="5250A811">
                  <w:pPr>
                    <w:keepNext w:val="0"/>
                    <w:keepLines w:val="0"/>
                    <w:suppressLineNumbers w:val="0"/>
                    <w:spacing w:before="0" w:beforeAutospacing="0" w:after="0" w:afterAutospacing="0"/>
                    <w:ind w:left="0" w:right="0"/>
                    <w:jc w:val="left"/>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备注：1、</w:t>
                  </w:r>
                  <w:r>
                    <w:rPr>
                      <w:rFonts w:hint="eastAsia" w:ascii="Times New Roman" w:hAnsi="Times New Roman" w:eastAsia="宋体" w:cs="Times New Roman"/>
                      <w:bCs/>
                      <w:color w:val="auto"/>
                      <w:highlight w:val="none"/>
                    </w:rPr>
                    <w:t>非甲烷总烃执行《环境空气质量 非甲烷总烃限值》（DB 13/1577-2012）二级标准限值</w:t>
                  </w:r>
                  <w:r>
                    <w:rPr>
                      <w:rFonts w:hint="eastAsia" w:ascii="Times New Roman" w:hAnsi="Times New Roman" w:eastAsia="宋体" w:cs="Times New Roman"/>
                      <w:bCs/>
                      <w:color w:val="auto"/>
                      <w:highlight w:val="none"/>
                      <w:lang w:eastAsia="zh-CN"/>
                    </w:rPr>
                    <w:t>。</w:t>
                  </w:r>
                </w:p>
                <w:p w14:paraId="1DAF5884">
                  <w:pPr>
                    <w:keepNext w:val="0"/>
                    <w:keepLines w:val="0"/>
                    <w:suppressLineNumbers w:val="0"/>
                    <w:spacing w:before="0" w:beforeAutospacing="0" w:after="0" w:afterAutospacing="0"/>
                    <w:ind w:left="0" w:right="0"/>
                    <w:jc w:val="left"/>
                    <w:rPr>
                      <w:rFonts w:hint="eastAsia" w:eastAsia="宋体"/>
                      <w:color w:val="auto"/>
                      <w:szCs w:val="21"/>
                      <w:highlight w:val="none"/>
                      <w:lang w:val="en-US" w:eastAsia="zh-CN" w:bidi="ar"/>
                    </w:rPr>
                  </w:pPr>
                  <w:r>
                    <w:rPr>
                      <w:rFonts w:hint="eastAsia" w:ascii="Times New Roman" w:hAnsi="Times New Roman" w:eastAsia="宋体" w:cs="Times New Roman"/>
                      <w:bCs/>
                      <w:color w:val="auto"/>
                      <w:highlight w:val="none"/>
                      <w:lang w:val="en-US" w:eastAsia="zh-CN"/>
                    </w:rPr>
                    <w:t>2、</w:t>
                  </w:r>
                  <w:r>
                    <w:rPr>
                      <w:rFonts w:hint="eastAsia" w:ascii="Times New Roman" w:hAnsi="Times New Roman" w:cs="Times New Roman"/>
                      <w:color w:val="auto"/>
                      <w:szCs w:val="21"/>
                      <w:highlight w:val="none"/>
                      <w:lang w:val="en-US" w:eastAsia="zh-CN"/>
                    </w:rPr>
                    <w:t>苯、甲苯、二甲苯</w:t>
                  </w:r>
                  <w:r>
                    <w:rPr>
                      <w:rFonts w:hint="eastAsia" w:ascii="Times New Roman" w:hAnsi="Times New Roman" w:eastAsia="宋体" w:cs="Times New Roman"/>
                      <w:bCs/>
                      <w:color w:val="auto"/>
                      <w:highlight w:val="none"/>
                    </w:rPr>
                    <w:t>执行《环境影响评价技术导则-大气环境》 HJ 2.2-2018 附录D</w:t>
                  </w:r>
                  <w:r>
                    <w:rPr>
                      <w:rFonts w:hint="eastAsia" w:ascii="Times New Roman" w:hAnsi="Times New Roman" w:eastAsia="宋体" w:cs="Times New Roman"/>
                      <w:bCs/>
                      <w:color w:val="auto"/>
                      <w:highlight w:val="none"/>
                      <w:lang w:val="en-US" w:eastAsia="zh-CN"/>
                    </w:rPr>
                    <w:t>中限值。</w:t>
                  </w:r>
                </w:p>
              </w:tc>
            </w:tr>
          </w:tbl>
          <w:p w14:paraId="0FEC9CB1">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3-</w:t>
            </w:r>
            <w:r>
              <w:rPr>
                <w:rFonts w:hint="eastAsia" w:ascii="Times New Roman" w:hAnsi="Times New Roman" w:cs="Times New Roman"/>
                <w:b/>
                <w:bCs/>
                <w:color w:val="auto"/>
                <w:sz w:val="24"/>
                <w:szCs w:val="24"/>
                <w:highlight w:val="none"/>
                <w:lang w:val="en-US" w:eastAsia="zh-CN"/>
              </w:rPr>
              <w:t>5</w:t>
            </w:r>
            <w:r>
              <w:rPr>
                <w:rFonts w:hint="eastAsia" w:ascii="Times New Roman" w:hAnsi="Times New Roman" w:eastAsia="宋体" w:cs="Times New Roman"/>
                <w:b/>
                <w:bCs/>
                <w:color w:val="auto"/>
                <w:sz w:val="24"/>
                <w:szCs w:val="24"/>
                <w:highlight w:val="none"/>
                <w:lang w:val="en-US" w:eastAsia="zh-CN"/>
              </w:rPr>
              <w:t xml:space="preserve">  检测结果</w:t>
            </w:r>
            <w:r>
              <w:rPr>
                <w:rFonts w:hint="eastAsia" w:ascii="Times New Roman" w:hAnsi="Times New Roman" w:cs="Times New Roman"/>
                <w:b/>
                <w:bCs/>
                <w:color w:val="auto"/>
                <w:sz w:val="24"/>
                <w:szCs w:val="24"/>
                <w:highlight w:val="none"/>
                <w:lang w:val="en-US" w:eastAsia="zh-CN"/>
              </w:rPr>
              <w:t>（2）</w:t>
            </w:r>
          </w:p>
          <w:tbl>
            <w:tblPr>
              <w:tblStyle w:val="31"/>
              <w:tblW w:w="8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4"/>
              <w:gridCol w:w="2794"/>
              <w:gridCol w:w="2795"/>
            </w:tblGrid>
            <w:tr w14:paraId="03FC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457007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color w:val="auto"/>
                      <w:szCs w:val="21"/>
                      <w:highlight w:val="none"/>
                      <w:lang w:bidi="ar"/>
                    </w:rPr>
                    <w:t>采样位置</w:t>
                  </w:r>
                </w:p>
              </w:tc>
              <w:tc>
                <w:tcPr>
                  <w:tcW w:w="2794" w:type="dxa"/>
                  <w:vAlign w:val="center"/>
                </w:tcPr>
                <w:p w14:paraId="620EA923">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auto"/>
                      <w:sz w:val="24"/>
                      <w:szCs w:val="24"/>
                      <w:highlight w:val="none"/>
                      <w:vertAlign w:val="baseline"/>
                    </w:rPr>
                  </w:pPr>
                  <w:r>
                    <w:rPr>
                      <w:rFonts w:hint="eastAsia" w:ascii="Times New Roman" w:hAnsi="Times New Roman"/>
                      <w:color w:val="auto"/>
                      <w:szCs w:val="21"/>
                      <w:highlight w:val="none"/>
                      <w:lang w:val="en-US" w:eastAsia="zh-CN"/>
                    </w:rPr>
                    <w:t>1#项目厂址</w:t>
                  </w:r>
                </w:p>
              </w:tc>
              <w:tc>
                <w:tcPr>
                  <w:tcW w:w="2795" w:type="dxa"/>
                  <w:vMerge w:val="restart"/>
                  <w:vAlign w:val="center"/>
                </w:tcPr>
                <w:p w14:paraId="6F45B0A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执行标准及限值</w:t>
                  </w:r>
                </w:p>
                <w:p w14:paraId="1506B0E2">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color w:val="auto"/>
                      <w:szCs w:val="21"/>
                      <w:highlight w:val="none"/>
                    </w:rPr>
                    <w:t>(GB 3095-2012)</w:t>
                  </w:r>
                </w:p>
              </w:tc>
            </w:tr>
            <w:tr w14:paraId="3F18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2ED9F7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color w:val="auto"/>
                      <w:szCs w:val="21"/>
                      <w:highlight w:val="none"/>
                      <w:lang w:bidi="ar"/>
                    </w:rPr>
                    <w:t>检测项目</w:t>
                  </w:r>
                </w:p>
              </w:tc>
              <w:tc>
                <w:tcPr>
                  <w:tcW w:w="2794" w:type="dxa"/>
                  <w:vAlign w:val="center"/>
                </w:tcPr>
                <w:p w14:paraId="14BF66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color w:val="auto"/>
                      <w:highlight w:val="none"/>
                    </w:rPr>
                    <w:t>总悬浮颗粒物</w:t>
                  </w:r>
                  <w:r>
                    <w:rPr>
                      <w:rFonts w:hint="eastAsia"/>
                      <w:color w:val="auto"/>
                      <w:szCs w:val="21"/>
                      <w:highlight w:val="none"/>
                      <w:lang w:bidi="ar"/>
                    </w:rPr>
                    <w:t>(</w:t>
                  </w:r>
                  <w:r>
                    <w:rPr>
                      <w:rFonts w:hint="default"/>
                      <w:bCs/>
                      <w:color w:val="auto"/>
                      <w:szCs w:val="21"/>
                      <w:highlight w:val="none"/>
                    </w:rPr>
                    <w:t>μg/</w:t>
                  </w:r>
                  <w:r>
                    <w:rPr>
                      <w:rFonts w:hint="default"/>
                      <w:color w:val="auto"/>
                      <w:szCs w:val="21"/>
                      <w:highlight w:val="none"/>
                    </w:rPr>
                    <w:t>m</w:t>
                  </w:r>
                  <w:r>
                    <w:rPr>
                      <w:rFonts w:hint="default"/>
                      <w:color w:val="auto"/>
                      <w:szCs w:val="21"/>
                      <w:highlight w:val="none"/>
                      <w:vertAlign w:val="superscript"/>
                    </w:rPr>
                    <w:t>3</w:t>
                  </w:r>
                  <w:r>
                    <w:rPr>
                      <w:rFonts w:hint="eastAsia"/>
                      <w:color w:val="auto"/>
                      <w:szCs w:val="21"/>
                      <w:highlight w:val="none"/>
                      <w:lang w:bidi="ar"/>
                    </w:rPr>
                    <w:t>)</w:t>
                  </w:r>
                </w:p>
              </w:tc>
              <w:tc>
                <w:tcPr>
                  <w:tcW w:w="2795" w:type="dxa"/>
                  <w:vMerge w:val="continue"/>
                  <w:vAlign w:val="center"/>
                </w:tcPr>
                <w:p w14:paraId="4B7FD4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p>
              </w:tc>
            </w:tr>
            <w:tr w14:paraId="316D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35871F4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color w:val="auto"/>
                      <w:szCs w:val="21"/>
                      <w:highlight w:val="none"/>
                      <w:lang w:bidi="ar"/>
                    </w:rPr>
                    <w:t>采样日期</w:t>
                  </w:r>
                </w:p>
              </w:tc>
              <w:tc>
                <w:tcPr>
                  <w:tcW w:w="2794" w:type="dxa"/>
                  <w:vAlign w:val="center"/>
                </w:tcPr>
                <w:p w14:paraId="3C10AF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color w:val="auto"/>
                      <w:szCs w:val="21"/>
                      <w:highlight w:val="none"/>
                      <w:lang w:bidi="ar"/>
                    </w:rPr>
                    <w:t>检测结果</w:t>
                  </w:r>
                </w:p>
              </w:tc>
              <w:tc>
                <w:tcPr>
                  <w:tcW w:w="2795" w:type="dxa"/>
                  <w:vMerge w:val="continue"/>
                  <w:vAlign w:val="center"/>
                </w:tcPr>
                <w:p w14:paraId="401D61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p>
              </w:tc>
            </w:tr>
            <w:tr w14:paraId="22CE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4E489A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color w:val="auto"/>
                      <w:highlight w:val="none"/>
                    </w:rPr>
                    <w:t>202</w:t>
                  </w:r>
                  <w:r>
                    <w:rPr>
                      <w:rFonts w:hint="eastAsia"/>
                      <w:color w:val="auto"/>
                      <w:highlight w:val="none"/>
                      <w:lang w:val="en-US" w:eastAsia="zh-CN"/>
                    </w:rPr>
                    <w:t>4.08.30</w:t>
                  </w:r>
                </w:p>
              </w:tc>
              <w:tc>
                <w:tcPr>
                  <w:tcW w:w="2794" w:type="dxa"/>
                  <w:vAlign w:val="center"/>
                </w:tcPr>
                <w:p w14:paraId="75EFE7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ascii="Times New Roman" w:hAnsi="Times New Roman" w:eastAsia="宋体" w:cs="Times New Roman"/>
                      <w:color w:val="auto"/>
                      <w:highlight w:val="none"/>
                      <w:lang w:val="en-US" w:eastAsia="zh-CN"/>
                    </w:rPr>
                    <w:t>115</w:t>
                  </w:r>
                </w:p>
              </w:tc>
              <w:tc>
                <w:tcPr>
                  <w:tcW w:w="2795" w:type="dxa"/>
                  <w:vMerge w:val="restart"/>
                  <w:vAlign w:val="center"/>
                </w:tcPr>
                <w:p w14:paraId="05519F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ascii="Times New Roman" w:hAnsi="Times New Roman" w:eastAsia="宋体" w:cs="Times New Roman"/>
                      <w:color w:val="auto"/>
                      <w:highlight w:val="none"/>
                      <w:lang w:val="en-US" w:eastAsia="zh-CN"/>
                    </w:rPr>
                    <w:t>300</w:t>
                  </w:r>
                  <w:r>
                    <w:rPr>
                      <w:rFonts w:hint="default"/>
                      <w:bCs/>
                      <w:color w:val="auto"/>
                      <w:szCs w:val="21"/>
                      <w:highlight w:val="none"/>
                    </w:rPr>
                    <w:t>μg/</w:t>
                  </w:r>
                  <w:r>
                    <w:rPr>
                      <w:rFonts w:hint="default"/>
                      <w:color w:val="auto"/>
                      <w:szCs w:val="21"/>
                      <w:highlight w:val="none"/>
                    </w:rPr>
                    <w:t>m</w:t>
                  </w:r>
                  <w:r>
                    <w:rPr>
                      <w:rFonts w:hint="default"/>
                      <w:color w:val="auto"/>
                      <w:szCs w:val="21"/>
                      <w:highlight w:val="none"/>
                      <w:vertAlign w:val="superscript"/>
                    </w:rPr>
                    <w:t>3</w:t>
                  </w:r>
                </w:p>
              </w:tc>
            </w:tr>
            <w:tr w14:paraId="2A02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4DADE5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color w:val="auto"/>
                      <w:highlight w:val="none"/>
                    </w:rPr>
                    <w:t>202</w:t>
                  </w:r>
                  <w:r>
                    <w:rPr>
                      <w:rFonts w:hint="eastAsia"/>
                      <w:color w:val="auto"/>
                      <w:highlight w:val="none"/>
                      <w:lang w:val="en-US" w:eastAsia="zh-CN"/>
                    </w:rPr>
                    <w:t>4.08.31</w:t>
                  </w:r>
                </w:p>
              </w:tc>
              <w:tc>
                <w:tcPr>
                  <w:tcW w:w="2794" w:type="dxa"/>
                  <w:vAlign w:val="center"/>
                </w:tcPr>
                <w:p w14:paraId="694565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ascii="Times New Roman" w:hAnsi="Times New Roman" w:eastAsia="宋体" w:cs="Times New Roman"/>
                      <w:color w:val="auto"/>
                      <w:highlight w:val="none"/>
                      <w:lang w:val="en-US" w:eastAsia="zh-CN"/>
                    </w:rPr>
                    <w:t>88</w:t>
                  </w:r>
                </w:p>
              </w:tc>
              <w:tc>
                <w:tcPr>
                  <w:tcW w:w="2795" w:type="dxa"/>
                  <w:vMerge w:val="continue"/>
                  <w:vAlign w:val="center"/>
                </w:tcPr>
                <w:p w14:paraId="1BF73D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p>
              </w:tc>
            </w:tr>
            <w:tr w14:paraId="3D7D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4" w:type="dxa"/>
                  <w:vAlign w:val="center"/>
                </w:tcPr>
                <w:p w14:paraId="0B4855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color w:val="auto"/>
                      <w:highlight w:val="none"/>
                    </w:rPr>
                    <w:t>202</w:t>
                  </w:r>
                  <w:r>
                    <w:rPr>
                      <w:rFonts w:hint="eastAsia"/>
                      <w:color w:val="auto"/>
                      <w:highlight w:val="none"/>
                      <w:lang w:val="en-US" w:eastAsia="zh-CN"/>
                    </w:rPr>
                    <w:t>4.09.01</w:t>
                  </w:r>
                </w:p>
              </w:tc>
              <w:tc>
                <w:tcPr>
                  <w:tcW w:w="2794" w:type="dxa"/>
                  <w:vAlign w:val="center"/>
                </w:tcPr>
                <w:p w14:paraId="56F17F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eastAsia" w:ascii="Times New Roman" w:hAnsi="Times New Roman" w:eastAsia="宋体" w:cs="Times New Roman"/>
                      <w:color w:val="auto"/>
                      <w:highlight w:val="none"/>
                      <w:lang w:val="en-US" w:eastAsia="zh-CN"/>
                    </w:rPr>
                    <w:t>127</w:t>
                  </w:r>
                </w:p>
              </w:tc>
              <w:tc>
                <w:tcPr>
                  <w:tcW w:w="2795" w:type="dxa"/>
                  <w:vMerge w:val="continue"/>
                  <w:vAlign w:val="center"/>
                </w:tcPr>
                <w:p w14:paraId="3E2DBC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p>
              </w:tc>
            </w:tr>
            <w:tr w14:paraId="7CF2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3" w:type="dxa"/>
                  <w:gridSpan w:val="3"/>
                  <w:vAlign w:val="center"/>
                </w:tcPr>
                <w:p w14:paraId="794E68F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vertAlign w:val="baseline"/>
                    </w:rPr>
                  </w:pPr>
                  <w:r>
                    <w:rPr>
                      <w:rFonts w:hint="eastAsia" w:ascii="Times New Roman" w:hAnsi="Times New Roman" w:cs="Times New Roman"/>
                      <w:color w:val="auto"/>
                      <w:szCs w:val="21"/>
                      <w:highlight w:val="none"/>
                      <w:lang w:val="en-US" w:eastAsia="zh-CN"/>
                    </w:rPr>
                    <w:t>备注：</w:t>
                  </w:r>
                  <w:r>
                    <w:rPr>
                      <w:rFonts w:hint="eastAsia"/>
                      <w:color w:val="auto"/>
                      <w:highlight w:val="none"/>
                    </w:rPr>
                    <w:t>总悬浮颗粒物</w:t>
                  </w:r>
                  <w:r>
                    <w:rPr>
                      <w:rFonts w:hint="eastAsia"/>
                      <w:color w:val="auto"/>
                      <w:highlight w:val="none"/>
                      <w:lang w:val="en-US" w:eastAsia="zh-CN"/>
                    </w:rPr>
                    <w:t>执行</w:t>
                  </w:r>
                  <w:r>
                    <w:rPr>
                      <w:rFonts w:hint="eastAsia" w:ascii="Times New Roman" w:hAnsi="Times New Roman" w:cs="Times New Roman"/>
                      <w:color w:val="auto"/>
                      <w:szCs w:val="21"/>
                      <w:highlight w:val="none"/>
                      <w:lang w:val="en-US" w:eastAsia="zh-CN"/>
                    </w:rPr>
                    <w:t>《</w:t>
                  </w:r>
                  <w:r>
                    <w:rPr>
                      <w:rFonts w:hint="default" w:ascii="Times New Roman" w:hAnsi="Times New Roman"/>
                      <w:color w:val="auto"/>
                      <w:szCs w:val="21"/>
                      <w:highlight w:val="none"/>
                    </w:rPr>
                    <w:t>环境空气质量标准</w:t>
                  </w:r>
                  <w:r>
                    <w:rPr>
                      <w:rFonts w:hint="eastAsia" w:ascii="Times New Roman" w:hAnsi="Times New Roman" w:cs="Times New Roman"/>
                      <w:color w:val="auto"/>
                      <w:szCs w:val="21"/>
                      <w:highlight w:val="none"/>
                      <w:lang w:val="en-US" w:eastAsia="zh-CN"/>
                    </w:rPr>
                    <w:t>》</w:t>
                  </w:r>
                  <w:r>
                    <w:rPr>
                      <w:rFonts w:hint="default" w:ascii="Times New Roman" w:hAnsi="Times New Roman"/>
                      <w:color w:val="auto"/>
                      <w:szCs w:val="21"/>
                      <w:highlight w:val="none"/>
                    </w:rPr>
                    <w:t>(GB 3095-2012)</w:t>
                  </w:r>
                  <w:r>
                    <w:rPr>
                      <w:rFonts w:hint="eastAsia" w:ascii="Times New Roman" w:hAnsi="Times New Roman"/>
                      <w:color w:val="auto"/>
                      <w:szCs w:val="21"/>
                      <w:highlight w:val="none"/>
                      <w:lang w:val="en-US" w:eastAsia="zh-CN"/>
                    </w:rPr>
                    <w:t>表2中二级浓度限值。</w:t>
                  </w:r>
                </w:p>
              </w:tc>
            </w:tr>
          </w:tbl>
          <w:p w14:paraId="300367A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根据检测结果显示，本项目厂址</w:t>
            </w:r>
            <w:r>
              <w:rPr>
                <w:rFonts w:hint="default" w:ascii="Times New Roman" w:hAnsi="Times New Roman" w:eastAsia="宋体" w:cs="Times New Roman"/>
                <w:color w:val="auto"/>
                <w:sz w:val="24"/>
                <w:szCs w:val="24"/>
                <w:highlight w:val="none"/>
                <w:lang w:bidi="ar"/>
              </w:rPr>
              <w:t>总悬浮颗粒物</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rPr>
              <w:t>TSP</w:t>
            </w:r>
            <w:r>
              <w:rPr>
                <w:rFonts w:hint="default" w:ascii="Times New Roman" w:hAnsi="Times New Roman" w:eastAsia="宋体" w:cs="Times New Roman"/>
                <w:color w:val="auto"/>
                <w:sz w:val="24"/>
                <w:szCs w:val="24"/>
                <w:highlight w:val="none"/>
                <w:lang w:eastAsia="zh-CN" w:bidi="ar"/>
              </w:rPr>
              <w:t>）</w:t>
            </w:r>
            <w:r>
              <w:rPr>
                <w:rFonts w:hint="default"/>
                <w:color w:val="auto"/>
                <w:sz w:val="24"/>
                <w:szCs w:val="24"/>
                <w:highlight w:val="none"/>
              </w:rPr>
              <w:t>日均值现状检测结果均符合《环境空气质量标准》（GB3095-2012）二级标准要求，</w:t>
            </w:r>
            <w:r>
              <w:rPr>
                <w:rFonts w:hint="eastAsia"/>
                <w:color w:val="auto"/>
                <w:sz w:val="24"/>
                <w:highlight w:val="none"/>
                <w:lang w:val="en-US" w:eastAsia="zh-CN"/>
              </w:rPr>
              <w:t>非甲烷总烃</w:t>
            </w:r>
            <w:r>
              <w:rPr>
                <w:rFonts w:hint="eastAsia" w:ascii="Times New Roman" w:hAnsi="Times New Roman" w:eastAsia="宋体" w:cs="Times New Roman"/>
                <w:color w:val="auto"/>
                <w:sz w:val="24"/>
                <w:highlight w:val="none"/>
                <w:lang w:val="en-US" w:eastAsia="zh-CN"/>
              </w:rPr>
              <w:t>1h浓度平均</w:t>
            </w:r>
            <w:r>
              <w:rPr>
                <w:rFonts w:hint="eastAsia"/>
                <w:color w:val="auto"/>
                <w:sz w:val="24"/>
                <w:highlight w:val="none"/>
                <w:lang w:val="en-US" w:eastAsia="zh-CN"/>
              </w:rPr>
              <w:t>值满足《环境空气质量 非甲烷总烃限值》（DB13/1577-2012）表1中二级标准限值，苯、甲苯、二甲苯满足《环境影响评价技术导则 大气环境》（HJ2.2-2018）附录D中限值要求，</w:t>
            </w:r>
            <w:r>
              <w:rPr>
                <w:rFonts w:hint="default"/>
                <w:color w:val="auto"/>
                <w:sz w:val="24"/>
                <w:szCs w:val="24"/>
                <w:highlight w:val="none"/>
              </w:rPr>
              <w:t>项目区域大气环境质量良好。</w:t>
            </w:r>
          </w:p>
          <w:p w14:paraId="663C73D6">
            <w:pPr>
              <w:pStyle w:val="21"/>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2.声环</w:t>
            </w:r>
            <w:r>
              <w:rPr>
                <w:rStyle w:val="123"/>
                <w:rFonts w:hint="default" w:ascii="Times New Roman" w:hAnsi="Times New Roman" w:eastAsia="宋体" w:cs="Times New Roman"/>
                <w:b/>
                <w:color w:val="auto"/>
              </w:rPr>
              <w:t>境</w:t>
            </w:r>
            <w:r>
              <w:rPr>
                <w:rFonts w:hint="default" w:ascii="Times New Roman" w:hAnsi="Times New Roman" w:eastAsia="宋体" w:cs="Times New Roman"/>
                <w:color w:val="auto"/>
              </w:rPr>
              <w:t>质量现状</w:t>
            </w:r>
          </w:p>
          <w:p w14:paraId="1E3CFFA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eastAsia="zh-CN"/>
              </w:rPr>
              <w:t>本项目位于</w:t>
            </w:r>
            <w:r>
              <w:rPr>
                <w:rFonts w:hint="eastAsia" w:ascii="Times New Roman" w:hAnsi="Times New Roman" w:eastAsia="宋体" w:cs="Times New Roman"/>
                <w:b w:val="0"/>
                <w:bCs w:val="0"/>
                <w:color w:val="auto"/>
                <w:sz w:val="24"/>
                <w:lang w:val="en-US" w:eastAsia="zh-CN"/>
              </w:rPr>
              <w:t>内</w:t>
            </w:r>
            <w:r>
              <w:rPr>
                <w:rFonts w:hint="eastAsia" w:ascii="Times New Roman" w:hAnsi="Times New Roman" w:eastAsia="宋体" w:cs="Times New Roman"/>
                <w:b w:val="0"/>
                <w:bCs w:val="0"/>
                <w:color w:val="auto"/>
                <w:sz w:val="24"/>
              </w:rPr>
              <w:t>蒙古自治区鄂尔多斯市伊金霍洛旗乌兰木伦镇</w:t>
            </w:r>
            <w:r>
              <w:rPr>
                <w:rFonts w:hint="eastAsia" w:eastAsia="宋体" w:cs="Times New Roman"/>
                <w:b w:val="0"/>
                <w:bCs w:val="0"/>
                <w:color w:val="auto"/>
                <w:sz w:val="24"/>
                <w:lang w:val="en-US" w:eastAsia="zh-CN"/>
              </w:rPr>
              <w:t>布尔台煤矿</w:t>
            </w:r>
            <w:r>
              <w:rPr>
                <w:rFonts w:hint="eastAsia" w:ascii="Times New Roman" w:hAnsi="Times New Roman" w:eastAsia="宋体" w:cs="Times New Roman"/>
                <w:b w:val="0"/>
                <w:bCs w:val="0"/>
                <w:color w:val="auto"/>
                <w:sz w:val="24"/>
              </w:rPr>
              <w:t>工业场地预留用地内</w:t>
            </w:r>
            <w:r>
              <w:rPr>
                <w:rFonts w:hint="eastAsia" w:ascii="Times New Roman" w:hAnsi="Times New Roman" w:eastAsia="宋体" w:cs="Times New Roman"/>
                <w:b w:val="0"/>
                <w:bCs w:val="0"/>
                <w:color w:val="auto"/>
                <w:sz w:val="24"/>
                <w:lang w:eastAsia="zh-CN"/>
              </w:rPr>
              <w:t>，</w:t>
            </w:r>
            <w:r>
              <w:rPr>
                <w:rFonts w:hint="eastAsia" w:ascii="Times New Roman" w:hAnsi="Times New Roman" w:eastAsia="宋体" w:cs="Times New Roman"/>
                <w:b w:val="0"/>
                <w:bCs w:val="0"/>
                <w:color w:val="auto"/>
                <w:sz w:val="24"/>
                <w:lang w:val="en-US" w:eastAsia="zh-CN"/>
              </w:rPr>
              <w:t>项目所在地声环境功能区属2类区，声环境质量执行《声环境质量标准》（</w:t>
            </w:r>
            <w:r>
              <w:rPr>
                <w:rFonts w:hint="default" w:ascii="Times New Roman" w:hAnsi="Times New Roman" w:eastAsia="宋体" w:cs="Times New Roman"/>
                <w:b w:val="0"/>
                <w:bCs w:val="0"/>
                <w:color w:val="auto"/>
                <w:sz w:val="24"/>
                <w:lang w:val="en-US" w:eastAsia="zh-CN"/>
              </w:rPr>
              <w:t>GB 3096-2008</w:t>
            </w:r>
            <w:r>
              <w:rPr>
                <w:rFonts w:hint="eastAsia" w:ascii="Times New Roman" w:hAnsi="Times New Roman" w:eastAsia="宋体" w:cs="Times New Roman"/>
                <w:b w:val="0"/>
                <w:bCs w:val="0"/>
                <w:color w:val="auto"/>
                <w:sz w:val="24"/>
                <w:lang w:val="en-US" w:eastAsia="zh-CN"/>
              </w:rPr>
              <w:t>）2类标准。</w:t>
            </w:r>
          </w:p>
          <w:p w14:paraId="7EAF0399">
            <w:pPr>
              <w:pStyle w:val="13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根据</w:t>
            </w:r>
            <w:r>
              <w:rPr>
                <w:rFonts w:hint="eastAsia"/>
                <w:color w:val="auto"/>
                <w:highlight w:val="none"/>
                <w:lang w:eastAsia="zh-CN"/>
              </w:rPr>
              <w:t>《建设项目环境影响报告表编制技术指南（污染影响类）》，</w:t>
            </w:r>
            <w:r>
              <w:rPr>
                <w:rFonts w:hint="eastAsia"/>
                <w:color w:val="auto"/>
                <w:highlight w:val="none"/>
                <w:lang w:val="en-US" w:eastAsia="zh-CN"/>
              </w:rPr>
              <w:t>本项目</w:t>
            </w:r>
            <w:r>
              <w:rPr>
                <w:rFonts w:hint="eastAsia"/>
                <w:color w:val="auto"/>
                <w:highlight w:val="none"/>
                <w:lang w:eastAsia="zh-CN"/>
              </w:rPr>
              <w:t>厂界周边</w:t>
            </w:r>
            <w:r>
              <w:rPr>
                <w:rFonts w:hint="eastAsia"/>
                <w:color w:val="auto"/>
                <w:highlight w:val="none"/>
                <w:lang w:val="en-US" w:eastAsia="zh-CN"/>
              </w:rPr>
              <w:t>50米范围内不存在声环境保护目标，无需开展声环境质量现状监测并评价达标情况</w:t>
            </w:r>
            <w:r>
              <w:rPr>
                <w:rFonts w:hint="eastAsia"/>
                <w:color w:val="auto"/>
                <w:highlight w:val="none"/>
              </w:rPr>
              <w:t>。</w:t>
            </w:r>
          </w:p>
          <w:p w14:paraId="3E3EF73E">
            <w:pPr>
              <w:keepNext w:val="0"/>
              <w:keepLines w:val="0"/>
              <w:suppressLineNumbers w:val="0"/>
              <w:spacing w:before="0" w:beforeAutospacing="0" w:after="0" w:afterAutospacing="0" w:line="360" w:lineRule="auto"/>
              <w:ind w:left="0" w:right="0" w:firstLine="482"/>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3.地下水环境质量现状</w:t>
            </w:r>
          </w:p>
          <w:p w14:paraId="37FD0891">
            <w:pPr>
              <w:pStyle w:val="137"/>
              <w:keepNext w:val="0"/>
              <w:keepLines w:val="0"/>
              <w:suppressLineNumbers w:val="0"/>
              <w:bidi w:val="0"/>
              <w:spacing w:before="0" w:beforeAutospacing="0" w:after="0" w:afterAutospacing="0"/>
              <w:ind w:left="0" w:right="0"/>
              <w:rPr>
                <w:rFonts w:hint="default"/>
                <w:color w:val="auto"/>
                <w:sz w:val="24"/>
              </w:rPr>
            </w:pPr>
            <w:r>
              <w:rPr>
                <w:rFonts w:hint="default"/>
                <w:color w:val="auto"/>
                <w:sz w:val="24"/>
              </w:rPr>
              <w:t xml:space="preserve">根据《环境影响评价技术导则  </w:t>
            </w:r>
            <w:r>
              <w:rPr>
                <w:rFonts w:hint="eastAsia"/>
                <w:color w:val="auto"/>
                <w:sz w:val="24"/>
                <w:lang w:val="en-US" w:eastAsia="zh-CN"/>
              </w:rPr>
              <w:t>地下水环境</w:t>
            </w:r>
            <w:r>
              <w:rPr>
                <w:rFonts w:hint="default"/>
                <w:color w:val="auto"/>
                <w:sz w:val="24"/>
              </w:rPr>
              <w:t>》（HJ</w:t>
            </w:r>
            <w:r>
              <w:rPr>
                <w:rFonts w:hint="eastAsia"/>
                <w:color w:val="auto"/>
                <w:sz w:val="24"/>
                <w:lang w:val="en-US" w:eastAsia="zh-CN"/>
              </w:rPr>
              <w:t>610</w:t>
            </w:r>
            <w:r>
              <w:rPr>
                <w:rFonts w:hint="default"/>
                <w:color w:val="auto"/>
                <w:sz w:val="24"/>
              </w:rPr>
              <w:t>-</w:t>
            </w:r>
            <w:r>
              <w:rPr>
                <w:rFonts w:hint="eastAsia"/>
                <w:color w:val="auto"/>
                <w:sz w:val="24"/>
                <w:lang w:val="en-US" w:eastAsia="zh-CN"/>
              </w:rPr>
              <w:t>2016</w:t>
            </w:r>
            <w:r>
              <w:rPr>
                <w:rFonts w:hint="default"/>
                <w:color w:val="auto"/>
                <w:sz w:val="24"/>
              </w:rPr>
              <w:t>），本项目</w:t>
            </w:r>
            <w:r>
              <w:rPr>
                <w:rFonts w:hint="eastAsia"/>
                <w:color w:val="auto"/>
                <w:sz w:val="24"/>
                <w:lang w:val="en-US" w:eastAsia="zh-CN"/>
              </w:rPr>
              <w:t>地下水</w:t>
            </w:r>
            <w:r>
              <w:rPr>
                <w:rFonts w:hint="default"/>
                <w:color w:val="auto"/>
                <w:sz w:val="24"/>
              </w:rPr>
              <w:t>环境影响评价项目类别属于附录A中“</w:t>
            </w:r>
            <w:r>
              <w:rPr>
                <w:rFonts w:hint="eastAsia"/>
                <w:color w:val="auto"/>
                <w:sz w:val="24"/>
                <w:lang w:val="en-US" w:eastAsia="zh-CN"/>
              </w:rPr>
              <w:t>I金属制品，51表面处理及热处理加工-其他</w:t>
            </w:r>
            <w:r>
              <w:rPr>
                <w:rFonts w:hint="default"/>
                <w:color w:val="auto"/>
                <w:sz w:val="24"/>
              </w:rPr>
              <w:t>”行业，为IV类项目</w:t>
            </w:r>
            <w:r>
              <w:rPr>
                <w:rFonts w:hint="eastAsia"/>
                <w:color w:val="auto"/>
                <w:sz w:val="24"/>
                <w:lang w:eastAsia="zh-CN"/>
              </w:rPr>
              <w:t>；</w:t>
            </w:r>
            <w:r>
              <w:rPr>
                <w:rFonts w:hint="eastAsia"/>
                <w:color w:val="auto"/>
                <w:sz w:val="24"/>
                <w:lang w:val="en-US" w:eastAsia="zh-CN"/>
              </w:rPr>
              <w:t>同时</w:t>
            </w:r>
            <w:r>
              <w:rPr>
                <w:rFonts w:hint="eastAsia" w:ascii="Times New Roman" w:hAnsi="Times New Roman" w:eastAsia="宋体" w:cs="Times New Roman"/>
                <w:color w:val="auto"/>
                <w:highlight w:val="none"/>
                <w:lang w:val="en-US" w:eastAsia="zh-CN"/>
              </w:rPr>
              <w:t>根据《建设项目环境影响报告表编制技术指南（污染影响类）》，地下水、土壤原则上不开展环境质量现状调查。本项目范围内均已</w:t>
            </w:r>
            <w:r>
              <w:rPr>
                <w:rFonts w:hint="default"/>
                <w:color w:val="auto"/>
                <w:szCs w:val="21"/>
              </w:rPr>
              <w:t>采取混凝土硬化</w:t>
            </w:r>
            <w:r>
              <w:rPr>
                <w:rFonts w:hint="eastAsia"/>
                <w:color w:val="auto"/>
                <w:szCs w:val="21"/>
                <w:lang w:val="en-US" w:eastAsia="zh-CN"/>
              </w:rPr>
              <w:t>+</w:t>
            </w:r>
            <w:r>
              <w:rPr>
                <w:rFonts w:hint="eastAsia"/>
                <w:color w:val="auto"/>
                <w:lang w:val="en-US" w:eastAsia="zh-CN"/>
              </w:rPr>
              <w:t>HDPE膜</w:t>
            </w:r>
            <w:r>
              <w:rPr>
                <w:rFonts w:hint="default"/>
                <w:color w:val="auto"/>
                <w:szCs w:val="21"/>
              </w:rPr>
              <w:t>防渗措施，防渗性能均满足一般防渗要求（等效黏土防渗层Mb≥1.5m，渗透系数≤1.0×10</w:t>
            </w:r>
            <w:r>
              <w:rPr>
                <w:rFonts w:hint="default"/>
                <w:color w:val="auto"/>
                <w:szCs w:val="21"/>
                <w:vertAlign w:val="superscript"/>
              </w:rPr>
              <w:t>-7</w:t>
            </w:r>
            <w:r>
              <w:rPr>
                <w:rFonts w:hint="default"/>
                <w:color w:val="auto"/>
                <w:szCs w:val="21"/>
              </w:rPr>
              <w:t>cm/s）</w:t>
            </w:r>
            <w:r>
              <w:rPr>
                <w:rFonts w:hint="eastAsia" w:ascii="Times New Roman" w:hAnsi="Times New Roman" w:eastAsia="宋体" w:cs="Times New Roman"/>
                <w:color w:val="auto"/>
                <w:highlight w:val="none"/>
                <w:lang w:val="en-US" w:eastAsia="zh-CN"/>
              </w:rPr>
              <w:t>，且项目不产生废水，同时水性漆等液体原料现用现买，不进行贮存，使用完产生废漆液等均暂存于</w:t>
            </w:r>
            <w:r>
              <w:rPr>
                <w:rFonts w:hint="eastAsia" w:eastAsia="宋体" w:cs="Times New Roman"/>
                <w:b w:val="0"/>
                <w:bCs w:val="0"/>
                <w:color w:val="auto"/>
                <w:kern w:val="2"/>
                <w:sz w:val="24"/>
                <w:szCs w:val="24"/>
                <w:lang w:val="en-US" w:eastAsia="zh-CN" w:bidi="ar-SA"/>
              </w:rPr>
              <w:t>布尔台煤矿</w:t>
            </w:r>
            <w:r>
              <w:rPr>
                <w:rFonts w:hint="eastAsia" w:ascii="Times New Roman" w:hAnsi="Times New Roman" w:eastAsia="宋体" w:cs="Times New Roman"/>
                <w:b w:val="0"/>
                <w:bCs w:val="0"/>
                <w:color w:val="auto"/>
                <w:kern w:val="2"/>
                <w:sz w:val="24"/>
                <w:szCs w:val="24"/>
                <w:lang w:val="en-US" w:eastAsia="zh-CN" w:bidi="ar-SA"/>
              </w:rPr>
              <w:t>危废暂存库，</w:t>
            </w:r>
            <w:r>
              <w:rPr>
                <w:rFonts w:hint="eastAsia" w:ascii="Times New Roman" w:hAnsi="Times New Roman" w:eastAsia="宋体" w:cs="Times New Roman"/>
                <w:color w:val="auto"/>
                <w:highlight w:val="none"/>
                <w:lang w:val="en-US" w:eastAsia="zh-CN"/>
              </w:rPr>
              <w:t>故项目不存在污染途径。因此，不进行地下水以及土壤环境质量现状监测</w:t>
            </w:r>
            <w:r>
              <w:rPr>
                <w:rFonts w:hint="default"/>
                <w:color w:val="auto"/>
                <w:sz w:val="24"/>
              </w:rPr>
              <w:t>。</w:t>
            </w:r>
          </w:p>
          <w:p w14:paraId="4FBD7FFC">
            <w:pPr>
              <w:pStyle w:val="137"/>
              <w:keepNext w:val="0"/>
              <w:keepLines w:val="0"/>
              <w:suppressLineNumbers w:val="0"/>
              <w:bidi w:val="0"/>
              <w:spacing w:before="0" w:beforeAutospacing="0" w:after="0" w:afterAutospacing="0"/>
              <w:ind w:left="0" w:right="0"/>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4.</w:t>
            </w:r>
            <w:r>
              <w:rPr>
                <w:rFonts w:hint="default"/>
                <w:b/>
                <w:bCs/>
                <w:color w:val="auto"/>
                <w:sz w:val="24"/>
              </w:rPr>
              <w:t>土壤</w:t>
            </w:r>
            <w:r>
              <w:rPr>
                <w:rFonts w:hint="default" w:ascii="Times New Roman" w:hAnsi="Times New Roman" w:eastAsia="宋体" w:cs="Times New Roman"/>
                <w:b/>
                <w:color w:val="auto"/>
                <w:sz w:val="24"/>
              </w:rPr>
              <w:t>环境质量现状</w:t>
            </w:r>
          </w:p>
          <w:p w14:paraId="6645D651">
            <w:pPr>
              <w:pStyle w:val="137"/>
              <w:keepNext w:val="0"/>
              <w:keepLines w:val="0"/>
              <w:suppressLineNumbers w:val="0"/>
              <w:bidi w:val="0"/>
              <w:spacing w:before="0" w:beforeAutospacing="0" w:after="0" w:afterAutospacing="0"/>
              <w:ind w:left="0" w:right="0"/>
              <w:rPr>
                <w:rFonts w:hint="default" w:ascii="Times New Roman" w:hAnsi="Times New Roman" w:eastAsia="宋体" w:cs="Times New Roman"/>
                <w:b/>
                <w:color w:val="auto"/>
                <w:sz w:val="24"/>
              </w:rPr>
            </w:pPr>
            <w:r>
              <w:rPr>
                <w:rFonts w:hint="default"/>
                <w:color w:val="auto"/>
                <w:sz w:val="24"/>
              </w:rPr>
              <w:t>根据《环境影响评价技术导则  土壤环境（试行）》（HJ964-2018），本项目土壤环境影响评价项目类别属于附录A中“</w:t>
            </w:r>
            <w:r>
              <w:rPr>
                <w:rFonts w:hint="eastAsia"/>
                <w:color w:val="auto"/>
                <w:sz w:val="24"/>
                <w:lang w:val="en-US" w:eastAsia="zh-CN"/>
              </w:rPr>
              <w:t>制造业-金属制品表面处理及热处理加工的</w:t>
            </w:r>
            <w:r>
              <w:rPr>
                <w:rFonts w:hint="default"/>
                <w:color w:val="auto"/>
                <w:sz w:val="24"/>
              </w:rPr>
              <w:t>”行业，为I类项目，</w:t>
            </w:r>
            <w:r>
              <w:rPr>
                <w:rFonts w:hint="eastAsia"/>
                <w:bCs/>
                <w:color w:val="auto"/>
                <w:sz w:val="24"/>
                <w:highlight w:val="none"/>
              </w:rPr>
              <w:t>根据《建设项目环境影响报告表编制技术指南（污染影响类）》，地下水、土壤原则上不开展环境质量现状调查。本项目范围内均已采取混凝土硬化+HDPE膜防渗措施，防渗性能均满足一般防渗要求（等效黏土防渗层Mb≥1.5m，渗透系数≤1.0×10</w:t>
            </w:r>
            <w:r>
              <w:rPr>
                <w:rFonts w:hint="eastAsia"/>
                <w:bCs/>
                <w:color w:val="auto"/>
                <w:sz w:val="24"/>
                <w:highlight w:val="none"/>
                <w:vertAlign w:val="superscript"/>
              </w:rPr>
              <w:t>-7</w:t>
            </w:r>
            <w:r>
              <w:rPr>
                <w:rFonts w:hint="eastAsia"/>
                <w:bCs/>
                <w:color w:val="auto"/>
                <w:sz w:val="24"/>
                <w:highlight w:val="none"/>
              </w:rPr>
              <w:t>cm/s），且项目不产生废水，同时水性漆等液体原料现用现买，不进行贮存，使用完产生废漆液等均暂存于</w:t>
            </w:r>
            <w:r>
              <w:rPr>
                <w:rFonts w:hint="eastAsia" w:eastAsia="宋体" w:cs="Times New Roman"/>
                <w:b w:val="0"/>
                <w:bCs w:val="0"/>
                <w:color w:val="auto"/>
                <w:kern w:val="2"/>
                <w:sz w:val="24"/>
                <w:szCs w:val="24"/>
                <w:lang w:val="en-US" w:eastAsia="zh-CN" w:bidi="ar-SA"/>
              </w:rPr>
              <w:t>布尔台煤矿</w:t>
            </w:r>
            <w:r>
              <w:rPr>
                <w:rFonts w:hint="eastAsia"/>
                <w:bCs/>
                <w:color w:val="auto"/>
                <w:sz w:val="24"/>
                <w:highlight w:val="none"/>
              </w:rPr>
              <w:t>危废暂存库，</w:t>
            </w:r>
            <w:r>
              <w:rPr>
                <w:rFonts w:hint="eastAsia"/>
                <w:bCs/>
                <w:color w:val="auto"/>
                <w:sz w:val="24"/>
                <w:highlight w:val="none"/>
                <w:lang w:val="en-US" w:eastAsia="zh-CN"/>
              </w:rPr>
              <w:t>故项目不存在污染途径</w:t>
            </w:r>
            <w:r>
              <w:rPr>
                <w:rFonts w:hint="default"/>
                <w:color w:val="auto"/>
                <w:sz w:val="24"/>
              </w:rPr>
              <w:t>，不开展土壤环境影响评价，不开展土壤现状评价。</w:t>
            </w:r>
          </w:p>
          <w:p w14:paraId="4382A6E6">
            <w:pPr>
              <w:keepNext w:val="0"/>
              <w:keepLines w:val="0"/>
              <w:suppressLineNumbers w:val="0"/>
              <w:spacing w:before="0" w:beforeAutospacing="0" w:after="0" w:afterAutospacing="0"/>
              <w:ind w:left="0" w:right="0" w:firstLine="482"/>
              <w:jc w:val="left"/>
              <w:rPr>
                <w:rFonts w:hint="default" w:ascii="Times New Roman" w:hAnsi="Times New Roman" w:eastAsia="宋体" w:cs="Times New Roman"/>
                <w:b/>
                <w:color w:val="auto"/>
                <w:sz w:val="24"/>
                <w:lang w:val="en-US" w:eastAsia="zh-CN"/>
              </w:rPr>
            </w:pPr>
            <w:r>
              <w:rPr>
                <w:rFonts w:hint="eastAsia" w:cs="Times New Roman"/>
                <w:b/>
                <w:color w:val="auto"/>
                <w:sz w:val="24"/>
                <w:lang w:val="en-US" w:eastAsia="zh-CN"/>
              </w:rPr>
              <w:t>5.</w:t>
            </w:r>
            <w:r>
              <w:rPr>
                <w:rFonts w:hint="default" w:ascii="Times New Roman" w:hAnsi="Times New Roman" w:eastAsia="宋体" w:cs="Times New Roman"/>
                <w:b/>
                <w:color w:val="auto"/>
                <w:sz w:val="24"/>
                <w:lang w:val="en-US" w:eastAsia="zh-CN"/>
              </w:rPr>
              <w:t>生态环境现状</w:t>
            </w:r>
          </w:p>
          <w:p w14:paraId="7DB9F92A">
            <w:pPr>
              <w:pStyle w:val="7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本项目位于</w:t>
            </w:r>
            <w:r>
              <w:rPr>
                <w:rFonts w:hint="eastAsia"/>
                <w:color w:val="auto"/>
                <w:sz w:val="24"/>
              </w:rPr>
              <w:t>内蒙古自治区鄂尔多斯市伊金霍洛旗乌兰木伦镇</w:t>
            </w:r>
            <w:r>
              <w:rPr>
                <w:rFonts w:hint="eastAsia"/>
                <w:color w:val="auto"/>
                <w:sz w:val="24"/>
                <w:lang w:val="en-US" w:eastAsia="zh-CN"/>
              </w:rPr>
              <w:t>布尔台煤矿</w:t>
            </w:r>
            <w:r>
              <w:rPr>
                <w:rFonts w:hint="eastAsia"/>
                <w:color w:val="auto"/>
                <w:sz w:val="24"/>
              </w:rPr>
              <w:t>厂区内</w:t>
            </w:r>
            <w:r>
              <w:rPr>
                <w:rFonts w:hint="default" w:ascii="Times New Roman" w:hAnsi="Times New Roman" w:eastAsia="宋体" w:cs="Times New Roman"/>
                <w:color w:val="auto"/>
                <w:lang w:val="en-US" w:eastAsia="zh-CN"/>
              </w:rPr>
              <w:t>，运行过程中产生的污染物较少，基本不对区域生态环境产生影响。本项目土地性质为</w:t>
            </w:r>
            <w:r>
              <w:rPr>
                <w:rFonts w:hint="eastAsia" w:cs="Times New Roman"/>
                <w:color w:val="auto"/>
                <w:lang w:val="en-US" w:eastAsia="zh-CN"/>
              </w:rPr>
              <w:t>工业</w:t>
            </w:r>
            <w:r>
              <w:rPr>
                <w:rFonts w:hint="default" w:ascii="Times New Roman" w:hAnsi="Times New Roman" w:eastAsia="宋体" w:cs="Times New Roman"/>
                <w:color w:val="auto"/>
                <w:lang w:val="en-US" w:eastAsia="zh-CN"/>
              </w:rPr>
              <w:t>用地，根据现场勘查，项目周边无珍稀或濒危动、植物。</w:t>
            </w:r>
          </w:p>
          <w:p w14:paraId="3BA133C1">
            <w:pPr>
              <w:pStyle w:val="7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color w:val="auto"/>
                <w:kern w:val="2"/>
                <w:sz w:val="24"/>
                <w:szCs w:val="21"/>
                <w:lang w:val="en-US" w:eastAsia="zh-CN" w:bidi="ar-SA"/>
              </w:rPr>
            </w:pPr>
            <w:r>
              <w:rPr>
                <w:rFonts w:hint="eastAsia" w:cs="Times New Roman"/>
                <w:b/>
                <w:color w:val="auto"/>
                <w:kern w:val="2"/>
                <w:sz w:val="24"/>
                <w:szCs w:val="21"/>
                <w:lang w:val="en-US" w:eastAsia="zh-CN" w:bidi="ar-SA"/>
              </w:rPr>
              <w:t>6.</w:t>
            </w:r>
            <w:r>
              <w:rPr>
                <w:rFonts w:hint="default" w:ascii="Times New Roman" w:hAnsi="Times New Roman" w:eastAsia="宋体" w:cs="Times New Roman"/>
                <w:b/>
                <w:color w:val="auto"/>
                <w:kern w:val="2"/>
                <w:sz w:val="24"/>
                <w:szCs w:val="21"/>
                <w:lang w:val="en-US" w:eastAsia="zh-CN" w:bidi="ar-SA"/>
              </w:rPr>
              <w:t>.地表水环境</w:t>
            </w:r>
            <w:r>
              <w:rPr>
                <w:rFonts w:hint="default" w:ascii="Times New Roman" w:hAnsi="Times New Roman" w:eastAsia="宋体" w:cs="Times New Roman"/>
                <w:b/>
                <w:color w:val="auto"/>
                <w:sz w:val="24"/>
                <w:lang w:val="en-US" w:eastAsia="zh-CN"/>
              </w:rPr>
              <w:t>现状</w:t>
            </w:r>
          </w:p>
          <w:p w14:paraId="3E60F698">
            <w:pPr>
              <w:pStyle w:val="7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val="0"/>
                <w:bCs/>
                <w:color w:val="auto"/>
                <w:kern w:val="2"/>
                <w:sz w:val="24"/>
                <w:szCs w:val="21"/>
                <w:lang w:val="en-US" w:eastAsia="zh-CN" w:bidi="ar-SA"/>
              </w:rPr>
            </w:pPr>
            <w:r>
              <w:rPr>
                <w:rFonts w:hint="default" w:ascii="Times New Roman" w:hAnsi="Times New Roman" w:eastAsia="宋体" w:cs="Times New Roman"/>
                <w:b w:val="0"/>
                <w:bCs/>
                <w:color w:val="auto"/>
                <w:kern w:val="2"/>
                <w:sz w:val="24"/>
                <w:szCs w:val="21"/>
                <w:lang w:val="en-US" w:eastAsia="zh-CN" w:bidi="ar-SA"/>
              </w:rPr>
              <w:t>本项目所在区域附近无地表水体，</w:t>
            </w:r>
            <w:r>
              <w:rPr>
                <w:rFonts w:hint="default" w:ascii="Times New Roman" w:hAnsi="Times New Roman" w:eastAsia="宋体" w:cs="Times New Roman"/>
                <w:color w:val="auto"/>
                <w:lang w:val="en-US" w:eastAsia="zh-CN"/>
              </w:rPr>
              <w:t>因此不对地表水开展环境质量现状调查。</w:t>
            </w:r>
          </w:p>
          <w:p w14:paraId="04D002DD">
            <w:pPr>
              <w:pStyle w:val="7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color w:val="auto"/>
                <w:kern w:val="2"/>
                <w:sz w:val="24"/>
                <w:szCs w:val="21"/>
                <w:lang w:val="en-US" w:eastAsia="zh-CN" w:bidi="ar-SA"/>
              </w:rPr>
            </w:pPr>
            <w:r>
              <w:rPr>
                <w:rFonts w:hint="eastAsia" w:cs="Times New Roman"/>
                <w:b/>
                <w:color w:val="auto"/>
                <w:kern w:val="2"/>
                <w:sz w:val="24"/>
                <w:szCs w:val="21"/>
                <w:lang w:val="en-US" w:eastAsia="zh-CN" w:bidi="ar-SA"/>
              </w:rPr>
              <w:t>7.</w:t>
            </w:r>
            <w:r>
              <w:rPr>
                <w:rFonts w:hint="default" w:ascii="Times New Roman" w:hAnsi="Times New Roman" w:eastAsia="宋体" w:cs="Times New Roman"/>
                <w:b/>
                <w:color w:val="auto"/>
                <w:kern w:val="2"/>
                <w:sz w:val="24"/>
                <w:szCs w:val="21"/>
                <w:lang w:val="en-US" w:eastAsia="zh-CN" w:bidi="ar-SA"/>
              </w:rPr>
              <w:t>.电磁辐射环境</w:t>
            </w:r>
          </w:p>
          <w:p w14:paraId="4613F1A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rPr>
            </w:pPr>
            <w:r>
              <w:rPr>
                <w:rFonts w:hint="default" w:ascii="Times New Roman" w:hAnsi="Times New Roman" w:eastAsia="宋体" w:cs="Times New Roman"/>
                <w:b w:val="0"/>
                <w:bCs w:val="0"/>
                <w:color w:val="auto"/>
                <w:sz w:val="24"/>
                <w:highlight w:val="none"/>
                <w:lang w:val="en-US" w:eastAsia="zh-CN"/>
              </w:rPr>
              <w:t>本项目不属于电磁辐射类项目。因此，不涉及电磁辐射现状调查。</w:t>
            </w:r>
          </w:p>
        </w:tc>
      </w:tr>
      <w:tr w14:paraId="12C99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371" w:type="pct"/>
            <w:noWrap w:val="0"/>
            <w:vAlign w:val="center"/>
          </w:tcPr>
          <w:p w14:paraId="0AA7DCF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w:t>
            </w:r>
          </w:p>
          <w:p w14:paraId="5396120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保护</w:t>
            </w:r>
          </w:p>
          <w:p w14:paraId="433B75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目标</w:t>
            </w:r>
          </w:p>
        </w:tc>
        <w:tc>
          <w:tcPr>
            <w:tcW w:w="4628" w:type="pct"/>
            <w:noWrap w:val="0"/>
            <w:vAlign w:val="center"/>
          </w:tcPr>
          <w:p w14:paraId="109EF55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1.空气环境：项目厂界外500米范围内</w:t>
            </w:r>
            <w:r>
              <w:rPr>
                <w:rFonts w:hint="eastAsia" w:cs="Times New Roman"/>
                <w:color w:val="auto"/>
                <w:sz w:val="24"/>
                <w:highlight w:val="none"/>
                <w:lang w:val="en-US" w:eastAsia="zh-CN"/>
              </w:rPr>
              <w:t>无</w:t>
            </w:r>
            <w:r>
              <w:rPr>
                <w:rFonts w:hint="default" w:ascii="Times New Roman" w:hAnsi="Times New Roman" w:eastAsia="宋体" w:cs="Times New Roman"/>
                <w:color w:val="auto"/>
                <w:sz w:val="24"/>
                <w:highlight w:val="none"/>
              </w:rPr>
              <w:t>空气环境</w:t>
            </w:r>
            <w:r>
              <w:rPr>
                <w:rFonts w:hint="default" w:ascii="Times New Roman" w:hAnsi="Times New Roman" w:eastAsia="宋体" w:cs="Times New Roman"/>
                <w:color w:val="auto"/>
                <w:sz w:val="24"/>
                <w:highlight w:val="none"/>
                <w:lang w:val="en-US" w:eastAsia="zh-CN"/>
              </w:rPr>
              <w:t>保护目标。</w:t>
            </w:r>
          </w:p>
          <w:p w14:paraId="586ED1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2.声环境：项目厂界外50米范围内无居民点等环境</w:t>
            </w:r>
            <w:r>
              <w:rPr>
                <w:rFonts w:hint="default" w:ascii="Times New Roman" w:hAnsi="Times New Roman" w:eastAsia="宋体" w:cs="Times New Roman"/>
                <w:color w:val="auto"/>
                <w:sz w:val="24"/>
                <w:highlight w:val="none"/>
                <w:lang w:val="en-US" w:eastAsia="zh-CN"/>
              </w:rPr>
              <w:t>保护目标</w:t>
            </w:r>
            <w:r>
              <w:rPr>
                <w:rFonts w:hint="default" w:ascii="Times New Roman" w:hAnsi="Times New Roman" w:eastAsia="宋体" w:cs="Times New Roman"/>
                <w:color w:val="auto"/>
                <w:sz w:val="24"/>
                <w:highlight w:val="none"/>
              </w:rPr>
              <w:t>。</w:t>
            </w:r>
          </w:p>
          <w:p w14:paraId="5EBCAF7C">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3.地下水环境：项目厂界外500米范围内无地下水集中式饮用水水源和热水、矿泉水、温泉等特殊地下水资源。</w:t>
            </w:r>
          </w:p>
          <w:p w14:paraId="6D0954C2">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rPr>
              <w:t>4.生态环境</w:t>
            </w:r>
            <w:r>
              <w:rPr>
                <w:rFonts w:hint="default" w:ascii="Times New Roman" w:hAnsi="Times New Roman" w:eastAsia="宋体" w:cs="Times New Roman"/>
                <w:color w:val="auto"/>
                <w:kern w:val="2"/>
                <w:szCs w:val="24"/>
                <w:highlight w:val="none"/>
                <w:lang w:eastAsia="zh-CN"/>
              </w:rPr>
              <w:t>：</w:t>
            </w:r>
            <w:r>
              <w:rPr>
                <w:rFonts w:hint="default" w:ascii="Times New Roman" w:hAnsi="Times New Roman" w:eastAsia="宋体" w:cs="Times New Roman"/>
                <w:color w:val="auto"/>
                <w:sz w:val="24"/>
                <w:highlight w:val="none"/>
                <w:lang w:val="en-US" w:eastAsia="zh-CN"/>
              </w:rPr>
              <w:t>本项目位于</w:t>
            </w:r>
            <w:r>
              <w:rPr>
                <w:rFonts w:hint="eastAsia"/>
                <w:color w:val="auto"/>
                <w:sz w:val="24"/>
              </w:rPr>
              <w:t>内蒙古自治区鄂尔多斯市伊金霍洛旗乌兰木伦镇</w:t>
            </w:r>
            <w:r>
              <w:rPr>
                <w:rFonts w:hint="eastAsia"/>
                <w:color w:val="auto"/>
                <w:sz w:val="24"/>
                <w:lang w:val="en-US" w:eastAsia="zh-CN"/>
              </w:rPr>
              <w:t>布尔台煤矿</w:t>
            </w:r>
            <w:r>
              <w:rPr>
                <w:rFonts w:hint="eastAsia"/>
                <w:color w:val="auto"/>
                <w:sz w:val="24"/>
              </w:rPr>
              <w:t>厂区内</w:t>
            </w:r>
            <w:r>
              <w:rPr>
                <w:rFonts w:hint="default" w:ascii="Times New Roman" w:hAnsi="Times New Roman" w:eastAsia="宋体" w:cs="Times New Roman"/>
                <w:color w:val="auto"/>
                <w:sz w:val="24"/>
                <w:highlight w:val="none"/>
                <w:lang w:val="en-US" w:eastAsia="zh-CN"/>
              </w:rPr>
              <w:t>，无生态环境保护目标。</w:t>
            </w:r>
          </w:p>
          <w:p w14:paraId="63069C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根据调查，</w:t>
            </w:r>
            <w:r>
              <w:rPr>
                <w:rFonts w:hint="default" w:ascii="Times New Roman" w:hAnsi="Times New Roman" w:eastAsia="宋体" w:cs="Times New Roman"/>
                <w:color w:val="auto"/>
                <w:sz w:val="24"/>
                <w:szCs w:val="24"/>
                <w:highlight w:val="none"/>
              </w:rPr>
              <w:t>项目环境保护目标情况见表</w:t>
            </w:r>
            <w:r>
              <w:rPr>
                <w:rFonts w:hint="default"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w:t>
            </w:r>
          </w:p>
          <w:p w14:paraId="02AB9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2"/>
              <w:jc w:val="center"/>
              <w:textAlignment w:val="auto"/>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表3-</w:t>
            </w:r>
            <w:r>
              <w:rPr>
                <w:rFonts w:hint="eastAsia" w:cs="Times New Roman"/>
                <w:b/>
                <w:color w:val="auto"/>
                <w:sz w:val="24"/>
                <w:highlight w:val="none"/>
                <w:lang w:val="en-US" w:eastAsia="zh-CN"/>
              </w:rPr>
              <w:t xml:space="preserve">6 </w:t>
            </w:r>
            <w:r>
              <w:rPr>
                <w:rFonts w:hint="default" w:ascii="Times New Roman" w:hAnsi="Times New Roman" w:eastAsia="宋体" w:cs="Times New Roman"/>
                <w:b/>
                <w:color w:val="auto"/>
                <w:sz w:val="24"/>
                <w:highlight w:val="none"/>
                <w:lang w:val="en-US" w:eastAsia="zh-CN"/>
              </w:rPr>
              <w:t xml:space="preserve">  主要环境保护目标</w:t>
            </w:r>
          </w:p>
          <w:tbl>
            <w:tblPr>
              <w:tblStyle w:val="31"/>
              <w:tblW w:w="5000"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013"/>
              <w:gridCol w:w="864"/>
              <w:gridCol w:w="1288"/>
              <w:gridCol w:w="590"/>
              <w:gridCol w:w="781"/>
              <w:gridCol w:w="698"/>
              <w:gridCol w:w="856"/>
              <w:gridCol w:w="1513"/>
            </w:tblGrid>
            <w:tr w14:paraId="2A33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59" w:type="pct"/>
                  <w:vMerge w:val="restart"/>
                  <w:tcBorders>
                    <w:tl2br w:val="nil"/>
                    <w:tr2bl w:val="nil"/>
                  </w:tcBorders>
                  <w:noWrap/>
                  <w:vAlign w:val="center"/>
                </w:tcPr>
                <w:p w14:paraId="03EEDB9E">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环境要素</w:t>
                  </w:r>
                </w:p>
              </w:tc>
              <w:tc>
                <w:tcPr>
                  <w:tcW w:w="1120" w:type="pct"/>
                  <w:gridSpan w:val="2"/>
                  <w:tcBorders>
                    <w:tl2br w:val="nil"/>
                    <w:tr2bl w:val="nil"/>
                  </w:tcBorders>
                  <w:noWrap/>
                  <w:vAlign w:val="center"/>
                </w:tcPr>
                <w:p w14:paraId="2896CAE8">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坐标</w:t>
                  </w:r>
                </w:p>
              </w:tc>
              <w:tc>
                <w:tcPr>
                  <w:tcW w:w="769" w:type="pct"/>
                  <w:vMerge w:val="restart"/>
                  <w:tcBorders>
                    <w:tl2br w:val="nil"/>
                    <w:tr2bl w:val="nil"/>
                  </w:tcBorders>
                  <w:noWrap/>
                  <w:vAlign w:val="center"/>
                </w:tcPr>
                <w:p w14:paraId="6C43B9B3">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w:t>
                  </w:r>
                </w:p>
                <w:p w14:paraId="47D28E0E">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目标</w:t>
                  </w:r>
                </w:p>
              </w:tc>
              <w:tc>
                <w:tcPr>
                  <w:tcW w:w="352" w:type="pct"/>
                  <w:vMerge w:val="restart"/>
                  <w:tcBorders>
                    <w:tl2br w:val="nil"/>
                    <w:tr2bl w:val="nil"/>
                  </w:tcBorders>
                  <w:noWrap/>
                  <w:vAlign w:val="center"/>
                </w:tcPr>
                <w:p w14:paraId="5DBDA88E">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方位</w:t>
                  </w:r>
                </w:p>
              </w:tc>
              <w:tc>
                <w:tcPr>
                  <w:tcW w:w="466" w:type="pct"/>
                  <w:vMerge w:val="restart"/>
                  <w:tcBorders>
                    <w:tl2br w:val="nil"/>
                    <w:tr2bl w:val="nil"/>
                  </w:tcBorders>
                  <w:noWrap/>
                  <w:vAlign w:val="center"/>
                </w:tcPr>
                <w:p w14:paraId="2A1DC1AA">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保护内容</w:t>
                  </w:r>
                </w:p>
              </w:tc>
              <w:tc>
                <w:tcPr>
                  <w:tcW w:w="416" w:type="pct"/>
                  <w:vMerge w:val="restart"/>
                  <w:tcBorders>
                    <w:tl2br w:val="nil"/>
                    <w:tr2bl w:val="nil"/>
                  </w:tcBorders>
                  <w:noWrap/>
                  <w:vAlign w:val="center"/>
                </w:tcPr>
                <w:p w14:paraId="373422D6">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距离（m）</w:t>
                  </w:r>
                </w:p>
              </w:tc>
              <w:tc>
                <w:tcPr>
                  <w:tcW w:w="511" w:type="pct"/>
                  <w:vMerge w:val="restart"/>
                  <w:tcBorders>
                    <w:tl2br w:val="nil"/>
                    <w:tr2bl w:val="nil"/>
                  </w:tcBorders>
                  <w:noWrap/>
                  <w:vAlign w:val="center"/>
                </w:tcPr>
                <w:p w14:paraId="1E36D202">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受影响人数（人）</w:t>
                  </w:r>
                </w:p>
              </w:tc>
              <w:tc>
                <w:tcPr>
                  <w:tcW w:w="903" w:type="pct"/>
                  <w:vMerge w:val="restart"/>
                  <w:tcBorders>
                    <w:tl2br w:val="nil"/>
                    <w:tr2bl w:val="nil"/>
                  </w:tcBorders>
                  <w:noWrap/>
                  <w:vAlign w:val="center"/>
                </w:tcPr>
                <w:p w14:paraId="0030A195">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保护级别</w:t>
                  </w:r>
                </w:p>
              </w:tc>
            </w:tr>
            <w:tr w14:paraId="7C0E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59" w:type="pct"/>
                  <w:vMerge w:val="continue"/>
                  <w:tcBorders>
                    <w:tl2br w:val="nil"/>
                    <w:tr2bl w:val="nil"/>
                  </w:tcBorders>
                  <w:noWrap/>
                  <w:vAlign w:val="center"/>
                </w:tcPr>
                <w:p w14:paraId="1C084A81">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604" w:type="pct"/>
                  <w:tcBorders>
                    <w:tl2br w:val="nil"/>
                    <w:tr2bl w:val="nil"/>
                  </w:tcBorders>
                  <w:noWrap/>
                  <w:vAlign w:val="center"/>
                </w:tcPr>
                <w:p w14:paraId="38839B94">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东经</w:t>
                  </w:r>
                </w:p>
              </w:tc>
              <w:tc>
                <w:tcPr>
                  <w:tcW w:w="515" w:type="pct"/>
                  <w:tcBorders>
                    <w:tl2br w:val="nil"/>
                    <w:tr2bl w:val="nil"/>
                  </w:tcBorders>
                  <w:noWrap/>
                  <w:vAlign w:val="center"/>
                </w:tcPr>
                <w:p w14:paraId="65257F60">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北纬</w:t>
                  </w:r>
                </w:p>
              </w:tc>
              <w:tc>
                <w:tcPr>
                  <w:tcW w:w="769" w:type="pct"/>
                  <w:vMerge w:val="continue"/>
                  <w:tcBorders>
                    <w:tl2br w:val="nil"/>
                    <w:tr2bl w:val="nil"/>
                  </w:tcBorders>
                  <w:noWrap/>
                  <w:vAlign w:val="center"/>
                </w:tcPr>
                <w:p w14:paraId="5E5F7C5D">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352" w:type="pct"/>
                  <w:vMerge w:val="continue"/>
                  <w:tcBorders>
                    <w:tl2br w:val="nil"/>
                    <w:tr2bl w:val="nil"/>
                  </w:tcBorders>
                  <w:noWrap/>
                  <w:vAlign w:val="center"/>
                </w:tcPr>
                <w:p w14:paraId="698D8AE3">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466" w:type="pct"/>
                  <w:vMerge w:val="continue"/>
                  <w:tcBorders>
                    <w:tl2br w:val="nil"/>
                    <w:tr2bl w:val="nil"/>
                  </w:tcBorders>
                  <w:noWrap/>
                  <w:vAlign w:val="center"/>
                </w:tcPr>
                <w:p w14:paraId="73135335">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416" w:type="pct"/>
                  <w:vMerge w:val="continue"/>
                  <w:tcBorders>
                    <w:tl2br w:val="nil"/>
                    <w:tr2bl w:val="nil"/>
                  </w:tcBorders>
                  <w:noWrap/>
                  <w:vAlign w:val="center"/>
                </w:tcPr>
                <w:p w14:paraId="0F669562">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11" w:type="pct"/>
                  <w:vMerge w:val="continue"/>
                  <w:tcBorders>
                    <w:tl2br w:val="nil"/>
                    <w:tr2bl w:val="nil"/>
                  </w:tcBorders>
                  <w:noWrap/>
                  <w:vAlign w:val="center"/>
                </w:tcPr>
                <w:p w14:paraId="5F270D24">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903" w:type="pct"/>
                  <w:vMerge w:val="continue"/>
                  <w:tcBorders>
                    <w:tl2br w:val="nil"/>
                    <w:tr2bl w:val="nil"/>
                  </w:tcBorders>
                  <w:noWrap/>
                  <w:vAlign w:val="center"/>
                </w:tcPr>
                <w:p w14:paraId="6FEF8B7B">
                  <w:pPr>
                    <w:pStyle w:val="77"/>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r>
            <w:tr w14:paraId="5E04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59" w:type="pct"/>
                  <w:tcBorders>
                    <w:tl2br w:val="nil"/>
                    <w:tr2bl w:val="nil"/>
                  </w:tcBorders>
                  <w:noWrap/>
                  <w:vAlign w:val="center"/>
                </w:tcPr>
                <w:p w14:paraId="32B0F485">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大气环境</w:t>
                  </w:r>
                </w:p>
              </w:tc>
              <w:tc>
                <w:tcPr>
                  <w:tcW w:w="3636" w:type="pct"/>
                  <w:gridSpan w:val="7"/>
                  <w:tcBorders>
                    <w:tl2br w:val="nil"/>
                    <w:tr2bl w:val="nil"/>
                  </w:tcBorders>
                  <w:noWrap/>
                  <w:vAlign w:val="center"/>
                </w:tcPr>
                <w:p w14:paraId="796998C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厂界周围5</w:t>
                  </w:r>
                  <w:r>
                    <w:rPr>
                      <w:rFonts w:hint="eastAsia" w:ascii="Times New Roman" w:hAnsi="Times New Roman"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0m范围内无敏感目标</w:t>
                  </w:r>
                </w:p>
              </w:tc>
              <w:tc>
                <w:tcPr>
                  <w:tcW w:w="903" w:type="pct"/>
                  <w:tcBorders>
                    <w:tl2br w:val="nil"/>
                    <w:tr2bl w:val="nil"/>
                  </w:tcBorders>
                  <w:noWrap/>
                  <w:vAlign w:val="center"/>
                </w:tcPr>
                <w:p w14:paraId="5621DDD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《环境空气质量标准》（GB3095-2012）中二级标准及修改单</w:t>
                  </w:r>
                </w:p>
              </w:tc>
            </w:tr>
            <w:tr w14:paraId="445C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59" w:type="pct"/>
                  <w:tcBorders>
                    <w:tl2br w:val="nil"/>
                    <w:tr2bl w:val="nil"/>
                  </w:tcBorders>
                  <w:noWrap/>
                  <w:vAlign w:val="center"/>
                </w:tcPr>
                <w:p w14:paraId="320C54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Cs w:val="21"/>
                      <w:highlight w:val="none"/>
                    </w:rPr>
                    <w:t>声环境</w:t>
                  </w:r>
                </w:p>
              </w:tc>
              <w:tc>
                <w:tcPr>
                  <w:tcW w:w="3636" w:type="pct"/>
                  <w:gridSpan w:val="7"/>
                  <w:tcBorders>
                    <w:tl2br w:val="nil"/>
                    <w:tr2bl w:val="nil"/>
                  </w:tcBorders>
                  <w:noWrap/>
                  <w:vAlign w:val="center"/>
                </w:tcPr>
                <w:p w14:paraId="0CDBB57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厂界周围50m范围内无敏感目标</w:t>
                  </w:r>
                </w:p>
              </w:tc>
              <w:tc>
                <w:tcPr>
                  <w:tcW w:w="903" w:type="pct"/>
                  <w:tcBorders>
                    <w:tl2br w:val="nil"/>
                    <w:tr2bl w:val="nil"/>
                  </w:tcBorders>
                  <w:noWrap/>
                  <w:vAlign w:val="center"/>
                </w:tcPr>
                <w:p w14:paraId="4A50EA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Cs w:val="21"/>
                      <w:highlight w:val="none"/>
                    </w:rPr>
                    <w:t>《声环境质量标准》（GB3096-2008）</w:t>
                  </w:r>
                  <w:r>
                    <w:rPr>
                      <w:rFonts w:hint="eastAsia"/>
                      <w:color w:val="auto"/>
                      <w:szCs w:val="21"/>
                      <w:highlight w:val="none"/>
                      <w:lang w:val="en-US" w:eastAsia="zh-CN"/>
                    </w:rPr>
                    <w:t>2</w:t>
                  </w:r>
                  <w:r>
                    <w:rPr>
                      <w:rFonts w:hint="default"/>
                      <w:color w:val="auto"/>
                      <w:szCs w:val="21"/>
                      <w:highlight w:val="none"/>
                    </w:rPr>
                    <w:t>类标准</w:t>
                  </w:r>
                </w:p>
              </w:tc>
            </w:tr>
            <w:tr w14:paraId="7626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59" w:type="pct"/>
                  <w:tcBorders>
                    <w:tl2br w:val="nil"/>
                    <w:tr2bl w:val="nil"/>
                  </w:tcBorders>
                  <w:noWrap/>
                  <w:vAlign w:val="center"/>
                </w:tcPr>
                <w:p w14:paraId="2C65C295">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地下水环境</w:t>
                  </w:r>
                </w:p>
              </w:tc>
              <w:tc>
                <w:tcPr>
                  <w:tcW w:w="3636" w:type="pct"/>
                  <w:gridSpan w:val="7"/>
                  <w:tcBorders>
                    <w:tl2br w:val="nil"/>
                    <w:tr2bl w:val="nil"/>
                  </w:tcBorders>
                  <w:noWrap/>
                  <w:vAlign w:val="center"/>
                </w:tcPr>
                <w:p w14:paraId="718F13A7">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项目厂界外500米范围内无地下水集中式饮用水水源和热水、矿泉水、温泉等特殊地下水资源。</w:t>
                  </w:r>
                </w:p>
              </w:tc>
              <w:tc>
                <w:tcPr>
                  <w:tcW w:w="903" w:type="pct"/>
                  <w:tcBorders>
                    <w:tl2br w:val="nil"/>
                    <w:tr2bl w:val="nil"/>
                  </w:tcBorders>
                  <w:noWrap/>
                  <w:vAlign w:val="center"/>
                </w:tcPr>
                <w:p w14:paraId="7C1CD2F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996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59" w:type="pct"/>
                  <w:tcBorders>
                    <w:tl2br w:val="nil"/>
                    <w:tr2bl w:val="nil"/>
                  </w:tcBorders>
                  <w:noWrap/>
                  <w:vAlign w:val="center"/>
                </w:tcPr>
                <w:p w14:paraId="3C783AE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rPr>
                    <w:t>生态环境</w:t>
                  </w:r>
                </w:p>
              </w:tc>
              <w:tc>
                <w:tcPr>
                  <w:tcW w:w="3636" w:type="pct"/>
                  <w:gridSpan w:val="7"/>
                  <w:tcBorders>
                    <w:tl2br w:val="nil"/>
                    <w:tr2bl w:val="nil"/>
                  </w:tcBorders>
                  <w:noWrap/>
                  <w:vAlign w:val="center"/>
                </w:tcPr>
                <w:p w14:paraId="6215B1B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本项目位于</w:t>
                  </w:r>
                  <w:r>
                    <w:rPr>
                      <w:rFonts w:hint="eastAsia" w:ascii="Times New Roman" w:hAnsi="Times New Roman" w:eastAsia="宋体" w:cs="Times New Roman"/>
                      <w:color w:val="auto"/>
                      <w:sz w:val="21"/>
                      <w:szCs w:val="21"/>
                      <w:highlight w:val="none"/>
                      <w:lang w:val="en-US" w:eastAsia="zh-CN"/>
                    </w:rPr>
                    <w:t>内蒙古自治区鄂尔多斯市伊金霍洛旗乌兰木伦镇布尔台煤矿厂区内</w:t>
                  </w:r>
                  <w:r>
                    <w:rPr>
                      <w:rFonts w:hint="default" w:ascii="Times New Roman" w:hAnsi="Times New Roman" w:eastAsia="宋体" w:cs="Times New Roman"/>
                      <w:color w:val="auto"/>
                      <w:sz w:val="21"/>
                      <w:szCs w:val="21"/>
                      <w:highlight w:val="none"/>
                      <w:lang w:val="en-US" w:eastAsia="zh-CN"/>
                    </w:rPr>
                    <w:t>，无生态环境保护目标</w:t>
                  </w:r>
                </w:p>
              </w:tc>
              <w:tc>
                <w:tcPr>
                  <w:tcW w:w="903" w:type="pct"/>
                  <w:tcBorders>
                    <w:tl2br w:val="nil"/>
                    <w:tr2bl w:val="nil"/>
                  </w:tcBorders>
                  <w:noWrap/>
                  <w:vAlign w:val="center"/>
                </w:tcPr>
                <w:p w14:paraId="7DFCDC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lang w:val="en-US" w:eastAsia="zh-CN"/>
                    </w:rPr>
                    <w:t>/</w:t>
                  </w:r>
                </w:p>
              </w:tc>
            </w:tr>
          </w:tbl>
          <w:p w14:paraId="3D2C44DF">
            <w:pPr>
              <w:pStyle w:val="2"/>
              <w:keepNext w:val="0"/>
              <w:keepLines w:val="0"/>
              <w:suppressLineNumbers w:val="0"/>
              <w:spacing w:before="0" w:beforeAutospacing="0" w:afterAutospacing="0"/>
              <w:ind w:left="0" w:leftChars="0" w:right="0" w:firstLine="0" w:firstLineChars="0"/>
              <w:rPr>
                <w:rFonts w:hint="default" w:ascii="Times New Roman" w:hAnsi="Times New Roman" w:eastAsia="宋体" w:cs="Times New Roman"/>
                <w:color w:val="auto"/>
                <w:highlight w:val="none"/>
              </w:rPr>
            </w:pPr>
          </w:p>
        </w:tc>
      </w:tr>
      <w:tr w14:paraId="61074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38" w:hRule="atLeast"/>
          <w:jc w:val="center"/>
        </w:trPr>
        <w:tc>
          <w:tcPr>
            <w:tcW w:w="371" w:type="pct"/>
            <w:noWrap w:val="0"/>
            <w:tcMar>
              <w:left w:w="28" w:type="dxa"/>
              <w:right w:w="28" w:type="dxa"/>
            </w:tcMar>
            <w:vAlign w:val="center"/>
          </w:tcPr>
          <w:p w14:paraId="6BD41B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污染</w:t>
            </w:r>
          </w:p>
          <w:p w14:paraId="0DCD71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物排</w:t>
            </w:r>
          </w:p>
          <w:p w14:paraId="1C41D47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放控</w:t>
            </w:r>
          </w:p>
          <w:p w14:paraId="340591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制标</w:t>
            </w:r>
          </w:p>
          <w:p w14:paraId="473A5B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准</w:t>
            </w:r>
          </w:p>
        </w:tc>
        <w:tc>
          <w:tcPr>
            <w:tcW w:w="4628" w:type="pct"/>
            <w:noWrap w:val="0"/>
            <w:vAlign w:val="center"/>
          </w:tcPr>
          <w:p w14:paraId="5BF7D2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w:t>
            </w:r>
            <w:r>
              <w:rPr>
                <w:rFonts w:hint="eastAsia" w:eastAsia="宋体" w:cs="Times New Roman"/>
                <w:b/>
                <w:bCs/>
                <w:color w:val="auto"/>
                <w:sz w:val="24"/>
                <w:lang w:val="en-US" w:eastAsia="zh-CN"/>
              </w:rPr>
              <w:t>.</w:t>
            </w:r>
            <w:r>
              <w:rPr>
                <w:rFonts w:hint="default" w:ascii="Times New Roman" w:hAnsi="Times New Roman" w:eastAsia="宋体" w:cs="Times New Roman"/>
                <w:b/>
                <w:bCs/>
                <w:color w:val="auto"/>
                <w:sz w:val="24"/>
              </w:rPr>
              <w:t>大气污染物排放标准</w:t>
            </w:r>
          </w:p>
          <w:p w14:paraId="19A3AAA5">
            <w:pPr>
              <w:pStyle w:val="7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施工期无组织颗粒物排放执行《大气污染物综合排放标准》（GB16297-1996）中新污染源大气污染物排放限值要求。</w:t>
            </w:r>
          </w:p>
          <w:p w14:paraId="5D5F07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eastAsia="宋体"/>
                <w:color w:val="auto"/>
                <w:sz w:val="24"/>
                <w:szCs w:val="22"/>
                <w:highlight w:val="none"/>
              </w:rPr>
            </w:pPr>
            <w:r>
              <w:rPr>
                <w:rFonts w:hint="eastAsia" w:hAnsi="宋体" w:eastAsia="宋体"/>
                <w:snapToGrid w:val="0"/>
                <w:color w:val="auto"/>
                <w:kern w:val="0"/>
                <w:sz w:val="24"/>
                <w:szCs w:val="22"/>
                <w:highlight w:val="none"/>
              </w:rPr>
              <w:t>本项目运营期喷漆废气</w:t>
            </w:r>
            <w:r>
              <w:rPr>
                <w:rFonts w:hint="eastAsia" w:hAnsi="宋体" w:eastAsia="宋体"/>
                <w:snapToGrid w:val="0"/>
                <w:color w:val="auto"/>
                <w:kern w:val="0"/>
                <w:sz w:val="24"/>
                <w:szCs w:val="22"/>
                <w:highlight w:val="none"/>
                <w:lang w:eastAsia="zh-CN"/>
              </w:rPr>
              <w:t>（</w:t>
            </w:r>
            <w:r>
              <w:rPr>
                <w:rFonts w:hint="eastAsia" w:hAnsi="宋体" w:eastAsia="宋体"/>
                <w:snapToGrid w:val="0"/>
                <w:color w:val="auto"/>
                <w:kern w:val="0"/>
                <w:sz w:val="24"/>
                <w:szCs w:val="22"/>
                <w:highlight w:val="none"/>
                <w:lang w:val="en-US" w:eastAsia="zh-CN"/>
              </w:rPr>
              <w:t>颗粒物、苯、甲苯、二甲苯、非甲烷总烃</w:t>
            </w:r>
            <w:r>
              <w:rPr>
                <w:rFonts w:hint="eastAsia" w:hAnsi="宋体" w:eastAsia="宋体"/>
                <w:snapToGrid w:val="0"/>
                <w:color w:val="auto"/>
                <w:kern w:val="0"/>
                <w:sz w:val="24"/>
                <w:szCs w:val="22"/>
                <w:highlight w:val="none"/>
                <w:lang w:eastAsia="zh-CN"/>
              </w:rPr>
              <w:t>）</w:t>
            </w:r>
            <w:r>
              <w:rPr>
                <w:rFonts w:hint="eastAsia" w:hAnsi="宋体" w:eastAsia="宋体"/>
                <w:snapToGrid w:val="0"/>
                <w:color w:val="auto"/>
                <w:kern w:val="0"/>
                <w:sz w:val="24"/>
                <w:szCs w:val="22"/>
                <w:highlight w:val="none"/>
              </w:rPr>
              <w:t>执行《大气污染物综合排放标准》（GB16297-1996）表2标准限值。</w:t>
            </w:r>
          </w:p>
          <w:p w14:paraId="1575BA53">
            <w:pPr>
              <w:pStyle w:val="11"/>
              <w:keepNext w:val="0"/>
              <w:keepLines w:val="0"/>
              <w:suppressLineNumbers w:val="0"/>
              <w:snapToGrid/>
              <w:spacing w:before="0" w:beforeAutospacing="0" w:after="0" w:afterAutospacing="0" w:line="240" w:lineRule="auto"/>
              <w:ind w:left="0" w:right="0"/>
              <w:jc w:val="center"/>
              <w:rPr>
                <w:rFonts w:hint="default" w:eastAsia="宋体"/>
                <w:b/>
                <w:bCs/>
                <w:color w:val="auto"/>
                <w:sz w:val="24"/>
                <w:szCs w:val="24"/>
                <w:lang w:val="en-US" w:eastAsia="zh-CN"/>
              </w:rPr>
            </w:pPr>
            <w:r>
              <w:rPr>
                <w:rFonts w:hint="default"/>
                <w:b/>
                <w:bCs/>
                <w:color w:val="auto"/>
                <w:sz w:val="24"/>
                <w:szCs w:val="24"/>
              </w:rPr>
              <w:t>表3-</w:t>
            </w:r>
            <w:r>
              <w:rPr>
                <w:rFonts w:hint="eastAsia"/>
                <w:b/>
                <w:bCs/>
                <w:color w:val="auto"/>
                <w:sz w:val="24"/>
                <w:szCs w:val="24"/>
                <w:lang w:val="en-US" w:eastAsia="zh-CN"/>
              </w:rPr>
              <w:t>7</w:t>
            </w:r>
            <w:r>
              <w:rPr>
                <w:rFonts w:hint="default"/>
                <w:b/>
                <w:bCs/>
                <w:color w:val="auto"/>
                <w:sz w:val="24"/>
                <w:szCs w:val="24"/>
              </w:rPr>
              <w:t xml:space="preserve">  </w:t>
            </w:r>
            <w:r>
              <w:rPr>
                <w:rFonts w:hint="eastAsia"/>
                <w:b/>
                <w:bCs/>
                <w:color w:val="auto"/>
                <w:sz w:val="24"/>
                <w:szCs w:val="24"/>
                <w:lang w:val="en-US" w:eastAsia="zh-CN"/>
              </w:rPr>
              <w:t>大气污染物综合排放标准</w:t>
            </w:r>
          </w:p>
          <w:tbl>
            <w:tblPr>
              <w:tblStyle w:val="31"/>
              <w:tblW w:w="797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7"/>
              <w:gridCol w:w="1549"/>
              <w:gridCol w:w="1286"/>
              <w:gridCol w:w="1434"/>
              <w:gridCol w:w="1253"/>
              <w:gridCol w:w="1505"/>
            </w:tblGrid>
            <w:tr w14:paraId="4EF0DE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vMerge w:val="restart"/>
                  <w:tcBorders>
                    <w:left w:val="single" w:color="auto" w:sz="0" w:space="0"/>
                    <w:tl2br w:val="nil"/>
                    <w:tr2bl w:val="nil"/>
                  </w:tcBorders>
                  <w:noWrap w:val="0"/>
                  <w:vAlign w:val="center"/>
                </w:tcPr>
                <w:p w14:paraId="116065D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污染物</w:t>
                  </w:r>
                </w:p>
              </w:tc>
              <w:tc>
                <w:tcPr>
                  <w:tcW w:w="1549" w:type="dxa"/>
                  <w:vMerge w:val="restart"/>
                  <w:tcBorders>
                    <w:tl2br w:val="nil"/>
                    <w:tr2bl w:val="nil"/>
                  </w:tcBorders>
                  <w:noWrap w:val="0"/>
                  <w:vAlign w:val="center"/>
                </w:tcPr>
                <w:p w14:paraId="0C3B3B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最高允许排放浓度（mg/m</w:t>
                  </w:r>
                  <w:r>
                    <w:rPr>
                      <w:rFonts w:hint="eastAsia" w:ascii="Times New Roman" w:hAnsi="Times New Roman" w:eastAsia="宋体" w:cs="Times New Roman"/>
                      <w:b/>
                      <w:bCs/>
                      <w:color w:val="auto"/>
                      <w:szCs w:val="21"/>
                      <w:vertAlign w:val="superscript"/>
                      <w:lang w:val="en-US" w:eastAsia="zh-CN"/>
                    </w:rPr>
                    <w:t>3</w:t>
                  </w:r>
                  <w:r>
                    <w:rPr>
                      <w:rFonts w:hint="eastAsia" w:ascii="Times New Roman" w:hAnsi="Times New Roman" w:eastAsia="宋体" w:cs="Times New Roman"/>
                      <w:b/>
                      <w:bCs/>
                      <w:color w:val="auto"/>
                      <w:szCs w:val="21"/>
                      <w:lang w:val="en-US" w:eastAsia="zh-CN"/>
                    </w:rPr>
                    <w:t>）</w:t>
                  </w:r>
                </w:p>
              </w:tc>
              <w:tc>
                <w:tcPr>
                  <w:tcW w:w="1286" w:type="dxa"/>
                  <w:vMerge w:val="restart"/>
                  <w:tcBorders>
                    <w:tl2br w:val="nil"/>
                    <w:tr2bl w:val="nil"/>
                  </w:tcBorders>
                  <w:noWrap w:val="0"/>
                  <w:vAlign w:val="center"/>
                </w:tcPr>
                <w:p w14:paraId="0D6BD19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排气筒高度（m）</w:t>
                  </w:r>
                </w:p>
              </w:tc>
              <w:tc>
                <w:tcPr>
                  <w:tcW w:w="1434" w:type="dxa"/>
                  <w:vMerge w:val="restart"/>
                  <w:tcBorders>
                    <w:tl2br w:val="nil"/>
                    <w:tr2bl w:val="nil"/>
                  </w:tcBorders>
                  <w:noWrap w:val="0"/>
                  <w:vAlign w:val="center"/>
                </w:tcPr>
                <w:p w14:paraId="10319B5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最高允许排放速率（kg/h）</w:t>
                  </w:r>
                </w:p>
              </w:tc>
              <w:tc>
                <w:tcPr>
                  <w:tcW w:w="2758" w:type="dxa"/>
                  <w:gridSpan w:val="2"/>
                  <w:tcBorders>
                    <w:right w:val="single" w:color="auto" w:sz="4" w:space="0"/>
                    <w:tl2br w:val="nil"/>
                    <w:tr2bl w:val="nil"/>
                  </w:tcBorders>
                  <w:noWrap w:val="0"/>
                  <w:vAlign w:val="center"/>
                </w:tcPr>
                <w:p w14:paraId="3BEBE1C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无组织排放监控浓度</w:t>
                  </w:r>
                </w:p>
              </w:tc>
            </w:tr>
            <w:tr w14:paraId="1346F7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vMerge w:val="continue"/>
                  <w:tcBorders>
                    <w:left w:val="single" w:color="auto" w:sz="4" w:space="0"/>
                    <w:tl2br w:val="nil"/>
                    <w:tr2bl w:val="nil"/>
                  </w:tcBorders>
                  <w:noWrap w:val="0"/>
                  <w:vAlign w:val="center"/>
                </w:tcPr>
                <w:p w14:paraId="522B31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p>
              </w:tc>
              <w:tc>
                <w:tcPr>
                  <w:tcW w:w="1549" w:type="dxa"/>
                  <w:vMerge w:val="continue"/>
                  <w:tcBorders>
                    <w:tl2br w:val="nil"/>
                    <w:tr2bl w:val="nil"/>
                  </w:tcBorders>
                  <w:noWrap w:val="0"/>
                  <w:vAlign w:val="center"/>
                </w:tcPr>
                <w:p w14:paraId="497D068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p>
              </w:tc>
              <w:tc>
                <w:tcPr>
                  <w:tcW w:w="1286" w:type="dxa"/>
                  <w:vMerge w:val="continue"/>
                  <w:tcBorders>
                    <w:tl2br w:val="nil"/>
                    <w:tr2bl w:val="nil"/>
                  </w:tcBorders>
                  <w:noWrap w:val="0"/>
                  <w:vAlign w:val="center"/>
                </w:tcPr>
                <w:p w14:paraId="397531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p>
              </w:tc>
              <w:tc>
                <w:tcPr>
                  <w:tcW w:w="1434" w:type="dxa"/>
                  <w:vMerge w:val="continue"/>
                  <w:tcBorders>
                    <w:tl2br w:val="nil"/>
                    <w:tr2bl w:val="nil"/>
                  </w:tcBorders>
                  <w:noWrap w:val="0"/>
                  <w:vAlign w:val="center"/>
                </w:tcPr>
                <w:p w14:paraId="7A66320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p>
              </w:tc>
              <w:tc>
                <w:tcPr>
                  <w:tcW w:w="1253" w:type="dxa"/>
                  <w:tcBorders>
                    <w:tl2br w:val="nil"/>
                    <w:tr2bl w:val="nil"/>
                  </w:tcBorders>
                  <w:noWrap w:val="0"/>
                  <w:vAlign w:val="center"/>
                </w:tcPr>
                <w:p w14:paraId="642B21B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监控点</w:t>
                  </w:r>
                </w:p>
              </w:tc>
              <w:tc>
                <w:tcPr>
                  <w:tcW w:w="1505" w:type="dxa"/>
                  <w:tcBorders>
                    <w:right w:val="single" w:color="auto" w:sz="4" w:space="0"/>
                    <w:tl2br w:val="nil"/>
                    <w:tr2bl w:val="nil"/>
                  </w:tcBorders>
                  <w:noWrap w:val="0"/>
                  <w:vAlign w:val="center"/>
                </w:tcPr>
                <w:p w14:paraId="078E74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浓度（mg/m</w:t>
                  </w:r>
                  <w:r>
                    <w:rPr>
                      <w:rFonts w:hint="eastAsia" w:ascii="Times New Roman" w:hAnsi="Times New Roman" w:eastAsia="宋体" w:cs="Times New Roman"/>
                      <w:b/>
                      <w:bCs/>
                      <w:color w:val="auto"/>
                      <w:szCs w:val="21"/>
                      <w:vertAlign w:val="superscript"/>
                      <w:lang w:val="en-US" w:eastAsia="zh-CN"/>
                    </w:rPr>
                    <w:t>3</w:t>
                  </w:r>
                  <w:r>
                    <w:rPr>
                      <w:rFonts w:hint="eastAsia" w:ascii="Times New Roman" w:hAnsi="Times New Roman" w:eastAsia="宋体" w:cs="Times New Roman"/>
                      <w:b/>
                      <w:bCs/>
                      <w:color w:val="auto"/>
                      <w:szCs w:val="21"/>
                      <w:lang w:val="en-US" w:eastAsia="zh-CN"/>
                    </w:rPr>
                    <w:t>）</w:t>
                  </w:r>
                </w:p>
              </w:tc>
            </w:tr>
            <w:tr w14:paraId="1B50C6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left w:val="single" w:color="auto" w:sz="4" w:space="0"/>
                    <w:tl2br w:val="nil"/>
                    <w:tr2bl w:val="nil"/>
                  </w:tcBorders>
                  <w:noWrap w:val="0"/>
                  <w:vAlign w:val="center"/>
                </w:tcPr>
                <w:p w14:paraId="2301FC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颗粒物</w:t>
                  </w:r>
                </w:p>
              </w:tc>
              <w:tc>
                <w:tcPr>
                  <w:tcW w:w="1549" w:type="dxa"/>
                  <w:tcBorders>
                    <w:tl2br w:val="nil"/>
                    <w:tr2bl w:val="nil"/>
                  </w:tcBorders>
                  <w:noWrap w:val="0"/>
                  <w:vAlign w:val="center"/>
                </w:tcPr>
                <w:p w14:paraId="325778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lang w:val="en-US" w:eastAsia="zh-CN"/>
                    </w:rPr>
                  </w:pPr>
                  <w:r>
                    <w:rPr>
                      <w:rFonts w:hint="eastAsia"/>
                      <w:color w:val="auto"/>
                      <w:szCs w:val="21"/>
                      <w:highlight w:val="none"/>
                    </w:rPr>
                    <w:t>120</w:t>
                  </w:r>
                </w:p>
              </w:tc>
              <w:tc>
                <w:tcPr>
                  <w:tcW w:w="1286" w:type="dxa"/>
                  <w:vMerge w:val="restart"/>
                  <w:tcBorders>
                    <w:tl2br w:val="nil"/>
                    <w:tr2bl w:val="nil"/>
                  </w:tcBorders>
                  <w:noWrap w:val="0"/>
                  <w:vAlign w:val="center"/>
                </w:tcPr>
                <w:p w14:paraId="257F9E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1434" w:type="dxa"/>
                  <w:tcBorders>
                    <w:tl2br w:val="nil"/>
                    <w:tr2bl w:val="nil"/>
                  </w:tcBorders>
                  <w:noWrap w:val="0"/>
                  <w:vAlign w:val="center"/>
                </w:tcPr>
                <w:p w14:paraId="30724B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lang w:val="en-US" w:eastAsia="zh-CN"/>
                    </w:rPr>
                  </w:pPr>
                  <w:r>
                    <w:rPr>
                      <w:rFonts w:hint="eastAsia"/>
                      <w:color w:val="auto"/>
                      <w:szCs w:val="21"/>
                      <w:highlight w:val="none"/>
                    </w:rPr>
                    <w:t>3.5</w:t>
                  </w:r>
                </w:p>
              </w:tc>
              <w:tc>
                <w:tcPr>
                  <w:tcW w:w="1253" w:type="dxa"/>
                  <w:vMerge w:val="restart"/>
                  <w:tcBorders>
                    <w:tl2br w:val="nil"/>
                    <w:tr2bl w:val="nil"/>
                  </w:tcBorders>
                  <w:noWrap w:val="0"/>
                  <w:vAlign w:val="center"/>
                </w:tcPr>
                <w:p w14:paraId="6D0237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周界外浓度最高点</w:t>
                  </w:r>
                </w:p>
              </w:tc>
              <w:tc>
                <w:tcPr>
                  <w:tcW w:w="1505" w:type="dxa"/>
                  <w:tcBorders>
                    <w:right w:val="single" w:color="auto" w:sz="4" w:space="0"/>
                    <w:tl2br w:val="nil"/>
                    <w:tr2bl w:val="nil"/>
                  </w:tcBorders>
                  <w:noWrap w:val="0"/>
                  <w:vAlign w:val="center"/>
                </w:tcPr>
                <w:p w14:paraId="1C24ED3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lang w:val="en-US" w:eastAsia="zh-CN"/>
                    </w:rPr>
                  </w:pPr>
                  <w:r>
                    <w:rPr>
                      <w:rFonts w:hint="eastAsia"/>
                      <w:color w:val="auto"/>
                      <w:szCs w:val="21"/>
                      <w:highlight w:val="none"/>
                    </w:rPr>
                    <w:t>1.0</w:t>
                  </w:r>
                </w:p>
              </w:tc>
            </w:tr>
            <w:tr w14:paraId="29BFD4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left w:val="single" w:color="auto" w:sz="4" w:space="0"/>
                    <w:tl2br w:val="nil"/>
                    <w:tr2bl w:val="nil"/>
                  </w:tcBorders>
                  <w:noWrap w:val="0"/>
                  <w:vAlign w:val="center"/>
                </w:tcPr>
                <w:p w14:paraId="4B1C82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苯</w:t>
                  </w:r>
                </w:p>
              </w:tc>
              <w:tc>
                <w:tcPr>
                  <w:tcW w:w="1549" w:type="dxa"/>
                  <w:tcBorders>
                    <w:tl2br w:val="nil"/>
                    <w:tr2bl w:val="nil"/>
                  </w:tcBorders>
                  <w:noWrap w:val="0"/>
                  <w:vAlign w:val="center"/>
                </w:tcPr>
                <w:p w14:paraId="7D7A0CA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12</w:t>
                  </w:r>
                </w:p>
              </w:tc>
              <w:tc>
                <w:tcPr>
                  <w:tcW w:w="1286" w:type="dxa"/>
                  <w:vMerge w:val="continue"/>
                  <w:tcBorders>
                    <w:tl2br w:val="nil"/>
                    <w:tr2bl w:val="nil"/>
                  </w:tcBorders>
                  <w:noWrap w:val="0"/>
                  <w:vAlign w:val="center"/>
                </w:tcPr>
                <w:p w14:paraId="06DCA5B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34" w:type="dxa"/>
                  <w:tcBorders>
                    <w:tl2br w:val="nil"/>
                    <w:tr2bl w:val="nil"/>
                  </w:tcBorders>
                  <w:noWrap w:val="0"/>
                  <w:vAlign w:val="center"/>
                </w:tcPr>
                <w:p w14:paraId="3BD3355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0.5</w:t>
                  </w:r>
                </w:p>
              </w:tc>
              <w:tc>
                <w:tcPr>
                  <w:tcW w:w="1253" w:type="dxa"/>
                  <w:vMerge w:val="continue"/>
                  <w:tcBorders>
                    <w:tl2br w:val="nil"/>
                    <w:tr2bl w:val="nil"/>
                  </w:tcBorders>
                  <w:noWrap w:val="0"/>
                  <w:vAlign w:val="center"/>
                </w:tcPr>
                <w:p w14:paraId="1EEEDB3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505" w:type="dxa"/>
                  <w:tcBorders>
                    <w:right w:val="single" w:color="auto" w:sz="4" w:space="0"/>
                    <w:tl2br w:val="nil"/>
                    <w:tr2bl w:val="nil"/>
                  </w:tcBorders>
                  <w:noWrap w:val="0"/>
                  <w:vAlign w:val="center"/>
                </w:tcPr>
                <w:p w14:paraId="3C51AA0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0.4</w:t>
                  </w:r>
                </w:p>
              </w:tc>
            </w:tr>
            <w:tr w14:paraId="1A01D9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left w:val="single" w:color="auto" w:sz="4" w:space="0"/>
                    <w:tl2br w:val="nil"/>
                    <w:tr2bl w:val="nil"/>
                  </w:tcBorders>
                  <w:noWrap w:val="0"/>
                  <w:vAlign w:val="center"/>
                </w:tcPr>
                <w:p w14:paraId="36173C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甲苯</w:t>
                  </w:r>
                </w:p>
              </w:tc>
              <w:tc>
                <w:tcPr>
                  <w:tcW w:w="1549" w:type="dxa"/>
                  <w:tcBorders>
                    <w:tl2br w:val="nil"/>
                    <w:tr2bl w:val="nil"/>
                  </w:tcBorders>
                  <w:noWrap w:val="0"/>
                  <w:vAlign w:val="center"/>
                </w:tcPr>
                <w:p w14:paraId="5A6A0ED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40</w:t>
                  </w:r>
                </w:p>
              </w:tc>
              <w:tc>
                <w:tcPr>
                  <w:tcW w:w="1286" w:type="dxa"/>
                  <w:vMerge w:val="continue"/>
                  <w:tcBorders>
                    <w:tl2br w:val="nil"/>
                    <w:tr2bl w:val="nil"/>
                  </w:tcBorders>
                  <w:noWrap w:val="0"/>
                  <w:vAlign w:val="center"/>
                </w:tcPr>
                <w:p w14:paraId="1C6CC59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34" w:type="dxa"/>
                  <w:tcBorders>
                    <w:tl2br w:val="nil"/>
                    <w:tr2bl w:val="nil"/>
                  </w:tcBorders>
                  <w:noWrap w:val="0"/>
                  <w:vAlign w:val="center"/>
                </w:tcPr>
                <w:p w14:paraId="5BBDB77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3.1</w:t>
                  </w:r>
                </w:p>
              </w:tc>
              <w:tc>
                <w:tcPr>
                  <w:tcW w:w="1253" w:type="dxa"/>
                  <w:vMerge w:val="continue"/>
                  <w:tcBorders>
                    <w:tl2br w:val="nil"/>
                    <w:tr2bl w:val="nil"/>
                  </w:tcBorders>
                  <w:noWrap w:val="0"/>
                  <w:vAlign w:val="center"/>
                </w:tcPr>
                <w:p w14:paraId="46279FF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505" w:type="dxa"/>
                  <w:tcBorders>
                    <w:right w:val="single" w:color="auto" w:sz="4" w:space="0"/>
                    <w:tl2br w:val="nil"/>
                    <w:tr2bl w:val="nil"/>
                  </w:tcBorders>
                  <w:noWrap w:val="0"/>
                  <w:vAlign w:val="center"/>
                </w:tcPr>
                <w:p w14:paraId="56AA7B6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2.4</w:t>
                  </w:r>
                </w:p>
              </w:tc>
            </w:tr>
            <w:tr w14:paraId="742717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left w:val="single" w:color="auto" w:sz="4" w:space="0"/>
                    <w:tl2br w:val="nil"/>
                    <w:tr2bl w:val="nil"/>
                  </w:tcBorders>
                  <w:noWrap w:val="0"/>
                  <w:vAlign w:val="center"/>
                </w:tcPr>
                <w:p w14:paraId="460822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二甲苯</w:t>
                  </w:r>
                </w:p>
              </w:tc>
              <w:tc>
                <w:tcPr>
                  <w:tcW w:w="1549" w:type="dxa"/>
                  <w:tcBorders>
                    <w:tl2br w:val="nil"/>
                    <w:tr2bl w:val="nil"/>
                  </w:tcBorders>
                  <w:noWrap w:val="0"/>
                  <w:vAlign w:val="center"/>
                </w:tcPr>
                <w:p w14:paraId="1CDAD87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70</w:t>
                  </w:r>
                </w:p>
              </w:tc>
              <w:tc>
                <w:tcPr>
                  <w:tcW w:w="1286" w:type="dxa"/>
                  <w:vMerge w:val="continue"/>
                  <w:tcBorders>
                    <w:tl2br w:val="nil"/>
                    <w:tr2bl w:val="nil"/>
                  </w:tcBorders>
                  <w:noWrap w:val="0"/>
                  <w:vAlign w:val="center"/>
                </w:tcPr>
                <w:p w14:paraId="25AA0C7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34" w:type="dxa"/>
                  <w:tcBorders>
                    <w:tl2br w:val="nil"/>
                    <w:tr2bl w:val="nil"/>
                  </w:tcBorders>
                  <w:noWrap w:val="0"/>
                  <w:vAlign w:val="center"/>
                </w:tcPr>
                <w:p w14:paraId="397933B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1.0</w:t>
                  </w:r>
                </w:p>
              </w:tc>
              <w:tc>
                <w:tcPr>
                  <w:tcW w:w="1253" w:type="dxa"/>
                  <w:vMerge w:val="continue"/>
                  <w:tcBorders>
                    <w:tl2br w:val="nil"/>
                    <w:tr2bl w:val="nil"/>
                  </w:tcBorders>
                  <w:noWrap w:val="0"/>
                  <w:vAlign w:val="center"/>
                </w:tcPr>
                <w:p w14:paraId="46EFB3E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505" w:type="dxa"/>
                  <w:tcBorders>
                    <w:right w:val="single" w:color="auto" w:sz="4" w:space="0"/>
                    <w:tl2br w:val="nil"/>
                    <w:tr2bl w:val="nil"/>
                  </w:tcBorders>
                  <w:noWrap w:val="0"/>
                  <w:vAlign w:val="center"/>
                </w:tcPr>
                <w:p w14:paraId="3953F93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1.2</w:t>
                  </w:r>
                </w:p>
              </w:tc>
            </w:tr>
            <w:tr w14:paraId="42B2E4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left w:val="single" w:color="auto" w:sz="4" w:space="0"/>
                    <w:tl2br w:val="nil"/>
                    <w:tr2bl w:val="nil"/>
                  </w:tcBorders>
                  <w:noWrap w:val="0"/>
                  <w:vAlign w:val="center"/>
                </w:tcPr>
                <w:p w14:paraId="1BE291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非甲烷总烃</w:t>
                  </w:r>
                </w:p>
              </w:tc>
              <w:tc>
                <w:tcPr>
                  <w:tcW w:w="1549" w:type="dxa"/>
                  <w:tcBorders>
                    <w:tl2br w:val="nil"/>
                    <w:tr2bl w:val="nil"/>
                  </w:tcBorders>
                  <w:noWrap w:val="0"/>
                  <w:vAlign w:val="center"/>
                </w:tcPr>
                <w:p w14:paraId="6671F84B">
                  <w:pPr>
                    <w:keepNext w:val="0"/>
                    <w:keepLines w:val="0"/>
                    <w:suppressLineNumbers w:val="0"/>
                    <w:spacing w:before="0" w:beforeAutospacing="0" w:after="0" w:afterAutospacing="0" w:line="36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120</w:t>
                  </w:r>
                </w:p>
              </w:tc>
              <w:tc>
                <w:tcPr>
                  <w:tcW w:w="1286" w:type="dxa"/>
                  <w:vMerge w:val="continue"/>
                  <w:tcBorders>
                    <w:tl2br w:val="nil"/>
                    <w:tr2bl w:val="nil"/>
                  </w:tcBorders>
                  <w:noWrap w:val="0"/>
                  <w:vAlign w:val="center"/>
                </w:tcPr>
                <w:p w14:paraId="0BD06E2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434" w:type="dxa"/>
                  <w:tcBorders>
                    <w:tl2br w:val="nil"/>
                    <w:tr2bl w:val="nil"/>
                  </w:tcBorders>
                  <w:noWrap w:val="0"/>
                  <w:vAlign w:val="center"/>
                </w:tcPr>
                <w:p w14:paraId="2679F91C">
                  <w:pPr>
                    <w:keepNext w:val="0"/>
                    <w:keepLines w:val="0"/>
                    <w:suppressLineNumbers w:val="0"/>
                    <w:spacing w:before="0" w:beforeAutospacing="0" w:after="0" w:afterAutospacing="0" w:line="36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10</w:t>
                  </w:r>
                </w:p>
              </w:tc>
              <w:tc>
                <w:tcPr>
                  <w:tcW w:w="1253" w:type="dxa"/>
                  <w:vMerge w:val="continue"/>
                  <w:tcBorders>
                    <w:tl2br w:val="nil"/>
                    <w:tr2bl w:val="nil"/>
                  </w:tcBorders>
                  <w:noWrap w:val="0"/>
                  <w:vAlign w:val="center"/>
                </w:tcPr>
                <w:p w14:paraId="06EFBEB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p>
              </w:tc>
              <w:tc>
                <w:tcPr>
                  <w:tcW w:w="1505" w:type="dxa"/>
                  <w:tcBorders>
                    <w:right w:val="single" w:color="auto" w:sz="4" w:space="0"/>
                    <w:tl2br w:val="nil"/>
                    <w:tr2bl w:val="nil"/>
                  </w:tcBorders>
                  <w:noWrap w:val="0"/>
                  <w:vAlign w:val="center"/>
                </w:tcPr>
                <w:p w14:paraId="3022259D">
                  <w:pPr>
                    <w:keepNext w:val="0"/>
                    <w:keepLines w:val="0"/>
                    <w:suppressLineNumbers w:val="0"/>
                    <w:spacing w:before="0" w:beforeAutospacing="0" w:after="0" w:afterAutospacing="0" w:line="360" w:lineRule="auto"/>
                    <w:ind w:left="0" w:right="0" w:firstLine="0" w:firstLineChars="0"/>
                    <w:jc w:val="center"/>
                    <w:rPr>
                      <w:rFonts w:hint="eastAsia" w:ascii="Times New Roman" w:hAnsi="Times New Roman" w:eastAsia="宋体" w:cs="Times New Roman"/>
                      <w:color w:val="auto"/>
                      <w:szCs w:val="21"/>
                      <w:lang w:val="en-US" w:eastAsia="zh-CN"/>
                    </w:rPr>
                  </w:pPr>
                  <w:r>
                    <w:rPr>
                      <w:rFonts w:hint="eastAsia"/>
                      <w:color w:val="auto"/>
                      <w:szCs w:val="21"/>
                      <w:highlight w:val="none"/>
                    </w:rPr>
                    <w:t>4.0</w:t>
                  </w:r>
                </w:p>
              </w:tc>
            </w:tr>
          </w:tbl>
          <w:p w14:paraId="082EE2A2">
            <w:pPr>
              <w:keepNext w:val="0"/>
              <w:keepLines w:val="0"/>
              <w:widowControl/>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w:t>
            </w:r>
            <w:r>
              <w:rPr>
                <w:rFonts w:hint="eastAsia" w:eastAsia="宋体" w:cs="Times New Roman"/>
                <w:b/>
                <w:bCs/>
                <w:color w:val="auto"/>
                <w:sz w:val="24"/>
                <w:lang w:val="en-US" w:eastAsia="zh-CN"/>
              </w:rPr>
              <w:t>.</w:t>
            </w:r>
            <w:r>
              <w:rPr>
                <w:rFonts w:hint="default" w:ascii="Times New Roman" w:hAnsi="Times New Roman" w:eastAsia="宋体" w:cs="Times New Roman"/>
                <w:b/>
                <w:bCs/>
                <w:color w:val="auto"/>
                <w:sz w:val="24"/>
              </w:rPr>
              <w:t>噪声排放标准</w:t>
            </w:r>
          </w:p>
          <w:p w14:paraId="03C07EFF">
            <w:pPr>
              <w:pStyle w:val="73"/>
              <w:keepNext w:val="0"/>
              <w:keepLines w:val="0"/>
              <w:suppressLineNumbers w:val="0"/>
              <w:snapToGrid/>
              <w:spacing w:before="0" w:beforeAutospacing="0" w:after="0" w:afterAutospacing="0"/>
              <w:ind w:left="0" w:right="0" w:firstLine="480" w:firstLineChars="200"/>
              <w:rPr>
                <w:rFonts w:hint="default" w:ascii="Times New Roman" w:hAnsi="Times New Roman" w:cs="Times New Roman"/>
                <w:color w:val="auto"/>
              </w:rPr>
            </w:pPr>
            <w:r>
              <w:rPr>
                <w:rFonts w:hint="default" w:ascii="Times New Roman" w:hAnsi="Times New Roman" w:cs="Times New Roman"/>
                <w:color w:val="auto"/>
              </w:rPr>
              <w:t>本项目施工期施工场界噪声排放执行《建筑施工场界环境噪声排放标准》（GB12523-2011）标准限值</w:t>
            </w:r>
            <w:r>
              <w:rPr>
                <w:rFonts w:hint="eastAsia" w:cs="Times New Roman"/>
                <w:color w:val="auto"/>
                <w:lang w:eastAsia="zh-CN"/>
              </w:rPr>
              <w:t>。</w:t>
            </w:r>
            <w:r>
              <w:rPr>
                <w:rFonts w:hint="default" w:ascii="Times New Roman" w:hAnsi="Times New Roman" w:cs="Times New Roman"/>
                <w:color w:val="auto"/>
              </w:rPr>
              <w:t>项目厂界噪声排放执行《工业企业厂界环境噪声排放标准》（GB12348-2008）</w:t>
            </w:r>
            <w:r>
              <w:rPr>
                <w:rFonts w:hint="eastAsia" w:ascii="Times New Roman" w:hAnsi="Times New Roman" w:cs="Times New Roman"/>
                <w:color w:val="auto"/>
                <w:lang w:val="en-US" w:eastAsia="zh-CN"/>
              </w:rPr>
              <w:t>2</w:t>
            </w:r>
            <w:r>
              <w:rPr>
                <w:rFonts w:hint="default" w:ascii="Times New Roman" w:hAnsi="Times New Roman" w:cs="Times New Roman"/>
                <w:color w:val="auto"/>
              </w:rPr>
              <w:t>类标准，标准值详见下表。</w:t>
            </w:r>
          </w:p>
          <w:p w14:paraId="22887FBE">
            <w:pPr>
              <w:pStyle w:val="11"/>
              <w:keepNext w:val="0"/>
              <w:keepLines w:val="0"/>
              <w:suppressLineNumbers w:val="0"/>
              <w:snapToGrid/>
              <w:spacing w:before="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cs="Times New Roman"/>
                <w:b/>
                <w:bCs/>
                <w:color w:val="auto"/>
                <w:sz w:val="24"/>
                <w:szCs w:val="24"/>
                <w:lang w:val="en-US" w:eastAsia="zh-CN"/>
              </w:rPr>
              <w:t>8</w:t>
            </w:r>
            <w:r>
              <w:rPr>
                <w:rFonts w:hint="default" w:ascii="Times New Roman" w:hAnsi="Times New Roman" w:eastAsia="宋体" w:cs="Times New Roman"/>
                <w:b/>
                <w:bCs/>
                <w:color w:val="auto"/>
                <w:sz w:val="24"/>
                <w:szCs w:val="24"/>
              </w:rPr>
              <w:t xml:space="preserve">  《建筑施工场界环境噪声排放标准》（GB12523-2011）</w:t>
            </w:r>
          </w:p>
          <w:tbl>
            <w:tblPr>
              <w:tblStyle w:val="30"/>
              <w:tblW w:w="4901"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3961"/>
              <w:gridCol w:w="4256"/>
            </w:tblGrid>
            <w:tr w14:paraId="51DA689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63" w:hRule="atLeast"/>
                <w:jc w:val="center"/>
              </w:trPr>
              <w:tc>
                <w:tcPr>
                  <w:tcW w:w="5000" w:type="pct"/>
                  <w:gridSpan w:val="2"/>
                  <w:tcBorders>
                    <w:top w:val="single" w:color="auto" w:sz="4" w:space="0"/>
                    <w:left w:val="single" w:color="auto" w:sz="0" w:space="0"/>
                    <w:bottom w:val="single" w:color="auto" w:sz="4" w:space="0"/>
                    <w:right w:val="single" w:color="auto" w:sz="4" w:space="0"/>
                  </w:tcBorders>
                  <w:noWrap w:val="0"/>
                  <w:vAlign w:val="center"/>
                </w:tcPr>
                <w:p w14:paraId="3C5ECDB8">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噪声限值Leq[dB(A)]</w:t>
                  </w:r>
                </w:p>
              </w:tc>
            </w:tr>
            <w:tr w14:paraId="0FE5AD6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13" w:hRule="atLeast"/>
                <w:jc w:val="center"/>
              </w:trPr>
              <w:tc>
                <w:tcPr>
                  <w:tcW w:w="2410" w:type="pct"/>
                  <w:tcBorders>
                    <w:top w:val="single" w:color="auto" w:sz="4" w:space="0"/>
                    <w:left w:val="single" w:color="auto" w:sz="4" w:space="0"/>
                    <w:bottom w:val="single" w:color="auto" w:sz="4" w:space="0"/>
                    <w:right w:val="single" w:color="auto" w:sz="4" w:space="0"/>
                  </w:tcBorders>
                  <w:noWrap w:val="0"/>
                  <w:vAlign w:val="center"/>
                </w:tcPr>
                <w:p w14:paraId="7E05BD7F">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昼间</w:t>
                  </w:r>
                </w:p>
              </w:tc>
              <w:tc>
                <w:tcPr>
                  <w:tcW w:w="2590" w:type="pct"/>
                  <w:tcBorders>
                    <w:top w:val="single" w:color="auto" w:sz="4" w:space="0"/>
                    <w:left w:val="single" w:color="auto" w:sz="4" w:space="0"/>
                    <w:bottom w:val="single" w:color="auto" w:sz="4" w:space="0"/>
                    <w:right w:val="single" w:color="auto" w:sz="4" w:space="0"/>
                  </w:tcBorders>
                  <w:noWrap w:val="0"/>
                  <w:vAlign w:val="center"/>
                </w:tcPr>
                <w:p w14:paraId="785ABE8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夜间</w:t>
                  </w:r>
                </w:p>
              </w:tc>
            </w:tr>
            <w:tr w14:paraId="2D4D393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83" w:hRule="atLeast"/>
                <w:jc w:val="center"/>
              </w:trPr>
              <w:tc>
                <w:tcPr>
                  <w:tcW w:w="2410" w:type="pct"/>
                  <w:tcBorders>
                    <w:top w:val="single" w:color="auto" w:sz="4" w:space="0"/>
                    <w:left w:val="single" w:color="auto" w:sz="4" w:space="0"/>
                    <w:bottom w:val="single" w:color="auto" w:sz="4" w:space="0"/>
                    <w:right w:val="single" w:color="auto" w:sz="4" w:space="0"/>
                  </w:tcBorders>
                  <w:noWrap w:val="0"/>
                  <w:vAlign w:val="center"/>
                </w:tcPr>
                <w:p w14:paraId="1AD3F14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70</w:t>
                  </w:r>
                </w:p>
              </w:tc>
              <w:tc>
                <w:tcPr>
                  <w:tcW w:w="2590" w:type="pct"/>
                  <w:tcBorders>
                    <w:top w:val="single" w:color="auto" w:sz="4" w:space="0"/>
                    <w:left w:val="single" w:color="auto" w:sz="4" w:space="0"/>
                    <w:bottom w:val="single" w:color="auto" w:sz="4" w:space="0"/>
                    <w:right w:val="single" w:color="auto" w:sz="4" w:space="0"/>
                  </w:tcBorders>
                  <w:noWrap w:val="0"/>
                  <w:vAlign w:val="center"/>
                </w:tcPr>
                <w:p w14:paraId="46219EB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55</w:t>
                  </w:r>
                </w:p>
              </w:tc>
            </w:tr>
          </w:tbl>
          <w:p w14:paraId="45DB2B9E">
            <w:pPr>
              <w:pStyle w:val="11"/>
              <w:keepNext w:val="0"/>
              <w:keepLines w:val="0"/>
              <w:suppressLineNumbers w:val="0"/>
              <w:snapToGrid/>
              <w:spacing w:before="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cs="Times New Roman"/>
                <w:b/>
                <w:bCs/>
                <w:color w:val="auto"/>
                <w:sz w:val="24"/>
                <w:szCs w:val="24"/>
                <w:lang w:val="en-US" w:eastAsia="zh-CN"/>
              </w:rPr>
              <w:t>9</w:t>
            </w:r>
            <w:r>
              <w:rPr>
                <w:rFonts w:hint="default" w:ascii="Times New Roman" w:hAnsi="Times New Roman" w:eastAsia="宋体" w:cs="Times New Roman"/>
                <w:b/>
                <w:bCs/>
                <w:color w:val="auto"/>
                <w:sz w:val="24"/>
                <w:szCs w:val="24"/>
              </w:rPr>
              <w:t xml:space="preserve">  《工业企业厂界环境噪声排放标准》（GB12348-2008）</w:t>
            </w:r>
          </w:p>
          <w:tbl>
            <w:tblPr>
              <w:tblStyle w:val="30"/>
              <w:tblW w:w="783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755"/>
              <w:gridCol w:w="2651"/>
            </w:tblGrid>
            <w:tr w14:paraId="44D87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426" w:type="dxa"/>
                  <w:tcBorders>
                    <w:top w:val="single" w:color="auto" w:sz="4" w:space="0"/>
                    <w:left w:val="single" w:color="auto" w:sz="0" w:space="0"/>
                  </w:tcBorders>
                  <w:noWrap w:val="0"/>
                  <w:vAlign w:val="center"/>
                </w:tcPr>
                <w:p w14:paraId="7D778D7B">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类别</w:t>
                  </w:r>
                </w:p>
              </w:tc>
              <w:tc>
                <w:tcPr>
                  <w:tcW w:w="2755" w:type="dxa"/>
                  <w:tcBorders>
                    <w:top w:val="single" w:color="auto" w:sz="4" w:space="0"/>
                  </w:tcBorders>
                  <w:noWrap w:val="0"/>
                  <w:vAlign w:val="center"/>
                </w:tcPr>
                <w:p w14:paraId="0351FF1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昼间dB（A）</w:t>
                  </w:r>
                </w:p>
              </w:tc>
              <w:tc>
                <w:tcPr>
                  <w:tcW w:w="2651" w:type="dxa"/>
                  <w:tcBorders>
                    <w:top w:val="single" w:color="auto" w:sz="4" w:space="0"/>
                    <w:right w:val="single" w:color="auto" w:sz="4" w:space="0"/>
                  </w:tcBorders>
                  <w:noWrap w:val="0"/>
                  <w:vAlign w:val="center"/>
                </w:tcPr>
                <w:p w14:paraId="5E76A38B">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夜间dB（A）</w:t>
                  </w:r>
                </w:p>
              </w:tc>
            </w:tr>
            <w:tr w14:paraId="79A4D9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2426" w:type="dxa"/>
                  <w:tcBorders>
                    <w:left w:val="single" w:color="auto" w:sz="4" w:space="0"/>
                    <w:bottom w:val="single" w:color="auto" w:sz="4" w:space="0"/>
                  </w:tcBorders>
                  <w:noWrap w:val="0"/>
                  <w:vAlign w:val="center"/>
                </w:tcPr>
                <w:p w14:paraId="2469199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2类标准限值dB（A）</w:t>
                  </w:r>
                </w:p>
              </w:tc>
              <w:tc>
                <w:tcPr>
                  <w:tcW w:w="2755" w:type="dxa"/>
                  <w:tcBorders>
                    <w:bottom w:val="single" w:color="auto" w:sz="4" w:space="0"/>
                  </w:tcBorders>
                  <w:noWrap w:val="0"/>
                  <w:vAlign w:val="center"/>
                </w:tcPr>
                <w:p w14:paraId="1BA4AC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60</w:t>
                  </w:r>
                </w:p>
              </w:tc>
              <w:tc>
                <w:tcPr>
                  <w:tcW w:w="2651" w:type="dxa"/>
                  <w:tcBorders>
                    <w:bottom w:val="single" w:color="auto" w:sz="4" w:space="0"/>
                    <w:right w:val="single" w:color="auto" w:sz="4" w:space="0"/>
                  </w:tcBorders>
                  <w:noWrap w:val="0"/>
                  <w:vAlign w:val="center"/>
                </w:tcPr>
                <w:p w14:paraId="41D93C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p>
              </w:tc>
            </w:tr>
          </w:tbl>
          <w:p w14:paraId="41645F4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eastAsia"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固体废物排放</w:t>
            </w:r>
          </w:p>
          <w:p w14:paraId="73C030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一般固体执行《一般工业固体废物贮存和填埋污染控制标准》(GB18599-2020)的有关规定要求。</w:t>
            </w:r>
          </w:p>
          <w:p w14:paraId="148FF5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32"/>
                <w:highlight w:val="none"/>
              </w:rPr>
              <w:t>危险废物厂内暂存执行</w:t>
            </w:r>
            <w:r>
              <w:rPr>
                <w:rFonts w:hint="default" w:ascii="Times New Roman" w:hAnsi="Times New Roman" w:eastAsia="宋体" w:cs="Times New Roman"/>
                <w:color w:val="auto"/>
                <w:kern w:val="0"/>
                <w:sz w:val="24"/>
              </w:rPr>
              <w:t>《危险废物贮存污染控制标准》（GB18597-20</w:t>
            </w:r>
            <w:r>
              <w:rPr>
                <w:rFonts w:hint="default" w:ascii="Times New Roman" w:hAnsi="Times New Roman" w:eastAsia="宋体" w:cs="Times New Roman"/>
                <w:color w:val="auto"/>
                <w:kern w:val="0"/>
                <w:sz w:val="24"/>
                <w:lang w:val="en-US" w:eastAsia="zh-CN"/>
              </w:rPr>
              <w:t>23</w:t>
            </w:r>
            <w:r>
              <w:rPr>
                <w:rFonts w:hint="default" w:ascii="Times New Roman" w:hAnsi="Times New Roman" w:eastAsia="宋体" w:cs="Times New Roman"/>
                <w:color w:val="auto"/>
                <w:kern w:val="0"/>
                <w:sz w:val="24"/>
              </w:rPr>
              <w:t>）标准</w:t>
            </w:r>
            <w:r>
              <w:rPr>
                <w:rFonts w:hint="default" w:ascii="Times New Roman" w:hAnsi="Times New Roman" w:eastAsia="宋体" w:cs="Times New Roman"/>
                <w:color w:val="auto"/>
                <w:kern w:val="0"/>
                <w:sz w:val="24"/>
                <w:lang w:val="en-US" w:eastAsia="zh-CN"/>
              </w:rPr>
              <w:t>要求</w:t>
            </w:r>
            <w:r>
              <w:rPr>
                <w:rFonts w:hint="default" w:ascii="Times New Roman" w:hAnsi="Times New Roman" w:eastAsia="宋体" w:cs="Times New Roman"/>
                <w:color w:val="auto"/>
                <w:sz w:val="24"/>
                <w:szCs w:val="32"/>
                <w:highlight w:val="none"/>
              </w:rPr>
              <w:t>。</w:t>
            </w:r>
          </w:p>
        </w:tc>
      </w:tr>
      <w:tr w14:paraId="2579FB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71" w:type="pct"/>
            <w:noWrap w:val="0"/>
            <w:vAlign w:val="center"/>
          </w:tcPr>
          <w:p w14:paraId="7F47ABD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总量</w:t>
            </w:r>
          </w:p>
          <w:p w14:paraId="78B71B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控制</w:t>
            </w:r>
          </w:p>
          <w:p w14:paraId="5350B6C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指标</w:t>
            </w:r>
          </w:p>
        </w:tc>
        <w:tc>
          <w:tcPr>
            <w:tcW w:w="4628" w:type="pct"/>
            <w:noWrap w:val="0"/>
            <w:vAlign w:val="center"/>
          </w:tcPr>
          <w:p w14:paraId="5C793A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根据国家的相关规定，现阶段我国进行总量控制的指标为SO</w:t>
            </w:r>
            <w:r>
              <w:rPr>
                <w:rFonts w:hint="default" w:ascii="Times New Roman" w:hAnsi="Times New Roman" w:cs="Times New Roman" w:eastAsiaTheme="minorEastAsia"/>
                <w:color w:val="auto"/>
                <w:sz w:val="24"/>
                <w:szCs w:val="24"/>
                <w:highlight w:val="none"/>
                <w:vertAlign w:val="subscript"/>
                <w:lang w:val="en-US" w:eastAsia="zh-CN"/>
              </w:rPr>
              <w:t>2</w:t>
            </w:r>
            <w:r>
              <w:rPr>
                <w:rFonts w:hint="default" w:ascii="Times New Roman" w:hAnsi="Times New Roman" w:cs="Times New Roman" w:eastAsiaTheme="minorEastAsia"/>
                <w:color w:val="auto"/>
                <w:sz w:val="24"/>
                <w:szCs w:val="24"/>
                <w:highlight w:val="none"/>
                <w:lang w:val="en-US" w:eastAsia="zh-CN"/>
              </w:rPr>
              <w:t>、</w:t>
            </w:r>
            <w:r>
              <w:rPr>
                <w:rFonts w:hint="default" w:eastAsiaTheme="minorEastAsia"/>
                <w:color w:val="auto"/>
                <w:sz w:val="24"/>
                <w:highlight w:val="none"/>
              </w:rPr>
              <w:t>NO</w:t>
            </w:r>
            <w:r>
              <w:rPr>
                <w:rFonts w:hint="default" w:eastAsiaTheme="minorEastAsia"/>
                <w:color w:val="auto"/>
                <w:sz w:val="24"/>
                <w:highlight w:val="none"/>
                <w:vertAlign w:val="subscript"/>
              </w:rPr>
              <w:t>X</w:t>
            </w:r>
            <w:r>
              <w:rPr>
                <w:rFonts w:hint="default" w:ascii="Times New Roman" w:hAnsi="Times New Roman" w:cs="Times New Roman" w:eastAsiaTheme="minorEastAsia"/>
                <w:color w:val="auto"/>
                <w:sz w:val="24"/>
                <w:szCs w:val="24"/>
                <w:highlight w:val="none"/>
                <w:lang w:val="en-US" w:eastAsia="zh-CN"/>
              </w:rPr>
              <w:t>和COD、NH</w:t>
            </w:r>
            <w:r>
              <w:rPr>
                <w:rFonts w:hint="default" w:ascii="Times New Roman" w:hAnsi="Times New Roman" w:cs="Times New Roman" w:eastAsiaTheme="minorEastAsia"/>
                <w:color w:val="auto"/>
                <w:sz w:val="24"/>
                <w:szCs w:val="24"/>
                <w:highlight w:val="none"/>
                <w:vertAlign w:val="subscript"/>
                <w:lang w:val="en-US" w:eastAsia="zh-CN"/>
              </w:rPr>
              <w:t>3</w:t>
            </w:r>
            <w:r>
              <w:rPr>
                <w:rFonts w:hint="default" w:ascii="Times New Roman" w:hAnsi="Times New Roman" w:cs="Times New Roman" w:eastAsiaTheme="minorEastAsia"/>
                <w:color w:val="auto"/>
                <w:sz w:val="24"/>
                <w:szCs w:val="24"/>
                <w:highlight w:val="none"/>
                <w:lang w:val="en-US" w:eastAsia="zh-CN"/>
              </w:rPr>
              <w:t>-N四项。</w:t>
            </w:r>
          </w:p>
          <w:p w14:paraId="37C538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根据自治区“十四五”环境保护规划，将VOCs新纳入总量控制指标。</w:t>
            </w:r>
          </w:p>
          <w:p w14:paraId="77936D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color w:val="auto"/>
                <w:sz w:val="24"/>
              </w:rPr>
              <w:t>本项目</w:t>
            </w:r>
            <w:r>
              <w:rPr>
                <w:rFonts w:hint="eastAsia"/>
                <w:color w:val="auto"/>
                <w:sz w:val="24"/>
              </w:rPr>
              <w:t>无生产废水</w:t>
            </w:r>
            <w:r>
              <w:rPr>
                <w:rFonts w:hint="default"/>
                <w:color w:val="auto"/>
                <w:sz w:val="24"/>
              </w:rPr>
              <w:t>，</w:t>
            </w:r>
            <w:r>
              <w:rPr>
                <w:rFonts w:hint="eastAsia"/>
                <w:color w:val="auto"/>
                <w:kern w:val="0"/>
                <w:sz w:val="24"/>
              </w:rPr>
              <w:t>劳动定员依托</w:t>
            </w:r>
            <w:r>
              <w:rPr>
                <w:rFonts w:hint="eastAsia"/>
                <w:color w:val="auto"/>
                <w:sz w:val="24"/>
                <w:lang w:val="en-US" w:eastAsia="zh-CN"/>
              </w:rPr>
              <w:t>布尔台煤矿</w:t>
            </w:r>
            <w:r>
              <w:rPr>
                <w:rFonts w:hint="eastAsia"/>
                <w:color w:val="auto"/>
                <w:kern w:val="0"/>
                <w:sz w:val="24"/>
              </w:rPr>
              <w:t>现有人员</w:t>
            </w:r>
            <w:r>
              <w:rPr>
                <w:rFonts w:hint="eastAsia"/>
                <w:color w:val="auto"/>
                <w:kern w:val="0"/>
                <w:sz w:val="24"/>
                <w:lang w:eastAsia="zh-CN"/>
              </w:rPr>
              <w:t>（</w:t>
            </w:r>
            <w:r>
              <w:rPr>
                <w:rFonts w:hint="eastAsia"/>
                <w:color w:val="auto"/>
                <w:kern w:val="0"/>
                <w:sz w:val="24"/>
                <w:lang w:val="en-US" w:eastAsia="zh-CN"/>
              </w:rPr>
              <w:t>人员依托</w:t>
            </w:r>
            <w:r>
              <w:rPr>
                <w:rFonts w:hint="eastAsia"/>
                <w:color w:val="auto"/>
                <w:sz w:val="24"/>
                <w:lang w:val="en-US" w:eastAsia="zh-CN"/>
              </w:rPr>
              <w:t>布尔台煤矿</w:t>
            </w:r>
            <w:r>
              <w:rPr>
                <w:rFonts w:hint="eastAsia"/>
                <w:color w:val="auto"/>
                <w:kern w:val="0"/>
                <w:sz w:val="24"/>
                <w:lang w:val="en-US" w:eastAsia="zh-CN"/>
              </w:rPr>
              <w:t>机修车间人员</w:t>
            </w:r>
            <w:r>
              <w:rPr>
                <w:rFonts w:hint="eastAsia"/>
                <w:color w:val="auto"/>
                <w:kern w:val="0"/>
                <w:sz w:val="24"/>
                <w:lang w:eastAsia="zh-CN"/>
              </w:rPr>
              <w:t>）</w:t>
            </w:r>
            <w:r>
              <w:rPr>
                <w:rFonts w:hint="eastAsia"/>
                <w:color w:val="auto"/>
                <w:kern w:val="0"/>
                <w:sz w:val="24"/>
              </w:rPr>
              <w:t>，无新增生活用水</w:t>
            </w:r>
            <w:r>
              <w:rPr>
                <w:rFonts w:hint="eastAsia"/>
                <w:color w:val="auto"/>
                <w:kern w:val="0"/>
                <w:sz w:val="24"/>
                <w:lang w:eastAsia="zh-CN"/>
              </w:rPr>
              <w:t>。</w:t>
            </w:r>
            <w:r>
              <w:rPr>
                <w:rFonts w:hint="default" w:ascii="Times New Roman" w:hAnsi="Times New Roman" w:cs="Times New Roman" w:eastAsiaTheme="minorEastAsia"/>
                <w:color w:val="auto"/>
                <w:sz w:val="24"/>
                <w:szCs w:val="24"/>
                <w:highlight w:val="none"/>
                <w:lang w:val="en-US" w:eastAsia="zh-CN"/>
              </w:rPr>
              <w:t>因此无需申请COD、NH</w:t>
            </w:r>
            <w:r>
              <w:rPr>
                <w:rFonts w:hint="default" w:ascii="Times New Roman" w:hAnsi="Times New Roman" w:cs="Times New Roman" w:eastAsiaTheme="minorEastAsia"/>
                <w:color w:val="auto"/>
                <w:sz w:val="24"/>
                <w:szCs w:val="24"/>
                <w:highlight w:val="none"/>
                <w:vertAlign w:val="subscript"/>
                <w:lang w:val="en-US" w:eastAsia="zh-CN"/>
              </w:rPr>
              <w:t>3</w:t>
            </w:r>
            <w:r>
              <w:rPr>
                <w:rFonts w:hint="default" w:ascii="Times New Roman" w:hAnsi="Times New Roman" w:cs="Times New Roman" w:eastAsiaTheme="minorEastAsia"/>
                <w:color w:val="auto"/>
                <w:sz w:val="24"/>
                <w:szCs w:val="24"/>
                <w:highlight w:val="none"/>
                <w:lang w:val="en-US" w:eastAsia="zh-CN"/>
              </w:rPr>
              <w:t>-N总量控制指标。</w:t>
            </w:r>
          </w:p>
          <w:p w14:paraId="7E2361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根据工程分析，本项</w:t>
            </w:r>
            <w:r>
              <w:rPr>
                <w:rFonts w:hint="eastAsia" w:cs="Times New Roman" w:eastAsiaTheme="minorEastAsia"/>
                <w:color w:val="auto"/>
                <w:sz w:val="24"/>
                <w:szCs w:val="24"/>
                <w:highlight w:val="none"/>
                <w:lang w:val="en-US" w:eastAsia="zh-CN"/>
              </w:rPr>
              <w:t>目</w:t>
            </w:r>
            <w:r>
              <w:rPr>
                <w:rFonts w:hint="default" w:ascii="Times New Roman" w:hAnsi="Times New Roman" w:cs="Times New Roman" w:eastAsiaTheme="minorEastAsia"/>
                <w:color w:val="auto"/>
                <w:sz w:val="24"/>
                <w:szCs w:val="24"/>
                <w:highlight w:val="none"/>
                <w:lang w:val="en-US" w:eastAsia="zh-CN"/>
              </w:rPr>
              <w:t>VOCs排放量为</w:t>
            </w:r>
            <w:r>
              <w:rPr>
                <w:rFonts w:hint="eastAsia" w:ascii="Times New Roman" w:hAnsi="Times New Roman" w:cs="Times New Roman" w:eastAsiaTheme="minorEastAsia"/>
                <w:color w:val="auto"/>
                <w:sz w:val="24"/>
                <w:szCs w:val="24"/>
                <w:highlight w:val="none"/>
                <w:lang w:val="en-US" w:eastAsia="zh-CN"/>
              </w:rPr>
              <w:t>0.0493</w:t>
            </w:r>
            <w:r>
              <w:rPr>
                <w:rFonts w:hint="default" w:ascii="Times New Roman" w:hAnsi="Times New Roman" w:cs="Times New Roman" w:eastAsiaTheme="minorEastAsia"/>
                <w:color w:val="auto"/>
                <w:sz w:val="24"/>
                <w:szCs w:val="24"/>
                <w:highlight w:val="none"/>
                <w:lang w:val="en-US" w:eastAsia="zh-CN"/>
              </w:rPr>
              <w:t>t/a。</w:t>
            </w:r>
          </w:p>
          <w:p w14:paraId="0CFE81C2">
            <w:pPr>
              <w:pStyle w:val="143"/>
              <w:keepNext w:val="0"/>
              <w:keepLines w:val="0"/>
              <w:suppressLineNumbers w:val="0"/>
              <w:spacing w:before="0" w:beforeAutospacing="0" w:after="0" w:afterAutospacing="0" w:line="360" w:lineRule="auto"/>
              <w:ind w:left="0" w:right="0" w:firstLine="480"/>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综上所述，本环评提出总量控制指标，具体见表3-</w:t>
            </w:r>
            <w:r>
              <w:rPr>
                <w:rFonts w:hint="eastAsia" w:ascii="Times New Roman" w:cs="Times New Roman" w:eastAsiaTheme="minorEastAsia"/>
                <w:color w:val="auto"/>
                <w:sz w:val="24"/>
                <w:szCs w:val="24"/>
                <w:highlight w:val="none"/>
                <w:lang w:val="en-US" w:eastAsia="zh-CN"/>
              </w:rPr>
              <w:t>10</w:t>
            </w:r>
            <w:r>
              <w:rPr>
                <w:rFonts w:hint="default" w:ascii="Times New Roman" w:hAnsi="Times New Roman" w:cs="Times New Roman" w:eastAsiaTheme="minorEastAsia"/>
                <w:color w:val="auto"/>
                <w:sz w:val="24"/>
                <w:szCs w:val="24"/>
                <w:highlight w:val="none"/>
              </w:rPr>
              <w:t>。</w:t>
            </w:r>
          </w:p>
          <w:p w14:paraId="228407FB">
            <w:pPr>
              <w:keepNext w:val="0"/>
              <w:keepLines w:val="0"/>
              <w:suppressLineNumbers w:val="0"/>
              <w:snapToGrid w:val="0"/>
              <w:spacing w:before="0" w:beforeAutospacing="0" w:after="0" w:afterAutospacing="0" w:line="240" w:lineRule="atLeast"/>
              <w:ind w:left="0" w:right="0" w:firstLine="482"/>
              <w:jc w:val="center"/>
              <w:rPr>
                <w:rFonts w:hint="default" w:ascii="Times New Roman" w:hAnsi="Times New Roman" w:cs="Times New Roman" w:eastAsiaTheme="minorEastAsia"/>
                <w:b/>
                <w:color w:val="auto"/>
                <w:sz w:val="24"/>
                <w:szCs w:val="24"/>
                <w:highlight w:val="none"/>
              </w:rPr>
            </w:pPr>
            <w:r>
              <w:rPr>
                <w:rFonts w:hint="default" w:ascii="Times New Roman" w:hAnsi="Times New Roman" w:cs="Times New Roman" w:eastAsiaTheme="minorEastAsia"/>
                <w:b/>
                <w:color w:val="auto"/>
                <w:sz w:val="24"/>
                <w:szCs w:val="24"/>
                <w:highlight w:val="none"/>
              </w:rPr>
              <w:t>表3-</w:t>
            </w:r>
            <w:r>
              <w:rPr>
                <w:rFonts w:hint="eastAsia" w:cs="Times New Roman" w:eastAsiaTheme="minorEastAsia"/>
                <w:b/>
                <w:color w:val="auto"/>
                <w:sz w:val="24"/>
                <w:szCs w:val="24"/>
                <w:highlight w:val="none"/>
                <w:lang w:val="en-US" w:eastAsia="zh-CN"/>
              </w:rPr>
              <w:t>10</w:t>
            </w:r>
            <w:r>
              <w:rPr>
                <w:rFonts w:hint="default" w:ascii="Times New Roman" w:hAnsi="Times New Roman" w:cs="Times New Roman" w:eastAsiaTheme="minorEastAsia"/>
                <w:b/>
                <w:color w:val="auto"/>
                <w:sz w:val="24"/>
                <w:szCs w:val="24"/>
                <w:highlight w:val="none"/>
              </w:rPr>
              <w:t xml:space="preserve">   本项目总量控制指标</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8"/>
              <w:gridCol w:w="4600"/>
            </w:tblGrid>
            <w:tr w14:paraId="5358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1" w:type="pct"/>
                  <w:noWrap w:val="0"/>
                  <w:vAlign w:val="center"/>
                </w:tcPr>
                <w:p w14:paraId="6FDC81C4">
                  <w:pPr>
                    <w:keepNext w:val="0"/>
                    <w:keepLines w:val="0"/>
                    <w:suppressLineNumbers w:val="0"/>
                    <w:snapToGrid w:val="0"/>
                    <w:spacing w:before="0" w:beforeAutospacing="0" w:after="0" w:afterAutospacing="0" w:line="240" w:lineRule="atLeast"/>
                    <w:ind w:left="0" w:right="0" w:firstLine="0" w:firstLineChars="0"/>
                    <w:jc w:val="center"/>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b/>
                      <w:color w:val="auto"/>
                      <w:spacing w:val="4"/>
                      <w:kern w:val="0"/>
                      <w:highlight w:val="none"/>
                    </w:rPr>
                    <w:t>项目</w:t>
                  </w:r>
                </w:p>
              </w:tc>
              <w:tc>
                <w:tcPr>
                  <w:tcW w:w="2748" w:type="pct"/>
                  <w:noWrap w:val="0"/>
                  <w:vAlign w:val="center"/>
                </w:tcPr>
                <w:p w14:paraId="5722ED85">
                  <w:pPr>
                    <w:keepNext w:val="0"/>
                    <w:keepLines w:val="0"/>
                    <w:suppressLineNumbers w:val="0"/>
                    <w:snapToGrid w:val="0"/>
                    <w:spacing w:before="0" w:beforeAutospacing="0" w:after="0" w:afterAutospacing="0" w:line="240" w:lineRule="atLeast"/>
                    <w:ind w:left="0" w:right="0" w:firstLine="0" w:firstLineChars="0"/>
                    <w:jc w:val="center"/>
                    <w:rPr>
                      <w:rFonts w:hint="default" w:ascii="Times New Roman" w:hAnsi="Times New Roman" w:cs="Times New Roman" w:eastAsiaTheme="minorEastAsia"/>
                      <w:b/>
                      <w:bCs/>
                      <w:color w:val="auto"/>
                      <w:highlight w:val="none"/>
                      <w:vertAlign w:val="subscript"/>
                    </w:rPr>
                  </w:pPr>
                  <w:r>
                    <w:rPr>
                      <w:rFonts w:hint="default" w:ascii="Times New Roman" w:hAnsi="Times New Roman" w:cs="Times New Roman" w:eastAsiaTheme="minorEastAsia"/>
                      <w:b/>
                      <w:bCs/>
                      <w:color w:val="auto"/>
                      <w:highlight w:val="none"/>
                    </w:rPr>
                    <w:t>VOC</w:t>
                  </w:r>
                </w:p>
              </w:tc>
            </w:tr>
            <w:tr w14:paraId="7C6D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1" w:type="pct"/>
                  <w:noWrap w:val="0"/>
                  <w:vAlign w:val="center"/>
                </w:tcPr>
                <w:p w14:paraId="16D75283">
                  <w:pPr>
                    <w:keepNext w:val="0"/>
                    <w:keepLines w:val="0"/>
                    <w:suppressLineNumbers w:val="0"/>
                    <w:snapToGrid w:val="0"/>
                    <w:spacing w:before="0" w:beforeAutospacing="0" w:after="0" w:afterAutospacing="0" w:line="240" w:lineRule="atLeast"/>
                    <w:ind w:left="0" w:right="0" w:firstLine="0" w:firstLineChars="0"/>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排放量（t/a）</w:t>
                  </w:r>
                </w:p>
              </w:tc>
              <w:tc>
                <w:tcPr>
                  <w:tcW w:w="2748" w:type="pct"/>
                  <w:noWrap w:val="0"/>
                  <w:vAlign w:val="center"/>
                </w:tcPr>
                <w:p w14:paraId="24AAC9EA">
                  <w:pPr>
                    <w:keepNext w:val="0"/>
                    <w:keepLines w:val="0"/>
                    <w:suppressLineNumbers w:val="0"/>
                    <w:snapToGrid w:val="0"/>
                    <w:spacing w:before="0" w:beforeAutospacing="0" w:after="0" w:afterAutospacing="0" w:line="240" w:lineRule="atLeast"/>
                    <w:ind w:left="0" w:right="0" w:firstLine="0" w:firstLineChars="0"/>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lang w:val="en-US" w:eastAsia="zh-CN"/>
                    </w:rPr>
                    <w:t>0.0493</w:t>
                  </w:r>
                </w:p>
              </w:tc>
            </w:tr>
          </w:tbl>
          <w:p w14:paraId="2F58FD80">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57FB1403">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527176B6">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0FFC0DE8">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5D6A13E9">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31C2C4CD">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09B4A4FA">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7C5F8818">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1D895F3F">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521DAA37">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0C8E93A7">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1EE0917B">
            <w:pPr>
              <w:pStyle w:val="59"/>
              <w:keepNext w:val="0"/>
              <w:keepLines w:val="0"/>
              <w:suppressLineNumbers w:val="0"/>
              <w:spacing w:before="0" w:beforeAutospacing="0" w:after="0" w:afterAutospacing="0"/>
              <w:ind w:left="0" w:right="0" w:firstLine="0" w:firstLineChars="0"/>
              <w:rPr>
                <w:rFonts w:hint="default" w:ascii="Times New Roman" w:hAnsi="Times New Roman" w:cs="Times New Roman" w:eastAsiaTheme="minorEastAsia"/>
                <w:color w:val="auto"/>
                <w:highlight w:val="none"/>
              </w:rPr>
            </w:pPr>
          </w:p>
          <w:p w14:paraId="77BF2034">
            <w:pPr>
              <w:keepNext w:val="0"/>
              <w:keepLines w:val="0"/>
              <w:suppressLineNumbers w:val="0"/>
              <w:spacing w:before="0" w:beforeAutospacing="0" w:after="0" w:afterAutospacing="0"/>
              <w:ind w:left="0" w:right="0"/>
              <w:rPr>
                <w:rFonts w:hint="default"/>
                <w:color w:val="auto"/>
                <w:lang w:eastAsia="zh-CN"/>
              </w:rPr>
            </w:pPr>
          </w:p>
        </w:tc>
      </w:tr>
    </w:tbl>
    <w:p w14:paraId="5497DD0F">
      <w:pPr>
        <w:widowControl/>
        <w:jc w:val="left"/>
        <w:rPr>
          <w:rFonts w:hint="default" w:ascii="Times New Roman" w:hAnsi="Times New Roman" w:eastAsia="宋体" w:cs="Times New Roman"/>
          <w:color w:val="auto"/>
          <w:highlight w:val="none"/>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447362F">
      <w:pPr>
        <w:tabs>
          <w:tab w:val="left" w:pos="0"/>
        </w:tabs>
        <w:snapToGrid w:val="0"/>
        <w:jc w:val="center"/>
        <w:outlineLvl w:val="0"/>
        <w:rPr>
          <w:rFonts w:hint="default" w:ascii="Times New Roman" w:hAnsi="Times New Roman" w:eastAsia="宋体" w:cs="Times New Roman"/>
          <w:b/>
          <w:color w:val="auto"/>
          <w:sz w:val="32"/>
          <w:highlight w:val="none"/>
          <w:lang w:eastAsia="zh-CN"/>
        </w:rPr>
      </w:pPr>
      <w:r>
        <w:rPr>
          <w:rFonts w:hint="default" w:ascii="Times New Roman" w:hAnsi="Times New Roman" w:eastAsia="宋体" w:cs="Times New Roman"/>
          <w:b/>
          <w:color w:val="auto"/>
          <w:sz w:val="32"/>
          <w:highlight w:val="none"/>
          <w:lang w:val="en-US" w:eastAsia="zh-CN"/>
        </w:rPr>
        <w:t>四、</w:t>
      </w:r>
      <w:r>
        <w:rPr>
          <w:rFonts w:hint="default" w:ascii="Times New Roman" w:hAnsi="Times New Roman" w:eastAsia="宋体" w:cs="Times New Roman"/>
          <w:b/>
          <w:color w:val="auto"/>
          <w:sz w:val="32"/>
          <w:highlight w:val="none"/>
          <w:lang w:eastAsia="zh-CN"/>
        </w:rPr>
        <w:t>主要</w:t>
      </w:r>
      <w:r>
        <w:rPr>
          <w:rFonts w:hint="default" w:ascii="Times New Roman" w:hAnsi="Times New Roman" w:eastAsia="宋体" w:cs="Times New Roman"/>
          <w:b/>
          <w:color w:val="auto"/>
          <w:sz w:val="32"/>
          <w:highlight w:val="none"/>
        </w:rPr>
        <w:t>环境影响</w:t>
      </w:r>
      <w:r>
        <w:rPr>
          <w:rFonts w:hint="default" w:ascii="Times New Roman" w:hAnsi="Times New Roman" w:eastAsia="宋体" w:cs="Times New Roman"/>
          <w:b/>
          <w:color w:val="auto"/>
          <w:sz w:val="32"/>
          <w:highlight w:val="none"/>
          <w:lang w:eastAsia="zh-CN"/>
        </w:rPr>
        <w:t>和保护措施</w:t>
      </w:r>
    </w:p>
    <w:tbl>
      <w:tblPr>
        <w:tblStyle w:val="30"/>
        <w:tblW w:w="514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8816"/>
      </w:tblGrid>
      <w:tr w14:paraId="4E7BA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347" w:type="pct"/>
            <w:noWrap w:val="0"/>
            <w:tcMar>
              <w:left w:w="28" w:type="dxa"/>
              <w:right w:w="28" w:type="dxa"/>
            </w:tcMar>
            <w:vAlign w:val="center"/>
          </w:tcPr>
          <w:p w14:paraId="284DA417">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2"/>
                <w:sz w:val="24"/>
                <w:szCs w:val="24"/>
                <w:highlight w:val="none"/>
              </w:rPr>
              <w:t>施工</w:t>
            </w:r>
          </w:p>
          <w:p w14:paraId="318367F4">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2"/>
                <w:sz w:val="24"/>
                <w:szCs w:val="24"/>
                <w:highlight w:val="none"/>
              </w:rPr>
              <w:t>期环</w:t>
            </w:r>
          </w:p>
          <w:p w14:paraId="14E2D75B">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2"/>
                <w:sz w:val="24"/>
                <w:szCs w:val="24"/>
                <w:highlight w:val="none"/>
              </w:rPr>
              <w:t>境保</w:t>
            </w:r>
          </w:p>
          <w:p w14:paraId="694305EE">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2"/>
                <w:sz w:val="24"/>
                <w:szCs w:val="24"/>
                <w:highlight w:val="none"/>
              </w:rPr>
              <w:t>护措</w:t>
            </w:r>
          </w:p>
          <w:p w14:paraId="2877F016">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2"/>
                <w:sz w:val="24"/>
                <w:szCs w:val="24"/>
                <w:highlight w:val="none"/>
              </w:rPr>
              <w:t>施</w:t>
            </w:r>
          </w:p>
        </w:tc>
        <w:tc>
          <w:tcPr>
            <w:tcW w:w="4652" w:type="pct"/>
            <w:noWrap w:val="0"/>
            <w:vAlign w:val="center"/>
          </w:tcPr>
          <w:p w14:paraId="38BEE85E">
            <w:pPr>
              <w:pStyle w:val="69"/>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一、施工期废气防治措施</w:t>
            </w:r>
          </w:p>
          <w:p w14:paraId="0A60D35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本项目施工期主要为生产车间建设与设备安装、环保工程等建设，本项目施工内容简单，不设置施工营地，施工原辅料暂存在工业场地库房内，施工营地依托</w:t>
            </w:r>
            <w:r>
              <w:rPr>
                <w:rFonts w:hint="eastAsia" w:eastAsia="宋体" w:cs="Times New Roman"/>
                <w:color w:val="auto"/>
                <w:sz w:val="24"/>
                <w:lang w:val="en-US" w:eastAsia="zh-CN"/>
              </w:rPr>
              <w:t>布尔台煤矿</w:t>
            </w:r>
            <w:r>
              <w:rPr>
                <w:rFonts w:hint="eastAsia" w:ascii="Times New Roman" w:hAnsi="Times New Roman" w:eastAsia="宋体" w:cs="Times New Roman"/>
                <w:color w:val="auto"/>
                <w:sz w:val="24"/>
                <w:lang w:val="en-US" w:eastAsia="zh-CN"/>
              </w:rPr>
              <w:t>办公生活区。在基础建设与设备安装等施工阶段，存在施工扬尘和施工机械设备等产生的机械废气，为减轻施工扬尘对环境的影响，拟采取如下措施：</w:t>
            </w:r>
          </w:p>
          <w:p w14:paraId="0D133AF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（1）施工扬尘</w:t>
            </w:r>
          </w:p>
          <w:p w14:paraId="6DFED12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bookmarkStart w:id="12" w:name="_Hlk102405748"/>
            <w:r>
              <w:rPr>
                <w:rFonts w:hint="eastAsia" w:ascii="Times New Roman" w:hAnsi="Times New Roman" w:eastAsia="宋体" w:cs="Times New Roman"/>
                <w:color w:val="auto"/>
                <w:sz w:val="24"/>
                <w:lang w:val="en-US" w:eastAsia="zh-CN"/>
              </w:rPr>
              <w:t>①施工现场进行施工时要求施工机械操作人员严格按照正规操作规程进行操作，严禁乱抛、乱卸，减少扬尘污染。</w:t>
            </w:r>
          </w:p>
          <w:p w14:paraId="6BE8FF0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②施工过程中易产生扬尘的施工材料，应设置专门的堆蓬，并使用防尘布对原料进行覆盖，并经常检查覆盖情况，如发现有破损或未覆盖处立即进行修补、覆盖。</w:t>
            </w:r>
          </w:p>
          <w:p w14:paraId="77D2531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③施工现场及时进行洒水降尘，遇到风沙天气，相应增加洒水遍数。</w:t>
            </w:r>
          </w:p>
          <w:p w14:paraId="00D018B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④物料和垃圾应密闭运输，严禁凌空抛撒、野蛮装卸，并保证物料不遗撒外漏，以减少沿路抛洒、减少二次扬尘产生，并且运输车辆进入施工场地应低速行驶，以减少产尘量。</w:t>
            </w:r>
          </w:p>
          <w:bookmarkEnd w:id="12"/>
          <w:p w14:paraId="6DE5BC0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（2）施工机械设备废气</w:t>
            </w:r>
          </w:p>
          <w:p w14:paraId="17B92DE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bookmarkStart w:id="13" w:name="_Hlk102405762"/>
            <w:r>
              <w:rPr>
                <w:rFonts w:hint="eastAsia" w:ascii="Times New Roman" w:hAnsi="Times New Roman" w:eastAsia="宋体" w:cs="Times New Roman"/>
                <w:color w:val="auto"/>
                <w:sz w:val="24"/>
                <w:lang w:val="en-US" w:eastAsia="zh-CN"/>
              </w:rPr>
              <w:t>施工机械和运输车辆产生的废气污染物的排放量主要由机械设备和车辆采用的燃料及设备性能决定，通过采用清洁燃料，在车辆及机械设备排气口加装废气过滤器，同时保持车辆及有关设备化油器、空气过滤器等部位的清洁，可有效降低机械设备及车辆废气对环境空气的影响，施工机械设备和车辆废气对周围环境空气的影响较小。</w:t>
            </w:r>
          </w:p>
          <w:p w14:paraId="7E1630A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施工期扬尘对大气环境的影响是短暂的，随着施工期的结束而消失，只要采取以上施工扬尘的控制措施，施工期对大气环境的影响是有限的。</w:t>
            </w:r>
            <w:bookmarkEnd w:id="13"/>
          </w:p>
          <w:p w14:paraId="338F0D4D">
            <w:pPr>
              <w:pStyle w:val="69"/>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二、施工期废水防治措施</w:t>
            </w:r>
          </w:p>
          <w:p w14:paraId="3F70D70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bookmarkStart w:id="14" w:name="_Hlk102405775"/>
            <w:r>
              <w:rPr>
                <w:rFonts w:hint="eastAsia" w:ascii="Times New Roman" w:hAnsi="Times New Roman" w:eastAsia="宋体" w:cs="Times New Roman"/>
                <w:color w:val="auto"/>
                <w:sz w:val="24"/>
                <w:lang w:val="en-US" w:eastAsia="zh-CN"/>
              </w:rPr>
              <w:t>施工期废水主要为施工废水及施工人员生活污水。</w:t>
            </w:r>
          </w:p>
          <w:p w14:paraId="585BD6C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施工废水主要污染因子为SS等，生活污水中的主要污染因子为COD、BOD、SS等。</w:t>
            </w:r>
          </w:p>
          <w:p w14:paraId="3E4AD12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为减轻施工期间对水环境的不利影响，施工单位应做到以下几个方面：</w:t>
            </w:r>
          </w:p>
          <w:p w14:paraId="0028C0E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①对其产生的污水排放进行组织和设计；</w:t>
            </w:r>
          </w:p>
          <w:p w14:paraId="3D6FF04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②尽量减少施工设备与水体的直接接触，加强各类机械设备的维修保养，避免其在施工过程中燃料用油跑、冒、漏的现象；</w:t>
            </w:r>
          </w:p>
          <w:p w14:paraId="1754FB9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 xml:space="preserve">③尽量减少在施工场地随意对机械车辆冲洗，应定点冲洗； </w:t>
            </w:r>
          </w:p>
          <w:p w14:paraId="0C6FBA4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rPr>
            </w:pPr>
            <w:r>
              <w:rPr>
                <w:rFonts w:hint="eastAsia" w:ascii="Times New Roman" w:hAnsi="Times New Roman" w:eastAsia="宋体" w:cs="Times New Roman"/>
                <w:color w:val="auto"/>
                <w:sz w:val="24"/>
                <w:lang w:val="en-US" w:eastAsia="zh-CN"/>
              </w:rPr>
              <w:t>本项目施工废水经简易沉淀池处理后回用，不外排。项目施工人员均为</w:t>
            </w:r>
            <w:r>
              <w:rPr>
                <w:rFonts w:hint="eastAsia" w:eastAsia="宋体" w:cs="Times New Roman"/>
                <w:color w:val="auto"/>
                <w:sz w:val="24"/>
                <w:lang w:val="en-US" w:eastAsia="zh-CN"/>
              </w:rPr>
              <w:t>布尔台煤矿</w:t>
            </w:r>
            <w:r>
              <w:rPr>
                <w:rFonts w:hint="eastAsia" w:ascii="Times New Roman" w:hAnsi="Times New Roman" w:eastAsia="宋体" w:cs="Times New Roman"/>
                <w:color w:val="auto"/>
                <w:sz w:val="24"/>
                <w:lang w:val="en-US" w:eastAsia="zh-CN"/>
              </w:rPr>
              <w:t>自有员工，施工期生活污水依托</w:t>
            </w:r>
            <w:r>
              <w:rPr>
                <w:rFonts w:hint="eastAsia" w:eastAsia="宋体" w:cs="Times New Roman"/>
                <w:color w:val="auto"/>
                <w:sz w:val="24"/>
                <w:lang w:val="en-US" w:eastAsia="zh-CN"/>
              </w:rPr>
              <w:t>布尔台煤矿</w:t>
            </w:r>
            <w:r>
              <w:rPr>
                <w:rFonts w:hint="eastAsia" w:ascii="Times New Roman" w:hAnsi="Times New Roman" w:eastAsia="宋体" w:cs="Times New Roman"/>
                <w:color w:val="auto"/>
                <w:sz w:val="24"/>
                <w:lang w:val="en-US" w:eastAsia="zh-CN"/>
              </w:rPr>
              <w:t>办公生活区解决。只要施工单位加强环境管理，做好施工废水处理及排放措施，施工期对周围地表水环境影响可控制在一定范围之内</w:t>
            </w:r>
            <w:bookmarkEnd w:id="14"/>
            <w:r>
              <w:rPr>
                <w:rFonts w:hint="eastAsia" w:ascii="Times New Roman" w:hAnsi="Times New Roman" w:eastAsia="宋体" w:cs="Times New Roman"/>
                <w:color w:val="auto"/>
                <w:sz w:val="24"/>
                <w:lang w:val="en-US" w:eastAsia="zh-CN"/>
              </w:rPr>
              <w:t>。</w:t>
            </w:r>
          </w:p>
          <w:p w14:paraId="4CBDA18A">
            <w:pPr>
              <w:pStyle w:val="69"/>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三、施工期噪声防治措施</w:t>
            </w:r>
          </w:p>
          <w:p w14:paraId="20CD5D1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bookmarkStart w:id="15" w:name="_Hlk102405786"/>
            <w:r>
              <w:rPr>
                <w:rFonts w:hint="eastAsia" w:ascii="Times New Roman" w:hAnsi="Times New Roman" w:eastAsia="宋体" w:cs="Times New Roman"/>
                <w:color w:val="auto"/>
                <w:sz w:val="24"/>
                <w:lang w:val="en-US" w:eastAsia="zh-CN"/>
              </w:rPr>
              <w:t>为减少施工噪声影响，项目可采取以下防护措施：</w:t>
            </w:r>
          </w:p>
          <w:p w14:paraId="2FFAFA8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（1）施工期禁止夜间施工，施工单位加强施工期的管理；</w:t>
            </w:r>
          </w:p>
          <w:p w14:paraId="34F5E2D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（2）避免在同一地点安排大量动力机械设备，以避免局部声级过高；</w:t>
            </w:r>
          </w:p>
          <w:p w14:paraId="0A395F8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（3）施工设备选型上尽量采用低噪声设备，如采用高频振捣器等；</w:t>
            </w:r>
          </w:p>
          <w:p w14:paraId="68EFD0B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（4）对动力机械设备进行定期维修、养护，避免设备因部件松动引起的振动或消声器的损坏而增大噪声；</w:t>
            </w:r>
          </w:p>
          <w:p w14:paraId="48B64E8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（5）模板、支架拆卸过程中，遵守作业规定，减少碰撞</w:t>
            </w:r>
            <w:r>
              <w:rPr>
                <w:rFonts w:hint="eastAsia" w:cs="Times New Roman"/>
                <w:color w:val="auto"/>
                <w:sz w:val="24"/>
                <w:lang w:val="en-US" w:eastAsia="zh-CN"/>
              </w:rPr>
              <w:t>噪声</w:t>
            </w:r>
            <w:r>
              <w:rPr>
                <w:rFonts w:hint="eastAsia" w:ascii="Times New Roman" w:hAnsi="Times New Roman" w:eastAsia="宋体" w:cs="Times New Roman"/>
                <w:color w:val="auto"/>
                <w:sz w:val="24"/>
                <w:lang w:val="en-US" w:eastAsia="zh-CN"/>
              </w:rPr>
              <w:t>；</w:t>
            </w:r>
          </w:p>
          <w:p w14:paraId="3F8E8B3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（6）尽量少用哨子、喇叭等指挥作业，减少人为噪声；</w:t>
            </w:r>
          </w:p>
          <w:bookmarkEnd w:id="15"/>
          <w:p w14:paraId="1EC6812F">
            <w:pPr>
              <w:pStyle w:val="69"/>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四、施工期固体废物防治措施</w:t>
            </w:r>
          </w:p>
          <w:p w14:paraId="07DA306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本项目施工期主要为生产车间建设（钢结构建筑）与设备安装，无弃土，项目施工期产生的固体废弃物主要为施工垃圾和生活垃圾。</w:t>
            </w:r>
          </w:p>
          <w:p w14:paraId="71D84D8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bookmarkStart w:id="16" w:name="_Hlk102405801"/>
            <w:r>
              <w:rPr>
                <w:rFonts w:hint="eastAsia" w:ascii="Times New Roman" w:hAnsi="Times New Roman" w:eastAsia="宋体" w:cs="Times New Roman"/>
                <w:color w:val="auto"/>
                <w:sz w:val="24"/>
                <w:lang w:val="en-US" w:eastAsia="zh-CN"/>
              </w:rPr>
              <w:t>（1）施工垃圾</w:t>
            </w:r>
          </w:p>
          <w:p w14:paraId="033C595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项目施工期工程建设过程产生的施工废料，如废钢板、套管等，产生量较小，</w:t>
            </w:r>
            <w:r>
              <w:rPr>
                <w:rFonts w:hint="eastAsia" w:eastAsia="宋体" w:cs="Times New Roman"/>
                <w:color w:val="auto"/>
                <w:sz w:val="24"/>
                <w:lang w:val="en-US" w:eastAsia="zh-CN"/>
              </w:rPr>
              <w:t>布尔台煤矿</w:t>
            </w:r>
            <w:r>
              <w:rPr>
                <w:rFonts w:hint="eastAsia" w:ascii="Times New Roman" w:hAnsi="Times New Roman" w:eastAsia="宋体" w:cs="Times New Roman"/>
                <w:color w:val="auto"/>
                <w:sz w:val="24"/>
                <w:lang w:val="en-US" w:eastAsia="zh-CN"/>
              </w:rPr>
              <w:t>分类收集，后期进行综合利用，减少对周围环境的影响。</w:t>
            </w:r>
          </w:p>
          <w:p w14:paraId="3607FA8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针对施工期固体废物的来源及影响，建议施工单位做好以下环境保护措施：</w:t>
            </w:r>
          </w:p>
          <w:p w14:paraId="46D13E5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①为保护该区地下水，禁止生活垃圾回填；</w:t>
            </w:r>
          </w:p>
          <w:p w14:paraId="0F1E55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②合理规划施工方案，减少施工粉尘的排放；</w:t>
            </w:r>
          </w:p>
          <w:p w14:paraId="11617AF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③当车辆运输散体废弃物时，必须密闭、包扎、覆盖，不得沿途漏撒，要按照指定的路线行驶；</w:t>
            </w:r>
          </w:p>
          <w:p w14:paraId="5226854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④施工结束后，要分类回收废余边角料，以防造成二次污染；</w:t>
            </w:r>
          </w:p>
          <w:p w14:paraId="199057A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项目应将施工废</w:t>
            </w:r>
            <w:r>
              <w:rPr>
                <w:rFonts w:hint="eastAsia" w:cs="Times New Roman"/>
                <w:color w:val="auto"/>
                <w:sz w:val="24"/>
                <w:lang w:val="en-US" w:eastAsia="zh-CN"/>
              </w:rPr>
              <w:t>弃</w:t>
            </w:r>
            <w:r>
              <w:rPr>
                <w:rFonts w:hint="eastAsia" w:ascii="Times New Roman" w:hAnsi="Times New Roman" w:eastAsia="宋体" w:cs="Times New Roman"/>
                <w:color w:val="auto"/>
                <w:sz w:val="24"/>
                <w:lang w:val="en-US" w:eastAsia="zh-CN"/>
              </w:rPr>
              <w:t>物定点存放，便于管理与分类回收；设置生活垃圾箱，生活垃圾定期由当地环卫部门清运处置。</w:t>
            </w:r>
            <w:r>
              <w:rPr>
                <w:rFonts w:hint="eastAsia" w:cs="Times New Roman"/>
                <w:color w:val="auto"/>
                <w:sz w:val="24"/>
                <w:lang w:val="en-US" w:eastAsia="zh-CN"/>
              </w:rPr>
              <w:t>总的来说</w:t>
            </w:r>
            <w:r>
              <w:rPr>
                <w:rFonts w:hint="eastAsia" w:ascii="Times New Roman" w:hAnsi="Times New Roman" w:eastAsia="宋体" w:cs="Times New Roman"/>
                <w:color w:val="auto"/>
                <w:sz w:val="24"/>
                <w:lang w:val="en-US" w:eastAsia="zh-CN"/>
              </w:rPr>
              <w:t>，只要加强施工管理，严格遵守《中华人民共和国固体废物污染环境防治法》的相关规定，施工期固体废弃物对周围环境影响是可控的。</w:t>
            </w:r>
          </w:p>
          <w:p w14:paraId="54AB9D5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（2）生活垃圾</w:t>
            </w:r>
          </w:p>
          <w:bookmarkEnd w:id="16"/>
          <w:p w14:paraId="5C0E981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sz w:val="24"/>
                <w:lang w:val="en-US" w:eastAsia="zh-CN"/>
              </w:rPr>
              <w:t>项目施工作业高峰期人数达到5人，施工期为1个月，生活垃圾量以0.5kg/d•人计，则施工期间生活垃圾总量约0.075t。施工单位采取集中收集至垃圾桶内，由当地环卫部门统一处理。</w:t>
            </w:r>
          </w:p>
        </w:tc>
      </w:tr>
      <w:tr w14:paraId="581EA6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22" w:hRule="atLeast"/>
          <w:jc w:val="center"/>
        </w:trPr>
        <w:tc>
          <w:tcPr>
            <w:tcW w:w="347" w:type="pct"/>
            <w:noWrap w:val="0"/>
            <w:tcMar>
              <w:left w:w="28" w:type="dxa"/>
              <w:right w:w="28" w:type="dxa"/>
            </w:tcMar>
            <w:vAlign w:val="center"/>
          </w:tcPr>
          <w:p w14:paraId="339548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运营</w:t>
            </w:r>
          </w:p>
          <w:p w14:paraId="33F9B5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期环</w:t>
            </w:r>
          </w:p>
          <w:p w14:paraId="0CF70C6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境影</w:t>
            </w:r>
          </w:p>
          <w:p w14:paraId="20D6720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响和</w:t>
            </w:r>
          </w:p>
          <w:p w14:paraId="3B90A6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保护</w:t>
            </w:r>
          </w:p>
          <w:p w14:paraId="7F82D54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措施</w:t>
            </w:r>
          </w:p>
        </w:tc>
        <w:tc>
          <w:tcPr>
            <w:tcW w:w="4652" w:type="pct"/>
            <w:noWrap w:val="0"/>
            <w:vAlign w:val="center"/>
          </w:tcPr>
          <w:p w14:paraId="5B5C4828">
            <w:pPr>
              <w:keepNext w:val="0"/>
              <w:keepLines w:val="0"/>
              <w:numPr>
                <w:ilvl w:val="0"/>
                <w:numId w:val="1"/>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废气</w:t>
            </w:r>
          </w:p>
          <w:p w14:paraId="150EE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.污染物源强核算</w:t>
            </w:r>
          </w:p>
          <w:p w14:paraId="0D17C577">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（1）喷漆、刷漆废气</w:t>
            </w:r>
          </w:p>
          <w:p w14:paraId="6C6E6ECB">
            <w:pPr>
              <w:keepNext w:val="0"/>
              <w:keepLines w:val="0"/>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u-ES"/>
              </w:rPr>
            </w:pPr>
            <w:r>
              <w:rPr>
                <w:rFonts w:hint="default" w:ascii="Times New Roman" w:hAnsi="Times New Roman" w:eastAsia="宋体" w:cs="Times New Roman"/>
                <w:bCs/>
                <w:color w:val="auto"/>
                <w:sz w:val="24"/>
              </w:rPr>
              <w:t>本项目喷漆在密闭的喷漆房内进行，喷漆和晾干过程会产生喷漆废气，主要污染物为漆雾</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即颗粒物</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w:t>
            </w:r>
            <w:r>
              <w:rPr>
                <w:rFonts w:hint="eastAsia" w:ascii="Times New Roman" w:hAnsi="Times New Roman" w:eastAsia="宋体" w:cs="Times New Roman"/>
                <w:bCs/>
                <w:color w:val="auto"/>
                <w:sz w:val="24"/>
                <w:lang w:val="en-US" w:eastAsia="zh-CN"/>
              </w:rPr>
              <w:t>苯系物（</w:t>
            </w:r>
            <w:r>
              <w:rPr>
                <w:rFonts w:hint="eastAsia" w:eastAsia="宋体"/>
                <w:color w:val="auto"/>
                <w:sz w:val="24"/>
                <w:highlight w:val="none"/>
                <w:lang w:val="en-US" w:eastAsia="zh-CN"/>
              </w:rPr>
              <w:t>苯、甲苯、二甲苯</w:t>
            </w:r>
            <w:r>
              <w:rPr>
                <w:rFonts w:hint="eastAsia" w:ascii="Times New Roman" w:hAnsi="Times New Roman" w:eastAsia="宋体" w:cs="Times New Roman"/>
                <w:bCs/>
                <w:color w:val="auto"/>
                <w:sz w:val="24"/>
                <w:lang w:val="en-US" w:eastAsia="zh-CN"/>
              </w:rPr>
              <w:t>）</w:t>
            </w:r>
            <w:r>
              <w:rPr>
                <w:rFonts w:hint="default" w:ascii="Times New Roman" w:hAnsi="Times New Roman" w:eastAsia="宋体" w:cs="Times New Roman"/>
                <w:bCs/>
                <w:color w:val="auto"/>
                <w:sz w:val="24"/>
              </w:rPr>
              <w:t>和非甲烷总烃等。</w:t>
            </w:r>
          </w:p>
          <w:p w14:paraId="1EE3E78E">
            <w:pPr>
              <w:pStyle w:val="13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本项目主要使用原料为底漆、面漆均为水性漆，本次水性漆成分一览表主要参考水性醇酸钢结构防锈漆质量标准，原材料需满足《水性醇酸钢结构防锈漆》（T/ZZB0908-2018），水性漆成分见表</w:t>
            </w:r>
            <w:r>
              <w:rPr>
                <w:rFonts w:hint="eastAsia" w:cs="Times New Roman"/>
                <w:b w:val="0"/>
                <w:bCs w:val="0"/>
                <w:color w:val="auto"/>
                <w:kern w:val="2"/>
                <w:sz w:val="24"/>
                <w:szCs w:val="24"/>
                <w:lang w:val="en-US" w:eastAsia="zh-CN" w:bidi="ar-SA"/>
              </w:rPr>
              <w:t>4-1</w:t>
            </w:r>
            <w:r>
              <w:rPr>
                <w:rFonts w:hint="eastAsia" w:ascii="Times New Roman" w:hAnsi="Times New Roman" w:eastAsia="宋体" w:cs="Times New Roman"/>
                <w:b w:val="0"/>
                <w:bCs w:val="0"/>
                <w:color w:val="auto"/>
                <w:kern w:val="2"/>
                <w:sz w:val="24"/>
                <w:szCs w:val="24"/>
                <w:lang w:val="en-US" w:eastAsia="zh-CN" w:bidi="ar-SA"/>
              </w:rPr>
              <w:t>，原料成分含量情况见表</w:t>
            </w:r>
            <w:r>
              <w:rPr>
                <w:rFonts w:hint="eastAsia" w:cs="Times New Roman"/>
                <w:b w:val="0"/>
                <w:bCs w:val="0"/>
                <w:color w:val="auto"/>
                <w:kern w:val="2"/>
                <w:sz w:val="24"/>
                <w:szCs w:val="24"/>
                <w:lang w:val="en-US" w:eastAsia="zh-CN" w:bidi="ar-SA"/>
              </w:rPr>
              <w:t>4-2</w:t>
            </w:r>
            <w:r>
              <w:rPr>
                <w:rFonts w:hint="eastAsia" w:ascii="Times New Roman" w:hAnsi="Times New Roman" w:eastAsia="宋体" w:cs="Times New Roman"/>
                <w:b w:val="0"/>
                <w:bCs w:val="0"/>
                <w:color w:val="auto"/>
                <w:kern w:val="2"/>
                <w:sz w:val="24"/>
                <w:szCs w:val="24"/>
                <w:lang w:val="en-US" w:eastAsia="zh-CN" w:bidi="ar-SA"/>
              </w:rPr>
              <w:t>。</w:t>
            </w:r>
          </w:p>
          <w:p w14:paraId="220DD11F">
            <w:pPr>
              <w:pStyle w:val="13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水性漆理化性质分析：</w:t>
            </w:r>
          </w:p>
          <w:p w14:paraId="0C63632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val="en-US" w:eastAsia="zh-CN"/>
              </w:rPr>
            </w:pPr>
            <w:r>
              <w:rPr>
                <w:rFonts w:hint="eastAsia" w:ascii="Times New Roman" w:hAnsi="Times New Roman" w:eastAsia="宋体" w:cs="Times New Roman"/>
                <w:b/>
                <w:bCs/>
                <w:color w:val="auto"/>
                <w:sz w:val="24"/>
                <w:szCs w:val="24"/>
              </w:rPr>
              <w:t>表</w:t>
            </w:r>
            <w:r>
              <w:rPr>
                <w:rFonts w:hint="eastAsia" w:cs="Times New Roman"/>
                <w:b/>
                <w:bCs/>
                <w:color w:val="auto"/>
                <w:sz w:val="24"/>
                <w:szCs w:val="24"/>
                <w:lang w:val="en-US" w:eastAsia="zh-CN"/>
              </w:rPr>
              <w:t>4-1</w:t>
            </w:r>
            <w:r>
              <w:rPr>
                <w:rFonts w:hint="eastAsia"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 xml:space="preserve">  本项目水性漆成分一览表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809"/>
              <w:gridCol w:w="657"/>
              <w:gridCol w:w="1353"/>
              <w:gridCol w:w="1227"/>
              <w:gridCol w:w="753"/>
              <w:gridCol w:w="839"/>
              <w:gridCol w:w="2305"/>
            </w:tblGrid>
            <w:tr w14:paraId="29D8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2D6AE8DE">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序号</w:t>
                  </w:r>
                </w:p>
              </w:tc>
              <w:tc>
                <w:tcPr>
                  <w:tcW w:w="471" w:type="pct"/>
                  <w:tcBorders>
                    <w:tl2br w:val="nil"/>
                    <w:tr2bl w:val="nil"/>
                  </w:tcBorders>
                  <w:noWrap w:val="0"/>
                  <w:vAlign w:val="center"/>
                </w:tcPr>
                <w:p w14:paraId="6B8CB0B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原材料</w:t>
                  </w:r>
                </w:p>
              </w:tc>
              <w:tc>
                <w:tcPr>
                  <w:tcW w:w="382" w:type="pct"/>
                  <w:tcBorders>
                    <w:tl2br w:val="nil"/>
                    <w:tr2bl w:val="nil"/>
                  </w:tcBorders>
                  <w:noWrap w:val="0"/>
                  <w:vAlign w:val="center"/>
                </w:tcPr>
                <w:p w14:paraId="149C2E3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形态</w:t>
                  </w:r>
                </w:p>
              </w:tc>
              <w:tc>
                <w:tcPr>
                  <w:tcW w:w="787" w:type="pct"/>
                  <w:tcBorders>
                    <w:tl2br w:val="nil"/>
                    <w:tr2bl w:val="nil"/>
                  </w:tcBorders>
                  <w:noWrap w:val="0"/>
                  <w:vAlign w:val="center"/>
                </w:tcPr>
                <w:p w14:paraId="6962595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不挥发物含量%</w:t>
                  </w:r>
                </w:p>
              </w:tc>
              <w:tc>
                <w:tcPr>
                  <w:tcW w:w="714" w:type="pct"/>
                  <w:tcBorders>
                    <w:tl2br w:val="nil"/>
                    <w:tr2bl w:val="nil"/>
                  </w:tcBorders>
                  <w:noWrap w:val="0"/>
                  <w:vAlign w:val="center"/>
                </w:tcPr>
                <w:p w14:paraId="6852545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挥发物含量（g/L）</w:t>
                  </w:r>
                </w:p>
              </w:tc>
              <w:tc>
                <w:tcPr>
                  <w:tcW w:w="438" w:type="pct"/>
                  <w:tcBorders>
                    <w:tl2br w:val="nil"/>
                    <w:tr2bl w:val="nil"/>
                  </w:tcBorders>
                  <w:noWrap w:val="0"/>
                  <w:vAlign w:val="center"/>
                </w:tcPr>
                <w:p w14:paraId="09BD2DC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密度kg/L</w:t>
                  </w:r>
                </w:p>
              </w:tc>
              <w:tc>
                <w:tcPr>
                  <w:tcW w:w="488" w:type="pct"/>
                  <w:tcBorders>
                    <w:tl2br w:val="nil"/>
                    <w:tr2bl w:val="nil"/>
                  </w:tcBorders>
                  <w:noWrap w:val="0"/>
                  <w:vAlign w:val="center"/>
                </w:tcPr>
                <w:p w14:paraId="6647D04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含水率%</w:t>
                  </w:r>
                </w:p>
              </w:tc>
              <w:tc>
                <w:tcPr>
                  <w:tcW w:w="1341" w:type="pct"/>
                  <w:tcBorders>
                    <w:tl2br w:val="nil"/>
                    <w:tr2bl w:val="nil"/>
                  </w:tcBorders>
                  <w:noWrap w:val="0"/>
                  <w:vAlign w:val="center"/>
                </w:tcPr>
                <w:p w14:paraId="3A832C3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标准</w:t>
                  </w:r>
                </w:p>
              </w:tc>
            </w:tr>
            <w:tr w14:paraId="0C3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502DC228">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71" w:type="pct"/>
                  <w:tcBorders>
                    <w:tl2br w:val="nil"/>
                    <w:tr2bl w:val="nil"/>
                  </w:tcBorders>
                  <w:noWrap w:val="0"/>
                  <w:vAlign w:val="center"/>
                </w:tcPr>
                <w:p w14:paraId="3983988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底漆</w:t>
                  </w:r>
                </w:p>
              </w:tc>
              <w:tc>
                <w:tcPr>
                  <w:tcW w:w="382" w:type="pct"/>
                  <w:tcBorders>
                    <w:tl2br w:val="nil"/>
                    <w:tr2bl w:val="nil"/>
                  </w:tcBorders>
                  <w:noWrap w:val="0"/>
                  <w:vAlign w:val="center"/>
                </w:tcPr>
                <w:p w14:paraId="13558BD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液态</w:t>
                  </w:r>
                </w:p>
              </w:tc>
              <w:tc>
                <w:tcPr>
                  <w:tcW w:w="787" w:type="pct"/>
                  <w:tcBorders>
                    <w:tl2br w:val="nil"/>
                    <w:tr2bl w:val="nil"/>
                  </w:tcBorders>
                  <w:noWrap w:val="0"/>
                  <w:vAlign w:val="center"/>
                </w:tcPr>
                <w:p w14:paraId="310C430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≥50（本项目取85%）</w:t>
                  </w:r>
                </w:p>
              </w:tc>
              <w:tc>
                <w:tcPr>
                  <w:tcW w:w="714" w:type="pct"/>
                  <w:tcBorders>
                    <w:tl2br w:val="nil"/>
                    <w:tr2bl w:val="nil"/>
                  </w:tcBorders>
                  <w:noWrap w:val="0"/>
                  <w:vAlign w:val="center"/>
                </w:tcPr>
                <w:p w14:paraId="6025E1D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≤150（15%）</w:t>
                  </w:r>
                </w:p>
              </w:tc>
              <w:tc>
                <w:tcPr>
                  <w:tcW w:w="438" w:type="pct"/>
                  <w:tcBorders>
                    <w:tl2br w:val="nil"/>
                    <w:tr2bl w:val="nil"/>
                  </w:tcBorders>
                  <w:noWrap w:val="0"/>
                  <w:vAlign w:val="center"/>
                </w:tcPr>
                <w:p w14:paraId="088013D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88" w:type="pct"/>
                  <w:tcBorders>
                    <w:tl2br w:val="nil"/>
                    <w:tr2bl w:val="nil"/>
                  </w:tcBorders>
                  <w:noWrap w:val="0"/>
                  <w:vAlign w:val="center"/>
                </w:tcPr>
                <w:p w14:paraId="25D8F97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341" w:type="pct"/>
                  <w:vMerge w:val="restart"/>
                  <w:tcBorders>
                    <w:tl2br w:val="nil"/>
                    <w:tr2bl w:val="nil"/>
                  </w:tcBorders>
                  <w:noWrap w:val="0"/>
                  <w:vAlign w:val="center"/>
                </w:tcPr>
                <w:p w14:paraId="19527E32">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《水性醇酸钢结构防锈漆》（T/ZZB0908-2018）</w:t>
                  </w:r>
                </w:p>
              </w:tc>
            </w:tr>
            <w:tr w14:paraId="3422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tl2br w:val="nil"/>
                    <w:tr2bl w:val="nil"/>
                  </w:tcBorders>
                  <w:noWrap w:val="0"/>
                  <w:vAlign w:val="center"/>
                </w:tcPr>
                <w:p w14:paraId="59FA085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471" w:type="pct"/>
                  <w:tcBorders>
                    <w:tl2br w:val="nil"/>
                    <w:tr2bl w:val="nil"/>
                  </w:tcBorders>
                  <w:noWrap w:val="0"/>
                  <w:vAlign w:val="center"/>
                </w:tcPr>
                <w:p w14:paraId="486E11C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面漆</w:t>
                  </w:r>
                </w:p>
              </w:tc>
              <w:tc>
                <w:tcPr>
                  <w:tcW w:w="382" w:type="pct"/>
                  <w:tcBorders>
                    <w:tl2br w:val="nil"/>
                    <w:tr2bl w:val="nil"/>
                  </w:tcBorders>
                  <w:noWrap w:val="0"/>
                  <w:vAlign w:val="center"/>
                </w:tcPr>
                <w:p w14:paraId="2D6B8AF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液态</w:t>
                  </w:r>
                </w:p>
              </w:tc>
              <w:tc>
                <w:tcPr>
                  <w:tcW w:w="787" w:type="pct"/>
                  <w:tcBorders>
                    <w:tl2br w:val="nil"/>
                    <w:tr2bl w:val="nil"/>
                  </w:tcBorders>
                  <w:noWrap w:val="0"/>
                  <w:vAlign w:val="center"/>
                </w:tcPr>
                <w:p w14:paraId="746A660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≥40（本项目取80%）</w:t>
                  </w:r>
                </w:p>
              </w:tc>
              <w:tc>
                <w:tcPr>
                  <w:tcW w:w="714" w:type="pct"/>
                  <w:tcBorders>
                    <w:tl2br w:val="nil"/>
                    <w:tr2bl w:val="nil"/>
                  </w:tcBorders>
                  <w:noWrap w:val="0"/>
                  <w:vAlign w:val="center"/>
                </w:tcPr>
                <w:p w14:paraId="3200D8F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≤200（20%）</w:t>
                  </w:r>
                </w:p>
              </w:tc>
              <w:tc>
                <w:tcPr>
                  <w:tcW w:w="438" w:type="pct"/>
                  <w:tcBorders>
                    <w:tl2br w:val="nil"/>
                    <w:tr2bl w:val="nil"/>
                  </w:tcBorders>
                  <w:noWrap w:val="0"/>
                  <w:vAlign w:val="center"/>
                </w:tcPr>
                <w:p w14:paraId="0C136AF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88" w:type="pct"/>
                  <w:tcBorders>
                    <w:tl2br w:val="nil"/>
                    <w:tr2bl w:val="nil"/>
                  </w:tcBorders>
                  <w:noWrap w:val="0"/>
                  <w:vAlign w:val="center"/>
                </w:tcPr>
                <w:p w14:paraId="7EC34156">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341" w:type="pct"/>
                  <w:vMerge w:val="continue"/>
                  <w:tcBorders>
                    <w:tl2br w:val="nil"/>
                    <w:tr2bl w:val="nil"/>
                  </w:tcBorders>
                  <w:noWrap w:val="0"/>
                  <w:vAlign w:val="center"/>
                </w:tcPr>
                <w:p w14:paraId="43B5900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p>
              </w:tc>
            </w:tr>
          </w:tbl>
          <w:p w14:paraId="4BCAA3D7">
            <w:pPr>
              <w:keepNext w:val="0"/>
              <w:keepLines w:val="0"/>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原料成分含量情况</w:t>
            </w:r>
            <w:r>
              <w:rPr>
                <w:rFonts w:hint="eastAsia" w:cs="Times New Roman"/>
                <w:bCs/>
                <w:color w:val="auto"/>
                <w:sz w:val="24"/>
                <w:lang w:val="en-US" w:eastAsia="zh-CN"/>
              </w:rPr>
              <w:t>见</w:t>
            </w:r>
            <w:r>
              <w:rPr>
                <w:rFonts w:hint="eastAsia" w:ascii="Times New Roman" w:hAnsi="Times New Roman" w:eastAsia="宋体" w:cs="Times New Roman"/>
                <w:bCs/>
                <w:color w:val="auto"/>
                <w:sz w:val="24"/>
                <w:lang w:val="en-US" w:eastAsia="zh-CN"/>
              </w:rPr>
              <w:t>表</w:t>
            </w:r>
            <w:r>
              <w:rPr>
                <w:rFonts w:hint="eastAsia" w:cs="Times New Roman"/>
                <w:bCs/>
                <w:color w:val="auto"/>
                <w:sz w:val="24"/>
                <w:lang w:val="en-US" w:eastAsia="zh-CN"/>
              </w:rPr>
              <w:t>4-2</w:t>
            </w:r>
          </w:p>
          <w:p w14:paraId="60330712">
            <w:pPr>
              <w:keepNext w:val="0"/>
              <w:keepLines w:val="0"/>
              <w:suppressLineNumbers w:val="0"/>
              <w:spacing w:before="0" w:beforeAutospacing="0" w:after="0" w:afterAutospacing="0" w:line="500" w:lineRule="exact"/>
              <w:ind w:left="0" w:right="0"/>
              <w:jc w:val="center"/>
              <w:rPr>
                <w:rFonts w:hint="default" w:hAnsi="宋体"/>
                <w:b/>
                <w:color w:val="auto"/>
                <w:sz w:val="24"/>
                <w:highlight w:val="none"/>
              </w:rPr>
            </w:pPr>
            <w:r>
              <w:rPr>
                <w:rFonts w:hint="eastAsia" w:hAnsi="宋体"/>
                <w:b/>
                <w:color w:val="auto"/>
                <w:sz w:val="24"/>
                <w:highlight w:val="none"/>
              </w:rPr>
              <w:t>表</w:t>
            </w:r>
            <w:r>
              <w:rPr>
                <w:rFonts w:hint="eastAsia" w:hAnsi="宋体"/>
                <w:b/>
                <w:color w:val="auto"/>
                <w:sz w:val="24"/>
                <w:highlight w:val="none"/>
                <w:lang w:val="en-US" w:eastAsia="zh-CN"/>
              </w:rPr>
              <w:t xml:space="preserve">4-2  </w:t>
            </w:r>
            <w:r>
              <w:rPr>
                <w:rFonts w:hint="eastAsia" w:hAnsi="宋体"/>
                <w:b/>
                <w:color w:val="auto"/>
                <w:sz w:val="24"/>
                <w:highlight w:val="none"/>
              </w:rPr>
              <w:t xml:space="preserve"> 油漆中挥发性有机物和苯的含量情况表</w:t>
            </w:r>
          </w:p>
          <w:tbl>
            <w:tblPr>
              <w:tblStyle w:val="31"/>
              <w:tblW w:w="4998" w:type="pct"/>
              <w:jc w:val="center"/>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614"/>
              <w:gridCol w:w="2401"/>
              <w:gridCol w:w="799"/>
              <w:gridCol w:w="1141"/>
              <w:gridCol w:w="908"/>
              <w:gridCol w:w="908"/>
              <w:gridCol w:w="908"/>
              <w:gridCol w:w="908"/>
            </w:tblGrid>
            <w:tr w14:paraId="1A55F526">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6" w:hRule="atLeast"/>
                <w:jc w:val="center"/>
              </w:trPr>
              <w:tc>
                <w:tcPr>
                  <w:tcW w:w="358" w:type="pct"/>
                  <w:tcBorders>
                    <w:top w:val="single" w:color="auto" w:sz="4" w:space="0"/>
                    <w:bottom w:val="single" w:color="auto" w:sz="4" w:space="0"/>
                    <w:right w:val="single" w:color="auto" w:sz="4" w:space="0"/>
                  </w:tcBorders>
                  <w:noWrap w:val="0"/>
                  <w:vAlign w:val="center"/>
                </w:tcPr>
                <w:p w14:paraId="1034C11D">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名称</w:t>
                  </w:r>
                </w:p>
              </w:tc>
              <w:tc>
                <w:tcPr>
                  <w:tcW w:w="1397" w:type="pct"/>
                  <w:tcBorders>
                    <w:top w:val="single" w:color="auto" w:sz="4" w:space="0"/>
                    <w:left w:val="single" w:color="auto" w:sz="4" w:space="0"/>
                    <w:bottom w:val="single" w:color="auto" w:sz="4" w:space="0"/>
                    <w:right w:val="single" w:color="auto" w:sz="4" w:space="0"/>
                  </w:tcBorders>
                  <w:noWrap w:val="0"/>
                  <w:vAlign w:val="center"/>
                </w:tcPr>
                <w:p w14:paraId="6BAF8B9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挥发成分</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161109F1">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年用量（t）</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5BE7C22F">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挥发性有机物（t）</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3BF73C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非甲烷总烃（t）</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71291067">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苯系物（t）</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3D88578">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color w:val="auto"/>
                      <w:szCs w:val="21"/>
                      <w:lang w:val="en-US" w:eastAsia="zh-CN"/>
                    </w:rPr>
                    <w:t>固体份（t）</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2A11AC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水分（t）</w:t>
                  </w:r>
                </w:p>
              </w:tc>
            </w:tr>
            <w:tr w14:paraId="47D52714">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jc w:val="center"/>
              </w:trPr>
              <w:tc>
                <w:tcPr>
                  <w:tcW w:w="358" w:type="pct"/>
                  <w:tcBorders>
                    <w:top w:val="single" w:color="auto" w:sz="4" w:space="0"/>
                    <w:left w:val="single" w:color="auto" w:sz="4" w:space="0"/>
                    <w:bottom w:val="single" w:color="auto" w:sz="4" w:space="0"/>
                    <w:right w:val="single" w:color="auto" w:sz="4" w:space="0"/>
                  </w:tcBorders>
                  <w:noWrap w:val="0"/>
                  <w:vAlign w:val="center"/>
                </w:tcPr>
                <w:p w14:paraId="031D1496">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底漆</w:t>
                  </w:r>
                </w:p>
              </w:tc>
              <w:tc>
                <w:tcPr>
                  <w:tcW w:w="1397" w:type="pct"/>
                  <w:tcBorders>
                    <w:top w:val="single" w:color="auto" w:sz="4" w:space="0"/>
                    <w:left w:val="single" w:color="auto" w:sz="4" w:space="0"/>
                    <w:bottom w:val="single" w:color="auto" w:sz="4" w:space="0"/>
                    <w:right w:val="single" w:color="auto" w:sz="4" w:space="0"/>
                  </w:tcBorders>
                  <w:noWrap w:val="0"/>
                  <w:vAlign w:val="center"/>
                </w:tcPr>
                <w:p w14:paraId="59833B14">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挥发性有机物：150g/L；非甲烷总烃占比为74%，苯系物（苯、甲苯、二甲苯）含量和为26%</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7775F60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4.8</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03C0A60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0.72</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4E17F21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0.53</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048848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0.19</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7CDE3F8E">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color w:val="auto"/>
                      <w:szCs w:val="21"/>
                      <w:lang w:val="en-US" w:eastAsia="zh-CN"/>
                    </w:rPr>
                    <w:t>3.70</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AF1744F">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0.38</w:t>
                  </w:r>
                </w:p>
              </w:tc>
            </w:tr>
            <w:tr w14:paraId="1D2D557A">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jc w:val="center"/>
              </w:trPr>
              <w:tc>
                <w:tcPr>
                  <w:tcW w:w="358" w:type="pct"/>
                  <w:tcBorders>
                    <w:top w:val="single" w:color="auto" w:sz="4" w:space="0"/>
                    <w:left w:val="single" w:color="auto" w:sz="4" w:space="0"/>
                    <w:bottom w:val="single" w:color="auto" w:sz="4" w:space="0"/>
                    <w:right w:val="single" w:color="auto" w:sz="4" w:space="0"/>
                  </w:tcBorders>
                  <w:noWrap w:val="0"/>
                  <w:vAlign w:val="center"/>
                </w:tcPr>
                <w:p w14:paraId="4FCE0EFC">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面漆</w:t>
                  </w:r>
                </w:p>
              </w:tc>
              <w:tc>
                <w:tcPr>
                  <w:tcW w:w="1397" w:type="pct"/>
                  <w:tcBorders>
                    <w:top w:val="single" w:color="auto" w:sz="4" w:space="0"/>
                    <w:left w:val="single" w:color="auto" w:sz="4" w:space="0"/>
                    <w:bottom w:val="single" w:color="auto" w:sz="4" w:space="0"/>
                    <w:right w:val="single" w:color="auto" w:sz="4" w:space="0"/>
                  </w:tcBorders>
                  <w:noWrap w:val="0"/>
                  <w:vAlign w:val="center"/>
                </w:tcPr>
                <w:p w14:paraId="0FF28FF9">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挥发性有机物：200g/L；非甲烷总烃占比为74%，苯系物（苯、甲苯、二甲苯）含量和为26%</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5B758BA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4.8</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4D51A655">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0.96</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F3D4603">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0.71</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096341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0.25</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3B0116B">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color w:val="auto"/>
                      <w:szCs w:val="21"/>
                      <w:lang w:val="en-US" w:eastAsia="zh-CN"/>
                    </w:rPr>
                    <w:t>3.46</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40FBD917">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0.38</w:t>
                  </w:r>
                </w:p>
              </w:tc>
            </w:tr>
            <w:tr w14:paraId="4213A06B">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jc w:val="center"/>
              </w:trPr>
              <w:tc>
                <w:tcPr>
                  <w:tcW w:w="1755" w:type="pct"/>
                  <w:gridSpan w:val="2"/>
                  <w:tcBorders>
                    <w:top w:val="single" w:color="auto" w:sz="4" w:space="0"/>
                    <w:left w:val="single" w:color="auto" w:sz="4" w:space="0"/>
                    <w:bottom w:val="single" w:color="auto" w:sz="4" w:space="0"/>
                    <w:right w:val="single" w:color="auto" w:sz="4" w:space="0"/>
                  </w:tcBorders>
                  <w:noWrap w:val="0"/>
                  <w:vAlign w:val="center"/>
                </w:tcPr>
                <w:p w14:paraId="3ADDF6B3">
                  <w:pPr>
                    <w:pStyle w:val="138"/>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合计</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27719CB4">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9.6</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7AFD4DD1">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1.68</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3ADBC1D">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1.24</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385BAA9">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0.44</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CCB05B0">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7.16</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17C026C">
                  <w:pPr>
                    <w:pStyle w:val="13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0.76</w:t>
                  </w:r>
                </w:p>
              </w:tc>
            </w:tr>
          </w:tbl>
          <w:p w14:paraId="6EFA6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color w:val="auto"/>
                <w:sz w:val="24"/>
                <w:highlight w:val="none"/>
              </w:rPr>
            </w:pPr>
            <w:r>
              <w:rPr>
                <w:rFonts w:hint="eastAsia"/>
                <w:color w:val="auto"/>
                <w:sz w:val="24"/>
                <w:highlight w:val="none"/>
              </w:rPr>
              <w:t>本项目按最不利情况考虑，挥发性有机物全部挥发，污染因子</w:t>
            </w:r>
            <w:r>
              <w:rPr>
                <w:rFonts w:hint="eastAsia"/>
                <w:color w:val="auto"/>
                <w:sz w:val="24"/>
                <w:highlight w:val="none"/>
                <w:lang w:val="en-US" w:eastAsia="zh-CN"/>
              </w:rPr>
              <w:t>为</w:t>
            </w:r>
            <w:r>
              <w:rPr>
                <w:rFonts w:hint="eastAsia"/>
                <w:color w:val="auto"/>
                <w:sz w:val="24"/>
                <w:highlight w:val="none"/>
              </w:rPr>
              <w:t>非甲烷总烃</w:t>
            </w:r>
            <w:r>
              <w:rPr>
                <w:rFonts w:hint="eastAsia"/>
                <w:color w:val="auto"/>
                <w:sz w:val="24"/>
                <w:highlight w:val="none"/>
                <w:lang w:eastAsia="zh-CN"/>
              </w:rPr>
              <w:t>、</w:t>
            </w:r>
            <w:r>
              <w:rPr>
                <w:rFonts w:hint="eastAsia"/>
                <w:color w:val="auto"/>
                <w:sz w:val="24"/>
                <w:highlight w:val="none"/>
              </w:rPr>
              <w:t>苯系物</w:t>
            </w:r>
            <w:r>
              <w:rPr>
                <w:rFonts w:hint="eastAsia"/>
                <w:color w:val="auto"/>
                <w:sz w:val="24"/>
                <w:highlight w:val="none"/>
                <w:lang w:eastAsia="zh-CN"/>
              </w:rPr>
              <w:t>（</w:t>
            </w:r>
            <w:r>
              <w:rPr>
                <w:rFonts w:hint="eastAsia"/>
                <w:color w:val="auto"/>
                <w:sz w:val="24"/>
                <w:highlight w:val="none"/>
                <w:lang w:val="en-US" w:eastAsia="zh-CN"/>
              </w:rPr>
              <w:t>苯、甲苯、二甲苯</w:t>
            </w:r>
            <w:r>
              <w:rPr>
                <w:rFonts w:hint="eastAsia"/>
                <w:color w:val="auto"/>
                <w:sz w:val="24"/>
                <w:highlight w:val="none"/>
                <w:lang w:eastAsia="zh-CN"/>
              </w:rPr>
              <w:t>）</w:t>
            </w:r>
            <w:r>
              <w:rPr>
                <w:rFonts w:hint="eastAsia"/>
                <w:color w:val="auto"/>
                <w:sz w:val="24"/>
                <w:highlight w:val="none"/>
              </w:rPr>
              <w:t>，则喷漆间喷漆工序非甲烷总烃产生量为</w:t>
            </w:r>
            <w:r>
              <w:rPr>
                <w:rFonts w:hint="eastAsia"/>
                <w:color w:val="auto"/>
                <w:sz w:val="24"/>
                <w:highlight w:val="none"/>
                <w:lang w:val="en-US" w:eastAsia="zh-CN"/>
              </w:rPr>
              <w:t>1.24</w:t>
            </w:r>
            <w:r>
              <w:rPr>
                <w:rFonts w:hint="eastAsia"/>
                <w:color w:val="auto"/>
                <w:sz w:val="24"/>
                <w:highlight w:val="none"/>
              </w:rPr>
              <w:t>t/a，</w:t>
            </w:r>
            <w:r>
              <w:rPr>
                <w:rFonts w:hint="eastAsia"/>
                <w:color w:val="auto"/>
                <w:sz w:val="24"/>
                <w:highlight w:val="none"/>
                <w:lang w:val="en-US" w:eastAsia="zh-CN"/>
              </w:rPr>
              <w:t>苯系物</w:t>
            </w:r>
            <w:r>
              <w:rPr>
                <w:rFonts w:hint="eastAsia"/>
                <w:color w:val="auto"/>
                <w:sz w:val="24"/>
                <w:highlight w:val="none"/>
                <w:lang w:eastAsia="zh-CN"/>
              </w:rPr>
              <w:t>（</w:t>
            </w:r>
            <w:r>
              <w:rPr>
                <w:rFonts w:hint="eastAsia"/>
                <w:color w:val="auto"/>
                <w:sz w:val="24"/>
                <w:highlight w:val="none"/>
                <w:lang w:val="en-US" w:eastAsia="zh-CN"/>
              </w:rPr>
              <w:t>苯、甲苯、二甲苯</w:t>
            </w:r>
            <w:r>
              <w:rPr>
                <w:rFonts w:hint="eastAsia"/>
                <w:color w:val="auto"/>
                <w:sz w:val="24"/>
                <w:highlight w:val="none"/>
                <w:lang w:eastAsia="zh-CN"/>
              </w:rPr>
              <w:t>）</w:t>
            </w:r>
            <w:r>
              <w:rPr>
                <w:rFonts w:hint="eastAsia"/>
                <w:color w:val="auto"/>
                <w:sz w:val="24"/>
                <w:highlight w:val="none"/>
              </w:rPr>
              <w:t>产生量为</w:t>
            </w:r>
            <w:r>
              <w:rPr>
                <w:rFonts w:hint="eastAsia"/>
                <w:color w:val="auto"/>
                <w:sz w:val="24"/>
                <w:highlight w:val="none"/>
                <w:lang w:val="en-US" w:eastAsia="zh-CN"/>
              </w:rPr>
              <w:t>0.44</w:t>
            </w:r>
            <w:r>
              <w:rPr>
                <w:rFonts w:hint="eastAsia"/>
                <w:color w:val="auto"/>
                <w:sz w:val="24"/>
                <w:highlight w:val="none"/>
              </w:rPr>
              <w:t>t/a，项目喷漆工序年运行</w:t>
            </w:r>
            <w:r>
              <w:rPr>
                <w:rFonts w:hint="eastAsia"/>
                <w:color w:val="auto"/>
                <w:sz w:val="24"/>
                <w:highlight w:val="none"/>
                <w:lang w:val="en-US" w:eastAsia="zh-CN"/>
              </w:rPr>
              <w:t>2400</w:t>
            </w:r>
            <w:r>
              <w:rPr>
                <w:rFonts w:hint="eastAsia"/>
                <w:color w:val="auto"/>
                <w:sz w:val="24"/>
                <w:highlight w:val="none"/>
              </w:rPr>
              <w:t>h（年工作300d，每天</w:t>
            </w:r>
            <w:r>
              <w:rPr>
                <w:rFonts w:hint="eastAsia"/>
                <w:color w:val="auto"/>
                <w:sz w:val="24"/>
                <w:highlight w:val="none"/>
                <w:lang w:val="en-US" w:eastAsia="zh-CN"/>
              </w:rPr>
              <w:t>8</w:t>
            </w:r>
            <w:r>
              <w:rPr>
                <w:rFonts w:hint="eastAsia"/>
                <w:color w:val="auto"/>
                <w:sz w:val="24"/>
                <w:highlight w:val="none"/>
              </w:rPr>
              <w:t>h），则非甲烷总烃和苯系物</w:t>
            </w:r>
            <w:r>
              <w:rPr>
                <w:rFonts w:hint="eastAsia"/>
                <w:color w:val="auto"/>
                <w:sz w:val="24"/>
                <w:highlight w:val="none"/>
                <w:lang w:eastAsia="zh-CN"/>
              </w:rPr>
              <w:t>（</w:t>
            </w:r>
            <w:r>
              <w:rPr>
                <w:rFonts w:hint="eastAsia"/>
                <w:color w:val="auto"/>
                <w:sz w:val="24"/>
                <w:highlight w:val="none"/>
                <w:lang w:val="en-US" w:eastAsia="zh-CN"/>
              </w:rPr>
              <w:t>苯、甲苯、二甲苯</w:t>
            </w:r>
            <w:r>
              <w:rPr>
                <w:rFonts w:hint="eastAsia"/>
                <w:color w:val="auto"/>
                <w:sz w:val="24"/>
                <w:highlight w:val="none"/>
                <w:lang w:eastAsia="zh-CN"/>
              </w:rPr>
              <w:t>）</w:t>
            </w:r>
            <w:r>
              <w:rPr>
                <w:rFonts w:hint="eastAsia"/>
                <w:color w:val="auto"/>
                <w:sz w:val="24"/>
                <w:highlight w:val="none"/>
              </w:rPr>
              <w:t>的产生速率分别为：</w:t>
            </w:r>
            <w:r>
              <w:rPr>
                <w:rFonts w:hint="eastAsia"/>
                <w:color w:val="auto"/>
                <w:sz w:val="24"/>
                <w:highlight w:val="none"/>
                <w:lang w:val="en-US" w:eastAsia="zh-CN"/>
              </w:rPr>
              <w:t>0.52</w:t>
            </w:r>
            <w:r>
              <w:rPr>
                <w:rFonts w:hint="eastAsia"/>
                <w:color w:val="auto"/>
                <w:sz w:val="24"/>
                <w:highlight w:val="none"/>
              </w:rPr>
              <w:t>kg/h和</w:t>
            </w:r>
            <w:r>
              <w:rPr>
                <w:rFonts w:hint="eastAsia"/>
                <w:color w:val="auto"/>
                <w:sz w:val="24"/>
                <w:highlight w:val="none"/>
                <w:lang w:val="en-US" w:eastAsia="zh-CN"/>
              </w:rPr>
              <w:t>0.18</w:t>
            </w:r>
            <w:r>
              <w:rPr>
                <w:rFonts w:hint="eastAsia"/>
                <w:color w:val="auto"/>
                <w:sz w:val="24"/>
                <w:highlight w:val="none"/>
              </w:rPr>
              <w:t>kg/h。</w:t>
            </w:r>
          </w:p>
          <w:p w14:paraId="69B563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eastAsia="宋体"/>
                <w:color w:val="auto"/>
                <w:lang w:val="en-US" w:eastAsia="zh-CN"/>
              </w:rPr>
            </w:pPr>
            <w:r>
              <w:rPr>
                <w:rFonts w:hint="eastAsia"/>
                <w:color w:val="auto"/>
                <w:sz w:val="24"/>
                <w:highlight w:val="none"/>
              </w:rPr>
              <w:t>喷涂过程中，未附着于工件上的固体份以漆雾形式散发，参考《谈喷涂涂着效率》（作者王锡春）：低压空气喷涂涂着率为50%~65%，本次评价喷漆效率按65%计，则35%固体份转化成漆雾颗粒物，由此计算得喷漆工序漆雾产生量为</w:t>
            </w:r>
            <w:r>
              <w:rPr>
                <w:rFonts w:hint="eastAsia"/>
                <w:color w:val="auto"/>
                <w:sz w:val="24"/>
                <w:highlight w:val="none"/>
                <w:lang w:val="en-US" w:eastAsia="zh-CN"/>
              </w:rPr>
              <w:t>2.506</w:t>
            </w:r>
            <w:r>
              <w:rPr>
                <w:rFonts w:hint="eastAsia"/>
                <w:color w:val="auto"/>
                <w:sz w:val="24"/>
                <w:highlight w:val="none"/>
              </w:rPr>
              <w:t>t/a，产生速率为：</w:t>
            </w:r>
            <w:r>
              <w:rPr>
                <w:rFonts w:hint="eastAsia"/>
                <w:color w:val="auto"/>
                <w:sz w:val="24"/>
                <w:highlight w:val="none"/>
                <w:lang w:val="en-US" w:eastAsia="zh-CN"/>
              </w:rPr>
              <w:t>1.044</w:t>
            </w:r>
            <w:r>
              <w:rPr>
                <w:rFonts w:hint="eastAsia"/>
                <w:color w:val="auto"/>
                <w:sz w:val="24"/>
                <w:highlight w:val="none"/>
              </w:rPr>
              <w:t>kg/h。</w:t>
            </w:r>
          </w:p>
          <w:p w14:paraId="4EBBE40D">
            <w:pPr>
              <w:pStyle w:val="2"/>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Autospacing="0" w:line="500" w:lineRule="exact"/>
              <w:ind w:left="0" w:leftChars="0" w:right="0" w:firstLine="480"/>
              <w:jc w:val="both"/>
              <w:textAlignment w:val="auto"/>
              <w:rPr>
                <w:rFonts w:hint="eastAsia" w:ascii="Times New Roman" w:hAnsi="宋体" w:eastAsia="宋体" w:cs="Times New Roman"/>
                <w:bCs/>
                <w:color w:val="auto"/>
                <w:sz w:val="24"/>
                <w:highlight w:val="none"/>
                <w:lang w:val="en-US" w:eastAsia="zh-CN"/>
              </w:rPr>
            </w:pPr>
            <w:r>
              <w:rPr>
                <w:rFonts w:hint="eastAsia"/>
                <w:color w:val="auto"/>
                <w:sz w:val="24"/>
                <w:highlight w:val="none"/>
              </w:rPr>
              <w:t>喷漆</w:t>
            </w:r>
            <w:r>
              <w:rPr>
                <w:rFonts w:hint="eastAsia"/>
                <w:color w:val="auto"/>
                <w:sz w:val="24"/>
                <w:highlight w:val="none"/>
                <w:lang w:eastAsia="zh-CN"/>
              </w:rPr>
              <w:t>、</w:t>
            </w:r>
            <w:r>
              <w:rPr>
                <w:rFonts w:hint="eastAsia"/>
                <w:color w:val="auto"/>
                <w:sz w:val="24"/>
                <w:highlight w:val="none"/>
                <w:lang w:val="en-US" w:eastAsia="zh-CN"/>
              </w:rPr>
              <w:t>刷漆</w:t>
            </w:r>
            <w:r>
              <w:rPr>
                <w:rFonts w:hint="eastAsia"/>
                <w:color w:val="auto"/>
                <w:sz w:val="24"/>
                <w:highlight w:val="none"/>
              </w:rPr>
              <w:t>废气</w:t>
            </w:r>
            <w:r>
              <w:rPr>
                <w:rFonts w:hint="eastAsia"/>
                <w:color w:val="auto"/>
                <w:sz w:val="24"/>
                <w:highlight w:val="none"/>
                <w:lang w:val="en-US" w:eastAsia="zh-CN"/>
              </w:rPr>
              <w:t>产生废气颗粒物2.506t/a，非甲烷总烃1.24t/a，苯系物0.44t/a</w:t>
            </w:r>
            <w:r>
              <w:rPr>
                <w:rFonts w:hint="eastAsia"/>
                <w:color w:val="auto"/>
                <w:sz w:val="24"/>
                <w:highlight w:val="none"/>
                <w:lang w:eastAsia="zh-CN"/>
              </w:rPr>
              <w:t>，</w:t>
            </w:r>
            <w:r>
              <w:rPr>
                <w:rFonts w:hint="eastAsia"/>
                <w:color w:val="auto"/>
                <w:sz w:val="24"/>
                <w:highlight w:val="none"/>
                <w:lang w:val="en-US" w:eastAsia="zh-CN"/>
              </w:rPr>
              <w:t>该部分</w:t>
            </w:r>
            <w:r>
              <w:rPr>
                <w:rFonts w:hint="eastAsia" w:ascii="Times New Roman" w:hAnsi="宋体" w:eastAsia="宋体" w:cs="Times New Roman"/>
                <w:bCs/>
                <w:color w:val="auto"/>
                <w:sz w:val="24"/>
                <w:highlight w:val="none"/>
                <w:lang w:val="en-US" w:eastAsia="zh-CN"/>
              </w:rPr>
              <w:t>先经负压收集系统收集，负压收集系统收集效率为98%，经负压收集系统收集后喷漆、刷漆废气（颗粒物</w:t>
            </w:r>
            <w:r>
              <w:rPr>
                <w:rFonts w:hint="eastAsia" w:hAnsi="宋体" w:eastAsia="宋体" w:cs="Times New Roman"/>
                <w:bCs/>
                <w:color w:val="auto"/>
                <w:sz w:val="24"/>
                <w:highlight w:val="none"/>
                <w:lang w:val="en-US" w:eastAsia="zh-CN"/>
              </w:rPr>
              <w:t>2.456</w:t>
            </w:r>
            <w:r>
              <w:rPr>
                <w:rFonts w:hint="eastAsia" w:ascii="Times New Roman" w:hAnsi="宋体" w:eastAsia="宋体" w:cs="Times New Roman"/>
                <w:bCs/>
                <w:color w:val="auto"/>
                <w:sz w:val="24"/>
                <w:highlight w:val="none"/>
                <w:lang w:val="en-US" w:eastAsia="zh-CN"/>
              </w:rPr>
              <w:t>t/a、非甲烷总烃1.215t/a、苯系物0.431t/a）过漆雾过滤箱，未经负压系统收集的喷漆、刷漆废气G1（颗粒物0.0</w:t>
            </w:r>
            <w:r>
              <w:rPr>
                <w:rFonts w:hint="eastAsia" w:hAnsi="宋体" w:eastAsia="宋体" w:cs="Times New Roman"/>
                <w:bCs/>
                <w:color w:val="auto"/>
                <w:sz w:val="24"/>
                <w:highlight w:val="none"/>
                <w:lang w:val="en-US" w:eastAsia="zh-CN"/>
              </w:rPr>
              <w:t>5</w:t>
            </w:r>
            <w:r>
              <w:rPr>
                <w:rFonts w:hint="eastAsia" w:ascii="Times New Roman" w:hAnsi="宋体" w:eastAsia="宋体" w:cs="Times New Roman"/>
                <w:bCs/>
                <w:color w:val="auto"/>
                <w:sz w:val="24"/>
                <w:highlight w:val="none"/>
                <w:lang w:val="en-US" w:eastAsia="zh-CN"/>
              </w:rPr>
              <w:t>t/a、非甲烷总烃0.025t/a、苯系物0.009t/a）无组织排放，经负压收集系统收集后的喷漆、刷漆废气（颗粒物</w:t>
            </w:r>
            <w:r>
              <w:rPr>
                <w:rFonts w:hint="eastAsia" w:hAnsi="宋体" w:eastAsia="宋体" w:cs="Times New Roman"/>
                <w:bCs/>
                <w:color w:val="auto"/>
                <w:sz w:val="24"/>
                <w:highlight w:val="none"/>
                <w:lang w:val="en-US" w:eastAsia="zh-CN"/>
              </w:rPr>
              <w:t>2.456</w:t>
            </w:r>
            <w:r>
              <w:rPr>
                <w:rFonts w:hint="eastAsia" w:ascii="Times New Roman" w:hAnsi="宋体" w:eastAsia="宋体" w:cs="Times New Roman"/>
                <w:bCs/>
                <w:color w:val="auto"/>
                <w:sz w:val="24"/>
                <w:highlight w:val="none"/>
                <w:lang w:val="en-US" w:eastAsia="zh-CN"/>
              </w:rPr>
              <w:t>t/a、非甲烷总烃1.215t/a、苯系物0.431t/a）送入漆雾过滤箱对颗粒物进行过滤，漆雾过滤箱对粉尘的过滤效率为98%，则漆雾（颗粒物）的排放量为0.0</w:t>
            </w:r>
            <w:r>
              <w:rPr>
                <w:rFonts w:hint="eastAsia" w:hAnsi="宋体" w:eastAsia="宋体" w:cs="Times New Roman"/>
                <w:bCs/>
                <w:color w:val="auto"/>
                <w:sz w:val="24"/>
                <w:highlight w:val="none"/>
                <w:lang w:val="en-US" w:eastAsia="zh-CN"/>
              </w:rPr>
              <w:t>49</w:t>
            </w:r>
            <w:r>
              <w:rPr>
                <w:rFonts w:hint="eastAsia" w:ascii="Times New Roman" w:hAnsi="宋体" w:eastAsia="宋体" w:cs="Times New Roman"/>
                <w:bCs/>
                <w:color w:val="auto"/>
                <w:sz w:val="24"/>
                <w:highlight w:val="none"/>
                <w:lang w:val="en-US" w:eastAsia="zh-CN"/>
              </w:rPr>
              <w:t>t/a，同挥发性有机物（非甲烷总烃1.215t/a及</w:t>
            </w:r>
            <w:r>
              <w:rPr>
                <w:rFonts w:hint="eastAsia"/>
                <w:color w:val="auto"/>
                <w:sz w:val="24"/>
                <w:highlight w:val="none"/>
              </w:rPr>
              <w:t>苯系物</w:t>
            </w:r>
            <w:r>
              <w:rPr>
                <w:rFonts w:hint="eastAsia" w:ascii="Times New Roman" w:hAnsi="宋体" w:eastAsia="宋体" w:cs="Times New Roman"/>
                <w:bCs/>
                <w:color w:val="auto"/>
                <w:sz w:val="24"/>
                <w:highlight w:val="none"/>
                <w:lang w:val="en-US" w:eastAsia="zh-CN"/>
              </w:rPr>
              <w:t>0.431t/a）一同送入“活性炭吸附脱附+CO催化燃烧系统”，“活性炭吸附脱附+CO催化燃烧系统”对挥发性有机物的处理效率为98%，处理后非甲烷总烃的排放量为0.0243t/a、</w:t>
            </w:r>
            <w:r>
              <w:rPr>
                <w:rFonts w:hint="eastAsia"/>
                <w:color w:val="auto"/>
                <w:sz w:val="24"/>
                <w:highlight w:val="none"/>
              </w:rPr>
              <w:t>苯系物</w:t>
            </w:r>
            <w:r>
              <w:rPr>
                <w:rFonts w:hint="eastAsia"/>
                <w:color w:val="auto"/>
                <w:sz w:val="24"/>
                <w:highlight w:val="none"/>
                <w:lang w:eastAsia="zh-CN"/>
              </w:rPr>
              <w:t>（</w:t>
            </w:r>
            <w:r>
              <w:rPr>
                <w:rFonts w:hint="eastAsia"/>
                <w:color w:val="auto"/>
                <w:sz w:val="24"/>
                <w:highlight w:val="none"/>
                <w:lang w:val="en-US" w:eastAsia="zh-CN"/>
              </w:rPr>
              <w:t>苯、甲苯、二甲苯</w:t>
            </w:r>
            <w:r>
              <w:rPr>
                <w:rFonts w:hint="eastAsia"/>
                <w:color w:val="auto"/>
                <w:sz w:val="24"/>
                <w:highlight w:val="none"/>
                <w:lang w:eastAsia="zh-CN"/>
              </w:rPr>
              <w:t>）</w:t>
            </w:r>
            <w:r>
              <w:rPr>
                <w:rFonts w:hint="eastAsia" w:ascii="Times New Roman" w:hAnsi="宋体" w:eastAsia="宋体" w:cs="Times New Roman"/>
                <w:bCs/>
                <w:color w:val="auto"/>
                <w:sz w:val="24"/>
                <w:highlight w:val="none"/>
                <w:lang w:val="en-US" w:eastAsia="zh-CN"/>
              </w:rPr>
              <w:t>的排放量为0.0086t/a，喷漆房每天工作8h，风量8</w:t>
            </w:r>
            <w:r>
              <w:rPr>
                <w:rFonts w:hint="eastAsia" w:hAnsi="宋体" w:eastAsia="宋体" w:cs="Times New Roman"/>
                <w:bCs/>
                <w:color w:val="auto"/>
                <w:sz w:val="24"/>
                <w:highlight w:val="none"/>
                <w:lang w:val="en-US" w:eastAsia="zh-CN"/>
              </w:rPr>
              <w:t>1</w:t>
            </w:r>
            <w:r>
              <w:rPr>
                <w:rFonts w:hint="eastAsia" w:ascii="Times New Roman" w:hAnsi="宋体" w:eastAsia="宋体" w:cs="Times New Roman"/>
                <w:bCs/>
                <w:color w:val="auto"/>
                <w:sz w:val="24"/>
                <w:highlight w:val="none"/>
                <w:lang w:val="en-US" w:eastAsia="zh-CN"/>
              </w:rPr>
              <w:t>000m</w:t>
            </w:r>
            <w:r>
              <w:rPr>
                <w:rFonts w:hint="eastAsia" w:ascii="Times New Roman" w:hAnsi="宋体" w:eastAsia="宋体" w:cs="Times New Roman"/>
                <w:bCs/>
                <w:color w:val="auto"/>
                <w:sz w:val="24"/>
                <w:highlight w:val="none"/>
                <w:vertAlign w:val="superscript"/>
                <w:lang w:val="en-US" w:eastAsia="zh-CN"/>
              </w:rPr>
              <w:t>3</w:t>
            </w:r>
            <w:r>
              <w:rPr>
                <w:rFonts w:hint="eastAsia" w:ascii="Times New Roman" w:hAnsi="宋体" w:eastAsia="宋体" w:cs="Times New Roman"/>
                <w:bCs/>
                <w:color w:val="auto"/>
                <w:sz w:val="24"/>
                <w:highlight w:val="none"/>
                <w:vertAlign w:val="baseline"/>
                <w:lang w:val="en-US" w:eastAsia="zh-CN"/>
              </w:rPr>
              <w:t>/h，年运行300d，则漆雾（颗粒物）的排放浓度为0.2</w:t>
            </w:r>
            <w:r>
              <w:rPr>
                <w:rFonts w:hint="eastAsia" w:hAnsi="宋体" w:eastAsia="宋体" w:cs="Times New Roman"/>
                <w:bCs/>
                <w:color w:val="auto"/>
                <w:sz w:val="24"/>
                <w:highlight w:val="none"/>
                <w:vertAlign w:val="baseline"/>
                <w:lang w:val="en-US" w:eastAsia="zh-CN"/>
              </w:rPr>
              <w:t>52</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vertAlign w:val="baseline"/>
                <w:lang w:eastAsia="zh-CN"/>
              </w:rPr>
              <w:t>，</w:t>
            </w:r>
            <w:r>
              <w:rPr>
                <w:rFonts w:hint="eastAsia"/>
                <w:color w:val="auto"/>
                <w:sz w:val="24"/>
                <w:highlight w:val="none"/>
                <w:vertAlign w:val="baseline"/>
                <w:lang w:val="en-US" w:eastAsia="zh-CN"/>
              </w:rPr>
              <w:t>非甲烷总烃的排放浓度为0.125</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vertAlign w:val="baseline"/>
                <w:lang w:eastAsia="zh-CN"/>
              </w:rPr>
              <w:t>，</w:t>
            </w:r>
            <w:r>
              <w:rPr>
                <w:rFonts w:hint="eastAsia"/>
                <w:color w:val="auto"/>
                <w:sz w:val="24"/>
                <w:highlight w:val="none"/>
              </w:rPr>
              <w:t>苯系物</w:t>
            </w:r>
            <w:r>
              <w:rPr>
                <w:rFonts w:hint="eastAsia"/>
                <w:color w:val="auto"/>
                <w:sz w:val="24"/>
                <w:highlight w:val="none"/>
                <w:lang w:eastAsia="zh-CN"/>
              </w:rPr>
              <w:t>（</w:t>
            </w:r>
            <w:r>
              <w:rPr>
                <w:rFonts w:hint="eastAsia"/>
                <w:color w:val="auto"/>
                <w:sz w:val="24"/>
                <w:highlight w:val="none"/>
                <w:lang w:val="en-US" w:eastAsia="zh-CN"/>
              </w:rPr>
              <w:t>苯、甲苯、二甲苯</w:t>
            </w:r>
            <w:r>
              <w:rPr>
                <w:rFonts w:hint="eastAsia"/>
                <w:color w:val="auto"/>
                <w:sz w:val="24"/>
                <w:highlight w:val="none"/>
                <w:lang w:eastAsia="zh-CN"/>
              </w:rPr>
              <w:t>）</w:t>
            </w:r>
            <w:r>
              <w:rPr>
                <w:rFonts w:hint="eastAsia" w:ascii="Times New Roman" w:hAnsi="宋体" w:eastAsia="宋体" w:cs="Times New Roman"/>
                <w:bCs/>
                <w:color w:val="auto"/>
                <w:sz w:val="24"/>
                <w:highlight w:val="none"/>
                <w:vertAlign w:val="baseline"/>
                <w:lang w:val="en-US" w:eastAsia="zh-CN"/>
              </w:rPr>
              <w:t>的排放浓度为0.04</w:t>
            </w:r>
            <w:r>
              <w:rPr>
                <w:rFonts w:hint="eastAsia" w:hAnsi="宋体" w:eastAsia="宋体" w:cs="Times New Roman"/>
                <w:bCs/>
                <w:color w:val="auto"/>
                <w:sz w:val="24"/>
                <w:highlight w:val="none"/>
                <w:vertAlign w:val="baseline"/>
                <w:lang w:val="en-US" w:eastAsia="zh-CN"/>
              </w:rPr>
              <w:t>4</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vertAlign w:val="baseline"/>
                <w:lang w:eastAsia="zh-CN"/>
              </w:rPr>
              <w:t>，</w:t>
            </w:r>
            <w:r>
              <w:rPr>
                <w:rFonts w:hint="eastAsia"/>
                <w:color w:val="auto"/>
                <w:sz w:val="24"/>
                <w:highlight w:val="none"/>
                <w:vertAlign w:val="baseline"/>
                <w:lang w:val="en-US" w:eastAsia="zh-CN"/>
              </w:rPr>
              <w:t>经上述废气处理措施处理后废气</w:t>
            </w:r>
            <w:r>
              <w:rPr>
                <w:rFonts w:hint="eastAsia" w:ascii="Times New Roman" w:hAnsi="宋体" w:eastAsia="宋体" w:cs="Times New Roman"/>
                <w:bCs/>
                <w:color w:val="auto"/>
                <w:sz w:val="24"/>
                <w:highlight w:val="none"/>
                <w:lang w:val="en-US" w:eastAsia="zh-CN"/>
              </w:rPr>
              <w:t>经过1根15m高的排气筒（DA001）排放。</w:t>
            </w:r>
          </w:p>
          <w:p w14:paraId="568F112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（2）催化燃烧废气</w:t>
            </w:r>
          </w:p>
          <w:p w14:paraId="686D7B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highlight w:val="none"/>
                <w:lang w:val="en-US" w:eastAsia="zh-CN"/>
              </w:rPr>
            </w:pPr>
            <w:r>
              <w:rPr>
                <w:rFonts w:hint="eastAsia" w:ascii="Times New Roman" w:hAnsi="宋体" w:eastAsia="宋体" w:cs="Times New Roman"/>
                <w:bCs/>
                <w:color w:val="auto"/>
                <w:sz w:val="24"/>
                <w:highlight w:val="none"/>
                <w:lang w:val="en-US" w:eastAsia="zh-CN"/>
              </w:rPr>
              <w:t>本项目CO催化燃烧温度为200-300℃左右，在200-300℃的温度下，基本不会产生热力型氮氧化物，且有机废气成分中无氮元素，因此本项目催化燃烧废气中不考虑氮氧化物。</w:t>
            </w:r>
          </w:p>
          <w:p w14:paraId="310DA49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p>
          <w:p w14:paraId="68F14F4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.大气污染物核算清单</w:t>
            </w:r>
          </w:p>
          <w:p w14:paraId="607072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本项目大气污染物排放量核算见下表</w:t>
            </w:r>
            <w:r>
              <w:rPr>
                <w:rFonts w:hint="default" w:ascii="Times New Roman" w:hAnsi="Times New Roman" w:eastAsia="宋体" w:cs="Times New Roman"/>
                <w:color w:val="auto"/>
                <w:sz w:val="24"/>
                <w:highlight w:val="none"/>
                <w:lang w:val="en-US" w:eastAsia="zh-CN"/>
              </w:rPr>
              <w:t>4-</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w:t>
            </w:r>
          </w:p>
          <w:p w14:paraId="128ED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4-</w:t>
            </w:r>
            <w:r>
              <w:rPr>
                <w:rFonts w:hint="eastAsia" w:cs="Times New Roman"/>
                <w:b/>
                <w:color w:val="auto"/>
                <w:sz w:val="24"/>
                <w:highlight w:val="none"/>
                <w:lang w:val="en-US" w:eastAsia="zh-CN"/>
              </w:rPr>
              <w:t>3</w:t>
            </w:r>
            <w:r>
              <w:rPr>
                <w:rFonts w:hint="default" w:ascii="Times New Roman" w:hAnsi="Times New Roman" w:eastAsia="宋体" w:cs="Times New Roman"/>
                <w:b/>
                <w:color w:val="auto"/>
                <w:sz w:val="24"/>
                <w:highlight w:val="none"/>
              </w:rPr>
              <w:t xml:space="preserve">   大气污染物排放量核算表</w:t>
            </w:r>
          </w:p>
          <w:tbl>
            <w:tblPr>
              <w:tblStyle w:val="30"/>
              <w:tblW w:w="5032"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36"/>
              <w:gridCol w:w="837"/>
              <w:gridCol w:w="455"/>
              <w:gridCol w:w="805"/>
              <w:gridCol w:w="899"/>
              <w:gridCol w:w="766"/>
              <w:gridCol w:w="1263"/>
              <w:gridCol w:w="778"/>
              <w:gridCol w:w="900"/>
              <w:gridCol w:w="880"/>
            </w:tblGrid>
            <w:tr w14:paraId="610A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8" w:type="pct"/>
                  <w:vMerge w:val="restart"/>
                  <w:tcBorders>
                    <w:tl2br w:val="nil"/>
                    <w:tr2bl w:val="nil"/>
                  </w:tcBorders>
                  <w:vAlign w:val="center"/>
                </w:tcPr>
                <w:p w14:paraId="01ADF2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序号</w:t>
                  </w:r>
                </w:p>
              </w:tc>
              <w:tc>
                <w:tcPr>
                  <w:tcW w:w="370" w:type="pct"/>
                  <w:vMerge w:val="restart"/>
                  <w:tcBorders>
                    <w:tl2br w:val="nil"/>
                    <w:tr2bl w:val="nil"/>
                  </w:tcBorders>
                  <w:vAlign w:val="center"/>
                </w:tcPr>
                <w:p w14:paraId="5C4407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产污环节</w:t>
                  </w:r>
                </w:p>
              </w:tc>
              <w:tc>
                <w:tcPr>
                  <w:tcW w:w="486" w:type="pct"/>
                  <w:vMerge w:val="restart"/>
                  <w:tcBorders>
                    <w:tl2br w:val="nil"/>
                    <w:tr2bl w:val="nil"/>
                  </w:tcBorders>
                  <w:vAlign w:val="center"/>
                </w:tcPr>
                <w:p w14:paraId="270CE9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排放口编号</w:t>
                  </w:r>
                </w:p>
              </w:tc>
              <w:tc>
                <w:tcPr>
                  <w:tcW w:w="265" w:type="pct"/>
                  <w:vMerge w:val="restart"/>
                  <w:tcBorders>
                    <w:tl2br w:val="nil"/>
                    <w:tr2bl w:val="nil"/>
                  </w:tcBorders>
                  <w:vAlign w:val="center"/>
                </w:tcPr>
                <w:p w14:paraId="0BC82D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污染物</w:t>
                  </w:r>
                </w:p>
                <w:p w14:paraId="6B847C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种类</w:t>
                  </w:r>
                </w:p>
              </w:tc>
              <w:tc>
                <w:tcPr>
                  <w:tcW w:w="467" w:type="pct"/>
                  <w:tcBorders>
                    <w:tl2br w:val="nil"/>
                    <w:tr2bl w:val="nil"/>
                  </w:tcBorders>
                  <w:vAlign w:val="center"/>
                </w:tcPr>
                <w:p w14:paraId="590CAD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产生</w:t>
                  </w:r>
                  <w:r>
                    <w:rPr>
                      <w:rFonts w:hint="default" w:ascii="Times New Roman" w:hAnsi="Times New Roman" w:eastAsia="宋体" w:cs="Times New Roman"/>
                      <w:b w:val="0"/>
                      <w:bCs w:val="0"/>
                      <w:color w:val="auto"/>
                      <w:sz w:val="21"/>
                      <w:szCs w:val="21"/>
                      <w:highlight w:val="none"/>
                    </w:rPr>
                    <w:t>浓度</w:t>
                  </w:r>
                </w:p>
              </w:tc>
              <w:tc>
                <w:tcPr>
                  <w:tcW w:w="510" w:type="pct"/>
                  <w:tcBorders>
                    <w:tl2br w:val="nil"/>
                    <w:tr2bl w:val="nil"/>
                  </w:tcBorders>
                  <w:vAlign w:val="center"/>
                </w:tcPr>
                <w:p w14:paraId="4B3FB6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产生</w:t>
                  </w:r>
                  <w:r>
                    <w:rPr>
                      <w:rFonts w:hint="default" w:ascii="Times New Roman" w:hAnsi="Times New Roman" w:eastAsia="宋体" w:cs="Times New Roman"/>
                      <w:b w:val="0"/>
                      <w:bCs w:val="0"/>
                      <w:color w:val="auto"/>
                      <w:sz w:val="21"/>
                      <w:szCs w:val="21"/>
                      <w:highlight w:val="none"/>
                    </w:rPr>
                    <w:t>速率</w:t>
                  </w:r>
                </w:p>
              </w:tc>
              <w:tc>
                <w:tcPr>
                  <w:tcW w:w="445" w:type="pct"/>
                  <w:tcBorders>
                    <w:tl2br w:val="nil"/>
                    <w:tr2bl w:val="nil"/>
                  </w:tcBorders>
                  <w:vAlign w:val="center"/>
                </w:tcPr>
                <w:p w14:paraId="72283C3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年</w:t>
                  </w:r>
                  <w:r>
                    <w:rPr>
                      <w:rFonts w:hint="default" w:ascii="Times New Roman" w:hAnsi="Times New Roman" w:eastAsia="宋体" w:cs="Times New Roman"/>
                      <w:b w:val="0"/>
                      <w:bCs w:val="0"/>
                      <w:color w:val="auto"/>
                      <w:sz w:val="21"/>
                      <w:szCs w:val="21"/>
                      <w:highlight w:val="none"/>
                      <w:lang w:val="en-US" w:eastAsia="zh-CN"/>
                    </w:rPr>
                    <w:t>产生</w:t>
                  </w:r>
                  <w:r>
                    <w:rPr>
                      <w:rFonts w:hint="default" w:ascii="Times New Roman" w:hAnsi="Times New Roman" w:eastAsia="宋体" w:cs="Times New Roman"/>
                      <w:b w:val="0"/>
                      <w:bCs w:val="0"/>
                      <w:color w:val="auto"/>
                      <w:sz w:val="21"/>
                      <w:szCs w:val="21"/>
                      <w:highlight w:val="none"/>
                    </w:rPr>
                    <w:t>量</w:t>
                  </w:r>
                </w:p>
              </w:tc>
              <w:tc>
                <w:tcPr>
                  <w:tcW w:w="731" w:type="pct"/>
                  <w:vMerge w:val="restart"/>
                  <w:tcBorders>
                    <w:tl2br w:val="nil"/>
                    <w:tr2bl w:val="nil"/>
                  </w:tcBorders>
                  <w:vAlign w:val="center"/>
                </w:tcPr>
                <w:p w14:paraId="129E81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治理</w:t>
                  </w:r>
                </w:p>
                <w:p w14:paraId="0A69AA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措施</w:t>
                  </w:r>
                </w:p>
              </w:tc>
              <w:tc>
                <w:tcPr>
                  <w:tcW w:w="451" w:type="pct"/>
                  <w:tcBorders>
                    <w:tl2br w:val="nil"/>
                    <w:tr2bl w:val="nil"/>
                  </w:tcBorders>
                  <w:vAlign w:val="center"/>
                </w:tcPr>
                <w:p w14:paraId="64D647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排放浓度</w:t>
                  </w:r>
                </w:p>
              </w:tc>
              <w:tc>
                <w:tcPr>
                  <w:tcW w:w="510" w:type="pct"/>
                  <w:tcBorders>
                    <w:tl2br w:val="nil"/>
                    <w:tr2bl w:val="nil"/>
                  </w:tcBorders>
                  <w:vAlign w:val="center"/>
                </w:tcPr>
                <w:p w14:paraId="7F6622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排放速率</w:t>
                  </w:r>
                </w:p>
              </w:tc>
              <w:tc>
                <w:tcPr>
                  <w:tcW w:w="510" w:type="pct"/>
                  <w:tcBorders>
                    <w:tl2br w:val="nil"/>
                    <w:tr2bl w:val="nil"/>
                  </w:tcBorders>
                  <w:vAlign w:val="center"/>
                </w:tcPr>
                <w:p w14:paraId="3621B7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年排放量</w:t>
                  </w:r>
                </w:p>
              </w:tc>
            </w:tr>
            <w:tr w14:paraId="72B5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248" w:type="pct"/>
                  <w:vMerge w:val="continue"/>
                  <w:tcBorders>
                    <w:tl2br w:val="nil"/>
                    <w:tr2bl w:val="nil"/>
                  </w:tcBorders>
                  <w:vAlign w:val="center"/>
                </w:tcPr>
                <w:p w14:paraId="794A38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p>
              </w:tc>
              <w:tc>
                <w:tcPr>
                  <w:tcW w:w="370" w:type="pct"/>
                  <w:vMerge w:val="continue"/>
                  <w:tcBorders>
                    <w:tl2br w:val="nil"/>
                    <w:tr2bl w:val="nil"/>
                  </w:tcBorders>
                  <w:vAlign w:val="center"/>
                </w:tcPr>
                <w:p w14:paraId="4BF6CD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p>
              </w:tc>
              <w:tc>
                <w:tcPr>
                  <w:tcW w:w="486" w:type="pct"/>
                  <w:vMerge w:val="continue"/>
                  <w:tcBorders>
                    <w:tl2br w:val="nil"/>
                    <w:tr2bl w:val="nil"/>
                  </w:tcBorders>
                  <w:vAlign w:val="center"/>
                </w:tcPr>
                <w:p w14:paraId="7ECE53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p>
              </w:tc>
              <w:tc>
                <w:tcPr>
                  <w:tcW w:w="265" w:type="pct"/>
                  <w:vMerge w:val="continue"/>
                  <w:tcBorders>
                    <w:tl2br w:val="nil"/>
                    <w:tr2bl w:val="nil"/>
                  </w:tcBorders>
                  <w:vAlign w:val="center"/>
                </w:tcPr>
                <w:p w14:paraId="503BEF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p>
              </w:tc>
              <w:tc>
                <w:tcPr>
                  <w:tcW w:w="467" w:type="pct"/>
                  <w:tcBorders>
                    <w:tl2br w:val="nil"/>
                    <w:tr2bl w:val="nil"/>
                  </w:tcBorders>
                  <w:vAlign w:val="center"/>
                </w:tcPr>
                <w:p w14:paraId="0DCC0D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mg/m</w:t>
                  </w:r>
                  <w:r>
                    <w:rPr>
                      <w:rFonts w:hint="default" w:ascii="Times New Roman" w:hAnsi="Times New Roman" w:eastAsia="宋体" w:cs="Times New Roman"/>
                      <w:b w:val="0"/>
                      <w:bCs w:val="0"/>
                      <w:color w:val="auto"/>
                      <w:sz w:val="21"/>
                      <w:szCs w:val="21"/>
                      <w:highlight w:val="none"/>
                      <w:vertAlign w:val="superscript"/>
                    </w:rPr>
                    <w:t>3</w:t>
                  </w:r>
                </w:p>
              </w:tc>
              <w:tc>
                <w:tcPr>
                  <w:tcW w:w="510" w:type="pct"/>
                  <w:tcBorders>
                    <w:tl2br w:val="nil"/>
                    <w:tr2bl w:val="nil"/>
                  </w:tcBorders>
                  <w:vAlign w:val="center"/>
                </w:tcPr>
                <w:p w14:paraId="3A22A7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(kg/h)</w:t>
                  </w:r>
                </w:p>
              </w:tc>
              <w:tc>
                <w:tcPr>
                  <w:tcW w:w="445" w:type="pct"/>
                  <w:tcBorders>
                    <w:tl2br w:val="nil"/>
                    <w:tr2bl w:val="nil"/>
                  </w:tcBorders>
                  <w:vAlign w:val="center"/>
                </w:tcPr>
                <w:p w14:paraId="664A10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(t/a)</w:t>
                  </w:r>
                </w:p>
              </w:tc>
              <w:tc>
                <w:tcPr>
                  <w:tcW w:w="731" w:type="pct"/>
                  <w:vMerge w:val="continue"/>
                  <w:tcBorders>
                    <w:tl2br w:val="nil"/>
                    <w:tr2bl w:val="nil"/>
                  </w:tcBorders>
                  <w:vAlign w:val="center"/>
                </w:tcPr>
                <w:p w14:paraId="6DE2C3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rPr>
                  </w:pPr>
                </w:p>
              </w:tc>
              <w:tc>
                <w:tcPr>
                  <w:tcW w:w="451" w:type="pct"/>
                  <w:tcBorders>
                    <w:tl2br w:val="nil"/>
                    <w:tr2bl w:val="nil"/>
                  </w:tcBorders>
                  <w:vAlign w:val="center"/>
                </w:tcPr>
                <w:p w14:paraId="665BA1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mg/m</w:t>
                  </w:r>
                  <w:r>
                    <w:rPr>
                      <w:rFonts w:hint="default" w:ascii="Times New Roman" w:hAnsi="Times New Roman" w:eastAsia="宋体" w:cs="Times New Roman"/>
                      <w:b w:val="0"/>
                      <w:bCs w:val="0"/>
                      <w:color w:val="auto"/>
                      <w:sz w:val="21"/>
                      <w:szCs w:val="21"/>
                      <w:highlight w:val="none"/>
                      <w:vertAlign w:val="superscript"/>
                    </w:rPr>
                    <w:t>3</w:t>
                  </w:r>
                </w:p>
              </w:tc>
              <w:tc>
                <w:tcPr>
                  <w:tcW w:w="510" w:type="pct"/>
                  <w:tcBorders>
                    <w:tl2br w:val="nil"/>
                    <w:tr2bl w:val="nil"/>
                  </w:tcBorders>
                  <w:vAlign w:val="center"/>
                </w:tcPr>
                <w:p w14:paraId="068691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(kg/h)</w:t>
                  </w:r>
                </w:p>
              </w:tc>
              <w:tc>
                <w:tcPr>
                  <w:tcW w:w="510" w:type="pct"/>
                  <w:tcBorders>
                    <w:tl2br w:val="nil"/>
                    <w:tr2bl w:val="nil"/>
                  </w:tcBorders>
                  <w:vAlign w:val="center"/>
                </w:tcPr>
                <w:p w14:paraId="5835D9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(t/a)</w:t>
                  </w:r>
                </w:p>
              </w:tc>
            </w:tr>
            <w:tr w14:paraId="1107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8" w:type="pct"/>
                  <w:vMerge w:val="restart"/>
                  <w:tcBorders>
                    <w:tl2br w:val="nil"/>
                    <w:tr2bl w:val="nil"/>
                  </w:tcBorders>
                  <w:vAlign w:val="center"/>
                </w:tcPr>
                <w:p w14:paraId="037488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370" w:type="pct"/>
                  <w:vMerge w:val="restart"/>
                  <w:tcBorders>
                    <w:tl2br w:val="nil"/>
                    <w:tr2bl w:val="nil"/>
                  </w:tcBorders>
                  <w:vAlign w:val="center"/>
                </w:tcPr>
                <w:p w14:paraId="3AC84E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喷漆、刷漆废气</w:t>
                  </w:r>
                </w:p>
              </w:tc>
              <w:tc>
                <w:tcPr>
                  <w:tcW w:w="486" w:type="pct"/>
                  <w:vMerge w:val="restart"/>
                  <w:tcBorders>
                    <w:tl2br w:val="nil"/>
                    <w:tr2bl w:val="nil"/>
                  </w:tcBorders>
                  <w:vAlign w:val="center"/>
                </w:tcPr>
                <w:p w14:paraId="2D059C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DA001</w:t>
                  </w:r>
                </w:p>
                <w:p w14:paraId="139A9C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排气筒</w:t>
                  </w:r>
                </w:p>
              </w:tc>
              <w:tc>
                <w:tcPr>
                  <w:tcW w:w="265" w:type="pct"/>
                  <w:tcBorders>
                    <w:tl2br w:val="nil"/>
                    <w:tr2bl w:val="nil"/>
                  </w:tcBorders>
                  <w:vAlign w:val="center"/>
                </w:tcPr>
                <w:p w14:paraId="7CD843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颗粒物</w:t>
                  </w:r>
                </w:p>
              </w:tc>
              <w:tc>
                <w:tcPr>
                  <w:tcW w:w="467" w:type="pct"/>
                  <w:tcBorders>
                    <w:tl2br w:val="nil"/>
                    <w:tr2bl w:val="nil"/>
                  </w:tcBorders>
                  <w:vAlign w:val="center"/>
                </w:tcPr>
                <w:p w14:paraId="3DBEE5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12.633</w:t>
                  </w:r>
                </w:p>
              </w:tc>
              <w:tc>
                <w:tcPr>
                  <w:tcW w:w="510" w:type="pct"/>
                  <w:tcBorders>
                    <w:tl2br w:val="nil"/>
                    <w:tr2bl w:val="nil"/>
                  </w:tcBorders>
                  <w:vAlign w:val="center"/>
                </w:tcPr>
                <w:p w14:paraId="10F5F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1.0233</w:t>
                  </w:r>
                </w:p>
              </w:tc>
              <w:tc>
                <w:tcPr>
                  <w:tcW w:w="445" w:type="pct"/>
                  <w:tcBorders>
                    <w:tl2br w:val="nil"/>
                    <w:tr2bl w:val="nil"/>
                  </w:tcBorders>
                  <w:vAlign w:val="center"/>
                </w:tcPr>
                <w:p w14:paraId="1E204A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2.456</w:t>
                  </w:r>
                </w:p>
              </w:tc>
              <w:tc>
                <w:tcPr>
                  <w:tcW w:w="731" w:type="pct"/>
                  <w:vMerge w:val="restart"/>
                  <w:tcBorders>
                    <w:tl2br w:val="nil"/>
                    <w:tr2bl w:val="nil"/>
                  </w:tcBorders>
                  <w:vAlign w:val="center"/>
                </w:tcPr>
                <w:p w14:paraId="68C8E38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val="0"/>
                      <w:color w:val="auto"/>
                      <w:kern w:val="2"/>
                      <w:sz w:val="21"/>
                      <w:szCs w:val="21"/>
                      <w:lang w:val="en-US" w:eastAsia="zh-CN" w:bidi="ar-SA"/>
                    </w:rPr>
                    <w:t>负压收集+漆雾过滤（纸箱式漆雾过滤器+F6中效过滤袋+F8中效过滤袋）+活性炭吸附脱附+CO催化燃烧装置处理工艺处理后，经15m高排气筒（DA001）排放。</w:t>
                  </w:r>
                </w:p>
              </w:tc>
              <w:tc>
                <w:tcPr>
                  <w:tcW w:w="451" w:type="pct"/>
                  <w:tcBorders>
                    <w:tl2br w:val="nil"/>
                    <w:tr2bl w:val="nil"/>
                  </w:tcBorders>
                  <w:vAlign w:val="center"/>
                </w:tcPr>
                <w:p w14:paraId="39F1CB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vertAlign w:val="baseline"/>
                      <w:lang w:val="en-US" w:eastAsia="zh-CN"/>
                    </w:rPr>
                    <w:t>0.252</w:t>
                  </w:r>
                </w:p>
              </w:tc>
              <w:tc>
                <w:tcPr>
                  <w:tcW w:w="510" w:type="pct"/>
                  <w:tcBorders>
                    <w:tl2br w:val="nil"/>
                    <w:tr2bl w:val="nil"/>
                  </w:tcBorders>
                  <w:vAlign w:val="center"/>
                </w:tcPr>
                <w:p w14:paraId="35C334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0.0204</w:t>
                  </w:r>
                </w:p>
              </w:tc>
              <w:tc>
                <w:tcPr>
                  <w:tcW w:w="510" w:type="pct"/>
                  <w:tcBorders>
                    <w:tl2br w:val="nil"/>
                    <w:tr2bl w:val="nil"/>
                  </w:tcBorders>
                  <w:vAlign w:val="center"/>
                </w:tcPr>
                <w:p w14:paraId="1CBDBD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0.049</w:t>
                  </w:r>
                </w:p>
              </w:tc>
            </w:tr>
            <w:tr w14:paraId="6213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248" w:type="pct"/>
                  <w:vMerge w:val="continue"/>
                  <w:tcBorders>
                    <w:tl2br w:val="nil"/>
                    <w:tr2bl w:val="nil"/>
                  </w:tcBorders>
                  <w:vAlign w:val="center"/>
                </w:tcPr>
                <w:p w14:paraId="229BF5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370" w:type="pct"/>
                  <w:vMerge w:val="continue"/>
                  <w:tcBorders>
                    <w:tl2br w:val="nil"/>
                    <w:tr2bl w:val="nil"/>
                  </w:tcBorders>
                  <w:vAlign w:val="center"/>
                </w:tcPr>
                <w:p w14:paraId="131C502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486" w:type="pct"/>
                  <w:vMerge w:val="continue"/>
                  <w:tcBorders>
                    <w:tl2br w:val="nil"/>
                    <w:tr2bl w:val="nil"/>
                  </w:tcBorders>
                  <w:vAlign w:val="center"/>
                </w:tcPr>
                <w:p w14:paraId="6ABE2E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265" w:type="pct"/>
                  <w:tcBorders>
                    <w:tl2br w:val="nil"/>
                    <w:tr2bl w:val="nil"/>
                  </w:tcBorders>
                  <w:vAlign w:val="center"/>
                </w:tcPr>
                <w:p w14:paraId="6B268C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非甲烷总烃</w:t>
                  </w:r>
                </w:p>
              </w:tc>
              <w:tc>
                <w:tcPr>
                  <w:tcW w:w="467" w:type="pct"/>
                  <w:tcBorders>
                    <w:tl2br w:val="nil"/>
                    <w:tr2bl w:val="nil"/>
                  </w:tcBorders>
                  <w:vAlign w:val="center"/>
                </w:tcPr>
                <w:p w14:paraId="16DF43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6.251</w:t>
                  </w:r>
                </w:p>
              </w:tc>
              <w:tc>
                <w:tcPr>
                  <w:tcW w:w="510" w:type="pct"/>
                  <w:tcBorders>
                    <w:tl2br w:val="nil"/>
                    <w:tr2bl w:val="nil"/>
                  </w:tcBorders>
                  <w:vAlign w:val="center"/>
                </w:tcPr>
                <w:p w14:paraId="26D75E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0.5063</w:t>
                  </w:r>
                </w:p>
              </w:tc>
              <w:tc>
                <w:tcPr>
                  <w:tcW w:w="445" w:type="pct"/>
                  <w:tcBorders>
                    <w:tl2br w:val="nil"/>
                    <w:tr2bl w:val="nil"/>
                  </w:tcBorders>
                  <w:vAlign w:val="center"/>
                </w:tcPr>
                <w:p w14:paraId="67F192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1.215</w:t>
                  </w:r>
                </w:p>
              </w:tc>
              <w:tc>
                <w:tcPr>
                  <w:tcW w:w="731" w:type="pct"/>
                  <w:vMerge w:val="continue"/>
                  <w:tcBorders>
                    <w:tl2br w:val="nil"/>
                    <w:tr2bl w:val="nil"/>
                  </w:tcBorders>
                  <w:vAlign w:val="center"/>
                </w:tcPr>
                <w:p w14:paraId="4B5E9CC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1" w:type="pct"/>
                  <w:tcBorders>
                    <w:tl2br w:val="nil"/>
                    <w:tr2bl w:val="nil"/>
                  </w:tcBorders>
                  <w:vAlign w:val="center"/>
                </w:tcPr>
                <w:p w14:paraId="327306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z w:val="21"/>
                      <w:szCs w:val="21"/>
                      <w:highlight w:val="none"/>
                      <w:vertAlign w:val="baseline"/>
                      <w:lang w:val="en-US" w:eastAsia="zh-CN"/>
                    </w:rPr>
                    <w:t>0.125</w:t>
                  </w:r>
                </w:p>
              </w:tc>
              <w:tc>
                <w:tcPr>
                  <w:tcW w:w="510" w:type="pct"/>
                  <w:tcBorders>
                    <w:tl2br w:val="nil"/>
                    <w:tr2bl w:val="nil"/>
                  </w:tcBorders>
                  <w:vAlign w:val="center"/>
                </w:tcPr>
                <w:p w14:paraId="56156B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0.0101</w:t>
                  </w:r>
                </w:p>
              </w:tc>
              <w:tc>
                <w:tcPr>
                  <w:tcW w:w="510" w:type="pct"/>
                  <w:tcBorders>
                    <w:tl2br w:val="nil"/>
                    <w:tr2bl w:val="nil"/>
                  </w:tcBorders>
                  <w:vAlign w:val="center"/>
                </w:tcPr>
                <w:p w14:paraId="26CFA6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0.0243</w:t>
                  </w:r>
                </w:p>
              </w:tc>
            </w:tr>
            <w:tr w14:paraId="19B3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248" w:type="pct"/>
                  <w:vMerge w:val="continue"/>
                  <w:tcBorders>
                    <w:tl2br w:val="nil"/>
                    <w:tr2bl w:val="nil"/>
                  </w:tcBorders>
                  <w:vAlign w:val="center"/>
                </w:tcPr>
                <w:p w14:paraId="7097C0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370" w:type="pct"/>
                  <w:vMerge w:val="continue"/>
                  <w:tcBorders>
                    <w:tl2br w:val="nil"/>
                    <w:tr2bl w:val="nil"/>
                  </w:tcBorders>
                  <w:vAlign w:val="center"/>
                </w:tcPr>
                <w:p w14:paraId="6814F6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486" w:type="pct"/>
                  <w:vMerge w:val="continue"/>
                  <w:tcBorders>
                    <w:tl2br w:val="nil"/>
                    <w:tr2bl w:val="nil"/>
                  </w:tcBorders>
                  <w:vAlign w:val="center"/>
                </w:tcPr>
                <w:p w14:paraId="5BDE51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265" w:type="pct"/>
                  <w:tcBorders>
                    <w:tl2br w:val="nil"/>
                    <w:tr2bl w:val="nil"/>
                  </w:tcBorders>
                  <w:vAlign w:val="center"/>
                </w:tcPr>
                <w:p w14:paraId="2CA3B8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苯系物</w:t>
                  </w:r>
                </w:p>
              </w:tc>
              <w:tc>
                <w:tcPr>
                  <w:tcW w:w="467" w:type="pct"/>
                  <w:tcBorders>
                    <w:tl2br w:val="nil"/>
                    <w:tr2bl w:val="nil"/>
                  </w:tcBorders>
                  <w:vAlign w:val="center"/>
                </w:tcPr>
                <w:p w14:paraId="03E83F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2.217</w:t>
                  </w:r>
                </w:p>
              </w:tc>
              <w:tc>
                <w:tcPr>
                  <w:tcW w:w="510" w:type="pct"/>
                  <w:tcBorders>
                    <w:tl2br w:val="nil"/>
                    <w:tr2bl w:val="nil"/>
                  </w:tcBorders>
                  <w:vAlign w:val="center"/>
                </w:tcPr>
                <w:p w14:paraId="5A3F1B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0.1796</w:t>
                  </w:r>
                </w:p>
              </w:tc>
              <w:tc>
                <w:tcPr>
                  <w:tcW w:w="445" w:type="pct"/>
                  <w:tcBorders>
                    <w:tl2br w:val="nil"/>
                    <w:tr2bl w:val="nil"/>
                  </w:tcBorders>
                  <w:vAlign w:val="center"/>
                </w:tcPr>
                <w:p w14:paraId="2C8B59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0.431</w:t>
                  </w:r>
                </w:p>
              </w:tc>
              <w:tc>
                <w:tcPr>
                  <w:tcW w:w="731" w:type="pct"/>
                  <w:vMerge w:val="continue"/>
                  <w:tcBorders>
                    <w:tl2br w:val="nil"/>
                    <w:tr2bl w:val="nil"/>
                  </w:tcBorders>
                  <w:vAlign w:val="center"/>
                </w:tcPr>
                <w:p w14:paraId="4C155EE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1" w:type="pct"/>
                  <w:tcBorders>
                    <w:tl2br w:val="nil"/>
                    <w:tr2bl w:val="nil"/>
                  </w:tcBorders>
                  <w:vAlign w:val="center"/>
                </w:tcPr>
                <w:p w14:paraId="45CC44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vertAlign w:val="baseline"/>
                      <w:lang w:val="en-US" w:eastAsia="zh-CN"/>
                    </w:rPr>
                    <w:t>0.044</w:t>
                  </w:r>
                </w:p>
              </w:tc>
              <w:tc>
                <w:tcPr>
                  <w:tcW w:w="510" w:type="pct"/>
                  <w:tcBorders>
                    <w:tl2br w:val="nil"/>
                    <w:tr2bl w:val="nil"/>
                  </w:tcBorders>
                  <w:vAlign w:val="center"/>
                </w:tcPr>
                <w:p w14:paraId="116021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0.0036</w:t>
                  </w:r>
                </w:p>
              </w:tc>
              <w:tc>
                <w:tcPr>
                  <w:tcW w:w="510" w:type="pct"/>
                  <w:tcBorders>
                    <w:tl2br w:val="nil"/>
                    <w:tr2bl w:val="nil"/>
                  </w:tcBorders>
                  <w:vAlign w:val="center"/>
                </w:tcPr>
                <w:p w14:paraId="108611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0.0086</w:t>
                  </w:r>
                </w:p>
              </w:tc>
            </w:tr>
            <w:tr w14:paraId="74EA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248" w:type="pct"/>
                  <w:vMerge w:val="restart"/>
                  <w:tcBorders>
                    <w:tl2br w:val="nil"/>
                    <w:tr2bl w:val="nil"/>
                  </w:tcBorders>
                  <w:vAlign w:val="center"/>
                </w:tcPr>
                <w:p w14:paraId="50CD24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370" w:type="pct"/>
                  <w:vMerge w:val="continue"/>
                  <w:tcBorders>
                    <w:tl2br w:val="nil"/>
                    <w:tr2bl w:val="nil"/>
                  </w:tcBorders>
                  <w:vAlign w:val="center"/>
                </w:tcPr>
                <w:p w14:paraId="607A45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486" w:type="pct"/>
                  <w:vMerge w:val="restart"/>
                  <w:tcBorders>
                    <w:tl2br w:val="nil"/>
                    <w:tr2bl w:val="nil"/>
                  </w:tcBorders>
                  <w:vAlign w:val="center"/>
                </w:tcPr>
                <w:p w14:paraId="4217BF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无组织排放</w:t>
                  </w:r>
                </w:p>
              </w:tc>
              <w:tc>
                <w:tcPr>
                  <w:tcW w:w="456" w:type="dxa"/>
                  <w:tcBorders>
                    <w:tl2br w:val="nil"/>
                    <w:tr2bl w:val="nil"/>
                  </w:tcBorders>
                  <w:vAlign w:val="center"/>
                </w:tcPr>
                <w:p w14:paraId="245CDA1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颗粒物</w:t>
                  </w:r>
                </w:p>
              </w:tc>
              <w:tc>
                <w:tcPr>
                  <w:tcW w:w="467" w:type="pct"/>
                  <w:tcBorders>
                    <w:tl2br w:val="nil"/>
                    <w:tr2bl w:val="nil"/>
                  </w:tcBorders>
                  <w:vAlign w:val="center"/>
                </w:tcPr>
                <w:p w14:paraId="3B9F4A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6" w:type="dxa"/>
                  <w:tcBorders>
                    <w:tl2br w:val="nil"/>
                    <w:tr2bl w:val="nil"/>
                  </w:tcBorders>
                  <w:vAlign w:val="center"/>
                </w:tcPr>
                <w:p w14:paraId="497C84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0.0208</w:t>
                  </w:r>
                </w:p>
              </w:tc>
              <w:tc>
                <w:tcPr>
                  <w:tcW w:w="764" w:type="dxa"/>
                  <w:tcBorders>
                    <w:tl2br w:val="nil"/>
                    <w:tr2bl w:val="nil"/>
                  </w:tcBorders>
                  <w:vAlign w:val="center"/>
                </w:tcPr>
                <w:p w14:paraId="76BB64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731" w:type="pct"/>
                  <w:vMerge w:val="restart"/>
                  <w:tcBorders>
                    <w:tl2br w:val="nil"/>
                    <w:tr2bl w:val="nil"/>
                  </w:tcBorders>
                  <w:vAlign w:val="center"/>
                </w:tcPr>
                <w:p w14:paraId="7C182F8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封闭车间</w:t>
                  </w:r>
                </w:p>
              </w:tc>
              <w:tc>
                <w:tcPr>
                  <w:tcW w:w="451" w:type="pct"/>
                  <w:tcBorders>
                    <w:tl2br w:val="nil"/>
                    <w:tr2bl w:val="nil"/>
                  </w:tcBorders>
                  <w:vAlign w:val="center"/>
                </w:tcPr>
                <w:p w14:paraId="0871D5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vertAlign w:val="baseline"/>
                      <w:lang w:val="en-US" w:eastAsia="zh-CN"/>
                    </w:rPr>
                    <w:t>/</w:t>
                  </w:r>
                </w:p>
              </w:tc>
              <w:tc>
                <w:tcPr>
                  <w:tcW w:w="876" w:type="dxa"/>
                  <w:tcBorders>
                    <w:tl2br w:val="nil"/>
                    <w:tr2bl w:val="nil"/>
                  </w:tcBorders>
                  <w:vAlign w:val="center"/>
                </w:tcPr>
                <w:p w14:paraId="1CEA55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0.0208</w:t>
                  </w:r>
                </w:p>
              </w:tc>
              <w:tc>
                <w:tcPr>
                  <w:tcW w:w="876" w:type="dxa"/>
                  <w:tcBorders>
                    <w:tl2br w:val="nil"/>
                    <w:tr2bl w:val="nil"/>
                  </w:tcBorders>
                  <w:vAlign w:val="center"/>
                </w:tcPr>
                <w:p w14:paraId="5F27DA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 w:val="21"/>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44E3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248" w:type="pct"/>
                  <w:vMerge w:val="continue"/>
                  <w:tcBorders>
                    <w:tl2br w:val="nil"/>
                    <w:tr2bl w:val="nil"/>
                  </w:tcBorders>
                  <w:vAlign w:val="center"/>
                </w:tcPr>
                <w:p w14:paraId="7F871D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370" w:type="pct"/>
                  <w:vMerge w:val="continue"/>
                  <w:tcBorders>
                    <w:tl2br w:val="nil"/>
                    <w:tr2bl w:val="nil"/>
                  </w:tcBorders>
                  <w:vAlign w:val="center"/>
                </w:tcPr>
                <w:p w14:paraId="3B2353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486" w:type="pct"/>
                  <w:vMerge w:val="continue"/>
                  <w:tcBorders>
                    <w:tl2br w:val="nil"/>
                    <w:tr2bl w:val="nil"/>
                  </w:tcBorders>
                  <w:vAlign w:val="center"/>
                </w:tcPr>
                <w:p w14:paraId="7DA590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56" w:type="dxa"/>
                  <w:tcBorders>
                    <w:tl2br w:val="nil"/>
                    <w:tr2bl w:val="nil"/>
                  </w:tcBorders>
                  <w:vAlign w:val="center"/>
                </w:tcPr>
                <w:p w14:paraId="4D5D31B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非甲烷总烃</w:t>
                  </w:r>
                </w:p>
              </w:tc>
              <w:tc>
                <w:tcPr>
                  <w:tcW w:w="467" w:type="pct"/>
                  <w:tcBorders>
                    <w:tl2br w:val="nil"/>
                    <w:tr2bl w:val="nil"/>
                  </w:tcBorders>
                  <w:vAlign w:val="center"/>
                </w:tcPr>
                <w:p w14:paraId="12586D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6" w:type="dxa"/>
                  <w:tcBorders>
                    <w:tl2br w:val="nil"/>
                    <w:tr2bl w:val="nil"/>
                  </w:tcBorders>
                  <w:vAlign w:val="center"/>
                </w:tcPr>
                <w:p w14:paraId="3ACB7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0.0104</w:t>
                  </w:r>
                </w:p>
              </w:tc>
              <w:tc>
                <w:tcPr>
                  <w:tcW w:w="764" w:type="dxa"/>
                  <w:tcBorders>
                    <w:tl2br w:val="nil"/>
                    <w:tr2bl w:val="nil"/>
                  </w:tcBorders>
                  <w:vAlign w:val="center"/>
                </w:tcPr>
                <w:p w14:paraId="43BD0B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731" w:type="pct"/>
                  <w:vMerge w:val="continue"/>
                  <w:tcBorders>
                    <w:tl2br w:val="nil"/>
                    <w:tr2bl w:val="nil"/>
                  </w:tcBorders>
                  <w:vAlign w:val="center"/>
                </w:tcPr>
                <w:p w14:paraId="0433A2A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1" w:type="pct"/>
                  <w:tcBorders>
                    <w:tl2br w:val="nil"/>
                    <w:tr2bl w:val="nil"/>
                  </w:tcBorders>
                  <w:vAlign w:val="center"/>
                </w:tcPr>
                <w:p w14:paraId="0A1F17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vertAlign w:val="baseline"/>
                      <w:lang w:val="en-US" w:eastAsia="zh-CN"/>
                    </w:rPr>
                    <w:t>/</w:t>
                  </w:r>
                </w:p>
              </w:tc>
              <w:tc>
                <w:tcPr>
                  <w:tcW w:w="876" w:type="dxa"/>
                  <w:tcBorders>
                    <w:tl2br w:val="nil"/>
                    <w:tr2bl w:val="nil"/>
                  </w:tcBorders>
                  <w:vAlign w:val="center"/>
                </w:tcPr>
                <w:p w14:paraId="317303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0.0104</w:t>
                  </w:r>
                </w:p>
              </w:tc>
              <w:tc>
                <w:tcPr>
                  <w:tcW w:w="876" w:type="dxa"/>
                  <w:tcBorders>
                    <w:tl2br w:val="nil"/>
                    <w:tr2bl w:val="nil"/>
                  </w:tcBorders>
                  <w:vAlign w:val="center"/>
                </w:tcPr>
                <w:p w14:paraId="236B54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 w:val="21"/>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0.025</w:t>
                  </w:r>
                </w:p>
              </w:tc>
            </w:tr>
            <w:tr w14:paraId="1C98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248" w:type="pct"/>
                  <w:vMerge w:val="continue"/>
                  <w:tcBorders>
                    <w:tl2br w:val="nil"/>
                    <w:tr2bl w:val="nil"/>
                  </w:tcBorders>
                  <w:vAlign w:val="center"/>
                </w:tcPr>
                <w:p w14:paraId="042581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370" w:type="pct"/>
                  <w:vMerge w:val="continue"/>
                  <w:tcBorders>
                    <w:tl2br w:val="nil"/>
                    <w:tr2bl w:val="nil"/>
                  </w:tcBorders>
                  <w:vAlign w:val="center"/>
                </w:tcPr>
                <w:p w14:paraId="25353B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486" w:type="pct"/>
                  <w:vMerge w:val="continue"/>
                  <w:tcBorders>
                    <w:tl2br w:val="nil"/>
                    <w:tr2bl w:val="nil"/>
                  </w:tcBorders>
                  <w:vAlign w:val="center"/>
                </w:tcPr>
                <w:p w14:paraId="372FDA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56" w:type="dxa"/>
                  <w:tcBorders>
                    <w:tl2br w:val="nil"/>
                    <w:tr2bl w:val="nil"/>
                  </w:tcBorders>
                  <w:vAlign w:val="center"/>
                </w:tcPr>
                <w:p w14:paraId="637BEA7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苯系物</w:t>
                  </w:r>
                </w:p>
              </w:tc>
              <w:tc>
                <w:tcPr>
                  <w:tcW w:w="467" w:type="pct"/>
                  <w:tcBorders>
                    <w:tl2br w:val="nil"/>
                    <w:tr2bl w:val="nil"/>
                  </w:tcBorders>
                  <w:vAlign w:val="center"/>
                </w:tcPr>
                <w:p w14:paraId="56DB75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6" w:type="dxa"/>
                  <w:tcBorders>
                    <w:tl2br w:val="nil"/>
                    <w:tr2bl w:val="nil"/>
                  </w:tcBorders>
                  <w:vAlign w:val="center"/>
                </w:tcPr>
                <w:p w14:paraId="3D8BAD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0.00375</w:t>
                  </w:r>
                </w:p>
              </w:tc>
              <w:tc>
                <w:tcPr>
                  <w:tcW w:w="764" w:type="dxa"/>
                  <w:tcBorders>
                    <w:tl2br w:val="nil"/>
                    <w:tr2bl w:val="nil"/>
                  </w:tcBorders>
                  <w:vAlign w:val="center"/>
                </w:tcPr>
                <w:p w14:paraId="00970F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0.009</w:t>
                  </w:r>
                </w:p>
              </w:tc>
              <w:tc>
                <w:tcPr>
                  <w:tcW w:w="731" w:type="pct"/>
                  <w:vMerge w:val="continue"/>
                  <w:tcBorders>
                    <w:tl2br w:val="nil"/>
                    <w:tr2bl w:val="nil"/>
                  </w:tcBorders>
                  <w:vAlign w:val="center"/>
                </w:tcPr>
                <w:p w14:paraId="4EE24DC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1" w:type="pct"/>
                  <w:tcBorders>
                    <w:tl2br w:val="nil"/>
                    <w:tr2bl w:val="nil"/>
                  </w:tcBorders>
                  <w:vAlign w:val="center"/>
                </w:tcPr>
                <w:p w14:paraId="02ED39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vertAlign w:val="baseline"/>
                      <w:lang w:val="en-US" w:eastAsia="zh-CN"/>
                    </w:rPr>
                    <w:t>/</w:t>
                  </w:r>
                </w:p>
              </w:tc>
              <w:tc>
                <w:tcPr>
                  <w:tcW w:w="876" w:type="dxa"/>
                  <w:tcBorders>
                    <w:tl2br w:val="nil"/>
                    <w:tr2bl w:val="nil"/>
                  </w:tcBorders>
                  <w:vAlign w:val="center"/>
                </w:tcPr>
                <w:p w14:paraId="6546FB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0.00375</w:t>
                  </w:r>
                </w:p>
              </w:tc>
              <w:tc>
                <w:tcPr>
                  <w:tcW w:w="876" w:type="dxa"/>
                  <w:tcBorders>
                    <w:tl2br w:val="nil"/>
                    <w:tr2bl w:val="nil"/>
                  </w:tcBorders>
                  <w:vAlign w:val="center"/>
                </w:tcPr>
                <w:p w14:paraId="778CE5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 w:val="21"/>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0.009</w:t>
                  </w:r>
                </w:p>
              </w:tc>
            </w:tr>
          </w:tbl>
          <w:p w14:paraId="55DB257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p>
          <w:p w14:paraId="71827CC4">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p>
          <w:p w14:paraId="28A70B47">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p>
          <w:p w14:paraId="384F7A3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3.废气治理措施达标性分析</w:t>
            </w:r>
          </w:p>
          <w:p w14:paraId="3B1885F4">
            <w:pPr>
              <w:pStyle w:val="122"/>
              <w:keepNext w:val="0"/>
              <w:keepLines w:val="0"/>
              <w:suppressLineNumbers w:val="0"/>
              <w:snapToGrid/>
              <w:spacing w:before="0" w:beforeAutospacing="0" w:after="0" w:afterAutospacing="0" w:line="360" w:lineRule="auto"/>
              <w:ind w:left="0" w:right="0" w:firstLine="480"/>
              <w:rPr>
                <w:rFonts w:hint="eastAsia"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本项目喷漆、刷漆废气</w:t>
            </w:r>
            <w:r>
              <w:rPr>
                <w:rFonts w:hint="eastAsia" w:ascii="Times New Roman" w:hAnsi="Times New Roman" w:eastAsia="宋体" w:cs="Times New Roman"/>
                <w:color w:val="auto"/>
                <w:kern w:val="2"/>
                <w:szCs w:val="24"/>
                <w:highlight w:val="none"/>
                <w:lang w:val="en-US" w:eastAsia="zh-CN"/>
              </w:rPr>
              <w:t>通过</w:t>
            </w:r>
            <w:r>
              <w:rPr>
                <w:rFonts w:hint="default" w:ascii="Times New Roman" w:hAnsi="Times New Roman" w:eastAsia="宋体" w:cs="Times New Roman"/>
                <w:color w:val="auto"/>
                <w:kern w:val="2"/>
                <w:szCs w:val="24"/>
                <w:highlight w:val="none"/>
                <w:lang w:val="en-US" w:eastAsia="zh-CN"/>
              </w:rPr>
              <w:t>负压收集+漆雾过滤（纸箱式漆雾过滤器+F6中效过滤袋+F8中效过滤袋）+活性炭吸附脱附+CO催化燃烧装置处理工艺处理后，经15m高排气筒（DA001）排放</w:t>
            </w:r>
            <w:r>
              <w:rPr>
                <w:rFonts w:hint="eastAsia" w:ascii="Times New Roman" w:hAnsi="Times New Roman" w:eastAsia="宋体" w:cs="Times New Roman"/>
                <w:color w:val="auto"/>
                <w:kern w:val="2"/>
                <w:szCs w:val="24"/>
                <w:highlight w:val="none"/>
                <w:lang w:val="en-US" w:eastAsia="zh-CN"/>
              </w:rPr>
              <w:t>，</w:t>
            </w:r>
            <w:r>
              <w:rPr>
                <w:rFonts w:hint="default" w:ascii="Times New Roman" w:hAnsi="Times New Roman" w:eastAsia="宋体" w:cs="Times New Roman"/>
                <w:color w:val="auto"/>
                <w:kern w:val="2"/>
                <w:szCs w:val="24"/>
                <w:highlight w:val="none"/>
                <w:lang w:val="en-US" w:eastAsia="zh-CN"/>
              </w:rPr>
              <w:t>满足《大气污染物综合排放标准》（GB16297-1996）表2中二类排放标准。未收集的颗粒物</w:t>
            </w:r>
            <w:r>
              <w:rPr>
                <w:rFonts w:hint="eastAsia" w:ascii="Times New Roman" w:hAnsi="Times New Roman" w:eastAsia="宋体" w:cs="Times New Roman"/>
                <w:color w:val="auto"/>
                <w:kern w:val="2"/>
                <w:szCs w:val="24"/>
                <w:highlight w:val="none"/>
                <w:lang w:val="en-US" w:eastAsia="zh-CN"/>
              </w:rPr>
              <w:t>、非甲烷总烃、苯系物通过</w:t>
            </w:r>
            <w:r>
              <w:rPr>
                <w:rFonts w:hint="default" w:ascii="Times New Roman" w:hAnsi="Times New Roman" w:eastAsia="宋体" w:cs="Times New Roman"/>
                <w:color w:val="auto"/>
                <w:kern w:val="2"/>
                <w:szCs w:val="24"/>
                <w:highlight w:val="none"/>
                <w:lang w:val="en-US" w:eastAsia="zh-CN"/>
              </w:rPr>
              <w:t>封闭车间</w:t>
            </w:r>
            <w:r>
              <w:rPr>
                <w:rFonts w:hint="eastAsia" w:ascii="Times New Roman" w:hAnsi="Times New Roman" w:eastAsia="宋体" w:cs="Times New Roman"/>
                <w:color w:val="auto"/>
                <w:kern w:val="2"/>
                <w:szCs w:val="24"/>
                <w:highlight w:val="none"/>
                <w:lang w:val="en-US" w:eastAsia="zh-CN"/>
              </w:rPr>
              <w:t>措施后，无组织粉尘排放</w:t>
            </w:r>
            <w:r>
              <w:rPr>
                <w:rFonts w:hint="default" w:ascii="Times New Roman" w:hAnsi="Times New Roman" w:eastAsia="宋体" w:cs="Times New Roman"/>
                <w:color w:val="auto"/>
                <w:kern w:val="2"/>
                <w:szCs w:val="24"/>
                <w:highlight w:val="none"/>
                <w:lang w:val="en-US" w:eastAsia="zh-CN"/>
              </w:rPr>
              <w:t>满足《大气污染物综合排放</w:t>
            </w:r>
            <w:r>
              <w:rPr>
                <w:rFonts w:hint="eastAsia" w:cs="Times New Roman"/>
                <w:color w:val="auto"/>
                <w:kern w:val="2"/>
                <w:szCs w:val="24"/>
                <w:highlight w:val="none"/>
                <w:lang w:val="en-US" w:eastAsia="zh-CN"/>
              </w:rPr>
              <w:t>标准</w:t>
            </w:r>
            <w:r>
              <w:rPr>
                <w:rFonts w:hint="default" w:ascii="Times New Roman" w:hAnsi="Times New Roman" w:eastAsia="宋体" w:cs="Times New Roman"/>
                <w:color w:val="auto"/>
                <w:kern w:val="2"/>
                <w:szCs w:val="24"/>
                <w:highlight w:val="none"/>
                <w:lang w:val="en-US" w:eastAsia="zh-CN"/>
              </w:rPr>
              <w:t>》（GB16297-1996）表2中无组织排放标准</w:t>
            </w:r>
            <w:r>
              <w:rPr>
                <w:rFonts w:hint="eastAsia" w:ascii="Times New Roman" w:hAnsi="Times New Roman" w:eastAsia="宋体" w:cs="Times New Roman"/>
                <w:color w:val="auto"/>
                <w:kern w:val="2"/>
                <w:szCs w:val="24"/>
                <w:highlight w:val="none"/>
                <w:lang w:val="en-US" w:eastAsia="zh-CN"/>
              </w:rPr>
              <w:t>。</w:t>
            </w:r>
          </w:p>
          <w:p w14:paraId="1D1E7C24">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szCs w:val="24"/>
              </w:rPr>
              <w:t>废气污染防治措施可行性分析</w:t>
            </w:r>
          </w:p>
          <w:p w14:paraId="67F5B520">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kern w:val="2"/>
                <w:szCs w:val="24"/>
                <w:highlight w:val="none"/>
              </w:rPr>
            </w:pPr>
            <w:r>
              <w:rPr>
                <w:rFonts w:hint="default" w:ascii="Times New Roman" w:hAnsi="Times New Roman" w:eastAsia="宋体" w:cs="Times New Roman"/>
                <w:color w:val="auto"/>
                <w:kern w:val="2"/>
                <w:szCs w:val="24"/>
                <w:highlight w:val="none"/>
                <w:lang w:val="en-US" w:eastAsia="zh-CN"/>
              </w:rPr>
              <w:t>本项目喷漆、刷漆废气</w:t>
            </w:r>
            <w:r>
              <w:rPr>
                <w:rFonts w:hint="eastAsia" w:ascii="Times New Roman" w:hAnsi="Times New Roman" w:eastAsia="宋体" w:cs="Times New Roman"/>
                <w:color w:val="auto"/>
                <w:kern w:val="2"/>
                <w:szCs w:val="24"/>
                <w:highlight w:val="none"/>
                <w:lang w:val="en-US" w:eastAsia="zh-CN"/>
              </w:rPr>
              <w:t>通过</w:t>
            </w:r>
            <w:r>
              <w:rPr>
                <w:rFonts w:hint="default" w:ascii="Times New Roman" w:hAnsi="Times New Roman" w:eastAsia="宋体" w:cs="Times New Roman"/>
                <w:color w:val="auto"/>
                <w:kern w:val="2"/>
                <w:szCs w:val="24"/>
                <w:highlight w:val="none"/>
                <w:lang w:val="en-US" w:eastAsia="zh-CN"/>
              </w:rPr>
              <w:t>负压收集+漆雾过滤（纸箱式漆雾过滤器+F6中效过滤袋+F8中效过滤袋）+活性炭吸附脱附+CO催化燃烧装置处理工艺处理后，经15m高排气筒（DA001）排放</w:t>
            </w:r>
            <w:r>
              <w:rPr>
                <w:rFonts w:hint="eastAsia" w:ascii="Times New Roman" w:hAnsi="Times New Roman" w:eastAsia="宋体" w:cs="Times New Roman"/>
                <w:color w:val="auto"/>
                <w:kern w:val="2"/>
                <w:szCs w:val="24"/>
                <w:highlight w:val="none"/>
                <w:lang w:val="en-US" w:eastAsia="zh-CN"/>
              </w:rPr>
              <w:t>。</w:t>
            </w:r>
          </w:p>
          <w:p w14:paraId="7ED4E372">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kern w:val="2"/>
                <w:szCs w:val="24"/>
                <w:highlight w:val="none"/>
              </w:rPr>
            </w:pPr>
            <w:r>
              <w:rPr>
                <w:rFonts w:hint="eastAsia" w:cs="Times New Roman"/>
                <w:b/>
                <w:bCs/>
                <w:color w:val="auto"/>
                <w:kern w:val="2"/>
                <w:szCs w:val="24"/>
                <w:highlight w:val="none"/>
                <w:lang w:eastAsia="zh-CN"/>
              </w:rPr>
              <w:t>（</w:t>
            </w:r>
            <w:r>
              <w:rPr>
                <w:rFonts w:hint="eastAsia" w:cs="Times New Roman"/>
                <w:b/>
                <w:bCs/>
                <w:color w:val="auto"/>
                <w:kern w:val="2"/>
                <w:szCs w:val="24"/>
                <w:highlight w:val="none"/>
                <w:lang w:val="en-US" w:eastAsia="zh-CN"/>
              </w:rPr>
              <w:t>1</w:t>
            </w:r>
            <w:r>
              <w:rPr>
                <w:rFonts w:hint="eastAsia" w:cs="Times New Roman"/>
                <w:b/>
                <w:bCs/>
                <w:color w:val="auto"/>
                <w:kern w:val="2"/>
                <w:szCs w:val="24"/>
                <w:highlight w:val="none"/>
                <w:lang w:eastAsia="zh-CN"/>
              </w:rPr>
              <w:t>）</w:t>
            </w:r>
            <w:r>
              <w:rPr>
                <w:rFonts w:hint="default" w:ascii="Times New Roman" w:hAnsi="Times New Roman" w:eastAsia="宋体" w:cs="Times New Roman"/>
                <w:b/>
                <w:bCs/>
                <w:color w:val="auto"/>
                <w:kern w:val="2"/>
                <w:szCs w:val="24"/>
                <w:highlight w:val="none"/>
              </w:rPr>
              <w:t>废气治理设施原理</w:t>
            </w:r>
          </w:p>
          <w:p w14:paraId="637BEFA9">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bCs w:val="0"/>
                <w:color w:val="auto"/>
                <w:highlight w:val="none"/>
              </w:rPr>
            </w:pPr>
            <w:r>
              <w:rPr>
                <w:rFonts w:hint="eastAsia" w:cs="Times New Roman"/>
                <w:b/>
                <w:bCs w:val="0"/>
                <w:color w:val="auto"/>
                <w:highlight w:val="none"/>
                <w:lang w:val="en-US" w:eastAsia="zh-CN"/>
              </w:rPr>
              <w:t>1）纸箱式漆雾过滤器</w:t>
            </w:r>
          </w:p>
          <w:p w14:paraId="762E7188">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7%BA%B8%E7%AE%B1%E5%BC%8F%E6%BC%86%E9%9B%BE%E8%BF%87%E6%BB%A4%E5%99%A8&amp;rsv_pq=b7d945fa002bac44&amp;oq=%E7%BA%B8%E7%AE%B1%E5%BC%8F%E6%BC%86%E9%9B%BE%E8%BF%87%E6%BB%A4%E5%99%A8%E5%B7%A5%E4%BD%9C%E5%8E%9F%E7%90%86%E6%98%AF%E4%BB%80%E4%B9%88&amp;rsv_t=a808iFTHkKYjbioDpUOzy1NJ+7pE0FuhLXHOSHK8HgtnVe60vKLa3auvUfs8yQhMLebmZfAgu5NM&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纸箱式漆雾过滤器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的工作原理主要是通过漆雾通过低压</w:t>
            </w:r>
            <w:r>
              <w:rPr>
                <w:rFonts w:hint="eastAsia" w:cs="Times New Roman"/>
                <w:b w:val="0"/>
                <w:bCs/>
                <w:color w:val="auto"/>
                <w:highlight w:val="none"/>
                <w:lang w:eastAsia="zh-CN"/>
              </w:rPr>
              <w:t>被吸入</w:t>
            </w:r>
            <w:r>
              <w:rPr>
                <w:rFonts w:hint="default" w:ascii="Times New Roman" w:hAnsi="Times New Roman" w:eastAsia="宋体" w:cs="Times New Roman"/>
                <w:b w:val="0"/>
                <w:bCs/>
                <w:color w:val="auto"/>
                <w:highlight w:val="none"/>
              </w:rPr>
              <w:t>错综复杂的系统，由边缘和开孔构成，以达到吸附效果。‌这一过程通过扩大吸附表面、不同路径结构的排列组合以及对离心力的利用，使系统具备颠覆性的吸附能力。具体来说，漆雾过滤器的设计利用了</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6%83%B0%E6%80%A7%E5%88%86%E7%A6%BB%E6%8A%80%E6%9C%AF&amp;rsv_pq=b7d945fa002bac44&amp;oq=%E7%BA%B8%E7%AE%B1%E5%BC%8F%E6%BC%86%E9%9B%BE%E8%BF%87%E6%BB%A4%E5%99%A8%E5%B7%A5%E4%BD%9C%E5%8E%9F%E7%90%86%E6%98%AF%E4%BB%80%E4%B9%88&amp;rsv_t=a808iFTHkKYjbioDpUOzy1NJ+7pE0FuhLXHOSHK8HgtnVe60vKLa3auvUfs8yQhMLebmZfAgu5NM&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惰性分离技术</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，可以有效吸收超范围的过喷涂，通过强制过喷气流多次改变方向流动，使得那些比空气重的颗粒便</w:t>
            </w:r>
            <w:r>
              <w:rPr>
                <w:rFonts w:hint="eastAsia" w:cs="Times New Roman"/>
                <w:b w:val="0"/>
                <w:bCs/>
                <w:color w:val="auto"/>
                <w:highlight w:val="none"/>
                <w:lang w:eastAsia="zh-CN"/>
              </w:rPr>
              <w:t>黏附</w:t>
            </w:r>
            <w:r>
              <w:rPr>
                <w:rFonts w:hint="default" w:ascii="Times New Roman" w:hAnsi="Times New Roman" w:eastAsia="宋体" w:cs="Times New Roman"/>
                <w:b w:val="0"/>
                <w:bCs/>
                <w:color w:val="auto"/>
                <w:highlight w:val="none"/>
              </w:rPr>
              <w:t>附在纸壁面上，不会随气流而带走。这种过滤器适用于干式喷漆房内，使得喷油、喷漆不再需要用水，从而实现了环保和容尘量大的特点。箱式漆雾过滤器的过滤效率可高达98%，是一种新型的环保产品‌</w:t>
            </w:r>
            <w:r>
              <w:rPr>
                <w:rFonts w:hint="eastAsia" w:cs="Times New Roman"/>
                <w:b w:val="0"/>
                <w:bCs/>
                <w:color w:val="auto"/>
                <w:highlight w:val="none"/>
                <w:lang w:eastAsia="zh-CN"/>
              </w:rPr>
              <w:t>。</w:t>
            </w:r>
          </w:p>
          <w:p w14:paraId="57E882A0">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rPr>
              <w:t>漆雾过滤纸箱的设计还有利于正面的速度分配，外形设计考虑了空气阻力低、过滤效果强、容尘量是漆雾棉的5倍之多等特点。在容尘饱和时，气流量不减，且设备投资小、无噪音、安装简单，运行时间长且费用低。漆雾颗粒、粉末处理简单，不会造成二次污染</w:t>
            </w:r>
            <w:r>
              <w:rPr>
                <w:rFonts w:hint="eastAsia" w:cs="Times New Roman"/>
                <w:b w:val="0"/>
                <w:bCs/>
                <w:color w:val="auto"/>
                <w:highlight w:val="none"/>
                <w:lang w:eastAsia="zh-CN"/>
              </w:rPr>
              <w:t>。</w:t>
            </w:r>
          </w:p>
          <w:p w14:paraId="72F02266">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val="0"/>
                <w:bCs/>
                <w:color w:val="auto"/>
                <w:highlight w:val="none"/>
              </w:rPr>
            </w:pPr>
          </w:p>
          <w:p w14:paraId="12097ED2">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val="0"/>
                <w:bCs/>
                <w:color w:val="auto"/>
                <w:highlight w:val="none"/>
              </w:rPr>
            </w:pPr>
          </w:p>
          <w:p w14:paraId="0515BA53">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val="0"/>
                <w:bCs/>
                <w:color w:val="auto"/>
                <w:highlight w:val="none"/>
              </w:rPr>
            </w:pPr>
          </w:p>
          <w:p w14:paraId="2078E025">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val="0"/>
                <w:bCs/>
                <w:color w:val="auto"/>
                <w:highlight w:val="none"/>
              </w:rPr>
            </w:pPr>
          </w:p>
          <w:p w14:paraId="6EBA0174">
            <w:pPr>
              <w:pStyle w:val="126"/>
              <w:keepNext w:val="0"/>
              <w:keepLines w:val="0"/>
              <w:widowControl/>
              <w:suppressLineNumbers w:val="0"/>
              <w:spacing w:before="0" w:beforeAutospacing="0" w:after="0" w:afterAutospacing="0"/>
              <w:ind w:left="0" w:right="0" w:firstLine="482"/>
              <w:rPr>
                <w:rFonts w:hint="default"/>
                <w:color w:val="auto"/>
              </w:rPr>
            </w:pPr>
            <w:r>
              <w:rPr>
                <w:rFonts w:hint="default"/>
                <w:color w:val="auto"/>
              </w:rPr>
              <w:drawing>
                <wp:inline distT="0" distB="0" distL="114300" distR="114300">
                  <wp:extent cx="4730115" cy="2686050"/>
                  <wp:effectExtent l="0" t="0" r="133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a:stretch>
                            <a:fillRect/>
                          </a:stretch>
                        </pic:blipFill>
                        <pic:spPr>
                          <a:xfrm>
                            <a:off x="0" y="0"/>
                            <a:ext cx="4730115" cy="2686050"/>
                          </a:xfrm>
                          <a:prstGeom prst="rect">
                            <a:avLst/>
                          </a:prstGeom>
                          <a:noFill/>
                          <a:ln>
                            <a:noFill/>
                          </a:ln>
                        </pic:spPr>
                      </pic:pic>
                    </a:graphicData>
                  </a:graphic>
                </wp:inline>
              </w:drawing>
            </w:r>
          </w:p>
          <w:p w14:paraId="2B71DF2F">
            <w:pPr>
              <w:pStyle w:val="126"/>
              <w:keepNext w:val="0"/>
              <w:keepLines w:val="0"/>
              <w:widowControl/>
              <w:suppressLineNumbers w:val="0"/>
              <w:spacing w:before="0" w:beforeAutospacing="0" w:after="0" w:afterAutospacing="0"/>
              <w:ind w:left="0" w:leftChars="0" w:right="0" w:firstLine="0" w:firstLineChars="0"/>
              <w:jc w:val="center"/>
              <w:rPr>
                <w:rFonts w:hint="eastAsia" w:cs="Times New Roman"/>
                <w:b/>
                <w:bCs w:val="0"/>
                <w:color w:val="auto"/>
                <w:highlight w:val="none"/>
                <w:lang w:val="en-US" w:eastAsia="zh-CN"/>
              </w:rPr>
            </w:pPr>
            <w:r>
              <w:rPr>
                <w:rFonts w:hint="eastAsia"/>
                <w:b/>
                <w:bCs w:val="0"/>
                <w:color w:val="auto"/>
                <w:lang w:val="en-US" w:eastAsia="zh-CN"/>
              </w:rPr>
              <w:t xml:space="preserve">图4-1  </w:t>
            </w:r>
            <w:r>
              <w:rPr>
                <w:rFonts w:hint="eastAsia" w:cs="Times New Roman"/>
                <w:b/>
                <w:bCs w:val="0"/>
                <w:color w:val="auto"/>
                <w:highlight w:val="none"/>
                <w:lang w:val="en-US" w:eastAsia="zh-CN"/>
              </w:rPr>
              <w:t>纸箱式漆雾过滤器工作原理图</w:t>
            </w:r>
          </w:p>
          <w:p w14:paraId="70E92316">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2）</w:t>
            </w:r>
            <w:r>
              <w:rPr>
                <w:rFonts w:hint="default" w:ascii="Times New Roman" w:hAnsi="Times New Roman" w:eastAsia="宋体" w:cs="Times New Roman"/>
                <w:b/>
                <w:bCs w:val="0"/>
                <w:color w:val="auto"/>
                <w:highlight w:val="none"/>
              </w:rPr>
              <w:t>中效过滤袋</w:t>
            </w:r>
          </w:p>
          <w:p w14:paraId="4CEB5533">
            <w:pPr>
              <w:pStyle w:val="126"/>
              <w:keepNext w:val="0"/>
              <w:keepLines w:val="0"/>
              <w:widowControl/>
              <w:suppressLineNumbers w:val="0"/>
              <w:spacing w:before="0" w:beforeAutospacing="0" w:after="0" w:afterAutospacing="0"/>
              <w:ind w:left="0" w:right="0" w:firstLine="482"/>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4%B8%AD%E6%95%88%E8%A2%8B%E5%BC%8F%E8%BF%87%E6%BB%A4%E5%99%A8&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中效袋式过滤器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的工作原理是空气被引入过滤器，空气中的颗粒物被滤网捕获，污染物被捕获在袋子内，而清洁的空气被排出。这种过滤器可以有效地净化空气，减少空气污染，并保护人们的健康。中效袋式过滤器采用优质合成纤维或进口玻璃纤维为滤材，铝合金型材外框，内部喷塑冷拔丝支撑架。其效率规格包括</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"https://www.baidu.com/s?sa=re_dqa_generate&amp;wd=G4&amp;rsv_pq=b83a5da2007fda30&amp;oq=%E4%B8%AD%E6%95%88%E8%BF%87%E6%BB%A4%E8%A2%8B%E5%8E%9F%E7%90%86&amp;rsv_t=b8c3KbM6Hbnarlbcmy+5z1QH2sF+JwKweE8A0qXI16PASdVQMaysoKYKWo4vvgeJoBjsjoyuqggj&amp;tn=85070231_47_hao_pg&amp;ie=utf-8"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G4</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"https://www.baidu.com/s?sa=re_dqa_generate&amp;wd=F5&amp;rsv_pq=b83a5da2007fda30&amp;oq=%E4%B8%AD%E6%95%88%E8%BF%87%E6%BB%A4%E8%A2%8B%E5%8E%9F%E7%90%86&amp;rsv_t=b8c3KbM6Hbnarlbcmy+5z1QH2sF+JwKweE8A0qXI16PASdVQMaysoKYKWo4vvgeJoBjsjoyuqggj&amp;tn=85070231_47_hao_pg&amp;ie=utf-8"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F5</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"https://www.baidu.com/s?sa=re_dqa_generate&amp;wd=F6&amp;rsv_pq=b83a5da2007fda30&amp;oq=%E4%B8%AD%E6%95%88%E8%BF%87%E6%BB%A4%E8%A2%8B%E5%8E%9F%E7%90%86&amp;rsv_t=b8c3KbM6Hbnarlbcmy+5z1QH2sF+JwKweE8A0qXI16PASdVQMaysoKYKWo4vvgeJoBjsjoyuqggj&amp;tn=85070231_47_hao_pg&amp;ie=utf-8"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F6</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"https://www.baidu.com/s?sa=re_dqa_generate&amp;wd=F7&amp;rsv_pq=b83a5da2007fda30&amp;oq=%E4%B8%AD%E6%95%88%E8%BF%87%E6%BB%A4%E8%A2%8B%E5%8E%9F%E7%90%86&amp;rsv_t=b8c3KbM6Hbnarlbcmy+5z1QH2sF+JwKweE8A0qXI16PASdVQMaysoKYKWo4vvgeJoBjsjoyuqggj&amp;tn=85070231_47_hao_pg&amp;ie=utf-8"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F7</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"https://www.baidu.com/s?sa=re_dqa_generate&amp;wd=F8&amp;rsv_pq=b83a5da2007fda30&amp;oq=%E4%B8%AD%E6%95%88%E8%BF%87%E6%BB%A4%E8%A2%8B%E5%8E%9F%E7%90%86&amp;rsv_t=b8c3KbM6Hbnarlbcmy+5z1QH2sF+JwKweE8A0qXI16PASdVQMaysoKYKWo4vvgeJoBjsjoyuqggj&amp;tn=85070231_47_hao_pg&amp;ie=utf-8"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F8</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"https://www.baidu.com/s?sa=re_dqa_generate&amp;wd=F9&amp;rsv_pq=b83a5da2007fda30&amp;oq=%E4%B8%AD%E6%95%88%E8%BF%87%E6%BB%A4%E8%A2%8B%E5%8E%9F%E7%90%86&amp;rsv_t=b8c3KbM6Hbnarlbcmy+5z1QH2sF+JwKweE8A0qXI16PASdVQMaysoKYKWo4vvgeJoBjsjoyuqggj&amp;tn=85070231_47_hao_pg&amp;ie=utf-8"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F9</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，框架厚度系列有21mm、25mm等。</w:t>
            </w:r>
          </w:p>
          <w:p w14:paraId="160ADAAF">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val="0"/>
                <w:bCs/>
                <w:color w:val="auto"/>
                <w:highlight w:val="none"/>
                <w:lang w:eastAsia="zh-CN"/>
              </w:rPr>
            </w:pPr>
            <w:r>
              <w:rPr>
                <w:rFonts w:hint="eastAsia" w:ascii="Times New Roman" w:hAnsi="Times New Roman" w:eastAsia="宋体" w:cs="Times New Roman"/>
                <w:b w:val="0"/>
                <w:bCs/>
                <w:color w:val="auto"/>
                <w:highlight w:val="none"/>
                <w:lang w:val="en-US" w:eastAsia="zh-CN"/>
              </w:rPr>
              <w:t>本项目</w:t>
            </w:r>
            <w:r>
              <w:rPr>
                <w:rFonts w:hint="default" w:ascii="Times New Roman" w:hAnsi="Times New Roman" w:eastAsia="宋体" w:cs="Times New Roman"/>
                <w:b w:val="0"/>
                <w:bCs/>
                <w:color w:val="auto"/>
                <w:highlight w:val="none"/>
              </w:rPr>
              <w:t>中效过滤袋</w:t>
            </w:r>
            <w:r>
              <w:rPr>
                <w:rFonts w:hint="eastAsia" w:ascii="Times New Roman" w:hAnsi="Times New Roman" w:eastAsia="宋体" w:cs="Times New Roman"/>
                <w:b w:val="0"/>
                <w:bCs/>
                <w:color w:val="auto"/>
                <w:highlight w:val="none"/>
                <w:lang w:val="en-US" w:eastAsia="zh-CN"/>
              </w:rPr>
              <w:t>采用F6</w:t>
            </w:r>
            <w:r>
              <w:rPr>
                <w:rFonts w:hint="default" w:ascii="Times New Roman" w:hAnsi="Times New Roman" w:eastAsia="宋体" w:cs="Times New Roman"/>
                <w:b w:val="0"/>
                <w:bCs/>
                <w:color w:val="auto"/>
                <w:highlight w:val="none"/>
              </w:rPr>
              <w:t>中效过滤袋</w:t>
            </w:r>
            <w:r>
              <w:rPr>
                <w:rFonts w:hint="eastAsia" w:ascii="Times New Roman" w:hAnsi="Times New Roman" w:eastAsia="宋体" w:cs="Times New Roman"/>
                <w:b w:val="0"/>
                <w:bCs/>
                <w:color w:val="auto"/>
                <w:highlight w:val="none"/>
                <w:lang w:val="en-US" w:eastAsia="zh-CN"/>
              </w:rPr>
              <w:t>+F8</w:t>
            </w:r>
            <w:r>
              <w:rPr>
                <w:rFonts w:hint="default" w:ascii="Times New Roman" w:hAnsi="Times New Roman" w:eastAsia="宋体" w:cs="Times New Roman"/>
                <w:b w:val="0"/>
                <w:bCs/>
                <w:color w:val="auto"/>
                <w:highlight w:val="none"/>
              </w:rPr>
              <w:t>中效过滤袋</w:t>
            </w:r>
            <w:r>
              <w:rPr>
                <w:rFonts w:hint="eastAsia" w:ascii="Times New Roman" w:hAnsi="Times New Roman" w:eastAsia="宋体" w:cs="Times New Roman"/>
                <w:b w:val="0"/>
                <w:bCs/>
                <w:color w:val="auto"/>
                <w:highlight w:val="none"/>
                <w:lang w:eastAsia="zh-CN"/>
              </w:rPr>
              <w:t>。</w:t>
            </w:r>
          </w:p>
          <w:p w14:paraId="004C146B">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6%E4%B8%AD%E6%95%88%E8%BF%87%E6%BB%A4%E8%A2%8B&amp;rsv_pq=bca19d88003330d3&amp;oq=F6%E4%B8%AD%E6%95%88%E8%BF%87%E6%BB%A4%E8%A2%8B%E5%8E%9F%E7%90%86&amp;rsv_t=0b0b6ygCSUKJkSHQIFO/adKPHL9ByOPCOOSW67KMuZS5ZQFqpFXNf2Rp3Jb9X2NCkguH1fyx7zCo&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F6中效过滤袋</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的原理是基于</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7%9C%9F%E7%A9%BA%E8%BF%87%E6%BB%A4&amp;rsv_pq=bca19d88003330d3&amp;oq=F6%E4%B8%AD%E6%95%88%E8%BF%87%E6%BB%A4%E8%A2%8B%E5%8E%9F%E7%90%86&amp;rsv_t=0b0b6ygCSUKJkSHQIFO/adKPHL9ByOPCOOSW67KMuZS5ZQFqpFXNf2Rp3Jb9X2NCkguH1fyx7zCo&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真空过滤</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‌，通过使用高性能静电滤料制成，每个滤袋边采用超声波方式加以熔合，具有良好气密性及结</w:t>
            </w:r>
            <w:r>
              <w:rPr>
                <w:rFonts w:hint="eastAsia" w:cs="Times New Roman"/>
                <w:b w:val="0"/>
                <w:bCs/>
                <w:color w:val="auto"/>
                <w:highlight w:val="none"/>
                <w:lang w:eastAsia="zh-CN"/>
              </w:rPr>
              <w:t>不致</w:t>
            </w:r>
            <w:r>
              <w:rPr>
                <w:rFonts w:hint="default" w:ascii="Times New Roman" w:hAnsi="Times New Roman" w:eastAsia="宋体" w:cs="Times New Roman"/>
                <w:b w:val="0"/>
                <w:bCs/>
                <w:color w:val="auto"/>
                <w:highlight w:val="none"/>
              </w:rPr>
              <w:t>度，</w:t>
            </w:r>
            <w:r>
              <w:rPr>
                <w:rFonts w:hint="eastAsia" w:cs="Times New Roman"/>
                <w:b w:val="0"/>
                <w:bCs/>
                <w:color w:val="auto"/>
                <w:highlight w:val="none"/>
                <w:lang w:val="en-US" w:eastAsia="zh-CN"/>
              </w:rPr>
              <w:t>不至于</w:t>
            </w:r>
            <w:r>
              <w:rPr>
                <w:rFonts w:hint="default" w:ascii="Times New Roman" w:hAnsi="Times New Roman" w:eastAsia="宋体" w:cs="Times New Roman"/>
                <w:b w:val="0"/>
                <w:bCs/>
                <w:color w:val="auto"/>
                <w:highlight w:val="none"/>
              </w:rPr>
              <w:t>风压高时产生漏气或者破裂而影响过滤效率。滤袋内部有六道不织布隔片以超声波接合平均分布于袋宽中，其主要功能是控制滤袋承受风压时不至于过度膨胀相互遮蔽，从而保持有效过滤面积与效果。这种设计不仅避免了传统</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7%8E%BB%E7%BA%A4%E6%96%AD%E8%A3%82&amp;rsv_pq=bca19d88003330d3&amp;oq=F6%E4%B8%AD%E6%95%88%E8%BF%87%E6%BB%A4%E8%A2%8B%E5%8E%9F%E7%90%86&amp;rsv_t=0b0b6ygCSUKJkSHQIFO/adKPHL9ByOPCOOSW67KMuZS5ZQFqpFXNf2Rp3Jb9X2NCkguH1fyx7zCo&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玻纤断裂</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的危险及对人体造成的不适，而且提供了较长的使用寿命，最高使用温度可达80°C。F6中效过滤袋对1微米的粒子的过滤效率为65%，属于</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7%A9%BA%E6%B0%94%E8%BF%87%E6%BB%A4%E5%99%A8&amp;rsv_pq=bca19d88003330d3&amp;oq=F6%E4%B8%AD%E6%95%88%E8%BF%87%E6%BB%A4%E8%A2%8B%E5%8E%9F%E7%90%86&amp;rsv_t=0b0b6ygCSUKJkSHQIFO/adKPHL9ByOPCOOSW67KMuZS5ZQFqpFXNf2Rp3Jb9X2NCkguH1fyx7zCo&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空气过滤器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中F系列过滤器的一种</w:t>
            </w:r>
            <w:r>
              <w:rPr>
                <w:rFonts w:hint="eastAsia" w:ascii="Times New Roman" w:hAnsi="Times New Roman" w:eastAsia="宋体" w:cs="Times New Roman"/>
                <w:b w:val="0"/>
                <w:bCs/>
                <w:color w:val="auto"/>
                <w:highlight w:val="none"/>
                <w:lang w:eastAsia="zh-CN"/>
              </w:rPr>
              <w:t>。</w:t>
            </w:r>
          </w:p>
          <w:p w14:paraId="26A537A6">
            <w:pPr>
              <w:pStyle w:val="126"/>
              <w:keepNext w:val="0"/>
              <w:keepLines w:val="0"/>
              <w:widowControl/>
              <w:suppressLineNumbers w:val="0"/>
              <w:spacing w:before="0" w:beforeAutospacing="0" w:after="0" w:afterAutospacing="0"/>
              <w:ind w:left="0" w:right="0" w:firstLine="482"/>
              <w:rPr>
                <w:rFonts w:hint="eastAsia"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F8%E4%B8%AD%E6%95%88%E8%BF%87%E6%BB%A4%E8%A2%8B&amp;rsv_pq=fae86bf3000136d4&amp;oq=F8%E4%B8%AD%E6%95%88%E8%BF%87%E6%BB%A4%E8%A2%8B%E5%8E%9F%E7%90%86&amp;rsv_t=aedeSoMrYd0X7+MLly9YHROBEx0YdoqRv3/Rt8/lfwsVTIBkx94dyChCUF0QtT9Fx9b69tQqsHbg&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F8中效过滤袋</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的原理主要是通过其特殊无纺布或玻璃纤维的滤料，捕集1-5um的尘埃粒子。F8中效过滤袋采用高性能静电滤料制成，每个滤袋边采用超声波方式加以熔合，具有良好的气密性及结合强度。滤袋内部有六道不织布隔片，通过超声波接合平均分布于袋宽中，这些隔片除了具有均风作用外，最主要的功能是控制滤袋承受风压时不至于过度膨胀相互遮蔽，从而保持有效的过滤面积和效果。这种过滤袋不仅无旧式玻纤断裂的危险及对人体造成的不适，而且没有导致微生物滋生的条件，具有较长的使用寿命，最高使用温度可达80℃。F8中效过滤袋主要用于空调通风系统中，细尘过滤的产品，其效率为95%</w:t>
            </w:r>
            <w:r>
              <w:rPr>
                <w:rFonts w:hint="eastAsia" w:ascii="Times New Roman" w:hAnsi="Times New Roman" w:eastAsia="宋体" w:cs="Times New Roman"/>
                <w:b w:val="0"/>
                <w:bCs/>
                <w:color w:val="auto"/>
                <w:highlight w:val="none"/>
                <w:lang w:eastAsia="zh-CN"/>
              </w:rPr>
              <w:t>。</w:t>
            </w:r>
          </w:p>
          <w:p w14:paraId="2BE36344">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kern w:val="2"/>
                <w:szCs w:val="24"/>
                <w:highlight w:val="none"/>
                <w:lang w:val="en-US" w:eastAsia="zh-CN"/>
              </w:rPr>
              <w:t>3）</w:t>
            </w:r>
            <w:r>
              <w:rPr>
                <w:rFonts w:hint="default" w:ascii="Times New Roman" w:hAnsi="Times New Roman" w:eastAsia="宋体" w:cs="Times New Roman"/>
                <w:b/>
                <w:bCs/>
                <w:color w:val="auto"/>
                <w:kern w:val="2"/>
                <w:szCs w:val="24"/>
                <w:highlight w:val="none"/>
                <w:lang w:val="en-US" w:eastAsia="zh-CN"/>
              </w:rPr>
              <w:t>活性炭吸附脱附</w:t>
            </w:r>
          </w:p>
          <w:p w14:paraId="1130EA1F">
            <w:pPr>
              <w:pStyle w:val="73"/>
              <w:keepNext w:val="0"/>
              <w:keepLines w:val="0"/>
              <w:suppressLineNumbers w:val="0"/>
              <w:spacing w:before="0" w:beforeAutospacing="0" w:after="0" w:afterAutospacing="0"/>
              <w:ind w:left="0" w:right="0" w:firstLine="480" w:firstLineChars="200"/>
              <w:rPr>
                <w:rFonts w:hint="default" w:ascii="Times New Roman" w:hAnsi="Times New Roman" w:cs="Times New Roman" w:eastAsiaTheme="minorEastAsia"/>
                <w:bCs/>
                <w:color w:val="auto"/>
                <w:sz w:val="24"/>
                <w:highlight w:val="none"/>
                <w:lang w:val="en-US" w:eastAsia="zh-CN"/>
              </w:rPr>
            </w:pPr>
            <w:r>
              <w:rPr>
                <w:rFonts w:hint="default" w:ascii="Times New Roman" w:hAnsi="Times New Roman" w:cs="Times New Roman" w:eastAsiaTheme="minorEastAsia"/>
                <w:color w:val="auto"/>
                <w:highlight w:val="none"/>
              </w:rPr>
              <w:t>活性炭吸附</w:t>
            </w:r>
            <w:r>
              <w:rPr>
                <w:rFonts w:hint="default" w:ascii="Times New Roman" w:hAnsi="Times New Roman" w:cs="Times New Roman" w:eastAsiaTheme="minorEastAsia"/>
                <w:bCs/>
                <w:color w:val="auto"/>
                <w:sz w:val="24"/>
                <w:highlight w:val="none"/>
                <w:lang w:val="en-US" w:eastAsia="zh-CN"/>
              </w:rPr>
              <w:t>利用分子之间相互吸附的作用力也叫“凡德瓦引力”。虽然分子运动速度受温度和材质等原因的影响，但它在微环境下始终是不停运动的。由于分子之间拥有相互吸引的作用力，当一个分子被活性炭内孔捕捉进入到活性炭内孔隙中后，由于分子之间相互吸引的原因，会导致更多的分子不断被吸引，直到添满活性炭内孔隙为止。综合衡量各方面因素，吸附剂选用蜂窝状活性炭纤维能较好的满足技术经济要求。</w:t>
            </w:r>
          </w:p>
          <w:p w14:paraId="20DA3CD3">
            <w:pPr>
              <w:pStyle w:val="73"/>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根据《2020年挥发性有机物治理攻坚方案》中采用活性炭吸附技术的，应选择碘值不低于800毫克/克的活性炭，并按设计要求足量添加、及时更换。本项目采用与碘值800毫克/克颗粒状、柱状等活性炭。</w:t>
            </w:r>
          </w:p>
          <w:p w14:paraId="51BCC24A">
            <w:pPr>
              <w:pStyle w:val="122"/>
              <w:keepNext w:val="0"/>
              <w:keepLines w:val="0"/>
              <w:suppressLineNumbers w:val="0"/>
              <w:snapToGrid/>
              <w:spacing w:before="0" w:beforeAutospacing="0" w:after="0" w:afterAutospacing="0" w:line="360" w:lineRule="auto"/>
              <w:ind w:left="0" w:right="0" w:firstLine="480"/>
              <w:rPr>
                <w:rFonts w:hint="eastAsia" w:ascii="Times New Roman" w:hAnsi="Times New Roman" w:eastAsia="宋体" w:cs="Times New Roman"/>
                <w:b/>
                <w:bCs w:val="0"/>
                <w:color w:val="auto"/>
                <w:highlight w:val="none"/>
                <w:lang w:val="en-US" w:eastAsia="zh-CN"/>
              </w:rPr>
            </w:pPr>
            <w:r>
              <w:rPr>
                <w:rFonts w:hint="eastAsia" w:cs="Times New Roman"/>
                <w:b/>
                <w:bCs w:val="0"/>
                <w:color w:val="auto"/>
                <w:highlight w:val="none"/>
                <w:lang w:val="en-US" w:eastAsia="zh-CN"/>
              </w:rPr>
              <w:t>4）</w:t>
            </w:r>
            <w:r>
              <w:rPr>
                <w:rFonts w:hint="default" w:ascii="Times New Roman" w:hAnsi="Times New Roman" w:eastAsia="宋体" w:cs="Times New Roman"/>
                <w:b/>
                <w:bCs w:val="0"/>
                <w:color w:val="auto"/>
                <w:kern w:val="2"/>
                <w:szCs w:val="24"/>
                <w:highlight w:val="none"/>
                <w:lang w:val="en-US" w:eastAsia="zh-CN"/>
              </w:rPr>
              <w:t>CO催化燃烧装置</w:t>
            </w:r>
          </w:p>
          <w:p w14:paraId="02B8B5D7">
            <w:pPr>
              <w:pStyle w:val="73"/>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fldChar w:fldCharType="begin"/>
            </w:r>
            <w:r>
              <w:rPr>
                <w:rFonts w:hint="default" w:ascii="Times New Roman" w:hAnsi="Times New Roman" w:cs="Times New Roman" w:eastAsiaTheme="minorEastAsia"/>
                <w:color w:val="auto"/>
                <w:highlight w:val="none"/>
              </w:rPr>
              <w:instrText xml:space="preserve"> HYPERLINK "https://www.baidu.com/s?sa=re_dqa_generate&amp;wd=CO%E5%82%AC%E5%8C%96%E7%87%83%E7%83%A7&amp;rsv_pq=b78d626e007117ce&amp;oq=CO%E5%82%AC%E5%8C%96%E7%87%83%E7%83%A7%E5%8E%BB%E9%99%A4%E6%9C%89%E6%9C%BA%E7%89%A9%E5%8E%9F%E7%90%86&amp;rsv_t=993cXR5zL9/ehisuPYXEgJyUcAa4ME3Rb7It8LvylD04biBU6498M9yW9truEQhwHf8cVECO6IS3&amp;tn=85070231_47_hao_pg&amp;ie=utf-8" \t "https://www.baidu.com/_blank" </w:instrText>
            </w:r>
            <w:r>
              <w:rPr>
                <w:rFonts w:hint="default" w:ascii="Times New Roman" w:hAnsi="Times New Roman" w:cs="Times New Roman" w:eastAsiaTheme="minorEastAsia"/>
                <w:color w:val="auto"/>
                <w:highlight w:val="none"/>
              </w:rPr>
              <w:fldChar w:fldCharType="separate"/>
            </w:r>
            <w:r>
              <w:rPr>
                <w:rFonts w:hint="default" w:ascii="Times New Roman" w:hAnsi="Times New Roman" w:cs="Times New Roman" w:eastAsiaTheme="minorEastAsia"/>
                <w:color w:val="auto"/>
                <w:highlight w:val="none"/>
              </w:rPr>
              <w:t>CO催化燃烧</w:t>
            </w:r>
            <w:r>
              <w:rPr>
                <w:rFonts w:hint="default" w:ascii="Times New Roman" w:hAnsi="Times New Roman" w:cs="Times New Roman" w:eastAsiaTheme="minorEastAsia"/>
                <w:color w:val="auto"/>
                <w:highlight w:val="none"/>
              </w:rPr>
              <w:fldChar w:fldCharType="end"/>
            </w:r>
            <w:r>
              <w:rPr>
                <w:rFonts w:hint="default" w:ascii="Times New Roman" w:hAnsi="Times New Roman" w:cs="Times New Roman" w:eastAsiaTheme="minorEastAsia"/>
                <w:color w:val="auto"/>
                <w:highlight w:val="none"/>
              </w:rPr>
              <w:t>去除有机物的原理‌主要依赖于催化剂的使用，通过降低反应的活化能，使得有机物能够在较低的温度下发生氧化反应，最终分解成</w:t>
            </w:r>
            <w:r>
              <w:rPr>
                <w:rFonts w:hint="default" w:ascii="Times New Roman" w:hAnsi="Times New Roman" w:cs="Times New Roman" w:eastAsiaTheme="minorEastAsia"/>
                <w:color w:val="auto"/>
                <w:highlight w:val="none"/>
              </w:rPr>
              <w:fldChar w:fldCharType="begin"/>
            </w:r>
            <w:r>
              <w:rPr>
                <w:rFonts w:hint="default" w:ascii="Times New Roman" w:hAnsi="Times New Roman" w:cs="Times New Roman" w:eastAsiaTheme="minorEastAsia"/>
                <w:color w:val="auto"/>
                <w:highlight w:val="none"/>
              </w:rPr>
              <w:instrText xml:space="preserve"> HYPERLINK "https://www.baidu.com/s?sa=re_dqa_generate&amp;wd=%E4%BA%8C%E6%B0%A7%E5%8C%96%E7%A2%B3&amp;rsv_pq=b78d626e007117ce&amp;oq=CO%E5%82%AC%E5%8C%96%E7%87%83%E7%83%A7%E5%8E%BB%E9%99%A4%E6%9C%89%E6%9C%BA%E7%89%A9%E5%8E%9F%E7%90%86&amp;rsv_t=993cXR5zL9/ehisuPYXEgJyUcAa4ME3Rb7It8LvylD04biBU6498M9yW9truEQhwHf8cVECO6IS3&amp;tn=85070231_47_hao_pg&amp;ie=utf-8" \t "https://www.baidu.com/_blank" </w:instrText>
            </w:r>
            <w:r>
              <w:rPr>
                <w:rFonts w:hint="default" w:ascii="Times New Roman" w:hAnsi="Times New Roman" w:cs="Times New Roman" w:eastAsiaTheme="minorEastAsia"/>
                <w:color w:val="auto"/>
                <w:highlight w:val="none"/>
              </w:rPr>
              <w:fldChar w:fldCharType="separate"/>
            </w:r>
            <w:r>
              <w:rPr>
                <w:rFonts w:hint="default" w:ascii="Times New Roman" w:hAnsi="Times New Roman" w:cs="Times New Roman" w:eastAsiaTheme="minorEastAsia"/>
                <w:color w:val="auto"/>
                <w:highlight w:val="none"/>
              </w:rPr>
              <w:t>二氧化碳</w:t>
            </w:r>
            <w:r>
              <w:rPr>
                <w:rFonts w:hint="default" w:ascii="Times New Roman" w:hAnsi="Times New Roman" w:cs="Times New Roman" w:eastAsiaTheme="minorEastAsia"/>
                <w:color w:val="auto"/>
                <w:highlight w:val="none"/>
              </w:rPr>
              <w:fldChar w:fldCharType="end"/>
            </w:r>
            <w:r>
              <w:rPr>
                <w:rFonts w:hint="default" w:ascii="Times New Roman" w:hAnsi="Times New Roman" w:cs="Times New Roman" w:eastAsiaTheme="minorEastAsia"/>
                <w:color w:val="auto"/>
                <w:highlight w:val="none"/>
              </w:rPr>
              <w:t>和</w:t>
            </w:r>
            <w:r>
              <w:rPr>
                <w:rFonts w:hint="default" w:ascii="Times New Roman" w:hAnsi="Times New Roman" w:cs="Times New Roman" w:eastAsiaTheme="minorEastAsia"/>
                <w:color w:val="auto"/>
                <w:highlight w:val="none"/>
              </w:rPr>
              <w:fldChar w:fldCharType="begin"/>
            </w:r>
            <w:r>
              <w:rPr>
                <w:rFonts w:hint="default" w:ascii="Times New Roman" w:hAnsi="Times New Roman" w:cs="Times New Roman" w:eastAsiaTheme="minorEastAsia"/>
                <w:color w:val="auto"/>
                <w:highlight w:val="none"/>
              </w:rPr>
              <w:instrText xml:space="preserve"> HYPERLINK "https://www.baidu.com/s?sa=re_dqa_generate&amp;wd=%E6%B0%B4&amp;rsv_pq=b78d626e007117ce&amp;oq=CO%E5%82%AC%E5%8C%96%E7%87%83%E7%83%A7%E5%8E%BB%E9%99%A4%E6%9C%89%E6%9C%BA%E7%89%A9%E5%8E%9F%E7%90%86&amp;rsv_t=993cXR5zL9/ehisuPYXEgJyUcAa4ME3Rb7It8LvylD04biBU6498M9yW9truEQhwHf8cVECO6IS3&amp;tn=85070231_47_hao_pg&amp;ie=utf-8" \t "https://www.baidu.com/_blank" </w:instrText>
            </w:r>
            <w:r>
              <w:rPr>
                <w:rFonts w:hint="default" w:ascii="Times New Roman" w:hAnsi="Times New Roman" w:cs="Times New Roman" w:eastAsiaTheme="minorEastAsia"/>
                <w:color w:val="auto"/>
                <w:highlight w:val="none"/>
              </w:rPr>
              <w:fldChar w:fldCharType="separate"/>
            </w:r>
            <w:r>
              <w:rPr>
                <w:rFonts w:hint="default" w:ascii="Times New Roman" w:hAnsi="Times New Roman" w:cs="Times New Roman" w:eastAsiaTheme="minorEastAsia"/>
                <w:color w:val="auto"/>
                <w:highlight w:val="none"/>
              </w:rPr>
              <w:t>水</w:t>
            </w:r>
            <w:r>
              <w:rPr>
                <w:rFonts w:hint="default" w:ascii="Times New Roman" w:hAnsi="Times New Roman" w:cs="Times New Roman" w:eastAsiaTheme="minorEastAsia"/>
                <w:color w:val="auto"/>
                <w:highlight w:val="none"/>
              </w:rPr>
              <w:fldChar w:fldCharType="end"/>
            </w:r>
            <w:r>
              <w:rPr>
                <w:rFonts w:hint="default" w:ascii="Times New Roman" w:hAnsi="Times New Roman" w:cs="Times New Roman" w:eastAsiaTheme="minorEastAsia"/>
                <w:color w:val="auto"/>
                <w:highlight w:val="none"/>
              </w:rPr>
              <w:t>。这一过程不仅提高了能源利用效率，还减少了设备设施的体积和能量消耗。</w:t>
            </w:r>
          </w:p>
          <w:p w14:paraId="6E60B7C5">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CO%E5%82%AC%E5%8C%96%E7%87%83%E7%83%A7%E5%B7%A5%E8%89%BA%E6%B5%81%E7%A8%8B&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CO催化燃烧工艺流程</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‌主要包括以下几个步骤：</w:t>
            </w:r>
          </w:p>
          <w:p w14:paraId="61EC05E1">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①</w:t>
            </w:r>
            <w:r>
              <w:rPr>
                <w:rFonts w:hint="default" w:ascii="Times New Roman" w:hAnsi="Times New Roman" w:eastAsia="宋体" w:cs="Times New Roman"/>
                <w:b w:val="0"/>
                <w:bCs/>
                <w:color w:val="auto"/>
                <w:highlight w:val="none"/>
              </w:rPr>
              <w:t>‌预处理‌：首先，对废气进行除尘、除湿等处理，以保证催化燃烧的效果。预处理过程中，可以采用</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6%B9%BF%E5%BC%8F%E9%99%A4%E5%B0%98%E5%99%A8&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湿式除尘器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和</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5%B9%B2%E5%BC%8F%E9%99%A4%E5%B0%98%E5%99%A8&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干式除尘器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，具体选择哪种设备需要根据废气的性质和处理要求来确定。</w:t>
            </w:r>
          </w:p>
          <w:p w14:paraId="04C91D4C">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②</w:t>
            </w:r>
            <w:r>
              <w:rPr>
                <w:rFonts w:hint="default" w:ascii="Times New Roman" w:hAnsi="Times New Roman" w:eastAsia="宋体" w:cs="Times New Roman"/>
                <w:b w:val="0"/>
                <w:bCs/>
                <w:color w:val="auto"/>
                <w:highlight w:val="none"/>
              </w:rPr>
              <w:t>‌热交换‌：预处理后的废气进入</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7%83%AD%E4%BA%A4%E6%8D%A2%E5%99%A8&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热交换器</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，通过热交换器将废气的温度升高到催化剂的起燃温度。这一步是为了使废气中的</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VOCs&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VOCs</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分子具有足够的能量与氧气反应。</w:t>
            </w:r>
          </w:p>
          <w:p w14:paraId="52B91916">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③</w:t>
            </w:r>
            <w:r>
              <w:rPr>
                <w:rFonts w:hint="default" w:ascii="Times New Roman" w:hAnsi="Times New Roman" w:eastAsia="宋体" w:cs="Times New Roman"/>
                <w:b w:val="0"/>
                <w:bCs/>
                <w:color w:val="auto"/>
                <w:highlight w:val="none"/>
              </w:rPr>
              <w:t>‌催化燃烧‌：</w:t>
            </w:r>
            <w:r>
              <w:rPr>
                <w:rFonts w:hint="eastAsia" w:ascii="Times New Roman" w:hAnsi="宋体" w:eastAsia="宋体" w:cs="Times New Roman"/>
                <w:bCs/>
                <w:color w:val="auto"/>
                <w:sz w:val="24"/>
                <w:highlight w:val="none"/>
                <w:lang w:val="en-US" w:eastAsia="zh-CN"/>
              </w:rPr>
              <w:t>由活性炭脱附出来的废气流量小、浓度高，经过风机送入到换热器，然后进入到预热器，在电加热器的加热作用下，使气体温度提高到200-300℃左右，这时再进入催化燃烧床。促使有机废气气体在催化剂（催化剂为陶瓷基载体的Pt、Pd贵金属型催化剂）的作用下发生无焰燃烧，经燃烧被氧化为CO</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lang w:val="en-US" w:eastAsia="zh-CN"/>
              </w:rPr>
              <w:t>和H</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lang w:val="en-US" w:eastAsia="zh-CN"/>
              </w:rPr>
              <w:t>O，并同时放出大量的热能，当气体温度再进一部升高，该高温气体再经过催化燃烧室前的换热器预热未经处理的有机气体，从换热器出来的气体再通过新风入口的换热器，对脱附新鲜空气进行加热。两处换热器正常工作后，电加热设备可停止加热，节约能耗。最终气体就会通过烟囱引至高空排放。有机废气通过风机进入催化燃烧设备，通过陶瓷材料填充层（底层）预热达到催化氧化所设定的温度后，这时其中部分污染物氧化分解；废气继续通过加热区升温，并维持在设定温度；其在进入催化层完成催化氧化反应，即反应生成CO</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vertAlign w:val="baseline"/>
                <w:lang w:val="en-US" w:eastAsia="zh-CN"/>
              </w:rPr>
              <w:t>和H</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vertAlign w:val="baseline"/>
                <w:lang w:val="en-US" w:eastAsia="zh-CN"/>
              </w:rPr>
              <w:t>O，并释放大量的热，催化燃烧是典型的气—固相催化反应，它在催化剂的作用下降低反应的活化能，使其在较低的起燃温度</w:t>
            </w:r>
            <w:r>
              <w:rPr>
                <w:rFonts w:hint="eastAsia" w:ascii="Times New Roman" w:hAnsi="宋体" w:eastAsia="宋体" w:cs="Times New Roman"/>
                <w:bCs/>
                <w:color w:val="auto"/>
                <w:sz w:val="24"/>
                <w:highlight w:val="none"/>
                <w:lang w:val="en-US" w:eastAsia="zh-CN"/>
              </w:rPr>
              <w:t>200～ 300℃左右下进行无焰燃烧，在固体催化剂表面有机物质发生氧化，同时产生CO</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lang w:val="en-US" w:eastAsia="zh-CN"/>
              </w:rPr>
              <w:t>和H</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lang w:val="en-US" w:eastAsia="zh-CN"/>
              </w:rPr>
              <w:t>O，并放出大量的热量，因其氧化反应温度低，所以大大地抑制了空气中的N</w:t>
            </w:r>
            <w:r>
              <w:rPr>
                <w:rFonts w:hint="eastAsia" w:ascii="Times New Roman" w:hAnsi="宋体" w:eastAsia="宋体" w:cs="Times New Roman"/>
                <w:bCs/>
                <w:color w:val="auto"/>
                <w:sz w:val="24"/>
                <w:highlight w:val="none"/>
                <w:vertAlign w:val="subscript"/>
                <w:lang w:val="en-US" w:eastAsia="zh-CN"/>
              </w:rPr>
              <w:t>2</w:t>
            </w:r>
            <w:r>
              <w:rPr>
                <w:rFonts w:hint="eastAsia" w:ascii="Times New Roman" w:hAnsi="宋体" w:eastAsia="宋体" w:cs="Times New Roman"/>
                <w:bCs/>
                <w:color w:val="auto"/>
                <w:sz w:val="24"/>
                <w:highlight w:val="none"/>
                <w:lang w:val="en-US" w:eastAsia="zh-CN"/>
              </w:rPr>
              <w:t>形成热力型氮氧化物。综上所述，本项目CO催化燃烧温度为200-300℃左右，在200-300℃的温度下，基本不会产生热力型氮氧化物，且有机废气成分中无氮元素，因此本项目催化燃烧废气中不考虑氮氧化物。</w:t>
            </w:r>
          </w:p>
          <w:p w14:paraId="4D76D816">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④</w:t>
            </w:r>
            <w:r>
              <w:rPr>
                <w:rFonts w:hint="default" w:ascii="Times New Roman" w:hAnsi="Times New Roman" w:eastAsia="宋体" w:cs="Times New Roman"/>
                <w:b w:val="0"/>
                <w:bCs/>
                <w:color w:val="auto"/>
                <w:highlight w:val="none"/>
              </w:rPr>
              <w:t>‌热量回收‌：催化燃烧过程中产生的热量可以通过</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4%BD%99%E7%83%AD%E5%9B%9E%E6%94%B6%E7%B3%BB%E7%BB%9F&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余热回收系统</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进行回收，用于预热新鲜空气或热水等。</w:t>
            </w:r>
          </w:p>
          <w:p w14:paraId="1B3AC7D3">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⑤</w:t>
            </w:r>
            <w:r>
              <w:rPr>
                <w:rFonts w:hint="default" w:ascii="Times New Roman" w:hAnsi="Times New Roman" w:eastAsia="宋体" w:cs="Times New Roman"/>
                <w:b w:val="0"/>
                <w:bCs/>
                <w:color w:val="auto"/>
                <w:highlight w:val="none"/>
              </w:rPr>
              <w:t>‌排放控制‌：最后，通过</w:t>
            </w:r>
            <w:r>
              <w:rPr>
                <w:rFonts w:hint="default" w:ascii="Times New Roman" w:hAnsi="Times New Roman" w:eastAsia="宋体" w:cs="Times New Roman"/>
                <w:b w:val="0"/>
                <w:bCs/>
                <w:color w:val="auto"/>
                <w:highlight w:val="none"/>
              </w:rPr>
              <w:fldChar w:fldCharType="begin"/>
            </w:r>
            <w:r>
              <w:rPr>
                <w:rFonts w:hint="default" w:ascii="Times New Roman" w:hAnsi="Times New Roman" w:eastAsia="宋体" w:cs="Times New Roman"/>
                <w:b w:val="0"/>
                <w:bCs/>
                <w:color w:val="auto"/>
                <w:highlight w:val="none"/>
              </w:rPr>
              <w:instrText xml:space="preserve"> HYPERLINK "https://www.baidu.com/s?sa=re_dqa_generate&amp;wd=%E6%8E%92%E6%B0%94%E7%B3%BB%E7%BB%9F&amp;rsv_pq=e7e437460080d385&amp;oq=CO%E5%82%AC%E5%8C%96%E7%87%83%E7%83%A7%E5%B7%A5%E8%89%BA%E6%B5%81%E7%A8%8B&amp;rsv_t=fae9tCJR3S3It24Od1/oBGd7mJsWt+1VR3TO9DUnToTo34QCj6CflTLsIFwr2qQTnk3NbQwr1Cky&amp;tn=85070231_47_hao_pg&amp;ie=utf-8" \t "https://www.baidu.com/_blank" </w:instrText>
            </w:r>
            <w:r>
              <w:rPr>
                <w:rFonts w:hint="default" w:ascii="Times New Roman" w:hAnsi="Times New Roman" w:eastAsia="宋体" w:cs="Times New Roman"/>
                <w:b w:val="0"/>
                <w:bCs/>
                <w:color w:val="auto"/>
                <w:highlight w:val="none"/>
              </w:rPr>
              <w:fldChar w:fldCharType="separate"/>
            </w:r>
            <w:r>
              <w:rPr>
                <w:rFonts w:hint="default" w:ascii="Times New Roman" w:hAnsi="Times New Roman" w:eastAsia="宋体" w:cs="Times New Roman"/>
                <w:b w:val="0"/>
                <w:bCs/>
                <w:color w:val="auto"/>
                <w:highlight w:val="none"/>
              </w:rPr>
              <w:t>排气系统</w:t>
            </w:r>
            <w:r>
              <w:rPr>
                <w:rFonts w:hint="default" w:ascii="Times New Roman" w:hAnsi="Times New Roman" w:eastAsia="宋体" w:cs="Times New Roman"/>
                <w:b w:val="0"/>
                <w:bCs/>
                <w:color w:val="auto"/>
                <w:highlight w:val="none"/>
              </w:rPr>
              <w:fldChar w:fldCharType="end"/>
            </w:r>
            <w:r>
              <w:rPr>
                <w:rFonts w:hint="default" w:ascii="Times New Roman" w:hAnsi="Times New Roman" w:eastAsia="宋体" w:cs="Times New Roman"/>
                <w:b w:val="0"/>
                <w:bCs/>
                <w:color w:val="auto"/>
                <w:highlight w:val="none"/>
              </w:rPr>
              <w:t>将处理后的废气排放到大气中。</w:t>
            </w:r>
          </w:p>
          <w:p w14:paraId="20E01657">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r>
              <w:rPr>
                <w:rFonts w:hint="default"/>
                <w:color w:val="auto"/>
              </w:rPr>
              <w:drawing>
                <wp:inline distT="0" distB="0" distL="114300" distR="114300">
                  <wp:extent cx="4356735" cy="2743835"/>
                  <wp:effectExtent l="0" t="0" r="5715" b="18415"/>
                  <wp:docPr id="6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0"/>
                          <pic:cNvPicPr>
                            <a:picLocks noChangeAspect="1"/>
                          </pic:cNvPicPr>
                        </pic:nvPicPr>
                        <pic:blipFill>
                          <a:blip r:embed="rId28"/>
                          <a:stretch>
                            <a:fillRect/>
                          </a:stretch>
                        </pic:blipFill>
                        <pic:spPr>
                          <a:xfrm>
                            <a:off x="0" y="0"/>
                            <a:ext cx="4356735" cy="2743835"/>
                          </a:xfrm>
                          <a:prstGeom prst="rect">
                            <a:avLst/>
                          </a:prstGeom>
                          <a:noFill/>
                          <a:ln>
                            <a:noFill/>
                          </a:ln>
                        </pic:spPr>
                      </pic:pic>
                    </a:graphicData>
                  </a:graphic>
                </wp:inline>
              </w:drawing>
            </w:r>
          </w:p>
          <w:p w14:paraId="1AE5D703">
            <w:pPr>
              <w:pStyle w:val="122"/>
              <w:keepNext w:val="0"/>
              <w:keepLines w:val="0"/>
              <w:suppressLineNumbers w:val="0"/>
              <w:snapToGrid/>
              <w:spacing w:before="0" w:beforeAutospacing="0" w:after="0" w:afterAutospacing="0" w:line="360" w:lineRule="auto"/>
              <w:ind w:left="0" w:leftChars="0" w:right="0" w:firstLine="0" w:firstLineChars="0"/>
              <w:jc w:val="center"/>
              <w:rPr>
                <w:rFonts w:hint="default" w:ascii="Times New Roman" w:hAnsi="Times New Roman" w:eastAsia="宋体" w:cs="Times New Roman"/>
                <w:b w:val="0"/>
                <w:bCs/>
                <w:color w:val="auto"/>
                <w:highlight w:val="none"/>
                <w:lang w:val="en-US"/>
              </w:rPr>
            </w:pPr>
            <w:r>
              <w:rPr>
                <w:rFonts w:hint="eastAsia" w:cs="Times New Roman"/>
                <w:b/>
                <w:bCs w:val="0"/>
                <w:color w:val="auto"/>
                <w:kern w:val="2"/>
                <w:szCs w:val="24"/>
                <w:highlight w:val="none"/>
                <w:lang w:val="en-US" w:eastAsia="zh-CN"/>
              </w:rPr>
              <w:t xml:space="preserve">图4-2    </w:t>
            </w:r>
            <w:r>
              <w:rPr>
                <w:rFonts w:hint="default" w:ascii="Times New Roman" w:hAnsi="Times New Roman" w:eastAsia="宋体" w:cs="Times New Roman"/>
                <w:b/>
                <w:bCs w:val="0"/>
                <w:color w:val="auto"/>
                <w:kern w:val="2"/>
                <w:szCs w:val="24"/>
                <w:highlight w:val="none"/>
                <w:lang w:val="en-US" w:eastAsia="zh-CN"/>
              </w:rPr>
              <w:t>CO催化燃烧装置</w:t>
            </w:r>
            <w:r>
              <w:rPr>
                <w:rFonts w:hint="eastAsia" w:ascii="Times New Roman" w:hAnsi="Times New Roman" w:eastAsia="宋体" w:cs="Times New Roman"/>
                <w:b/>
                <w:bCs w:val="0"/>
                <w:color w:val="auto"/>
                <w:kern w:val="2"/>
                <w:szCs w:val="24"/>
                <w:highlight w:val="none"/>
                <w:lang w:val="en-US" w:eastAsia="zh-CN"/>
              </w:rPr>
              <w:t>工作流程图</w:t>
            </w:r>
          </w:p>
          <w:p w14:paraId="189E8625">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p>
          <w:p w14:paraId="55D6009F">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p>
          <w:p w14:paraId="1ED3B551">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p>
          <w:p w14:paraId="3E31F6E6">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val="0"/>
                <w:bCs/>
                <w:color w:val="auto"/>
                <w:highlight w:val="none"/>
              </w:rPr>
            </w:pPr>
          </w:p>
          <w:p w14:paraId="6FD3C480">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（2）工艺可行性分析</w:t>
            </w:r>
          </w:p>
          <w:p w14:paraId="2EDAB43D">
            <w:pPr>
              <w:pStyle w:val="73"/>
              <w:keepNext w:val="0"/>
              <w:keepLines w:val="0"/>
              <w:suppressLineNumbers w:val="0"/>
              <w:spacing w:before="0" w:beforeAutospacing="0" w:after="0" w:afterAutospacing="0"/>
              <w:ind w:left="0" w:right="0"/>
              <w:rPr>
                <w:rFonts w:hint="default" w:ascii="Times New Roman" w:hAnsi="Times New Roman" w:cs="Times New Roman" w:eastAsiaTheme="minorEastAsia"/>
                <w:b/>
                <w:color w:val="auto"/>
                <w:highlight w:val="none"/>
              </w:rPr>
            </w:pPr>
            <w:r>
              <w:rPr>
                <w:rFonts w:hint="default" w:ascii="Times New Roman" w:hAnsi="Times New Roman" w:eastAsia="宋体" w:cs="Times New Roman"/>
                <w:color w:val="auto"/>
                <w:kern w:val="2"/>
                <w:szCs w:val="24"/>
                <w:highlight w:val="none"/>
                <w:lang w:val="en-US" w:eastAsia="zh-CN"/>
              </w:rPr>
              <w:t>本项目喷漆、刷漆废气</w:t>
            </w:r>
            <w:r>
              <w:rPr>
                <w:rFonts w:hint="eastAsia" w:ascii="Times New Roman" w:hAnsi="Times New Roman" w:eastAsia="宋体" w:cs="Times New Roman"/>
                <w:color w:val="auto"/>
                <w:kern w:val="2"/>
                <w:szCs w:val="24"/>
                <w:highlight w:val="none"/>
                <w:lang w:val="en-US" w:eastAsia="zh-CN"/>
              </w:rPr>
              <w:t>通过</w:t>
            </w:r>
            <w:r>
              <w:rPr>
                <w:rFonts w:hint="default" w:ascii="Times New Roman" w:hAnsi="Times New Roman" w:eastAsia="宋体" w:cs="Times New Roman"/>
                <w:color w:val="auto"/>
                <w:kern w:val="2"/>
                <w:szCs w:val="24"/>
                <w:highlight w:val="none"/>
                <w:lang w:val="en-US" w:eastAsia="zh-CN"/>
              </w:rPr>
              <w:t>负压收集+漆雾过滤（纸箱式漆雾过滤器+F6中效过滤袋+F8中效过滤袋）+活性炭吸附脱附+CO催化燃烧装置处理工艺处理后，经15m高排气筒（DA001）排放</w:t>
            </w:r>
            <w:r>
              <w:rPr>
                <w:rFonts w:hint="eastAsia" w:ascii="Times New Roman" w:hAnsi="Times New Roman" w:eastAsia="宋体" w:cs="Times New Roman"/>
                <w:color w:val="auto"/>
                <w:kern w:val="2"/>
                <w:szCs w:val="24"/>
                <w:highlight w:val="none"/>
                <w:lang w:val="en-US" w:eastAsia="zh-CN"/>
              </w:rPr>
              <w:t>。参照</w:t>
            </w:r>
            <w:r>
              <w:rPr>
                <w:rFonts w:hint="default" w:ascii="Times New Roman" w:hAnsi="Times New Roman" w:cs="Times New Roman" w:eastAsiaTheme="minorEastAsia"/>
                <w:bCs/>
                <w:color w:val="auto"/>
                <w:highlight w:val="none"/>
              </w:rPr>
              <w:t>《排污许可证申请与核发技术规范 金属铸造工业（HJ11</w:t>
            </w:r>
            <w:r>
              <w:rPr>
                <w:rFonts w:hint="eastAsia" w:ascii="Times New Roman" w:hAnsi="Times New Roman" w:cs="Times New Roman" w:eastAsiaTheme="minorEastAsia"/>
                <w:bCs/>
                <w:color w:val="auto"/>
                <w:highlight w:val="none"/>
                <w:lang w:val="en-US" w:eastAsia="zh-CN"/>
              </w:rPr>
              <w:t>15</w:t>
            </w:r>
            <w:r>
              <w:rPr>
                <w:rFonts w:hint="default" w:ascii="Times New Roman" w:hAnsi="Times New Roman" w:cs="Times New Roman" w:eastAsiaTheme="minorEastAsia"/>
                <w:bCs/>
                <w:color w:val="auto"/>
                <w:highlight w:val="none"/>
              </w:rPr>
              <w:t>-2020）》</w:t>
            </w:r>
            <w:r>
              <w:rPr>
                <w:rFonts w:hint="eastAsia" w:ascii="Times New Roman" w:hAnsi="Times New Roman" w:cs="Times New Roman" w:eastAsiaTheme="minorEastAsia"/>
                <w:bCs/>
                <w:color w:val="auto"/>
                <w:highlight w:val="none"/>
                <w:lang w:val="en-US" w:eastAsia="zh-CN"/>
              </w:rPr>
              <w:t>中表A.1废气防治可行技术参考表中涂装工序可行技术，</w:t>
            </w:r>
            <w:r>
              <w:rPr>
                <w:rFonts w:hint="default" w:ascii="Times New Roman" w:hAnsi="Times New Roman" w:cs="Times New Roman" w:eastAsiaTheme="minorEastAsia"/>
                <w:bCs/>
                <w:color w:val="auto"/>
                <w:highlight w:val="none"/>
              </w:rPr>
              <w:t>本项目采用的废气污染物防治措施均为可行技术。</w:t>
            </w:r>
          </w:p>
          <w:p w14:paraId="4B272502">
            <w:pPr>
              <w:pStyle w:val="73"/>
              <w:keepNext w:val="0"/>
              <w:keepLines w:val="0"/>
              <w:suppressLineNumbers w:val="0"/>
              <w:spacing w:before="0" w:beforeAutospacing="0" w:after="0" w:afterAutospacing="0" w:line="240" w:lineRule="auto"/>
              <w:ind w:left="0" w:right="0" w:firstLine="0"/>
              <w:jc w:val="center"/>
              <w:rPr>
                <w:rFonts w:hint="default" w:ascii="Times New Roman" w:hAnsi="Times New Roman" w:cs="Times New Roman" w:eastAsiaTheme="minorEastAsia"/>
                <w:b/>
                <w:color w:val="auto"/>
                <w:highlight w:val="none"/>
              </w:rPr>
            </w:pPr>
            <w:r>
              <w:rPr>
                <w:rFonts w:hint="default" w:ascii="Times New Roman" w:hAnsi="Times New Roman" w:cs="Times New Roman" w:eastAsiaTheme="minorEastAsia"/>
                <w:b/>
                <w:color w:val="auto"/>
                <w:highlight w:val="none"/>
              </w:rPr>
              <w:t>表4-</w:t>
            </w:r>
            <w:r>
              <w:rPr>
                <w:rFonts w:hint="eastAsia" w:cs="Times New Roman" w:eastAsiaTheme="minorEastAsia"/>
                <w:b/>
                <w:color w:val="auto"/>
                <w:highlight w:val="none"/>
                <w:lang w:val="en-US" w:eastAsia="zh-CN"/>
              </w:rPr>
              <w:t>4</w:t>
            </w:r>
            <w:r>
              <w:rPr>
                <w:rFonts w:hint="default" w:ascii="Times New Roman" w:hAnsi="Times New Roman" w:cs="Times New Roman" w:eastAsiaTheme="minorEastAsia"/>
                <w:b/>
                <w:color w:val="auto"/>
                <w:highlight w:val="none"/>
              </w:rPr>
              <w:t xml:space="preserve">  废气污染防治可行技术参考表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3843"/>
              <w:gridCol w:w="1882"/>
            </w:tblGrid>
            <w:tr w14:paraId="768C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4DAB03AD">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lang w:val="en-US" w:eastAsia="zh-CN"/>
                    </w:rPr>
                    <w:t>涂装工序</w:t>
                  </w:r>
                  <w:r>
                    <w:rPr>
                      <w:rFonts w:hint="default" w:ascii="Times New Roman" w:hAnsi="Times New Roman" w:cs="Times New Roman" w:eastAsiaTheme="minorEastAsia"/>
                      <w:color w:val="auto"/>
                      <w:sz w:val="21"/>
                      <w:szCs w:val="21"/>
                      <w:highlight w:val="none"/>
                    </w:rPr>
                    <w:t>可行技术</w:t>
                  </w:r>
                </w:p>
              </w:tc>
              <w:tc>
                <w:tcPr>
                  <w:tcW w:w="2237" w:type="pct"/>
                  <w:vAlign w:val="center"/>
                </w:tcPr>
                <w:p w14:paraId="2D7D3C37">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本项目情况</w:t>
                  </w:r>
                </w:p>
              </w:tc>
              <w:tc>
                <w:tcPr>
                  <w:tcW w:w="1095" w:type="pct"/>
                  <w:vAlign w:val="center"/>
                </w:tcPr>
                <w:p w14:paraId="3BAE76CE">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是否可行</w:t>
                  </w:r>
                </w:p>
              </w:tc>
            </w:tr>
            <w:tr w14:paraId="707A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666" w:type="pct"/>
                  <w:vAlign w:val="center"/>
                </w:tcPr>
                <w:p w14:paraId="72341B92">
                  <w:pPr>
                    <w:pStyle w:val="73"/>
                    <w:keepNext w:val="0"/>
                    <w:keepLines w:val="0"/>
                    <w:suppressLineNumbers w:val="0"/>
                    <w:spacing w:before="0" w:beforeAutospacing="0" w:after="0" w:afterAutospacing="0" w:line="240" w:lineRule="auto"/>
                    <w:ind w:left="0" w:right="0" w:firstLine="0"/>
                    <w:jc w:val="left"/>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排放限值：在喷涂车间排气口设置TVOC处理装置，排放浓度可达120mg/m</w:t>
                  </w:r>
                  <w:r>
                    <w:rPr>
                      <w:rFonts w:hint="eastAsia" w:ascii="Times New Roman" w:hAnsi="Times New Roman" w:cs="Times New Roman" w:eastAsiaTheme="minorEastAsia"/>
                      <w:color w:val="auto"/>
                      <w:sz w:val="21"/>
                      <w:szCs w:val="21"/>
                      <w:highlight w:val="none"/>
                      <w:vertAlign w:val="superscript"/>
                      <w:lang w:val="en-US" w:eastAsia="zh-CN"/>
                    </w:rPr>
                    <w:t>3</w:t>
                  </w:r>
                  <w:r>
                    <w:rPr>
                      <w:rFonts w:hint="eastAsia" w:ascii="Times New Roman" w:hAnsi="Times New Roman" w:cs="Times New Roman" w:eastAsiaTheme="minorEastAsia"/>
                      <w:color w:val="auto"/>
                      <w:sz w:val="21"/>
                      <w:szCs w:val="21"/>
                      <w:highlight w:val="none"/>
                      <w:lang w:val="en-US" w:eastAsia="zh-CN"/>
                    </w:rPr>
                    <w:t>以下</w:t>
                  </w:r>
                </w:p>
                <w:p w14:paraId="4BD215A3">
                  <w:pPr>
                    <w:pStyle w:val="73"/>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特别排放限值</w:t>
                  </w:r>
                  <w:r>
                    <w:rPr>
                      <w:rFonts w:hint="eastAsia" w:ascii="Times New Roman" w:hAnsi="Times New Roman" w:cs="Times New Roman" w:eastAsiaTheme="minorEastAsia"/>
                      <w:color w:val="auto"/>
                      <w:sz w:val="21"/>
                      <w:szCs w:val="21"/>
                      <w:highlight w:val="none"/>
                      <w:lang w:val="en-US" w:eastAsia="zh-CN"/>
                    </w:rPr>
                    <w:t>：</w:t>
                  </w:r>
                  <w:r>
                    <w:rPr>
                      <w:rFonts w:hint="default" w:ascii="Times New Roman" w:hAnsi="Times New Roman" w:cs="Times New Roman" w:eastAsiaTheme="minorEastAsia"/>
                      <w:color w:val="auto"/>
                      <w:sz w:val="21"/>
                      <w:szCs w:val="21"/>
                      <w:highlight w:val="none"/>
                      <w:lang w:val="en-US" w:eastAsia="zh-CN"/>
                    </w:rPr>
                    <w:t>在喷涂车间排气口设置催化燃烧或碳吸附等措施，排放浓度可达80mg/m</w:t>
                  </w:r>
                  <w:r>
                    <w:rPr>
                      <w:rFonts w:hint="default" w:ascii="Times New Roman" w:hAnsi="Times New Roman" w:cs="Times New Roman" w:eastAsiaTheme="minorEastAsia"/>
                      <w:color w:val="auto"/>
                      <w:sz w:val="21"/>
                      <w:szCs w:val="21"/>
                      <w:highlight w:val="none"/>
                      <w:vertAlign w:val="superscript"/>
                      <w:lang w:val="en-US" w:eastAsia="zh-CN"/>
                    </w:rPr>
                    <w:t>3</w:t>
                  </w:r>
                  <w:r>
                    <w:rPr>
                      <w:rFonts w:hint="default" w:ascii="Times New Roman" w:hAnsi="Times New Roman" w:cs="Times New Roman" w:eastAsiaTheme="minorEastAsia"/>
                      <w:color w:val="auto"/>
                      <w:sz w:val="21"/>
                      <w:szCs w:val="21"/>
                      <w:highlight w:val="none"/>
                      <w:lang w:val="en-US" w:eastAsia="zh-CN"/>
                    </w:rPr>
                    <w:t>以下</w:t>
                  </w:r>
                </w:p>
              </w:tc>
              <w:tc>
                <w:tcPr>
                  <w:tcW w:w="2237" w:type="pct"/>
                  <w:vAlign w:val="center"/>
                </w:tcPr>
                <w:p w14:paraId="1B760A2A">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本项目喷漆、刷漆废气</w:t>
                  </w:r>
                  <w:r>
                    <w:rPr>
                      <w:rFonts w:hint="eastAsia" w:ascii="Times New Roman" w:hAnsi="Times New Roman" w:cs="Times New Roman" w:eastAsiaTheme="minorEastAsia"/>
                      <w:color w:val="auto"/>
                      <w:sz w:val="21"/>
                      <w:szCs w:val="21"/>
                      <w:highlight w:val="none"/>
                      <w:lang w:val="en-US" w:eastAsia="zh-CN"/>
                    </w:rPr>
                    <w:t>通过</w:t>
                  </w:r>
                  <w:r>
                    <w:rPr>
                      <w:rFonts w:hint="default" w:ascii="Times New Roman" w:hAnsi="Times New Roman" w:cs="Times New Roman" w:eastAsiaTheme="minorEastAsia"/>
                      <w:color w:val="auto"/>
                      <w:sz w:val="21"/>
                      <w:szCs w:val="21"/>
                      <w:highlight w:val="none"/>
                      <w:lang w:val="en-US" w:eastAsia="zh-CN"/>
                    </w:rPr>
                    <w:t>负压收集+漆雾过滤（纸箱式漆雾过滤器+F6中效过滤袋+F8中效过滤袋）+活性炭吸附脱附+CO催化燃烧装置处理工艺处理</w:t>
                  </w:r>
                </w:p>
              </w:tc>
              <w:tc>
                <w:tcPr>
                  <w:tcW w:w="1095" w:type="pct"/>
                  <w:vAlign w:val="center"/>
                </w:tcPr>
                <w:p w14:paraId="0C8C8C23">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可行</w:t>
                  </w:r>
                  <w:r>
                    <w:rPr>
                      <w:rFonts w:hint="default" w:ascii="Times New Roman" w:hAnsi="Times New Roman" w:cs="Times New Roman" w:eastAsiaTheme="minorEastAsia"/>
                      <w:color w:val="auto"/>
                      <w:sz w:val="21"/>
                      <w:szCs w:val="21"/>
                      <w:highlight w:val="none"/>
                      <w:lang w:val="en-US" w:eastAsia="zh-CN"/>
                    </w:rPr>
                    <w:t>技术</w:t>
                  </w:r>
                </w:p>
              </w:tc>
            </w:tr>
            <w:tr w14:paraId="2CFD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666" w:type="pct"/>
                  <w:vAlign w:val="center"/>
                </w:tcPr>
                <w:p w14:paraId="1C6F04BD">
                  <w:pPr>
                    <w:pStyle w:val="73"/>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需密闭</w:t>
                  </w:r>
                </w:p>
              </w:tc>
              <w:tc>
                <w:tcPr>
                  <w:tcW w:w="2237" w:type="pct"/>
                  <w:vAlign w:val="center"/>
                </w:tcPr>
                <w:p w14:paraId="3BE396DE">
                  <w:pPr>
                    <w:pStyle w:val="73"/>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密闭车间</w:t>
                  </w:r>
                </w:p>
              </w:tc>
              <w:tc>
                <w:tcPr>
                  <w:tcW w:w="1095" w:type="pct"/>
                  <w:vAlign w:val="center"/>
                </w:tcPr>
                <w:p w14:paraId="70866F77">
                  <w:pPr>
                    <w:pStyle w:val="73"/>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可行</w:t>
                  </w:r>
                  <w:r>
                    <w:rPr>
                      <w:rFonts w:hint="default" w:ascii="Times New Roman" w:hAnsi="Times New Roman" w:cs="Times New Roman" w:eastAsiaTheme="minorEastAsia"/>
                      <w:color w:val="auto"/>
                      <w:sz w:val="21"/>
                      <w:szCs w:val="21"/>
                      <w:highlight w:val="none"/>
                      <w:lang w:val="en-US" w:eastAsia="zh-CN"/>
                    </w:rPr>
                    <w:t>技术</w:t>
                  </w:r>
                </w:p>
              </w:tc>
            </w:tr>
          </w:tbl>
          <w:p w14:paraId="4E7AE047">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因此</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本项目采用的废气处理技术是可行的。</w:t>
            </w:r>
          </w:p>
          <w:p w14:paraId="664B43B5">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5.废气排放口情况</w:t>
            </w:r>
          </w:p>
          <w:p w14:paraId="48635B95">
            <w:pPr>
              <w:keepNext w:val="0"/>
              <w:keepLines w:val="0"/>
              <w:suppressLineNumbers w:val="0"/>
              <w:spacing w:before="120" w:beforeLines="50" w:beforeAutospacing="0" w:after="0" w:afterAutospacing="0" w:line="240" w:lineRule="exact"/>
              <w:ind w:left="0" w:right="0"/>
              <w:jc w:val="center"/>
              <w:rPr>
                <w:rFonts w:hint="default" w:ascii="Times New Roman" w:hAnsi="Times New Roman" w:cs="Times New Roman" w:eastAsiaTheme="minorEastAsia"/>
                <w:b/>
                <w:bCs/>
                <w:snapToGrid w:val="0"/>
                <w:color w:val="auto"/>
                <w:kern w:val="0"/>
                <w:sz w:val="24"/>
                <w:szCs w:val="22"/>
                <w:highlight w:val="none"/>
              </w:rPr>
            </w:pPr>
            <w:r>
              <w:rPr>
                <w:rFonts w:hint="default" w:ascii="Times New Roman" w:hAnsi="Times New Roman" w:cs="Times New Roman" w:eastAsiaTheme="minorEastAsia"/>
                <w:b/>
                <w:bCs/>
                <w:snapToGrid w:val="0"/>
                <w:color w:val="auto"/>
                <w:kern w:val="0"/>
                <w:sz w:val="24"/>
                <w:szCs w:val="22"/>
                <w:highlight w:val="none"/>
              </w:rPr>
              <w:t>表4-</w:t>
            </w:r>
            <w:r>
              <w:rPr>
                <w:rFonts w:hint="default" w:ascii="Times New Roman" w:hAnsi="Times New Roman" w:cs="Times New Roman" w:eastAsiaTheme="minorEastAsia"/>
                <w:b/>
                <w:bCs/>
                <w:snapToGrid w:val="0"/>
                <w:color w:val="auto"/>
                <w:kern w:val="0"/>
                <w:sz w:val="24"/>
                <w:szCs w:val="22"/>
                <w:highlight w:val="none"/>
                <w:lang w:val="en-US" w:eastAsia="zh-CN"/>
              </w:rPr>
              <w:t>5</w:t>
            </w:r>
            <w:r>
              <w:rPr>
                <w:rFonts w:hint="default" w:ascii="Times New Roman" w:hAnsi="Times New Roman" w:cs="Times New Roman" w:eastAsiaTheme="minorEastAsia"/>
                <w:b/>
                <w:bCs/>
                <w:snapToGrid w:val="0"/>
                <w:color w:val="auto"/>
                <w:kern w:val="0"/>
                <w:sz w:val="24"/>
                <w:szCs w:val="22"/>
                <w:highlight w:val="none"/>
              </w:rPr>
              <w:t xml:space="preserve">   本项目有组织排放口基本情况一览表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5"/>
              <w:gridCol w:w="1246"/>
              <w:gridCol w:w="1631"/>
              <w:gridCol w:w="1640"/>
              <w:gridCol w:w="920"/>
              <w:gridCol w:w="863"/>
              <w:gridCol w:w="615"/>
              <w:gridCol w:w="1085"/>
            </w:tblGrid>
            <w:tr w14:paraId="775A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341" w:type="pct"/>
                  <w:vMerge w:val="restart"/>
                  <w:tcBorders>
                    <w:tl2br w:val="nil"/>
                    <w:tr2bl w:val="nil"/>
                  </w:tcBorders>
                  <w:vAlign w:val="center"/>
                </w:tcPr>
                <w:p w14:paraId="7210410C">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编号</w:t>
                  </w:r>
                </w:p>
              </w:tc>
              <w:tc>
                <w:tcPr>
                  <w:tcW w:w="725" w:type="pct"/>
                  <w:vMerge w:val="restart"/>
                  <w:tcBorders>
                    <w:tl2br w:val="nil"/>
                    <w:tr2bl w:val="nil"/>
                  </w:tcBorders>
                  <w:vAlign w:val="center"/>
                </w:tcPr>
                <w:p w14:paraId="44826D40">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点源</w:t>
                  </w:r>
                </w:p>
                <w:p w14:paraId="72CF73F6">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名称</w:t>
                  </w:r>
                </w:p>
              </w:tc>
              <w:tc>
                <w:tcPr>
                  <w:tcW w:w="1903" w:type="pct"/>
                  <w:gridSpan w:val="2"/>
                  <w:tcBorders>
                    <w:tl2br w:val="nil"/>
                    <w:tr2bl w:val="nil"/>
                  </w:tcBorders>
                  <w:vAlign w:val="center"/>
                </w:tcPr>
                <w:p w14:paraId="29FC01B7">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排气筒坐标</w:t>
                  </w:r>
                </w:p>
              </w:tc>
              <w:tc>
                <w:tcPr>
                  <w:tcW w:w="535" w:type="pct"/>
                  <w:vMerge w:val="restart"/>
                  <w:tcBorders>
                    <w:tl2br w:val="nil"/>
                    <w:tr2bl w:val="nil"/>
                  </w:tcBorders>
                  <w:vAlign w:val="center"/>
                </w:tcPr>
                <w:p w14:paraId="1B36DE01">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排气筒</w:t>
                  </w:r>
                </w:p>
                <w:p w14:paraId="10C9A4A4">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高度</w:t>
                  </w:r>
                </w:p>
                <w:p w14:paraId="11CDE3D8">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（m）</w:t>
                  </w:r>
                </w:p>
              </w:tc>
              <w:tc>
                <w:tcPr>
                  <w:tcW w:w="502" w:type="pct"/>
                  <w:vMerge w:val="restart"/>
                  <w:tcBorders>
                    <w:tl2br w:val="nil"/>
                    <w:tr2bl w:val="nil"/>
                  </w:tcBorders>
                  <w:vAlign w:val="center"/>
                </w:tcPr>
                <w:p w14:paraId="03ECD32F">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排气筒内径（m）</w:t>
                  </w:r>
                </w:p>
              </w:tc>
              <w:tc>
                <w:tcPr>
                  <w:tcW w:w="358" w:type="pct"/>
                  <w:vMerge w:val="restart"/>
                  <w:tcBorders>
                    <w:tl2br w:val="nil"/>
                    <w:tr2bl w:val="nil"/>
                  </w:tcBorders>
                  <w:vAlign w:val="center"/>
                </w:tcPr>
                <w:p w14:paraId="70D4E6BD">
                  <w:pPr>
                    <w:keepNext w:val="0"/>
                    <w:keepLines w:val="0"/>
                    <w:suppressLineNumbers w:val="0"/>
                    <w:snapToGrid w:val="0"/>
                    <w:spacing w:before="0" w:beforeAutospacing="0" w:after="0" w:afterAutospacing="0"/>
                    <w:ind w:left="0" w:right="0"/>
                    <w:jc w:val="center"/>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烟气温度℃</w:t>
                  </w:r>
                </w:p>
              </w:tc>
              <w:tc>
                <w:tcPr>
                  <w:tcW w:w="631" w:type="pct"/>
                  <w:vMerge w:val="restart"/>
                  <w:tcBorders>
                    <w:tl2br w:val="nil"/>
                    <w:tr2bl w:val="nil"/>
                  </w:tcBorders>
                  <w:vAlign w:val="center"/>
                </w:tcPr>
                <w:p w14:paraId="61E9FD44">
                  <w:pPr>
                    <w:keepNext w:val="0"/>
                    <w:keepLines w:val="0"/>
                    <w:suppressLineNumbers w:val="0"/>
                    <w:snapToGrid w:val="0"/>
                    <w:spacing w:before="0" w:beforeAutospacing="0" w:after="0" w:afterAutospacing="0"/>
                    <w:ind w:left="0" w:right="0"/>
                    <w:jc w:val="center"/>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排放口类型</w:t>
                  </w:r>
                </w:p>
              </w:tc>
            </w:tr>
            <w:tr w14:paraId="7C25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8BE9539">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c>
                <w:tcPr>
                  <w:tcW w:w="725" w:type="pct"/>
                  <w:vMerge w:val="continue"/>
                  <w:tcBorders>
                    <w:tl2br w:val="nil"/>
                    <w:tr2bl w:val="nil"/>
                  </w:tcBorders>
                  <w:vAlign w:val="center"/>
                </w:tcPr>
                <w:p w14:paraId="46811152">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c>
                <w:tcPr>
                  <w:tcW w:w="949" w:type="pct"/>
                  <w:tcBorders>
                    <w:tl2br w:val="nil"/>
                    <w:tr2bl w:val="nil"/>
                  </w:tcBorders>
                  <w:vAlign w:val="center"/>
                </w:tcPr>
                <w:p w14:paraId="7DCECCD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X</w:t>
                  </w:r>
                </w:p>
              </w:tc>
              <w:tc>
                <w:tcPr>
                  <w:tcW w:w="953" w:type="pct"/>
                  <w:tcBorders>
                    <w:tl2br w:val="nil"/>
                    <w:tr2bl w:val="nil"/>
                  </w:tcBorders>
                  <w:vAlign w:val="center"/>
                </w:tcPr>
                <w:p w14:paraId="18D2C92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Y</w:t>
                  </w:r>
                </w:p>
              </w:tc>
              <w:tc>
                <w:tcPr>
                  <w:tcW w:w="535" w:type="pct"/>
                  <w:vMerge w:val="continue"/>
                  <w:tcBorders>
                    <w:tl2br w:val="nil"/>
                    <w:tr2bl w:val="nil"/>
                  </w:tcBorders>
                  <w:vAlign w:val="center"/>
                </w:tcPr>
                <w:p w14:paraId="0F3C8203">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c>
                <w:tcPr>
                  <w:tcW w:w="502" w:type="pct"/>
                  <w:vMerge w:val="continue"/>
                  <w:tcBorders>
                    <w:tl2br w:val="nil"/>
                    <w:tr2bl w:val="nil"/>
                  </w:tcBorders>
                  <w:vAlign w:val="center"/>
                </w:tcPr>
                <w:p w14:paraId="25DD37FB">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c>
                <w:tcPr>
                  <w:tcW w:w="358" w:type="pct"/>
                  <w:vMerge w:val="continue"/>
                  <w:tcBorders>
                    <w:tl2br w:val="nil"/>
                    <w:tr2bl w:val="nil"/>
                  </w:tcBorders>
                  <w:vAlign w:val="center"/>
                </w:tcPr>
                <w:p w14:paraId="2F98DA61">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c>
                <w:tcPr>
                  <w:tcW w:w="631" w:type="pct"/>
                  <w:vMerge w:val="continue"/>
                  <w:tcBorders>
                    <w:tl2br w:val="nil"/>
                    <w:tr2bl w:val="nil"/>
                  </w:tcBorders>
                  <w:vAlign w:val="center"/>
                </w:tcPr>
                <w:p w14:paraId="3249BFFC">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p>
              </w:tc>
            </w:tr>
            <w:tr w14:paraId="71B1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341" w:type="pct"/>
                  <w:tcBorders>
                    <w:tl2br w:val="nil"/>
                    <w:tr2bl w:val="nil"/>
                  </w:tcBorders>
                  <w:vAlign w:val="center"/>
                </w:tcPr>
                <w:p w14:paraId="65FB49AB">
                  <w:pPr>
                    <w:keepNext w:val="0"/>
                    <w:keepLines w:val="0"/>
                    <w:suppressLineNumbers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w:t>
                  </w:r>
                </w:p>
              </w:tc>
              <w:tc>
                <w:tcPr>
                  <w:tcW w:w="725" w:type="pct"/>
                  <w:tcBorders>
                    <w:tl2br w:val="nil"/>
                    <w:tr2bl w:val="nil"/>
                  </w:tcBorders>
                  <w:vAlign w:val="center"/>
                </w:tcPr>
                <w:p w14:paraId="1885DFAD">
                  <w:pPr>
                    <w:keepNext w:val="0"/>
                    <w:keepLines w:val="0"/>
                    <w:suppressLineNumbers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DA001</w:t>
                  </w:r>
                </w:p>
              </w:tc>
              <w:tc>
                <w:tcPr>
                  <w:tcW w:w="949" w:type="pct"/>
                  <w:tcBorders>
                    <w:tl2br w:val="nil"/>
                    <w:tr2bl w:val="nil"/>
                  </w:tcBorders>
                  <w:vAlign w:val="center"/>
                </w:tcPr>
                <w:p w14:paraId="32B7B17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eastAsia" w:ascii="Times New Roman" w:hAnsi="Times New Roman" w:cs="Times New Roman" w:eastAsiaTheme="minorEastAsia"/>
                      <w:color w:val="auto"/>
                      <w:szCs w:val="21"/>
                      <w:highlight w:val="none"/>
                    </w:rPr>
                    <w:t>110°3′46.057″</w:t>
                  </w:r>
                </w:p>
              </w:tc>
              <w:tc>
                <w:tcPr>
                  <w:tcW w:w="953" w:type="pct"/>
                  <w:tcBorders>
                    <w:tl2br w:val="nil"/>
                    <w:tr2bl w:val="nil"/>
                  </w:tcBorders>
                  <w:vAlign w:val="center"/>
                </w:tcPr>
                <w:p w14:paraId="5E0E7BE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eastAsia" w:ascii="Times New Roman" w:hAnsi="Times New Roman" w:cs="Times New Roman" w:eastAsiaTheme="minorEastAsia"/>
                      <w:color w:val="auto"/>
                      <w:szCs w:val="21"/>
                      <w:highlight w:val="none"/>
                    </w:rPr>
                    <w:t>39°28′57.894″</w:t>
                  </w:r>
                </w:p>
              </w:tc>
              <w:tc>
                <w:tcPr>
                  <w:tcW w:w="535" w:type="pct"/>
                  <w:tcBorders>
                    <w:tl2br w:val="nil"/>
                    <w:tr2bl w:val="nil"/>
                  </w:tcBorders>
                  <w:vAlign w:val="center"/>
                </w:tcPr>
                <w:p w14:paraId="3C1EF02A">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15</w:t>
                  </w:r>
                </w:p>
              </w:tc>
              <w:tc>
                <w:tcPr>
                  <w:tcW w:w="502" w:type="pct"/>
                  <w:tcBorders>
                    <w:tl2br w:val="nil"/>
                    <w:tr2bl w:val="nil"/>
                  </w:tcBorders>
                  <w:vAlign w:val="center"/>
                </w:tcPr>
                <w:p w14:paraId="4A103F84">
                  <w:pPr>
                    <w:pStyle w:val="3"/>
                    <w:keepNext w:val="0"/>
                    <w:keepLines w:val="0"/>
                    <w:suppressLineNumbers w:val="0"/>
                    <w:adjustRightInd w:val="0"/>
                    <w:spacing w:before="0" w:beforeAutospacing="0" w:after="0" w:afterAutospacing="0"/>
                    <w:ind w:left="0" w:leftChars="0" w:right="0"/>
                    <w:jc w:val="center"/>
                    <w:textAlignment w:val="baseline"/>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0.</w:t>
                  </w:r>
                  <w:r>
                    <w:rPr>
                      <w:rFonts w:hint="eastAsia" w:ascii="Times New Roman" w:hAnsi="Times New Roman" w:cs="Times New Roman" w:eastAsiaTheme="minorEastAsia"/>
                      <w:color w:val="auto"/>
                      <w:sz w:val="21"/>
                      <w:szCs w:val="21"/>
                      <w:highlight w:val="none"/>
                      <w:lang w:val="en-US" w:eastAsia="zh-CN"/>
                    </w:rPr>
                    <w:t>5</w:t>
                  </w:r>
                </w:p>
              </w:tc>
              <w:tc>
                <w:tcPr>
                  <w:tcW w:w="358" w:type="pct"/>
                  <w:tcBorders>
                    <w:tl2br w:val="nil"/>
                    <w:tr2bl w:val="nil"/>
                  </w:tcBorders>
                  <w:vAlign w:val="center"/>
                </w:tcPr>
                <w:p w14:paraId="07582205">
                  <w:pPr>
                    <w:keepNext w:val="0"/>
                    <w:keepLines w:val="0"/>
                    <w:suppressLineNumbers w:val="0"/>
                    <w:autoSpaceDE w:val="0"/>
                    <w:autoSpaceDN w:val="0"/>
                    <w:spacing w:before="0" w:beforeAutospacing="0" w:after="0" w:afterAutospacing="0"/>
                    <w:ind w:left="0" w:right="0"/>
                    <w:jc w:val="center"/>
                    <w:textAlignment w:val="bottom"/>
                    <w:rPr>
                      <w:rFonts w:hint="eastAsia" w:ascii="Times New Roman" w:hAnsi="Times New Roman" w:cs="Times New Roman" w:eastAsiaTheme="minorEastAsia"/>
                      <w:color w:val="auto"/>
                      <w:szCs w:val="21"/>
                      <w:highlight w:val="none"/>
                      <w:lang w:eastAsia="zh-CN"/>
                    </w:rPr>
                  </w:pPr>
                  <w:r>
                    <w:rPr>
                      <w:rFonts w:hint="eastAsia" w:ascii="Times New Roman" w:hAnsi="Times New Roman" w:cs="Times New Roman" w:eastAsiaTheme="minorEastAsia"/>
                      <w:color w:val="auto"/>
                      <w:szCs w:val="21"/>
                      <w:highlight w:val="none"/>
                      <w:lang w:val="en-US" w:eastAsia="zh-CN"/>
                    </w:rPr>
                    <w:t>常温</w:t>
                  </w:r>
                </w:p>
              </w:tc>
              <w:tc>
                <w:tcPr>
                  <w:tcW w:w="631" w:type="pct"/>
                  <w:tcBorders>
                    <w:tl2br w:val="nil"/>
                    <w:tr2bl w:val="nil"/>
                  </w:tcBorders>
                  <w:vAlign w:val="center"/>
                </w:tcPr>
                <w:p w14:paraId="0B7BD578">
                  <w:pPr>
                    <w:keepNext w:val="0"/>
                    <w:keepLines w:val="0"/>
                    <w:suppressLineNumbers w:val="0"/>
                    <w:autoSpaceDE w:val="0"/>
                    <w:autoSpaceDN w:val="0"/>
                    <w:spacing w:before="0" w:beforeAutospacing="0" w:after="0" w:afterAutospacing="0"/>
                    <w:ind w:left="0" w:right="0"/>
                    <w:jc w:val="center"/>
                    <w:textAlignment w:val="bottom"/>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一般排放口</w:t>
                  </w:r>
                </w:p>
              </w:tc>
            </w:tr>
          </w:tbl>
          <w:p w14:paraId="07F90BA2">
            <w:pPr>
              <w:keepNext w:val="0"/>
              <w:keepLines w:val="0"/>
              <w:suppressLineNumbers w:val="0"/>
              <w:kinsoku w:val="0"/>
              <w:overflowPunct w:val="0"/>
              <w:autoSpaceDE w:val="0"/>
              <w:autoSpaceDN w:val="0"/>
              <w:spacing w:before="0" w:beforeAutospacing="0" w:after="0" w:afterAutospacing="0" w:line="500" w:lineRule="exact"/>
              <w:ind w:left="0" w:right="0"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.非正常工况</w:t>
            </w:r>
          </w:p>
          <w:p w14:paraId="39CD0A67">
            <w:pPr>
              <w:keepNext w:val="0"/>
              <w:keepLines w:val="0"/>
              <w:suppressLineNumbers w:val="0"/>
              <w:spacing w:before="0" w:beforeAutospacing="0" w:after="0" w:afterAutospacing="0" w:line="360" w:lineRule="auto"/>
              <w:ind w:left="0" w:right="0" w:firstLine="480" w:firstLineChars="200"/>
              <w:rPr>
                <w:rStyle w:val="141"/>
                <w:rFonts w:hint="default"/>
                <w:b w:val="0"/>
                <w:bCs w:val="0"/>
                <w:color w:val="auto"/>
              </w:rPr>
            </w:pPr>
            <w:r>
              <w:rPr>
                <w:rStyle w:val="141"/>
                <w:rFonts w:hint="eastAsia" w:cs="宋体"/>
                <w:b w:val="0"/>
                <w:bCs w:val="0"/>
                <w:color w:val="auto"/>
              </w:rPr>
              <w:t>非正常工况是指车间废气处理设施运行出现事故，达不到设计要求时的处理效率。通过对该项目废气产生环节及主要污染物识别，综合考虑废气的环境影响和事故可能发生的概率，本环评非正常工况考虑废气治理设施全部失效。废气处理系统出现故障，一般有</w:t>
            </w:r>
            <w:r>
              <w:rPr>
                <w:rStyle w:val="141"/>
                <w:rFonts w:hint="default"/>
                <w:b w:val="0"/>
                <w:bCs w:val="0"/>
                <w:color w:val="auto"/>
              </w:rPr>
              <w:t>3</w:t>
            </w:r>
            <w:r>
              <w:rPr>
                <w:rStyle w:val="141"/>
                <w:rFonts w:hint="eastAsia" w:cs="宋体"/>
                <w:b w:val="0"/>
                <w:bCs w:val="0"/>
                <w:color w:val="auto"/>
              </w:rPr>
              <w:t>种情况：停电、处理装置和风机出现故障，对生产异常情况，采取以下措施：</w:t>
            </w:r>
          </w:p>
          <w:p w14:paraId="364D97CA">
            <w:pPr>
              <w:keepNext w:val="0"/>
              <w:keepLines w:val="0"/>
              <w:suppressLineNumbers w:val="0"/>
              <w:spacing w:before="0" w:beforeAutospacing="0" w:after="0" w:afterAutospacing="0" w:line="360" w:lineRule="auto"/>
              <w:ind w:left="0" w:right="0" w:firstLine="480" w:firstLineChars="200"/>
              <w:rPr>
                <w:rStyle w:val="141"/>
                <w:rFonts w:hint="default"/>
                <w:b w:val="0"/>
                <w:bCs w:val="0"/>
                <w:color w:val="auto"/>
              </w:rPr>
            </w:pPr>
            <w:r>
              <w:rPr>
                <w:rStyle w:val="141"/>
                <w:rFonts w:hint="eastAsia" w:cs="宋体"/>
                <w:b w:val="0"/>
                <w:bCs w:val="0"/>
                <w:color w:val="auto"/>
              </w:rPr>
              <w:t>①如果全厂停电，停止生产，无污染物产生。为确保安全，立即疏散工作人员。</w:t>
            </w:r>
          </w:p>
          <w:p w14:paraId="0E0E1895">
            <w:pPr>
              <w:keepNext w:val="0"/>
              <w:keepLines w:val="0"/>
              <w:suppressLineNumbers w:val="0"/>
              <w:spacing w:before="0" w:beforeAutospacing="0" w:after="0" w:afterAutospacing="0" w:line="360" w:lineRule="auto"/>
              <w:ind w:left="0" w:right="0" w:firstLine="480" w:firstLineChars="200"/>
              <w:rPr>
                <w:rStyle w:val="141"/>
                <w:rFonts w:hint="default"/>
                <w:b w:val="0"/>
                <w:bCs w:val="0"/>
                <w:color w:val="auto"/>
              </w:rPr>
            </w:pPr>
            <w:r>
              <w:rPr>
                <w:rStyle w:val="141"/>
                <w:rFonts w:hint="eastAsia" w:cs="宋体"/>
                <w:b w:val="0"/>
                <w:bCs w:val="0"/>
                <w:color w:val="auto"/>
              </w:rPr>
              <w:t>②风机出现故障时，立即停止污染源工序的生产，并及时维修风机。</w:t>
            </w:r>
          </w:p>
          <w:p w14:paraId="6ADD5DFD">
            <w:pPr>
              <w:keepNext w:val="0"/>
              <w:keepLines w:val="0"/>
              <w:suppressLineNumbers w:val="0"/>
              <w:spacing w:before="0" w:beforeAutospacing="0" w:after="0" w:afterAutospacing="0" w:line="360" w:lineRule="auto"/>
              <w:ind w:left="0" w:right="0" w:firstLine="480" w:firstLineChars="200"/>
              <w:rPr>
                <w:rStyle w:val="141"/>
                <w:rFonts w:hint="default"/>
                <w:b w:val="0"/>
                <w:bCs w:val="0"/>
                <w:color w:val="auto"/>
              </w:rPr>
            </w:pPr>
            <w:r>
              <w:rPr>
                <w:rStyle w:val="141"/>
                <w:rFonts w:hint="eastAsia" w:cs="宋体"/>
                <w:b w:val="0"/>
                <w:bCs w:val="0"/>
                <w:color w:val="auto"/>
              </w:rPr>
              <w:t>③当废气处理设施出现故障时，应立即进行维修，并停止产污设备的生产。</w:t>
            </w:r>
          </w:p>
          <w:p w14:paraId="725D6A9B">
            <w:pPr>
              <w:keepNext w:val="0"/>
              <w:keepLines w:val="0"/>
              <w:suppressLineNumbers w:val="0"/>
              <w:spacing w:before="0" w:beforeAutospacing="0" w:after="0" w:afterAutospacing="0" w:line="360" w:lineRule="auto"/>
              <w:ind w:left="0" w:right="0" w:firstLine="480" w:firstLineChars="200"/>
              <w:rPr>
                <w:rStyle w:val="141"/>
                <w:rFonts w:hint="default"/>
                <w:b w:val="0"/>
                <w:bCs w:val="0"/>
                <w:color w:val="auto"/>
              </w:rPr>
            </w:pPr>
            <w:r>
              <w:rPr>
                <w:rStyle w:val="141"/>
                <w:rFonts w:hint="eastAsia" w:cs="宋体"/>
                <w:b w:val="0"/>
                <w:bCs w:val="0"/>
                <w:color w:val="auto"/>
              </w:rPr>
              <w:t>本报告废气非正常排放考虑装置处理效率为</w:t>
            </w:r>
            <w:r>
              <w:rPr>
                <w:rStyle w:val="141"/>
                <w:rFonts w:hint="default"/>
                <w:b w:val="0"/>
                <w:bCs w:val="0"/>
                <w:color w:val="auto"/>
              </w:rPr>
              <w:t>0</w:t>
            </w:r>
            <w:r>
              <w:rPr>
                <w:rStyle w:val="141"/>
                <w:rFonts w:hint="eastAsia" w:cs="宋体"/>
                <w:b w:val="0"/>
                <w:bCs w:val="0"/>
                <w:color w:val="auto"/>
              </w:rPr>
              <w:t>的情况，非正常排放情况及概率下表。</w:t>
            </w:r>
          </w:p>
          <w:p w14:paraId="3AC1739E">
            <w:pPr>
              <w:keepNext w:val="0"/>
              <w:keepLines w:val="0"/>
              <w:suppressLineNumbers w:val="0"/>
              <w:spacing w:before="0" w:beforeAutospacing="0" w:after="0" w:afterAutospacing="0" w:line="240" w:lineRule="auto"/>
              <w:ind w:left="0" w:right="0" w:firstLine="482"/>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表4-</w:t>
            </w:r>
            <w:r>
              <w:rPr>
                <w:rFonts w:hint="eastAsia"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 xml:space="preserve">  非正常工况下污染物排放情况汇总</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924"/>
              <w:gridCol w:w="510"/>
              <w:gridCol w:w="978"/>
              <w:gridCol w:w="986"/>
              <w:gridCol w:w="890"/>
              <w:gridCol w:w="955"/>
              <w:gridCol w:w="936"/>
              <w:gridCol w:w="794"/>
              <w:gridCol w:w="693"/>
            </w:tblGrid>
            <w:tr w14:paraId="0351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5" w:type="pct"/>
                  <w:vMerge w:val="restart"/>
                  <w:noWrap w:val="0"/>
                  <w:vAlign w:val="center"/>
                </w:tcPr>
                <w:p w14:paraId="688E2E5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排气筒编号</w:t>
                  </w:r>
                </w:p>
              </w:tc>
              <w:tc>
                <w:tcPr>
                  <w:tcW w:w="538" w:type="pct"/>
                  <w:vMerge w:val="restart"/>
                  <w:noWrap w:val="0"/>
                  <w:vAlign w:val="center"/>
                </w:tcPr>
                <w:p w14:paraId="3E50426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非正常工况原因</w:t>
                  </w:r>
                </w:p>
              </w:tc>
              <w:tc>
                <w:tcPr>
                  <w:tcW w:w="297" w:type="pct"/>
                  <w:vMerge w:val="restart"/>
                  <w:noWrap w:val="0"/>
                  <w:vAlign w:val="center"/>
                </w:tcPr>
                <w:p w14:paraId="09565F8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污染物</w:t>
                  </w:r>
                </w:p>
              </w:tc>
              <w:tc>
                <w:tcPr>
                  <w:tcW w:w="1143" w:type="pct"/>
                  <w:gridSpan w:val="2"/>
                  <w:noWrap w:val="0"/>
                  <w:vAlign w:val="center"/>
                </w:tcPr>
                <w:p w14:paraId="597BDEF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产生状况</w:t>
                  </w:r>
                </w:p>
              </w:tc>
              <w:tc>
                <w:tcPr>
                  <w:tcW w:w="518" w:type="pct"/>
                  <w:vMerge w:val="restart"/>
                  <w:noWrap w:val="0"/>
                  <w:vAlign w:val="center"/>
                </w:tcPr>
                <w:p w14:paraId="69EBEAC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去除率（％）</w:t>
                  </w:r>
                </w:p>
              </w:tc>
              <w:tc>
                <w:tcPr>
                  <w:tcW w:w="1101" w:type="pct"/>
                  <w:gridSpan w:val="2"/>
                  <w:noWrap w:val="0"/>
                  <w:vAlign w:val="center"/>
                </w:tcPr>
                <w:p w14:paraId="71234D5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排放状况</w:t>
                  </w:r>
                </w:p>
              </w:tc>
              <w:tc>
                <w:tcPr>
                  <w:tcW w:w="462" w:type="pct"/>
                  <w:vMerge w:val="restart"/>
                  <w:noWrap w:val="0"/>
                  <w:vAlign w:val="center"/>
                </w:tcPr>
                <w:p w14:paraId="6A24D6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21"/>
                      <w:highlight w:val="none"/>
                    </w:rPr>
                    <w:t>单次持续时间</w:t>
                  </w:r>
                </w:p>
              </w:tc>
              <w:tc>
                <w:tcPr>
                  <w:tcW w:w="403" w:type="pct"/>
                  <w:vMerge w:val="restart"/>
                  <w:noWrap w:val="0"/>
                  <w:vAlign w:val="center"/>
                </w:tcPr>
                <w:p w14:paraId="11ED4A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21"/>
                      <w:highlight w:val="none"/>
                    </w:rPr>
                    <w:t>年发生频次</w:t>
                  </w:r>
                </w:p>
              </w:tc>
            </w:tr>
            <w:tr w14:paraId="43B2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5" w:type="pct"/>
                  <w:vMerge w:val="continue"/>
                  <w:noWrap w:val="0"/>
                  <w:vAlign w:val="center"/>
                </w:tcPr>
                <w:p w14:paraId="7992015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c>
                <w:tcPr>
                  <w:tcW w:w="538" w:type="pct"/>
                  <w:vMerge w:val="continue"/>
                  <w:noWrap w:val="0"/>
                  <w:vAlign w:val="center"/>
                </w:tcPr>
                <w:p w14:paraId="34EF4DF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c>
                <w:tcPr>
                  <w:tcW w:w="297" w:type="pct"/>
                  <w:vMerge w:val="continue"/>
                  <w:noWrap w:val="0"/>
                  <w:vAlign w:val="center"/>
                </w:tcPr>
                <w:p w14:paraId="57C988C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c>
                <w:tcPr>
                  <w:tcW w:w="569" w:type="pct"/>
                  <w:noWrap w:val="0"/>
                  <w:vAlign w:val="center"/>
                </w:tcPr>
                <w:p w14:paraId="2D27DC6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速率(kg/h)</w:t>
                  </w:r>
                </w:p>
              </w:tc>
              <w:tc>
                <w:tcPr>
                  <w:tcW w:w="574" w:type="pct"/>
                  <w:noWrap w:val="0"/>
                  <w:vAlign w:val="center"/>
                </w:tcPr>
                <w:p w14:paraId="4CE464A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浓度(mg/m</w:t>
                  </w:r>
                  <w:r>
                    <w:rPr>
                      <w:rFonts w:hint="default" w:ascii="Times New Roman" w:hAnsi="Times New Roman" w:eastAsia="宋体" w:cs="Times New Roman"/>
                      <w:b w:val="0"/>
                      <w:bCs/>
                      <w:color w:val="auto"/>
                      <w:kern w:val="0"/>
                      <w:highlight w:val="none"/>
                      <w:vertAlign w:val="superscript"/>
                    </w:rPr>
                    <w:t>3</w:t>
                  </w:r>
                  <w:r>
                    <w:rPr>
                      <w:rFonts w:hint="default" w:ascii="Times New Roman" w:hAnsi="Times New Roman" w:eastAsia="宋体" w:cs="Times New Roman"/>
                      <w:b w:val="0"/>
                      <w:bCs/>
                      <w:color w:val="auto"/>
                      <w:kern w:val="0"/>
                      <w:highlight w:val="none"/>
                    </w:rPr>
                    <w:t>)</w:t>
                  </w:r>
                </w:p>
              </w:tc>
              <w:tc>
                <w:tcPr>
                  <w:tcW w:w="518" w:type="pct"/>
                  <w:vMerge w:val="continue"/>
                  <w:noWrap w:val="0"/>
                  <w:vAlign w:val="center"/>
                </w:tcPr>
                <w:p w14:paraId="583842E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c>
                <w:tcPr>
                  <w:tcW w:w="556" w:type="pct"/>
                  <w:noWrap w:val="0"/>
                  <w:vAlign w:val="center"/>
                </w:tcPr>
                <w:p w14:paraId="66F2B77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速率(kg/h)</w:t>
                  </w:r>
                </w:p>
              </w:tc>
              <w:tc>
                <w:tcPr>
                  <w:tcW w:w="545" w:type="pct"/>
                  <w:noWrap w:val="0"/>
                  <w:vAlign w:val="center"/>
                </w:tcPr>
                <w:p w14:paraId="63C40AF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rPr>
                    <w:t>浓度(mg/m</w:t>
                  </w:r>
                  <w:r>
                    <w:rPr>
                      <w:rFonts w:hint="default" w:ascii="Times New Roman" w:hAnsi="Times New Roman" w:eastAsia="宋体" w:cs="Times New Roman"/>
                      <w:b w:val="0"/>
                      <w:bCs/>
                      <w:color w:val="auto"/>
                      <w:kern w:val="0"/>
                      <w:highlight w:val="none"/>
                      <w:vertAlign w:val="superscript"/>
                    </w:rPr>
                    <w:t>3</w:t>
                  </w:r>
                  <w:r>
                    <w:rPr>
                      <w:rFonts w:hint="default" w:ascii="Times New Roman" w:hAnsi="Times New Roman" w:eastAsia="宋体" w:cs="Times New Roman"/>
                      <w:b w:val="0"/>
                      <w:bCs/>
                      <w:color w:val="auto"/>
                      <w:kern w:val="0"/>
                      <w:highlight w:val="none"/>
                    </w:rPr>
                    <w:t>)</w:t>
                  </w:r>
                </w:p>
              </w:tc>
              <w:tc>
                <w:tcPr>
                  <w:tcW w:w="462" w:type="pct"/>
                  <w:vMerge w:val="continue"/>
                  <w:noWrap w:val="0"/>
                  <w:vAlign w:val="center"/>
                </w:tcPr>
                <w:p w14:paraId="63FA4FD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c>
                <w:tcPr>
                  <w:tcW w:w="403" w:type="pct"/>
                  <w:vMerge w:val="continue"/>
                  <w:noWrap w:val="0"/>
                  <w:vAlign w:val="center"/>
                </w:tcPr>
                <w:p w14:paraId="1DA28F9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p>
              </w:tc>
            </w:tr>
            <w:tr w14:paraId="0E78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35" w:type="pct"/>
                  <w:vMerge w:val="restart"/>
                  <w:noWrap w:val="0"/>
                  <w:vAlign w:val="center"/>
                </w:tcPr>
                <w:p w14:paraId="3D943EC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lang w:eastAsia="zh-CN"/>
                    </w:rPr>
                  </w:pPr>
                  <w:r>
                    <w:rPr>
                      <w:rFonts w:hint="default" w:ascii="Times New Roman" w:hAnsi="Times New Roman" w:eastAsia="宋体" w:cs="Times New Roman"/>
                      <w:b w:val="0"/>
                      <w:bCs/>
                      <w:color w:val="auto"/>
                      <w:kern w:val="0"/>
                      <w:highlight w:val="none"/>
                    </w:rPr>
                    <w:t>DA00</w:t>
                  </w:r>
                  <w:r>
                    <w:rPr>
                      <w:rFonts w:hint="default" w:ascii="Times New Roman" w:hAnsi="Times New Roman" w:eastAsia="宋体" w:cs="Times New Roman"/>
                      <w:b w:val="0"/>
                      <w:bCs/>
                      <w:color w:val="auto"/>
                      <w:kern w:val="0"/>
                      <w:highlight w:val="none"/>
                      <w:lang w:val="en-US" w:eastAsia="zh-CN"/>
                    </w:rPr>
                    <w:t>1</w:t>
                  </w:r>
                </w:p>
              </w:tc>
              <w:tc>
                <w:tcPr>
                  <w:tcW w:w="538" w:type="pct"/>
                  <w:vMerge w:val="restart"/>
                  <w:noWrap w:val="0"/>
                  <w:vAlign w:val="center"/>
                </w:tcPr>
                <w:p w14:paraId="5DE302C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highlight w:val="none"/>
                    </w:rPr>
                    <w:t>废气处理设施故障，处理效率为0</w:t>
                  </w:r>
                </w:p>
              </w:tc>
              <w:tc>
                <w:tcPr>
                  <w:tcW w:w="297" w:type="pct"/>
                  <w:noWrap w:val="0"/>
                  <w:vAlign w:val="center"/>
                </w:tcPr>
                <w:p w14:paraId="23A692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val="0"/>
                      <w:color w:val="auto"/>
                      <w:sz w:val="21"/>
                      <w:szCs w:val="21"/>
                      <w:highlight w:val="none"/>
                      <w:lang w:val="en-US" w:eastAsia="zh-CN"/>
                    </w:rPr>
                    <w:t>颗粒物</w:t>
                  </w:r>
                </w:p>
              </w:tc>
              <w:tc>
                <w:tcPr>
                  <w:tcW w:w="978" w:type="dxa"/>
                  <w:noWrap w:val="0"/>
                  <w:vAlign w:val="center"/>
                </w:tcPr>
                <w:p w14:paraId="0B6C0B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1.0233</w:t>
                  </w:r>
                </w:p>
              </w:tc>
              <w:tc>
                <w:tcPr>
                  <w:tcW w:w="986" w:type="dxa"/>
                  <w:noWrap w:val="0"/>
                  <w:vAlign w:val="center"/>
                </w:tcPr>
                <w:p w14:paraId="27CC1F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12.633</w:t>
                  </w:r>
                </w:p>
              </w:tc>
              <w:tc>
                <w:tcPr>
                  <w:tcW w:w="518" w:type="pct"/>
                  <w:vMerge w:val="restart"/>
                  <w:noWrap w:val="0"/>
                  <w:vAlign w:val="center"/>
                </w:tcPr>
                <w:p w14:paraId="5FB6737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kern w:val="0"/>
                      <w:highlight w:val="none"/>
                      <w:lang w:eastAsia="zh-CN" w:bidi="ar"/>
                    </w:rPr>
                  </w:pPr>
                  <w:r>
                    <w:rPr>
                      <w:rFonts w:hint="default" w:ascii="Times New Roman" w:hAnsi="Times New Roman" w:eastAsia="宋体" w:cs="Times New Roman"/>
                      <w:b w:val="0"/>
                      <w:bCs/>
                      <w:color w:val="auto"/>
                      <w:kern w:val="0"/>
                      <w:highlight w:val="none"/>
                      <w:lang w:val="en-US" w:eastAsia="zh-CN" w:bidi="ar"/>
                    </w:rPr>
                    <w:t>0</w:t>
                  </w:r>
                </w:p>
              </w:tc>
              <w:tc>
                <w:tcPr>
                  <w:tcW w:w="955" w:type="dxa"/>
                  <w:noWrap w:val="0"/>
                  <w:vAlign w:val="center"/>
                </w:tcPr>
                <w:p w14:paraId="3824E5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1.0233</w:t>
                  </w:r>
                </w:p>
              </w:tc>
              <w:tc>
                <w:tcPr>
                  <w:tcW w:w="936" w:type="dxa"/>
                  <w:noWrap w:val="0"/>
                  <w:vAlign w:val="center"/>
                </w:tcPr>
                <w:p w14:paraId="535D54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12.633</w:t>
                  </w:r>
                </w:p>
              </w:tc>
              <w:tc>
                <w:tcPr>
                  <w:tcW w:w="462" w:type="pct"/>
                  <w:vMerge w:val="restart"/>
                  <w:noWrap w:val="0"/>
                  <w:vAlign w:val="center"/>
                </w:tcPr>
                <w:p w14:paraId="4748AA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lang w:bidi="ar"/>
                    </w:rPr>
                    <w:t>1h</w:t>
                  </w:r>
                </w:p>
              </w:tc>
              <w:tc>
                <w:tcPr>
                  <w:tcW w:w="403" w:type="pct"/>
                  <w:vMerge w:val="restart"/>
                  <w:noWrap w:val="0"/>
                  <w:vAlign w:val="center"/>
                </w:tcPr>
                <w:p w14:paraId="665E07B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kern w:val="0"/>
                      <w:highlight w:val="none"/>
                    </w:rPr>
                  </w:pPr>
                  <w:r>
                    <w:rPr>
                      <w:rFonts w:hint="default" w:ascii="Times New Roman" w:hAnsi="Times New Roman" w:eastAsia="宋体" w:cs="Times New Roman"/>
                      <w:b w:val="0"/>
                      <w:bCs/>
                      <w:color w:val="auto"/>
                      <w:kern w:val="0"/>
                      <w:highlight w:val="none"/>
                      <w:lang w:bidi="ar"/>
                    </w:rPr>
                    <w:t>2次</w:t>
                  </w:r>
                </w:p>
              </w:tc>
            </w:tr>
            <w:tr w14:paraId="74B5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vMerge w:val="continue"/>
                  <w:noWrap w:val="0"/>
                  <w:vAlign w:val="center"/>
                </w:tcPr>
                <w:p w14:paraId="79C8BF9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highlight w:val="none"/>
                      <w:lang w:eastAsia="zh-CN"/>
                    </w:rPr>
                  </w:pPr>
                </w:p>
              </w:tc>
              <w:tc>
                <w:tcPr>
                  <w:tcW w:w="538" w:type="pct"/>
                  <w:vMerge w:val="continue"/>
                  <w:noWrap w:val="0"/>
                  <w:vAlign w:val="center"/>
                </w:tcPr>
                <w:p w14:paraId="6DE963D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rPr>
                  </w:pPr>
                </w:p>
              </w:tc>
              <w:tc>
                <w:tcPr>
                  <w:tcW w:w="297" w:type="pct"/>
                  <w:noWrap w:val="0"/>
                  <w:vAlign w:val="center"/>
                </w:tcPr>
                <w:p w14:paraId="0E62F7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bCs/>
                      <w:color w:val="auto"/>
                      <w:sz w:val="21"/>
                      <w:szCs w:val="21"/>
                      <w:highlight w:val="none"/>
                      <w:lang w:val="en-US" w:eastAsia="zh-CN"/>
                    </w:rPr>
                    <w:t>非甲烷总烃</w:t>
                  </w:r>
                </w:p>
              </w:tc>
              <w:tc>
                <w:tcPr>
                  <w:tcW w:w="978" w:type="dxa"/>
                  <w:noWrap w:val="0"/>
                  <w:vAlign w:val="center"/>
                </w:tcPr>
                <w:p w14:paraId="7E7272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0.5063</w:t>
                  </w:r>
                </w:p>
              </w:tc>
              <w:tc>
                <w:tcPr>
                  <w:tcW w:w="986" w:type="dxa"/>
                  <w:noWrap w:val="0"/>
                  <w:vAlign w:val="center"/>
                </w:tcPr>
                <w:p w14:paraId="534B89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6.251</w:t>
                  </w:r>
                </w:p>
              </w:tc>
              <w:tc>
                <w:tcPr>
                  <w:tcW w:w="518" w:type="pct"/>
                  <w:vMerge w:val="continue"/>
                  <w:noWrap w:val="0"/>
                  <w:vAlign w:val="center"/>
                </w:tcPr>
                <w:p w14:paraId="34189DD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c>
                <w:tcPr>
                  <w:tcW w:w="955" w:type="dxa"/>
                  <w:noWrap w:val="0"/>
                  <w:vAlign w:val="center"/>
                </w:tcPr>
                <w:p w14:paraId="030EF0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0.5063</w:t>
                  </w:r>
                </w:p>
              </w:tc>
              <w:tc>
                <w:tcPr>
                  <w:tcW w:w="936" w:type="dxa"/>
                  <w:noWrap w:val="0"/>
                  <w:vAlign w:val="center"/>
                </w:tcPr>
                <w:p w14:paraId="068930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6.251</w:t>
                  </w:r>
                </w:p>
              </w:tc>
              <w:tc>
                <w:tcPr>
                  <w:tcW w:w="462" w:type="pct"/>
                  <w:vMerge w:val="continue"/>
                  <w:noWrap w:val="0"/>
                  <w:vAlign w:val="center"/>
                </w:tcPr>
                <w:p w14:paraId="66E71D1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c>
                <w:tcPr>
                  <w:tcW w:w="403" w:type="pct"/>
                  <w:vMerge w:val="continue"/>
                  <w:noWrap w:val="0"/>
                  <w:vAlign w:val="center"/>
                </w:tcPr>
                <w:p w14:paraId="1C0BCEB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r>
            <w:tr w14:paraId="0891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vMerge w:val="continue"/>
                  <w:noWrap w:val="0"/>
                  <w:vAlign w:val="center"/>
                </w:tcPr>
                <w:p w14:paraId="6B48F56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highlight w:val="none"/>
                    </w:rPr>
                  </w:pPr>
                </w:p>
              </w:tc>
              <w:tc>
                <w:tcPr>
                  <w:tcW w:w="538" w:type="pct"/>
                  <w:vMerge w:val="continue"/>
                  <w:noWrap w:val="0"/>
                  <w:vAlign w:val="center"/>
                </w:tcPr>
                <w:p w14:paraId="2FE99D5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rPr>
                  </w:pPr>
                </w:p>
              </w:tc>
              <w:tc>
                <w:tcPr>
                  <w:tcW w:w="297" w:type="pct"/>
                  <w:noWrap w:val="0"/>
                  <w:vAlign w:val="center"/>
                </w:tcPr>
                <w:p w14:paraId="28C024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highlight w:val="none"/>
                    </w:rPr>
                  </w:pPr>
                  <w:r>
                    <w:rPr>
                      <w:rFonts w:hint="default" w:ascii="Times New Roman" w:hAnsi="Times New Roman" w:cs="Times New Roman"/>
                      <w:color w:val="auto"/>
                      <w:sz w:val="21"/>
                      <w:szCs w:val="21"/>
                      <w:highlight w:val="none"/>
                    </w:rPr>
                    <w:t>苯系物</w:t>
                  </w:r>
                </w:p>
              </w:tc>
              <w:tc>
                <w:tcPr>
                  <w:tcW w:w="978" w:type="dxa"/>
                  <w:noWrap w:val="0"/>
                  <w:vAlign w:val="center"/>
                </w:tcPr>
                <w:p w14:paraId="523271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0.1796</w:t>
                  </w:r>
                </w:p>
              </w:tc>
              <w:tc>
                <w:tcPr>
                  <w:tcW w:w="986" w:type="dxa"/>
                  <w:noWrap w:val="0"/>
                  <w:vAlign w:val="center"/>
                </w:tcPr>
                <w:p w14:paraId="3F7B62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2.217</w:t>
                  </w:r>
                </w:p>
              </w:tc>
              <w:tc>
                <w:tcPr>
                  <w:tcW w:w="518" w:type="pct"/>
                  <w:vMerge w:val="continue"/>
                  <w:noWrap w:val="0"/>
                  <w:vAlign w:val="center"/>
                </w:tcPr>
                <w:p w14:paraId="69C6361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c>
                <w:tcPr>
                  <w:tcW w:w="955" w:type="dxa"/>
                  <w:noWrap w:val="0"/>
                  <w:vAlign w:val="center"/>
                </w:tcPr>
                <w:p w14:paraId="50CE1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0.1796</w:t>
                  </w:r>
                </w:p>
              </w:tc>
              <w:tc>
                <w:tcPr>
                  <w:tcW w:w="936" w:type="dxa"/>
                  <w:noWrap w:val="0"/>
                  <w:vAlign w:val="center"/>
                </w:tcPr>
                <w:p w14:paraId="09C449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2.217</w:t>
                  </w:r>
                </w:p>
              </w:tc>
              <w:tc>
                <w:tcPr>
                  <w:tcW w:w="462" w:type="pct"/>
                  <w:vMerge w:val="continue"/>
                  <w:noWrap w:val="0"/>
                  <w:vAlign w:val="center"/>
                </w:tcPr>
                <w:p w14:paraId="48D0FF2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c>
                <w:tcPr>
                  <w:tcW w:w="403" w:type="pct"/>
                  <w:vMerge w:val="continue"/>
                  <w:noWrap w:val="0"/>
                  <w:vAlign w:val="center"/>
                </w:tcPr>
                <w:p w14:paraId="013A1ED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highlight w:val="none"/>
                      <w:lang w:bidi="ar"/>
                    </w:rPr>
                  </w:pPr>
                </w:p>
              </w:tc>
            </w:tr>
          </w:tbl>
          <w:p w14:paraId="052DA714">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本项目在生产时应先运行废气治理设施，待设施正常运转后再启动生产设备，确保废气的达标排放。另生产设施与废气治理设施设置联动装置，即废气治理设施一旦故障，生产设备应立刻停机，以确保废气不会超标排放。</w:t>
            </w:r>
          </w:p>
          <w:p w14:paraId="48846FF3">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综上所述，项目废气满足《大气污染物综合排放标准》（GB16297-1996）中相关限值。在各项大气污染防治措施落实良好情况下，本项目产生大气污染物对周围环境空气质量影响较小。</w:t>
            </w:r>
          </w:p>
          <w:p w14:paraId="3635F48F">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7.废气排放对大气环境的影响分析</w:t>
            </w:r>
          </w:p>
          <w:p w14:paraId="47B42FF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color w:val="auto"/>
                <w:kern w:val="0"/>
                <w:sz w:val="24"/>
                <w:highlight w:val="none"/>
                <w:lang w:eastAsia="zh-CN"/>
              </w:rPr>
              <w:t>项目废气经处理后排放浓度均可</w:t>
            </w:r>
            <w:r>
              <w:rPr>
                <w:rFonts w:hint="default" w:ascii="Times New Roman" w:hAnsi="Times New Roman" w:eastAsia="宋体" w:cs="Times New Roman"/>
                <w:color w:val="auto"/>
                <w:kern w:val="0"/>
                <w:sz w:val="24"/>
                <w:highlight w:val="none"/>
                <w:lang w:val="en-US" w:eastAsia="zh-CN"/>
              </w:rPr>
              <w:t>满足《大气污染物综合排放标准》（GB16297-1996）表2中二类排放标准</w:t>
            </w:r>
            <w:r>
              <w:rPr>
                <w:rFonts w:hint="default" w:ascii="Times New Roman" w:hAnsi="Times New Roman" w:eastAsia="宋体" w:cs="Times New Roman"/>
                <w:color w:val="auto"/>
                <w:sz w:val="24"/>
                <w:szCs w:val="22"/>
                <w:highlight w:val="none"/>
                <w:lang w:eastAsia="zh-CN"/>
              </w:rPr>
              <w:t>。</w:t>
            </w:r>
            <w:r>
              <w:rPr>
                <w:rFonts w:hint="default" w:ascii="Times New Roman" w:hAnsi="Times New Roman" w:eastAsia="宋体" w:cs="Times New Roman"/>
                <w:b w:val="0"/>
                <w:bCs w:val="0"/>
                <w:color w:val="auto"/>
                <w:sz w:val="24"/>
                <w:highlight w:val="none"/>
                <w:lang w:val="en-US" w:eastAsia="zh-CN"/>
              </w:rPr>
              <w:t>在采取上述措施处理后，项目所排放的废气对周边大气环境的影响在可接受范围内</w:t>
            </w:r>
            <w:r>
              <w:rPr>
                <w:rFonts w:hint="default" w:ascii="Times New Roman" w:hAnsi="Times New Roman" w:eastAsia="宋体" w:cs="Times New Roman"/>
                <w:b w:val="0"/>
                <w:bCs w:val="0"/>
                <w:color w:val="auto"/>
                <w:sz w:val="24"/>
                <w:highlight w:val="none"/>
                <w:lang w:eastAsia="zh-CN"/>
              </w:rPr>
              <w:t>。</w:t>
            </w:r>
          </w:p>
          <w:p w14:paraId="659A23C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8.废气监测要求</w:t>
            </w:r>
          </w:p>
          <w:p w14:paraId="6B8B17FC">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Cs/>
                <w:color w:val="auto"/>
                <w:sz w:val="24"/>
                <w:szCs w:val="24"/>
                <w:highlight w:val="none"/>
              </w:rPr>
            </w:pPr>
            <w:r>
              <w:rPr>
                <w:rStyle w:val="141"/>
                <w:rFonts w:hint="eastAsia" w:cs="宋体"/>
                <w:b w:val="0"/>
                <w:bCs w:val="0"/>
                <w:color w:val="auto"/>
              </w:rPr>
              <w:t>按照《排污许可证申请与核发技术规范</w:t>
            </w:r>
            <w:r>
              <w:rPr>
                <w:rStyle w:val="141"/>
                <w:rFonts w:hint="default"/>
                <w:b w:val="0"/>
                <w:bCs w:val="0"/>
                <w:color w:val="auto"/>
              </w:rPr>
              <w:t xml:space="preserve"> </w:t>
            </w:r>
            <w:r>
              <w:rPr>
                <w:rStyle w:val="141"/>
                <w:rFonts w:hint="eastAsia" w:cs="宋体"/>
                <w:b w:val="0"/>
                <w:bCs w:val="0"/>
                <w:color w:val="auto"/>
              </w:rPr>
              <w:t>总则》（</w:t>
            </w:r>
            <w:r>
              <w:rPr>
                <w:rStyle w:val="141"/>
                <w:rFonts w:hint="default"/>
                <w:b w:val="0"/>
                <w:bCs w:val="0"/>
                <w:color w:val="auto"/>
              </w:rPr>
              <w:t>HJ 942—2018</w:t>
            </w:r>
            <w:r>
              <w:rPr>
                <w:rStyle w:val="141"/>
                <w:rFonts w:hint="eastAsia" w:cs="宋体"/>
                <w:b w:val="0"/>
                <w:bCs w:val="0"/>
                <w:color w:val="auto"/>
              </w:rPr>
              <w:t>）、《排污单位自行监测技术指南</w:t>
            </w:r>
            <w:r>
              <w:rPr>
                <w:rStyle w:val="141"/>
                <w:rFonts w:hint="default"/>
                <w:b w:val="0"/>
                <w:bCs w:val="0"/>
                <w:color w:val="auto"/>
              </w:rPr>
              <w:t xml:space="preserve"> </w:t>
            </w:r>
            <w:r>
              <w:rPr>
                <w:rStyle w:val="141"/>
                <w:rFonts w:hint="eastAsia" w:cs="宋体"/>
                <w:b w:val="0"/>
                <w:bCs w:val="0"/>
                <w:color w:val="auto"/>
              </w:rPr>
              <w:t>总则》（</w:t>
            </w:r>
            <w:r>
              <w:rPr>
                <w:rStyle w:val="141"/>
                <w:rFonts w:hint="default"/>
                <w:b w:val="0"/>
                <w:bCs w:val="0"/>
                <w:color w:val="auto"/>
              </w:rPr>
              <w:t>HJ 819—2017</w:t>
            </w:r>
            <w:r>
              <w:rPr>
                <w:rStyle w:val="141"/>
                <w:rFonts w:hint="eastAsia" w:cs="宋体"/>
                <w:b w:val="0"/>
                <w:bCs w:val="0"/>
                <w:color w:val="auto"/>
              </w:rPr>
              <w:t>）及《排污单位自行监测技术指南</w:t>
            </w:r>
            <w:r>
              <w:rPr>
                <w:rStyle w:val="141"/>
                <w:rFonts w:hint="eastAsia" w:cs="宋体"/>
                <w:b w:val="0"/>
                <w:bCs w:val="0"/>
                <w:color w:val="auto"/>
                <w:lang w:val="en-US"/>
              </w:rPr>
              <w:t xml:space="preserve"> </w:t>
            </w:r>
            <w:r>
              <w:rPr>
                <w:rStyle w:val="141"/>
                <w:rFonts w:hint="eastAsia" w:cs="宋体"/>
                <w:b w:val="0"/>
                <w:bCs w:val="0"/>
                <w:color w:val="auto"/>
              </w:rPr>
              <w:t>涂装》</w:t>
            </w:r>
            <w:r>
              <w:rPr>
                <w:rStyle w:val="141"/>
                <w:rFonts w:hint="default"/>
                <w:b w:val="0"/>
                <w:bCs w:val="0"/>
                <w:color w:val="auto"/>
              </w:rPr>
              <w:t>HJ</w:t>
            </w:r>
            <w:r>
              <w:rPr>
                <w:rStyle w:val="141"/>
                <w:rFonts w:hint="eastAsia"/>
                <w:b w:val="0"/>
                <w:bCs w:val="0"/>
                <w:color w:val="auto"/>
                <w:lang w:val="en-US" w:eastAsia="zh-CN"/>
              </w:rPr>
              <w:t xml:space="preserve"> </w:t>
            </w:r>
            <w:r>
              <w:rPr>
                <w:rStyle w:val="141"/>
                <w:rFonts w:hint="eastAsia" w:cs="宋体"/>
                <w:b w:val="0"/>
                <w:bCs w:val="0"/>
                <w:color w:val="auto"/>
              </w:rPr>
              <w:t>1086-2020)的要求，</w:t>
            </w:r>
            <w:r>
              <w:rPr>
                <w:rFonts w:hint="default" w:ascii="Times New Roman" w:hAnsi="Times New Roman" w:eastAsia="宋体" w:cs="Times New Roman"/>
                <w:bCs/>
                <w:color w:val="auto"/>
                <w:sz w:val="24"/>
                <w:szCs w:val="24"/>
                <w:highlight w:val="none"/>
              </w:rPr>
              <w:t>本项目废气监测点位、监测因子和频次见表</w:t>
            </w:r>
            <w:r>
              <w:rPr>
                <w:rFonts w:hint="default" w:ascii="Times New Roman" w:hAnsi="Times New Roman" w:eastAsia="宋体" w:cs="Times New Roman"/>
                <w:bCs/>
                <w:color w:val="auto"/>
                <w:sz w:val="24"/>
                <w:szCs w:val="24"/>
                <w:highlight w:val="none"/>
                <w:lang w:val="en-US" w:eastAsia="zh-CN"/>
              </w:rPr>
              <w:t>4-</w:t>
            </w:r>
            <w:r>
              <w:rPr>
                <w:rFonts w:hint="eastAsia" w:cs="Times New Roman"/>
                <w:bCs/>
                <w:color w:val="auto"/>
                <w:sz w:val="24"/>
                <w:szCs w:val="24"/>
                <w:highlight w:val="none"/>
                <w:lang w:val="en-US" w:eastAsia="zh-CN"/>
              </w:rPr>
              <w:t>7</w:t>
            </w:r>
            <w:r>
              <w:rPr>
                <w:rFonts w:hint="default" w:ascii="Times New Roman" w:hAnsi="Times New Roman" w:eastAsia="宋体" w:cs="Times New Roman"/>
                <w:bCs/>
                <w:color w:val="auto"/>
                <w:sz w:val="24"/>
                <w:szCs w:val="24"/>
                <w:highlight w:val="none"/>
              </w:rPr>
              <w:t>。</w:t>
            </w:r>
          </w:p>
          <w:p w14:paraId="2A0C94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p>
          <w:p w14:paraId="5C2B7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p>
          <w:p w14:paraId="180EEF6A">
            <w:pPr>
              <w:pStyle w:val="24"/>
              <w:keepNext w:val="0"/>
              <w:keepLines w:val="0"/>
              <w:suppressLineNumbers w:val="0"/>
              <w:spacing w:before="0" w:beforeAutospacing="0" w:after="0" w:afterAutospacing="0"/>
              <w:ind w:left="0" w:right="0"/>
              <w:rPr>
                <w:rFonts w:hint="default"/>
                <w:color w:val="auto"/>
              </w:rPr>
            </w:pPr>
          </w:p>
          <w:p w14:paraId="46B0A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p>
          <w:p w14:paraId="6B9ED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p>
          <w:p w14:paraId="06C5A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p>
          <w:p w14:paraId="24D2F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4-</w:t>
            </w:r>
            <w:r>
              <w:rPr>
                <w:rFonts w:hint="eastAsia"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rPr>
              <w:t xml:space="preserve">  </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bCs/>
                <w:color w:val="auto"/>
                <w:sz w:val="24"/>
                <w:highlight w:val="none"/>
                <w:lang w:eastAsia="zh-CN"/>
              </w:rPr>
              <w:t>废气</w:t>
            </w:r>
            <w:r>
              <w:rPr>
                <w:rFonts w:hint="default" w:ascii="Times New Roman" w:hAnsi="Times New Roman" w:eastAsia="宋体" w:cs="Times New Roman"/>
                <w:b/>
                <w:bCs/>
                <w:color w:val="auto"/>
                <w:sz w:val="24"/>
                <w:highlight w:val="none"/>
              </w:rPr>
              <w:t>监测工作内容一览表</w:t>
            </w:r>
          </w:p>
          <w:tbl>
            <w:tblPr>
              <w:tblStyle w:val="30"/>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932"/>
              <w:gridCol w:w="1464"/>
              <w:gridCol w:w="1615"/>
              <w:gridCol w:w="1064"/>
              <w:gridCol w:w="2856"/>
            </w:tblGrid>
            <w:tr w14:paraId="226F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tblHeader/>
                <w:jc w:val="center"/>
              </w:trPr>
              <w:tc>
                <w:tcPr>
                  <w:tcW w:w="377" w:type="pct"/>
                  <w:tcBorders>
                    <w:tl2br w:val="nil"/>
                    <w:tr2bl w:val="nil"/>
                  </w:tcBorders>
                  <w:noWrap w:val="0"/>
                  <w:vAlign w:val="center"/>
                </w:tcPr>
                <w:p w14:paraId="18A306AB">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名称</w:t>
                  </w:r>
                </w:p>
              </w:tc>
              <w:tc>
                <w:tcPr>
                  <w:tcW w:w="543" w:type="pct"/>
                  <w:tcBorders>
                    <w:tl2br w:val="nil"/>
                    <w:tr2bl w:val="nil"/>
                  </w:tcBorders>
                  <w:noWrap w:val="0"/>
                  <w:vAlign w:val="center"/>
                </w:tcPr>
                <w:p w14:paraId="4C809712">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监测项目</w:t>
                  </w:r>
                </w:p>
              </w:tc>
              <w:tc>
                <w:tcPr>
                  <w:tcW w:w="853" w:type="pct"/>
                  <w:tcBorders>
                    <w:tl2br w:val="nil"/>
                    <w:tr2bl w:val="nil"/>
                  </w:tcBorders>
                  <w:noWrap w:val="0"/>
                  <w:vAlign w:val="center"/>
                </w:tcPr>
                <w:p w14:paraId="3829EE66">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eastAsia" w:cs="Times New Roman"/>
                      <w:bCs/>
                      <w:color w:val="auto"/>
                      <w:sz w:val="21"/>
                      <w:szCs w:val="21"/>
                      <w:highlight w:val="none"/>
                      <w:lang w:eastAsia="zh-CN"/>
                    </w:rPr>
                    <w:t>监测点位</w:t>
                  </w:r>
                </w:p>
              </w:tc>
              <w:tc>
                <w:tcPr>
                  <w:tcW w:w="941" w:type="pct"/>
                  <w:tcBorders>
                    <w:tl2br w:val="nil"/>
                    <w:tr2bl w:val="nil"/>
                  </w:tcBorders>
                  <w:noWrap w:val="0"/>
                  <w:vAlign w:val="center"/>
                </w:tcPr>
                <w:p w14:paraId="09057BCC">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监测因子</w:t>
                  </w:r>
                </w:p>
              </w:tc>
              <w:tc>
                <w:tcPr>
                  <w:tcW w:w="620" w:type="pct"/>
                  <w:tcBorders>
                    <w:tl2br w:val="nil"/>
                    <w:tr2bl w:val="nil"/>
                  </w:tcBorders>
                  <w:noWrap w:val="0"/>
                  <w:vAlign w:val="center"/>
                </w:tcPr>
                <w:p w14:paraId="584EA55E">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监测频次</w:t>
                  </w:r>
                </w:p>
              </w:tc>
              <w:tc>
                <w:tcPr>
                  <w:tcW w:w="1664" w:type="pct"/>
                  <w:tcBorders>
                    <w:tl2br w:val="nil"/>
                    <w:tr2bl w:val="nil"/>
                  </w:tcBorders>
                  <w:noWrap w:val="0"/>
                  <w:vAlign w:val="center"/>
                </w:tcPr>
                <w:p w14:paraId="4E9857A5">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执行标准</w:t>
                  </w:r>
                </w:p>
              </w:tc>
            </w:tr>
            <w:tr w14:paraId="08A5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exact"/>
                <w:jc w:val="center"/>
              </w:trPr>
              <w:tc>
                <w:tcPr>
                  <w:tcW w:w="377" w:type="pct"/>
                  <w:vMerge w:val="restart"/>
                  <w:tcBorders>
                    <w:tl2br w:val="nil"/>
                    <w:tr2bl w:val="nil"/>
                  </w:tcBorders>
                  <w:noWrap w:val="0"/>
                  <w:vAlign w:val="center"/>
                </w:tcPr>
                <w:p w14:paraId="672633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废气</w:t>
                  </w:r>
                </w:p>
              </w:tc>
              <w:tc>
                <w:tcPr>
                  <w:tcW w:w="543" w:type="pct"/>
                  <w:tcBorders>
                    <w:tl2br w:val="nil"/>
                    <w:tr2bl w:val="nil"/>
                  </w:tcBorders>
                  <w:noWrap w:val="0"/>
                  <w:vAlign w:val="center"/>
                </w:tcPr>
                <w:p w14:paraId="79BCAABD">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有组织排放废气</w:t>
                  </w:r>
                </w:p>
              </w:tc>
              <w:tc>
                <w:tcPr>
                  <w:tcW w:w="853" w:type="pct"/>
                  <w:tcBorders>
                    <w:tl2br w:val="nil"/>
                    <w:tr2bl w:val="nil"/>
                  </w:tcBorders>
                  <w:noWrap w:val="0"/>
                  <w:vAlign w:val="center"/>
                </w:tcPr>
                <w:p w14:paraId="669AD1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DA001排气筒</w:t>
                  </w:r>
                </w:p>
              </w:tc>
              <w:tc>
                <w:tcPr>
                  <w:tcW w:w="941" w:type="pct"/>
                  <w:tcBorders>
                    <w:tl2br w:val="nil"/>
                    <w:tr2bl w:val="nil"/>
                  </w:tcBorders>
                  <w:noWrap w:val="0"/>
                  <w:vAlign w:val="center"/>
                </w:tcPr>
                <w:p w14:paraId="52543272">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olor w:val="auto"/>
                      <w:lang w:val="en-US" w:eastAsia="zh-CN"/>
                    </w:rPr>
                    <w:t>TSP、苯系物（苯、甲苯、二甲苯）、非甲烷总烃</w:t>
                  </w:r>
                </w:p>
              </w:tc>
              <w:tc>
                <w:tcPr>
                  <w:tcW w:w="620" w:type="pct"/>
                  <w:tcBorders>
                    <w:tl2br w:val="nil"/>
                    <w:tr2bl w:val="nil"/>
                  </w:tcBorders>
                  <w:noWrap w:val="0"/>
                  <w:vAlign w:val="center"/>
                </w:tcPr>
                <w:p w14:paraId="4EF06F9B">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1次/</w:t>
                  </w:r>
                  <w:r>
                    <w:rPr>
                      <w:rFonts w:hint="default" w:ascii="Times New Roman" w:hAnsi="Times New Roman" w:eastAsia="宋体" w:cs="Times New Roman"/>
                      <w:bCs/>
                      <w:color w:val="auto"/>
                      <w:sz w:val="21"/>
                      <w:szCs w:val="21"/>
                      <w:highlight w:val="none"/>
                      <w:lang w:val="en-US" w:eastAsia="zh-CN"/>
                    </w:rPr>
                    <w:t>年</w:t>
                  </w:r>
                </w:p>
              </w:tc>
              <w:tc>
                <w:tcPr>
                  <w:tcW w:w="1664" w:type="pct"/>
                  <w:tcBorders>
                    <w:tl2br w:val="nil"/>
                    <w:tr2bl w:val="nil"/>
                  </w:tcBorders>
                  <w:noWrap w:val="0"/>
                  <w:vAlign w:val="center"/>
                </w:tcPr>
                <w:p w14:paraId="02120A0F">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val="en-US" w:eastAsia="zh-CN"/>
                    </w:rPr>
                    <w:t>《大气污染物综合排放标准》（GB16297-1996）表2中二类排放标准</w:t>
                  </w:r>
                </w:p>
              </w:tc>
            </w:tr>
            <w:tr w14:paraId="5AD7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377" w:type="pct"/>
                  <w:vMerge w:val="continue"/>
                  <w:tcBorders>
                    <w:tl2br w:val="nil"/>
                    <w:tr2bl w:val="nil"/>
                  </w:tcBorders>
                  <w:noWrap w:val="0"/>
                  <w:vAlign w:val="center"/>
                </w:tcPr>
                <w:p w14:paraId="459CAC01">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p>
              </w:tc>
              <w:tc>
                <w:tcPr>
                  <w:tcW w:w="543" w:type="pct"/>
                  <w:tcBorders>
                    <w:tl2br w:val="nil"/>
                    <w:tr2bl w:val="nil"/>
                  </w:tcBorders>
                  <w:noWrap w:val="0"/>
                  <w:vAlign w:val="center"/>
                </w:tcPr>
                <w:p w14:paraId="6F6FCAC3">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无组织排放废气</w:t>
                  </w:r>
                </w:p>
              </w:tc>
              <w:tc>
                <w:tcPr>
                  <w:tcW w:w="853" w:type="pct"/>
                  <w:tcBorders>
                    <w:tl2br w:val="nil"/>
                    <w:tr2bl w:val="nil"/>
                  </w:tcBorders>
                  <w:noWrap w:val="0"/>
                  <w:vAlign w:val="center"/>
                </w:tcPr>
                <w:p w14:paraId="6376B235">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厂界周界上风向1个对照点，下风向设3个监控点）</w:t>
                  </w:r>
                </w:p>
              </w:tc>
              <w:tc>
                <w:tcPr>
                  <w:tcW w:w="941" w:type="pct"/>
                  <w:tcBorders>
                    <w:tl2br w:val="nil"/>
                    <w:tr2bl w:val="nil"/>
                  </w:tcBorders>
                  <w:noWrap w:val="0"/>
                  <w:vAlign w:val="center"/>
                </w:tcPr>
                <w:p w14:paraId="146619C4">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eastAsia="zh-CN"/>
                    </w:rPr>
                  </w:pPr>
                  <w:r>
                    <w:rPr>
                      <w:rFonts w:hint="eastAsia"/>
                      <w:color w:val="auto"/>
                      <w:lang w:val="en-US" w:eastAsia="zh-CN"/>
                    </w:rPr>
                    <w:t>TSP、苯系物（苯、甲苯、二甲苯）、非甲烷总烃</w:t>
                  </w:r>
                </w:p>
              </w:tc>
              <w:tc>
                <w:tcPr>
                  <w:tcW w:w="620" w:type="pct"/>
                  <w:tcBorders>
                    <w:tl2br w:val="nil"/>
                    <w:tr2bl w:val="nil"/>
                  </w:tcBorders>
                  <w:noWrap w:val="0"/>
                  <w:vAlign w:val="center"/>
                </w:tcPr>
                <w:p w14:paraId="6E573566">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1次/</w:t>
                  </w:r>
                  <w:r>
                    <w:rPr>
                      <w:rFonts w:hint="eastAsia" w:cs="Times New Roman"/>
                      <w:bCs/>
                      <w:color w:val="auto"/>
                      <w:sz w:val="21"/>
                      <w:szCs w:val="21"/>
                      <w:highlight w:val="none"/>
                      <w:lang w:val="en-US" w:eastAsia="zh-CN"/>
                    </w:rPr>
                    <w:t>半</w:t>
                  </w:r>
                  <w:r>
                    <w:rPr>
                      <w:rFonts w:hint="default" w:ascii="Times New Roman" w:hAnsi="Times New Roman" w:eastAsia="宋体" w:cs="Times New Roman"/>
                      <w:bCs/>
                      <w:color w:val="auto"/>
                      <w:sz w:val="21"/>
                      <w:szCs w:val="21"/>
                      <w:highlight w:val="none"/>
                      <w:lang w:val="en-US" w:eastAsia="zh-CN"/>
                    </w:rPr>
                    <w:t>年</w:t>
                  </w:r>
                </w:p>
              </w:tc>
              <w:tc>
                <w:tcPr>
                  <w:tcW w:w="1664" w:type="pct"/>
                  <w:tcBorders>
                    <w:tl2br w:val="nil"/>
                    <w:tr2bl w:val="nil"/>
                  </w:tcBorders>
                  <w:noWrap w:val="0"/>
                  <w:vAlign w:val="center"/>
                </w:tcPr>
                <w:p w14:paraId="51928AF4">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val="en-US"/>
                    </w:rPr>
                  </w:pPr>
                  <w:r>
                    <w:rPr>
                      <w:rFonts w:hint="default" w:ascii="Times New Roman" w:hAnsi="Times New Roman" w:eastAsia="宋体" w:cs="Times New Roman"/>
                      <w:color w:val="auto"/>
                      <w:szCs w:val="21"/>
                      <w:highlight w:val="none"/>
                      <w:lang w:val="en-US" w:eastAsia="zh-CN"/>
                    </w:rPr>
                    <w:t>《大气污染物综合排放标准》（GB16297-1996）表2中</w:t>
                  </w:r>
                  <w:r>
                    <w:rPr>
                      <w:rFonts w:hint="default" w:ascii="Times New Roman" w:hAnsi="Times New Roman" w:eastAsia="宋体" w:cs="Times New Roman"/>
                      <w:bCs/>
                      <w:color w:val="auto"/>
                      <w:sz w:val="21"/>
                      <w:szCs w:val="21"/>
                      <w:highlight w:val="none"/>
                      <w:lang w:eastAsia="zh-CN"/>
                    </w:rPr>
                    <w:t>无组织排放监控</w:t>
                  </w:r>
                  <w:r>
                    <w:rPr>
                      <w:rFonts w:hint="eastAsia" w:cs="Times New Roman"/>
                      <w:bCs/>
                      <w:color w:val="auto"/>
                      <w:sz w:val="21"/>
                      <w:szCs w:val="21"/>
                      <w:highlight w:val="none"/>
                      <w:lang w:eastAsia="zh-CN"/>
                    </w:rPr>
                    <w:t>浓度限值</w:t>
                  </w:r>
                </w:p>
              </w:tc>
            </w:tr>
          </w:tbl>
          <w:p w14:paraId="1CFA1E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eastAsia="zh-CN"/>
              </w:rPr>
              <w:t>二、</w:t>
            </w:r>
            <w:r>
              <w:rPr>
                <w:rFonts w:hint="default" w:ascii="Times New Roman" w:hAnsi="Times New Roman" w:eastAsia="宋体" w:cs="Times New Roman"/>
                <w:b/>
                <w:bCs/>
                <w:color w:val="auto"/>
                <w:sz w:val="24"/>
                <w:highlight w:val="none"/>
              </w:rPr>
              <w:t>废水</w:t>
            </w:r>
          </w:p>
          <w:p w14:paraId="346F9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 xml:space="preserve">生产废水 </w:t>
            </w:r>
          </w:p>
          <w:p w14:paraId="6ABADE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本项目无生产废水产生</w:t>
            </w:r>
            <w:r>
              <w:rPr>
                <w:rFonts w:hint="eastAsia" w:ascii="Times New Roman" w:hAnsi="Times New Roman" w:eastAsia="宋体" w:cs="Times New Roman"/>
                <w:color w:val="auto"/>
                <w:sz w:val="24"/>
                <w:highlight w:val="none"/>
                <w:lang w:val="en-US" w:eastAsia="zh-CN"/>
              </w:rPr>
              <w:t>；</w:t>
            </w:r>
          </w:p>
          <w:p w14:paraId="5C092F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生活</w:t>
            </w:r>
            <w:r>
              <w:rPr>
                <w:rFonts w:hint="eastAsia" w:ascii="Times New Roman" w:hAnsi="Times New Roman" w:eastAsia="宋体" w:cs="Times New Roman"/>
                <w:color w:val="auto"/>
                <w:sz w:val="24"/>
                <w:highlight w:val="none"/>
                <w:lang w:val="en-US" w:eastAsia="zh-CN"/>
              </w:rPr>
              <w:t>污水</w:t>
            </w:r>
          </w:p>
          <w:p w14:paraId="75DEB5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本项目依托国能神东煤炭上湾矿机修车间现有劳动定员，不新增劳动定员，故无新增</w:t>
            </w:r>
            <w:r>
              <w:rPr>
                <w:rFonts w:hint="eastAsia" w:cs="Times New Roman"/>
                <w:color w:val="auto"/>
                <w:sz w:val="24"/>
                <w:highlight w:val="none"/>
                <w:lang w:val="en-US" w:eastAsia="zh-CN"/>
              </w:rPr>
              <w:t>生活污水</w:t>
            </w:r>
            <w:r>
              <w:rPr>
                <w:rFonts w:hint="eastAsia" w:ascii="Times New Roman" w:hAnsi="Times New Roman" w:eastAsia="宋体" w:cs="Times New Roman"/>
                <w:color w:val="auto"/>
                <w:sz w:val="24"/>
                <w:highlight w:val="none"/>
                <w:lang w:val="en-US" w:eastAsia="zh-CN"/>
              </w:rPr>
              <w:t>排放。</w:t>
            </w:r>
          </w:p>
          <w:p w14:paraId="13D542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综上所述，本项目无废水外排且按评价做好污染防控工作后，对水环境影响较小。</w:t>
            </w:r>
          </w:p>
          <w:p w14:paraId="760BFA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eastAsia="zh-CN"/>
              </w:rPr>
              <w:t>三、</w:t>
            </w:r>
            <w:r>
              <w:rPr>
                <w:rFonts w:hint="default" w:ascii="Times New Roman" w:hAnsi="Times New Roman" w:eastAsia="宋体" w:cs="Times New Roman"/>
                <w:b/>
                <w:bCs/>
                <w:color w:val="auto"/>
                <w:sz w:val="24"/>
                <w:highlight w:val="none"/>
              </w:rPr>
              <w:t>噪声</w:t>
            </w:r>
          </w:p>
          <w:p w14:paraId="5E64A5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1.噪声源强</w:t>
            </w:r>
          </w:p>
          <w:p w14:paraId="0209BE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eastAsia"/>
                <w:color w:val="auto"/>
                <w:sz w:val="24"/>
              </w:rPr>
            </w:pPr>
            <w:r>
              <w:rPr>
                <w:rFonts w:hint="eastAsia"/>
                <w:color w:val="auto"/>
                <w:sz w:val="24"/>
              </w:rPr>
              <w:t>本</w:t>
            </w:r>
            <w:r>
              <w:rPr>
                <w:rFonts w:hint="default"/>
                <w:color w:val="auto"/>
                <w:sz w:val="24"/>
              </w:rPr>
              <w:t>项目噪声主要</w:t>
            </w:r>
            <w:r>
              <w:rPr>
                <w:rFonts w:hint="eastAsia"/>
                <w:color w:val="auto"/>
                <w:sz w:val="24"/>
              </w:rPr>
              <w:t>来源于风机、</w:t>
            </w:r>
            <w:r>
              <w:rPr>
                <w:rFonts w:hint="eastAsia"/>
                <w:color w:val="auto"/>
                <w:sz w:val="24"/>
                <w:lang w:eastAsia="zh-CN"/>
              </w:rPr>
              <w:t>喷枪</w:t>
            </w:r>
            <w:r>
              <w:rPr>
                <w:rFonts w:hint="eastAsia"/>
                <w:color w:val="auto"/>
                <w:sz w:val="24"/>
              </w:rPr>
              <w:t>等</w:t>
            </w:r>
            <w:r>
              <w:rPr>
                <w:rFonts w:hint="eastAsia"/>
                <w:color w:val="auto"/>
                <w:sz w:val="24"/>
                <w:lang w:eastAsia="zh-CN"/>
              </w:rPr>
              <w:t>产生的</w:t>
            </w:r>
            <w:r>
              <w:rPr>
                <w:rFonts w:hint="eastAsia"/>
                <w:color w:val="auto"/>
                <w:sz w:val="24"/>
              </w:rPr>
              <w:t>噪声，噪声级约7</w:t>
            </w:r>
            <w:r>
              <w:rPr>
                <w:rFonts w:hint="eastAsia"/>
                <w:color w:val="auto"/>
                <w:sz w:val="24"/>
                <w:lang w:val="en-US" w:eastAsia="zh-CN"/>
              </w:rPr>
              <w:t>5</w:t>
            </w:r>
            <w:r>
              <w:rPr>
                <w:rFonts w:hint="eastAsia"/>
                <w:color w:val="auto"/>
                <w:sz w:val="24"/>
              </w:rPr>
              <w:t>～8</w:t>
            </w:r>
            <w:r>
              <w:rPr>
                <w:rFonts w:hint="default"/>
                <w:color w:val="auto"/>
                <w:sz w:val="24"/>
              </w:rPr>
              <w:t>5</w:t>
            </w:r>
            <w:r>
              <w:rPr>
                <w:rFonts w:hint="default"/>
                <w:b/>
                <w:bCs/>
                <w:color w:val="auto"/>
                <w:szCs w:val="21"/>
              </w:rPr>
              <w:t>dB(A)</w:t>
            </w:r>
            <w:r>
              <w:rPr>
                <w:rFonts w:hint="eastAsia"/>
                <w:color w:val="auto"/>
                <w:sz w:val="24"/>
              </w:rPr>
              <w:t>。</w:t>
            </w:r>
          </w:p>
          <w:p w14:paraId="1C4F332A">
            <w:pPr>
              <w:pStyle w:val="4"/>
              <w:keepNext w:val="0"/>
              <w:keepLines w:val="0"/>
              <w:suppressLineNumbers w:val="0"/>
              <w:spacing w:before="0" w:beforeAutospacing="0" w:after="0" w:afterAutospacing="0" w:line="240" w:lineRule="auto"/>
              <w:ind w:left="0" w:right="0" w:firstLine="0"/>
              <w:jc w:val="center"/>
              <w:rPr>
                <w:rFonts w:eastAsia="宋体"/>
                <w:color w:val="auto"/>
                <w:sz w:val="24"/>
                <w:szCs w:val="24"/>
              </w:rPr>
            </w:pPr>
            <w:r>
              <w:rPr>
                <w:rFonts w:eastAsia="宋体"/>
                <w:color w:val="auto"/>
                <w:sz w:val="24"/>
                <w:szCs w:val="24"/>
              </w:rPr>
              <w:t>表4-</w:t>
            </w:r>
            <w:r>
              <w:rPr>
                <w:rFonts w:hint="eastAsia"/>
                <w:color w:val="auto"/>
                <w:sz w:val="24"/>
                <w:szCs w:val="24"/>
                <w:lang w:val="en-US" w:eastAsia="zh-CN"/>
              </w:rPr>
              <w:t>8</w:t>
            </w:r>
            <w:r>
              <w:rPr>
                <w:rFonts w:eastAsia="宋体"/>
                <w:color w:val="auto"/>
                <w:sz w:val="24"/>
                <w:szCs w:val="24"/>
              </w:rPr>
              <w:t xml:space="preserve">  设备噪声声源一览表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065"/>
              <w:gridCol w:w="858"/>
              <w:gridCol w:w="927"/>
              <w:gridCol w:w="1578"/>
              <w:gridCol w:w="1989"/>
              <w:gridCol w:w="1361"/>
            </w:tblGrid>
            <w:tr w14:paraId="5291C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6" w:type="pct"/>
                  <w:tcBorders>
                    <w:top w:val="single" w:color="auto" w:sz="4" w:space="0"/>
                    <w:left w:val="single" w:color="auto" w:sz="0" w:space="0"/>
                  </w:tcBorders>
                  <w:noWrap w:val="0"/>
                  <w:vAlign w:val="center"/>
                </w:tcPr>
                <w:p w14:paraId="7B491BF3">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b/>
                      <w:color w:val="auto"/>
                      <w:kern w:val="0"/>
                      <w:sz w:val="21"/>
                      <w:szCs w:val="21"/>
                    </w:rPr>
                    <w:t>序号</w:t>
                  </w:r>
                </w:p>
              </w:tc>
              <w:tc>
                <w:tcPr>
                  <w:tcW w:w="619" w:type="pct"/>
                  <w:tcBorders>
                    <w:top w:val="single" w:color="auto" w:sz="4" w:space="0"/>
                  </w:tcBorders>
                  <w:noWrap w:val="0"/>
                  <w:vAlign w:val="center"/>
                </w:tcPr>
                <w:p w14:paraId="746D3555">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b/>
                      <w:color w:val="auto"/>
                      <w:kern w:val="0"/>
                      <w:sz w:val="21"/>
                      <w:szCs w:val="21"/>
                    </w:rPr>
                    <w:t>名称</w:t>
                  </w:r>
                </w:p>
              </w:tc>
              <w:tc>
                <w:tcPr>
                  <w:tcW w:w="499" w:type="pct"/>
                  <w:tcBorders>
                    <w:top w:val="single" w:color="auto" w:sz="4" w:space="0"/>
                  </w:tcBorders>
                  <w:noWrap w:val="0"/>
                  <w:vAlign w:val="center"/>
                </w:tcPr>
                <w:p w14:paraId="1CC9CF0B">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b/>
                      <w:color w:val="auto"/>
                      <w:kern w:val="0"/>
                      <w:sz w:val="21"/>
                      <w:szCs w:val="21"/>
                    </w:rPr>
                    <w:t>数量</w:t>
                  </w:r>
                </w:p>
              </w:tc>
              <w:tc>
                <w:tcPr>
                  <w:tcW w:w="539" w:type="pct"/>
                  <w:tcBorders>
                    <w:top w:val="single" w:color="auto" w:sz="4" w:space="0"/>
                  </w:tcBorders>
                  <w:noWrap w:val="0"/>
                  <w:vAlign w:val="center"/>
                </w:tcPr>
                <w:p w14:paraId="143F0C24">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b/>
                      <w:color w:val="auto"/>
                      <w:kern w:val="0"/>
                      <w:sz w:val="21"/>
                      <w:szCs w:val="21"/>
                    </w:rPr>
                    <w:t>单位</w:t>
                  </w:r>
                </w:p>
              </w:tc>
              <w:tc>
                <w:tcPr>
                  <w:tcW w:w="917" w:type="pct"/>
                  <w:tcBorders>
                    <w:top w:val="single" w:color="auto" w:sz="4" w:space="0"/>
                  </w:tcBorders>
                  <w:noWrap w:val="0"/>
                  <w:vAlign w:val="center"/>
                </w:tcPr>
                <w:p w14:paraId="3C3C2C66">
                  <w:pPr>
                    <w:pStyle w:val="69"/>
                    <w:keepNext w:val="0"/>
                    <w:keepLines w:val="0"/>
                    <w:suppressLineNumbers w:val="0"/>
                    <w:spacing w:beforeAutospacing="0" w:after="0" w:afterAutospacing="0" w:line="268" w:lineRule="exact"/>
                    <w:ind w:left="168" w:right="0"/>
                    <w:jc w:val="both"/>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产生强度</w:t>
                  </w:r>
                </w:p>
                <w:p w14:paraId="28874A66">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b/>
                      <w:bCs/>
                      <w:color w:val="auto"/>
                      <w:sz w:val="21"/>
                      <w:szCs w:val="21"/>
                    </w:rPr>
                    <w:t>（dB(A)）</w:t>
                  </w:r>
                </w:p>
              </w:tc>
              <w:tc>
                <w:tcPr>
                  <w:tcW w:w="1156" w:type="pct"/>
                  <w:tcBorders>
                    <w:top w:val="single" w:color="auto" w:sz="4" w:space="0"/>
                  </w:tcBorders>
                  <w:noWrap w:val="0"/>
                  <w:vAlign w:val="center"/>
                </w:tcPr>
                <w:p w14:paraId="7804E27E">
                  <w:pPr>
                    <w:pStyle w:val="69"/>
                    <w:keepNext w:val="0"/>
                    <w:keepLines w:val="0"/>
                    <w:suppressLineNumbers w:val="0"/>
                    <w:spacing w:beforeAutospacing="0" w:after="0" w:afterAutospacing="0"/>
                    <w:ind w:left="0" w:right="0"/>
                    <w:rPr>
                      <w:rFonts w:hint="default" w:ascii="Times New Roman" w:hAnsi="Times New Roman" w:cs="Times New Roman"/>
                      <w:color w:val="auto"/>
                      <w:sz w:val="21"/>
                      <w:szCs w:val="21"/>
                      <w:lang w:val="en-US"/>
                    </w:rPr>
                  </w:pPr>
                  <w:r>
                    <w:rPr>
                      <w:rFonts w:hint="default" w:ascii="Times New Roman" w:hAnsi="Times New Roman" w:cs="Times New Roman"/>
                      <w:b/>
                      <w:bCs/>
                      <w:color w:val="auto"/>
                      <w:sz w:val="21"/>
                      <w:szCs w:val="21"/>
                    </w:rPr>
                    <w:t>降噪措施</w:t>
                  </w:r>
                </w:p>
              </w:tc>
              <w:tc>
                <w:tcPr>
                  <w:tcW w:w="791" w:type="pct"/>
                  <w:tcBorders>
                    <w:top w:val="single" w:color="auto" w:sz="4" w:space="0"/>
                    <w:right w:val="single" w:color="auto" w:sz="4" w:space="0"/>
                  </w:tcBorders>
                  <w:noWrap w:val="0"/>
                  <w:vAlign w:val="center"/>
                </w:tcPr>
                <w:p w14:paraId="2C8D79DD">
                  <w:pPr>
                    <w:pStyle w:val="69"/>
                    <w:keepNext w:val="0"/>
                    <w:keepLines w:val="0"/>
                    <w:suppressLineNumbers w:val="0"/>
                    <w:spacing w:beforeAutospacing="0" w:after="0" w:afterAutospacing="0" w:line="268" w:lineRule="exact"/>
                    <w:ind w:left="0" w:right="0"/>
                    <w:jc w:val="both"/>
                    <w:rPr>
                      <w:rFonts w:hint="default" w:ascii="Times New Roman" w:hAnsi="Times New Roman" w:cs="Times New Roman"/>
                      <w:color w:val="auto"/>
                      <w:sz w:val="21"/>
                      <w:szCs w:val="21"/>
                      <w:lang w:val="en-US"/>
                    </w:rPr>
                  </w:pPr>
                  <w:r>
                    <w:rPr>
                      <w:rFonts w:hint="default" w:ascii="Times New Roman" w:hAnsi="Times New Roman" w:cs="Times New Roman"/>
                      <w:b/>
                      <w:bCs/>
                      <w:color w:val="auto"/>
                      <w:sz w:val="21"/>
                      <w:szCs w:val="21"/>
                    </w:rPr>
                    <w:t>排放强</w:t>
                  </w:r>
                  <w:r>
                    <w:rPr>
                      <w:rFonts w:hint="default" w:ascii="Times New Roman" w:hAnsi="Times New Roman" w:cs="Times New Roman"/>
                      <w:b/>
                      <w:bCs/>
                      <w:color w:val="auto"/>
                      <w:sz w:val="21"/>
                      <w:szCs w:val="21"/>
                      <w:lang w:val="en-US"/>
                    </w:rPr>
                    <w:t>度</w:t>
                  </w:r>
                  <w:r>
                    <w:rPr>
                      <w:rFonts w:hint="default" w:ascii="Times New Roman" w:hAnsi="Times New Roman" w:cs="Times New Roman"/>
                      <w:b/>
                      <w:bCs/>
                      <w:color w:val="auto"/>
                      <w:sz w:val="21"/>
                      <w:szCs w:val="21"/>
                    </w:rPr>
                    <w:t>（dB(A)）</w:t>
                  </w:r>
                </w:p>
              </w:tc>
            </w:tr>
            <w:tr w14:paraId="40284D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76" w:type="pct"/>
                  <w:tcBorders>
                    <w:left w:val="single" w:color="auto" w:sz="4" w:space="0"/>
                  </w:tcBorders>
                  <w:noWrap w:val="0"/>
                  <w:vAlign w:val="center"/>
                </w:tcPr>
                <w:p w14:paraId="07F38989">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color w:val="auto"/>
                      <w:kern w:val="0"/>
                      <w:sz w:val="21"/>
                      <w:szCs w:val="21"/>
                    </w:rPr>
                    <w:t>1</w:t>
                  </w:r>
                </w:p>
              </w:tc>
              <w:tc>
                <w:tcPr>
                  <w:tcW w:w="619" w:type="pct"/>
                  <w:noWrap w:val="0"/>
                  <w:vAlign w:val="center"/>
                </w:tcPr>
                <w:p w14:paraId="386394AA">
                  <w:pPr>
                    <w:keepNext w:val="0"/>
                    <w:keepLines w:val="0"/>
                    <w:widowControl/>
                    <w:suppressLineNumbers w:val="0"/>
                    <w:spacing w:before="0" w:beforeAutospacing="0" w:after="0" w:afterAutospacing="0"/>
                    <w:ind w:left="0" w:right="0"/>
                    <w:jc w:val="center"/>
                    <w:rPr>
                      <w:rFonts w:hint="default" w:eastAsia="宋体"/>
                      <w:color w:val="auto"/>
                      <w:sz w:val="21"/>
                      <w:szCs w:val="21"/>
                      <w:lang w:val="en-US" w:eastAsia="zh-CN"/>
                    </w:rPr>
                  </w:pPr>
                  <w:r>
                    <w:rPr>
                      <w:rFonts w:hint="eastAsia"/>
                      <w:color w:val="auto"/>
                      <w:sz w:val="21"/>
                      <w:szCs w:val="21"/>
                      <w:lang w:val="en-US" w:eastAsia="zh-CN"/>
                    </w:rPr>
                    <w:t>风机</w:t>
                  </w:r>
                </w:p>
              </w:tc>
              <w:tc>
                <w:tcPr>
                  <w:tcW w:w="499" w:type="pct"/>
                  <w:noWrap w:val="0"/>
                  <w:vAlign w:val="center"/>
                </w:tcPr>
                <w:p w14:paraId="01879A34">
                  <w:pPr>
                    <w:keepNext w:val="0"/>
                    <w:keepLines w:val="0"/>
                    <w:widowControl/>
                    <w:suppressLineNumbers w:val="0"/>
                    <w:spacing w:before="0" w:beforeAutospacing="0" w:after="0" w:afterAutospacing="0"/>
                    <w:ind w:left="0" w:right="0"/>
                    <w:jc w:val="center"/>
                    <w:rPr>
                      <w:rFonts w:hint="default"/>
                      <w:color w:val="auto"/>
                      <w:sz w:val="21"/>
                      <w:szCs w:val="21"/>
                    </w:rPr>
                  </w:pPr>
                  <w:r>
                    <w:rPr>
                      <w:rFonts w:hint="default"/>
                      <w:color w:val="auto"/>
                      <w:kern w:val="0"/>
                      <w:sz w:val="21"/>
                      <w:szCs w:val="21"/>
                    </w:rPr>
                    <w:t>1</w:t>
                  </w:r>
                </w:p>
              </w:tc>
              <w:tc>
                <w:tcPr>
                  <w:tcW w:w="539" w:type="pct"/>
                  <w:noWrap w:val="0"/>
                  <w:vAlign w:val="center"/>
                </w:tcPr>
                <w:p w14:paraId="7CD2C692">
                  <w:pPr>
                    <w:pStyle w:val="142"/>
                    <w:keepNext w:val="0"/>
                    <w:keepLines w:val="0"/>
                    <w:suppressLineNumbers w:val="0"/>
                    <w:spacing w:before="0" w:beforeAutospacing="0" w:after="0" w:afterAutospacing="0"/>
                    <w:ind w:left="0" w:right="0"/>
                    <w:rPr>
                      <w:rFonts w:hint="default"/>
                      <w:color w:val="auto"/>
                      <w:sz w:val="21"/>
                      <w:szCs w:val="21"/>
                    </w:rPr>
                  </w:pPr>
                  <w:r>
                    <w:rPr>
                      <w:rFonts w:hint="default" w:ascii="Times New Roman" w:hAnsi="Times New Roman" w:cs="Times New Roman"/>
                      <w:color w:val="auto"/>
                      <w:sz w:val="21"/>
                      <w:szCs w:val="21"/>
                    </w:rPr>
                    <w:t>台</w:t>
                  </w:r>
                </w:p>
              </w:tc>
              <w:tc>
                <w:tcPr>
                  <w:tcW w:w="917" w:type="pct"/>
                  <w:noWrap w:val="0"/>
                  <w:vAlign w:val="center"/>
                </w:tcPr>
                <w:p w14:paraId="494963FE">
                  <w:pPr>
                    <w:keepNext w:val="0"/>
                    <w:keepLines w:val="0"/>
                    <w:suppressLineNumbers w:val="0"/>
                    <w:spacing w:before="0" w:beforeAutospacing="0" w:after="0" w:afterAutospacing="0"/>
                    <w:ind w:left="0" w:right="0"/>
                    <w:jc w:val="center"/>
                    <w:rPr>
                      <w:rFonts w:hint="default" w:eastAsia="宋体"/>
                      <w:color w:val="auto"/>
                      <w:sz w:val="21"/>
                      <w:szCs w:val="21"/>
                      <w:lang w:val="en-US" w:eastAsia="zh-CN"/>
                    </w:rPr>
                  </w:pPr>
                  <w:r>
                    <w:rPr>
                      <w:rFonts w:hint="eastAsia"/>
                      <w:color w:val="auto"/>
                      <w:sz w:val="21"/>
                      <w:szCs w:val="21"/>
                    </w:rPr>
                    <w:t>7</w:t>
                  </w:r>
                  <w:r>
                    <w:rPr>
                      <w:rFonts w:hint="eastAsia"/>
                      <w:color w:val="auto"/>
                      <w:sz w:val="21"/>
                      <w:szCs w:val="21"/>
                      <w:lang w:val="en-US" w:eastAsia="zh-CN"/>
                    </w:rPr>
                    <w:t>5</w:t>
                  </w:r>
                </w:p>
              </w:tc>
              <w:tc>
                <w:tcPr>
                  <w:tcW w:w="1156" w:type="pct"/>
                  <w:vMerge w:val="restart"/>
                  <w:noWrap w:val="0"/>
                  <w:vAlign w:val="center"/>
                </w:tcPr>
                <w:p w14:paraId="4B03798F">
                  <w:pPr>
                    <w:pStyle w:val="69"/>
                    <w:keepNext w:val="0"/>
                    <w:keepLines w:val="0"/>
                    <w:suppressLineNumbers w:val="0"/>
                    <w:spacing w:before="8" w:beforeAutospacing="0" w:after="0" w:afterAutospacing="0" w:line="242" w:lineRule="auto"/>
                    <w:ind w:left="167" w:right="154"/>
                    <w:rPr>
                      <w:rFonts w:hint="default" w:ascii="Times New Roman" w:hAnsi="Times New Roman" w:eastAsia="宋体" w:cs="Times New Roman"/>
                      <w:color w:val="auto"/>
                      <w:sz w:val="21"/>
                      <w:szCs w:val="21"/>
                      <w:lang w:val="en-US" w:eastAsia="zh-CN"/>
                    </w:rPr>
                  </w:pPr>
                  <w:r>
                    <w:rPr>
                      <w:rFonts w:hint="default"/>
                      <w:color w:val="auto"/>
                      <w:spacing w:val="4"/>
                      <w:sz w:val="21"/>
                      <w:szCs w:val="21"/>
                    </w:rPr>
                    <w:t>减振基础、</w:t>
                  </w:r>
                  <w:r>
                    <w:rPr>
                      <w:rFonts w:hint="eastAsia"/>
                      <w:color w:val="auto"/>
                      <w:spacing w:val="4"/>
                      <w:sz w:val="21"/>
                      <w:szCs w:val="21"/>
                      <w:lang w:val="en-US" w:eastAsia="zh-CN"/>
                    </w:rPr>
                    <w:t>厂房</w:t>
                  </w:r>
                  <w:r>
                    <w:rPr>
                      <w:rFonts w:hint="default"/>
                      <w:color w:val="auto"/>
                      <w:spacing w:val="4"/>
                      <w:sz w:val="21"/>
                      <w:szCs w:val="21"/>
                    </w:rPr>
                    <w:t>隔声</w:t>
                  </w:r>
                </w:p>
              </w:tc>
              <w:tc>
                <w:tcPr>
                  <w:tcW w:w="791" w:type="pct"/>
                  <w:tcBorders>
                    <w:right w:val="single" w:color="auto" w:sz="4" w:space="0"/>
                  </w:tcBorders>
                  <w:noWrap w:val="0"/>
                  <w:vAlign w:val="center"/>
                </w:tcPr>
                <w:p w14:paraId="3AF01BD6">
                  <w:pPr>
                    <w:keepNext w:val="0"/>
                    <w:keepLines w:val="0"/>
                    <w:suppressLineNumbers w:val="0"/>
                    <w:spacing w:before="0" w:beforeAutospacing="0" w:after="0" w:afterAutospacing="0"/>
                    <w:ind w:left="0" w:right="0"/>
                    <w:jc w:val="center"/>
                    <w:rPr>
                      <w:rFonts w:hint="default" w:eastAsia="宋体"/>
                      <w:color w:val="auto"/>
                      <w:sz w:val="21"/>
                      <w:szCs w:val="21"/>
                      <w:lang w:val="en-US" w:eastAsia="zh-CN"/>
                    </w:rPr>
                  </w:pPr>
                  <w:r>
                    <w:rPr>
                      <w:rFonts w:hint="eastAsia"/>
                      <w:color w:val="auto"/>
                      <w:sz w:val="21"/>
                      <w:szCs w:val="21"/>
                      <w:lang w:val="en-US" w:eastAsia="zh-CN"/>
                    </w:rPr>
                    <w:t>55</w:t>
                  </w:r>
                </w:p>
              </w:tc>
            </w:tr>
            <w:tr w14:paraId="4DF8A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76" w:type="pct"/>
                  <w:tcBorders>
                    <w:left w:val="single" w:color="auto" w:sz="4" w:space="0"/>
                    <w:bottom w:val="single" w:color="auto" w:sz="4" w:space="0"/>
                  </w:tcBorders>
                  <w:noWrap w:val="0"/>
                  <w:vAlign w:val="center"/>
                </w:tcPr>
                <w:p w14:paraId="210E24E7">
                  <w:pPr>
                    <w:keepNext w:val="0"/>
                    <w:keepLines w:val="0"/>
                    <w:widowControl/>
                    <w:suppressLineNumbers w:val="0"/>
                    <w:spacing w:before="0" w:beforeAutospacing="0" w:after="0" w:afterAutospacing="0"/>
                    <w:ind w:left="0" w:right="0"/>
                    <w:jc w:val="center"/>
                    <w:rPr>
                      <w:rFonts w:hint="eastAsia" w:eastAsia="宋体"/>
                      <w:color w:val="auto"/>
                      <w:kern w:val="0"/>
                      <w:sz w:val="21"/>
                      <w:szCs w:val="21"/>
                      <w:lang w:val="en-US" w:eastAsia="zh-CN"/>
                    </w:rPr>
                  </w:pPr>
                  <w:r>
                    <w:rPr>
                      <w:rFonts w:hint="eastAsia"/>
                      <w:color w:val="auto"/>
                      <w:kern w:val="0"/>
                      <w:sz w:val="21"/>
                      <w:szCs w:val="21"/>
                      <w:lang w:val="en-US" w:eastAsia="zh-CN"/>
                    </w:rPr>
                    <w:t>2</w:t>
                  </w:r>
                </w:p>
              </w:tc>
              <w:tc>
                <w:tcPr>
                  <w:tcW w:w="619" w:type="pct"/>
                  <w:tcBorders>
                    <w:bottom w:val="single" w:color="auto" w:sz="4" w:space="0"/>
                  </w:tcBorders>
                  <w:noWrap w:val="0"/>
                  <w:vAlign w:val="center"/>
                </w:tcPr>
                <w:p w14:paraId="2F754FCD">
                  <w:pPr>
                    <w:keepNext w:val="0"/>
                    <w:keepLines w:val="0"/>
                    <w:widowControl/>
                    <w:suppressLineNumbers w:val="0"/>
                    <w:spacing w:before="0" w:beforeAutospacing="0" w:after="0" w:afterAutospacing="0"/>
                    <w:ind w:left="0" w:right="0"/>
                    <w:jc w:val="center"/>
                    <w:rPr>
                      <w:rFonts w:hint="default"/>
                      <w:color w:val="auto"/>
                      <w:sz w:val="21"/>
                      <w:szCs w:val="21"/>
                      <w:lang w:val="en-US" w:eastAsia="zh-CN"/>
                    </w:rPr>
                  </w:pPr>
                  <w:r>
                    <w:rPr>
                      <w:rFonts w:hint="eastAsia"/>
                      <w:color w:val="auto"/>
                      <w:sz w:val="21"/>
                      <w:szCs w:val="21"/>
                      <w:lang w:val="en-US" w:eastAsia="zh-CN"/>
                    </w:rPr>
                    <w:t>喷枪</w:t>
                  </w:r>
                </w:p>
              </w:tc>
              <w:tc>
                <w:tcPr>
                  <w:tcW w:w="499" w:type="pct"/>
                  <w:tcBorders>
                    <w:bottom w:val="single" w:color="auto" w:sz="4" w:space="0"/>
                  </w:tcBorders>
                  <w:noWrap w:val="0"/>
                  <w:vAlign w:val="center"/>
                </w:tcPr>
                <w:p w14:paraId="7779756E">
                  <w:pPr>
                    <w:keepNext w:val="0"/>
                    <w:keepLines w:val="0"/>
                    <w:widowControl/>
                    <w:suppressLineNumbers w:val="0"/>
                    <w:spacing w:before="0" w:beforeAutospacing="0" w:after="0" w:afterAutospacing="0"/>
                    <w:ind w:left="0" w:right="0"/>
                    <w:jc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539" w:type="pct"/>
                  <w:tcBorders>
                    <w:bottom w:val="single" w:color="auto" w:sz="4" w:space="0"/>
                  </w:tcBorders>
                  <w:noWrap w:val="0"/>
                  <w:vAlign w:val="center"/>
                </w:tcPr>
                <w:p w14:paraId="6DDD7C3A">
                  <w:pPr>
                    <w:pStyle w:val="142"/>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台</w:t>
                  </w:r>
                </w:p>
              </w:tc>
              <w:tc>
                <w:tcPr>
                  <w:tcW w:w="917" w:type="pct"/>
                  <w:tcBorders>
                    <w:bottom w:val="single" w:color="auto" w:sz="4" w:space="0"/>
                  </w:tcBorders>
                  <w:noWrap w:val="0"/>
                  <w:vAlign w:val="center"/>
                </w:tcPr>
                <w:p w14:paraId="7BF518DA">
                  <w:pPr>
                    <w:keepNext w:val="0"/>
                    <w:keepLines w:val="0"/>
                    <w:suppressLineNumbers w:val="0"/>
                    <w:spacing w:before="0" w:beforeAutospacing="0" w:after="0" w:afterAutospacing="0"/>
                    <w:ind w:left="0" w:right="0"/>
                    <w:jc w:val="center"/>
                    <w:rPr>
                      <w:rFonts w:hint="default"/>
                      <w:color w:val="auto"/>
                      <w:sz w:val="21"/>
                      <w:szCs w:val="21"/>
                    </w:rPr>
                  </w:pPr>
                  <w:r>
                    <w:rPr>
                      <w:rFonts w:hint="eastAsia"/>
                      <w:color w:val="auto"/>
                      <w:sz w:val="21"/>
                      <w:szCs w:val="21"/>
                    </w:rPr>
                    <w:t>8</w:t>
                  </w:r>
                  <w:r>
                    <w:rPr>
                      <w:rFonts w:hint="default"/>
                      <w:color w:val="auto"/>
                      <w:sz w:val="21"/>
                      <w:szCs w:val="21"/>
                    </w:rPr>
                    <w:t>5</w:t>
                  </w:r>
                </w:p>
              </w:tc>
              <w:tc>
                <w:tcPr>
                  <w:tcW w:w="1156" w:type="pct"/>
                  <w:vMerge w:val="continue"/>
                  <w:tcBorders>
                    <w:bottom w:val="single" w:color="auto" w:sz="4" w:space="0"/>
                  </w:tcBorders>
                  <w:noWrap w:val="0"/>
                  <w:vAlign w:val="center"/>
                </w:tcPr>
                <w:p w14:paraId="376024E2">
                  <w:pPr>
                    <w:pStyle w:val="69"/>
                    <w:keepNext w:val="0"/>
                    <w:keepLines w:val="0"/>
                    <w:suppressLineNumbers w:val="0"/>
                    <w:spacing w:before="8" w:beforeAutospacing="0" w:after="0" w:afterAutospacing="0" w:line="242" w:lineRule="auto"/>
                    <w:ind w:left="167" w:right="154"/>
                    <w:rPr>
                      <w:rFonts w:hint="default" w:ascii="Times New Roman" w:hAnsi="Times New Roman" w:cs="Times New Roman"/>
                      <w:color w:val="auto"/>
                      <w:sz w:val="21"/>
                      <w:szCs w:val="21"/>
                    </w:rPr>
                  </w:pPr>
                </w:p>
              </w:tc>
              <w:tc>
                <w:tcPr>
                  <w:tcW w:w="791" w:type="pct"/>
                  <w:tcBorders>
                    <w:bottom w:val="single" w:color="auto" w:sz="4" w:space="0"/>
                    <w:right w:val="single" w:color="auto" w:sz="4" w:space="0"/>
                  </w:tcBorders>
                  <w:noWrap w:val="0"/>
                  <w:vAlign w:val="center"/>
                </w:tcPr>
                <w:p w14:paraId="15503E9C">
                  <w:pPr>
                    <w:keepNext w:val="0"/>
                    <w:keepLines w:val="0"/>
                    <w:suppressLineNumbers w:val="0"/>
                    <w:spacing w:before="0" w:beforeAutospacing="0" w:after="0" w:afterAutospacing="0"/>
                    <w:ind w:left="0" w:right="0"/>
                    <w:jc w:val="center"/>
                    <w:rPr>
                      <w:rFonts w:hint="default"/>
                      <w:color w:val="auto"/>
                      <w:sz w:val="21"/>
                      <w:szCs w:val="21"/>
                      <w:lang w:val="en-US" w:eastAsia="zh-CN"/>
                    </w:rPr>
                  </w:pPr>
                  <w:r>
                    <w:rPr>
                      <w:rFonts w:hint="eastAsia"/>
                      <w:color w:val="auto"/>
                      <w:sz w:val="21"/>
                      <w:szCs w:val="21"/>
                      <w:lang w:val="en-US" w:eastAsia="zh-CN"/>
                    </w:rPr>
                    <w:t>65</w:t>
                  </w:r>
                </w:p>
              </w:tc>
            </w:tr>
          </w:tbl>
          <w:p w14:paraId="1864FF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2.预测分析</w:t>
            </w:r>
          </w:p>
          <w:p w14:paraId="31474CCD">
            <w:pPr>
              <w:keepNext w:val="0"/>
              <w:keepLines w:val="0"/>
              <w:suppressLineNumbers w:val="0"/>
              <w:spacing w:before="0" w:beforeAutospacing="0" w:after="0" w:afterAutospacing="0" w:line="360" w:lineRule="auto"/>
              <w:ind w:left="0" w:right="0" w:firstLine="480" w:firstLineChars="200"/>
              <w:rPr>
                <w:rFonts w:hint="default"/>
                <w:color w:val="auto"/>
                <w:sz w:val="24"/>
                <w:lang w:val="zh-CN"/>
              </w:rPr>
            </w:pPr>
            <w:bookmarkStart w:id="17" w:name="_Toc49161351"/>
            <w:r>
              <w:rPr>
                <w:rFonts w:hint="default"/>
                <w:color w:val="auto"/>
                <w:sz w:val="24"/>
                <w:lang w:val="zh-CN"/>
              </w:rPr>
              <w:t>根据</w:t>
            </w:r>
            <w:r>
              <w:rPr>
                <w:rFonts w:hint="default"/>
                <w:color w:val="auto"/>
                <w:sz w:val="24"/>
              </w:rPr>
              <w:t>设备</w:t>
            </w:r>
            <w:r>
              <w:rPr>
                <w:rFonts w:hint="default"/>
                <w:color w:val="auto"/>
                <w:sz w:val="24"/>
                <w:lang w:val="zh-CN"/>
              </w:rPr>
              <w:t>噪声强度，采用距离衰减模式分析该项目对声环境的影响。预测模式采用《环境影响评价技术导则</w:t>
            </w:r>
            <w:r>
              <w:rPr>
                <w:rFonts w:hint="default"/>
                <w:color w:val="auto"/>
                <w:sz w:val="24"/>
              </w:rPr>
              <w:t>-</w:t>
            </w:r>
            <w:r>
              <w:rPr>
                <w:rFonts w:hint="default"/>
                <w:color w:val="auto"/>
                <w:sz w:val="24"/>
                <w:lang w:val="zh-CN"/>
              </w:rPr>
              <w:t>声环境》（HJ2.4</w:t>
            </w:r>
            <w:r>
              <w:rPr>
                <w:rFonts w:hint="default"/>
                <w:color w:val="auto"/>
                <w:sz w:val="24"/>
              </w:rPr>
              <w:t>-</w:t>
            </w:r>
            <w:r>
              <w:rPr>
                <w:rFonts w:hint="default"/>
                <w:color w:val="auto"/>
                <w:sz w:val="24"/>
                <w:lang w:val="zh-CN"/>
              </w:rPr>
              <w:t>20</w:t>
            </w:r>
            <w:r>
              <w:rPr>
                <w:rFonts w:hint="eastAsia"/>
                <w:color w:val="auto"/>
                <w:sz w:val="24"/>
                <w:lang w:val="en-US" w:eastAsia="zh-CN"/>
              </w:rPr>
              <w:t>21</w:t>
            </w:r>
            <w:r>
              <w:rPr>
                <w:rFonts w:hint="default"/>
                <w:color w:val="auto"/>
                <w:sz w:val="24"/>
                <w:lang w:val="zh-CN"/>
              </w:rPr>
              <w:t>）中推荐的噪声预测模式，噪声衰减公式：</w:t>
            </w:r>
          </w:p>
          <w:p w14:paraId="3F1ED1F0">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ascii="宋体" w:hAnsi="宋体" w:cs="宋体"/>
                <w:color w:val="auto"/>
                <w:sz w:val="24"/>
              </w:rPr>
              <w:t>①</w:t>
            </w:r>
            <w:r>
              <w:rPr>
                <w:rFonts w:hint="default"/>
                <w:color w:val="auto"/>
                <w:sz w:val="24"/>
              </w:rPr>
              <w:t>单个室外的点声源在预测点产生的声级计算基本公式</w:t>
            </w:r>
          </w:p>
          <w:p w14:paraId="24F3AAB1">
            <w:pPr>
              <w:keepNext w:val="0"/>
              <w:keepLines w:val="0"/>
              <w:suppressLineNumbers w:val="0"/>
              <w:spacing w:before="0" w:beforeAutospacing="0" w:after="0" w:afterAutospacing="0" w:line="360" w:lineRule="auto"/>
              <w:ind w:left="0" w:right="0" w:firstLine="480" w:firstLineChars="200"/>
              <w:jc w:val="center"/>
              <w:rPr>
                <w:rFonts w:hint="default"/>
                <w:color w:val="auto"/>
                <w:sz w:val="24"/>
              </w:rPr>
            </w:pPr>
            <w:r>
              <w:rPr>
                <w:rFonts w:hint="default"/>
                <w:color w:val="auto"/>
                <w:sz w:val="24"/>
              </w:rPr>
              <w:drawing>
                <wp:inline distT="0" distB="0" distL="0" distR="0">
                  <wp:extent cx="1224280" cy="182880"/>
                  <wp:effectExtent l="0" t="0" r="1397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286021" cy="192244"/>
                          </a:xfrm>
                          <a:prstGeom prst="rect">
                            <a:avLst/>
                          </a:prstGeom>
                          <a:noFill/>
                          <a:ln>
                            <a:noFill/>
                          </a:ln>
                        </pic:spPr>
                      </pic:pic>
                    </a:graphicData>
                  </a:graphic>
                </wp:inline>
              </w:drawing>
            </w:r>
          </w:p>
          <w:p w14:paraId="5ED16CFB">
            <w:pPr>
              <w:keepNext w:val="0"/>
              <w:keepLines w:val="0"/>
              <w:suppressLineNumbers w:val="0"/>
              <w:spacing w:before="0" w:beforeAutospacing="0" w:after="0" w:afterAutospacing="0" w:line="360" w:lineRule="auto"/>
              <w:ind w:left="0" w:right="0" w:firstLine="480" w:firstLineChars="200"/>
              <w:jc w:val="center"/>
              <w:rPr>
                <w:rFonts w:hint="default"/>
                <w:color w:val="auto"/>
                <w:sz w:val="24"/>
                <w:lang w:val="zh-CN"/>
              </w:rPr>
            </w:pPr>
            <w:r>
              <w:rPr>
                <w:rFonts w:hint="default"/>
                <w:color w:val="auto"/>
                <w:sz w:val="24"/>
              </w:rPr>
              <w:drawing>
                <wp:inline distT="0" distB="0" distL="0" distR="0">
                  <wp:extent cx="1979295" cy="186690"/>
                  <wp:effectExtent l="0" t="0" r="1905"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037736" cy="192626"/>
                          </a:xfrm>
                          <a:prstGeom prst="rect">
                            <a:avLst/>
                          </a:prstGeom>
                          <a:noFill/>
                          <a:ln>
                            <a:noFill/>
                          </a:ln>
                        </pic:spPr>
                      </pic:pic>
                    </a:graphicData>
                  </a:graphic>
                </wp:inline>
              </w:drawing>
            </w:r>
          </w:p>
          <w:p w14:paraId="4B17E166">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式中：L</w:t>
            </w:r>
            <w:r>
              <w:rPr>
                <w:rFonts w:hint="default"/>
                <w:color w:val="auto"/>
                <w:sz w:val="24"/>
                <w:vertAlign w:val="subscript"/>
              </w:rPr>
              <w:t>W</w:t>
            </w:r>
            <w:r>
              <w:rPr>
                <w:rFonts w:hint="default"/>
                <w:color w:val="auto"/>
                <w:sz w:val="24"/>
              </w:rPr>
              <w:t>——倍频带声功率级，dB；</w:t>
            </w:r>
          </w:p>
          <w:p w14:paraId="228E8A24">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D</w:t>
            </w:r>
            <w:r>
              <w:rPr>
                <w:rFonts w:hint="default"/>
                <w:color w:val="auto"/>
                <w:sz w:val="24"/>
                <w:vertAlign w:val="subscript"/>
              </w:rPr>
              <w:t>C</w:t>
            </w:r>
            <w:r>
              <w:rPr>
                <w:rFonts w:hint="default"/>
                <w:color w:val="auto"/>
                <w:sz w:val="24"/>
              </w:rPr>
              <w:t>——指向性校正，dB；</w:t>
            </w:r>
          </w:p>
          <w:p w14:paraId="5709589D">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A——倍频带衰减，dB；</w:t>
            </w:r>
          </w:p>
          <w:p w14:paraId="31593FB3">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w:t>
            </w:r>
            <w:r>
              <w:rPr>
                <w:rFonts w:hint="default"/>
                <w:color w:val="auto"/>
                <w:sz w:val="24"/>
                <w:vertAlign w:val="subscript"/>
              </w:rPr>
              <w:t>div</w:t>
            </w:r>
            <w:r>
              <w:rPr>
                <w:rFonts w:hint="default"/>
                <w:color w:val="auto"/>
                <w:sz w:val="24"/>
              </w:rPr>
              <w:t>——几何发散引起的倍频带衰减，dB；</w:t>
            </w:r>
          </w:p>
          <w:p w14:paraId="2E1BAFDD">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w:t>
            </w:r>
            <w:r>
              <w:rPr>
                <w:rFonts w:hint="default"/>
                <w:color w:val="auto"/>
                <w:sz w:val="24"/>
                <w:vertAlign w:val="subscript"/>
              </w:rPr>
              <w:t>atm</w:t>
            </w:r>
            <w:r>
              <w:rPr>
                <w:rFonts w:hint="default"/>
                <w:color w:val="auto"/>
                <w:sz w:val="24"/>
              </w:rPr>
              <w:t>——大气吸收引起的倍频带衰减，dB；</w:t>
            </w:r>
          </w:p>
          <w:p w14:paraId="3468B21E">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w:t>
            </w:r>
            <w:r>
              <w:rPr>
                <w:rFonts w:hint="default"/>
                <w:color w:val="auto"/>
                <w:sz w:val="24"/>
                <w:vertAlign w:val="subscript"/>
              </w:rPr>
              <w:t>gr</w:t>
            </w:r>
            <w:r>
              <w:rPr>
                <w:rFonts w:hint="default"/>
                <w:color w:val="auto"/>
                <w:sz w:val="24"/>
              </w:rPr>
              <w:t>——地面效应引起的倍频带衰减，dB；</w:t>
            </w:r>
          </w:p>
          <w:p w14:paraId="2EF36DA1">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w:t>
            </w:r>
            <w:r>
              <w:rPr>
                <w:rFonts w:hint="default"/>
                <w:color w:val="auto"/>
                <w:sz w:val="24"/>
                <w:vertAlign w:val="subscript"/>
              </w:rPr>
              <w:t>bar</w:t>
            </w:r>
            <w:r>
              <w:rPr>
                <w:rFonts w:hint="default"/>
                <w:color w:val="auto"/>
                <w:sz w:val="24"/>
              </w:rPr>
              <w:t>——声屏障引起的倍频带衰减，dB；</w:t>
            </w:r>
          </w:p>
          <w:p w14:paraId="62EF79CA">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A</w:t>
            </w:r>
            <w:r>
              <w:rPr>
                <w:rFonts w:hint="default"/>
                <w:color w:val="auto"/>
                <w:sz w:val="24"/>
                <w:vertAlign w:val="subscript"/>
              </w:rPr>
              <w:t>misc</w:t>
            </w:r>
            <w:r>
              <w:rPr>
                <w:rFonts w:hint="default"/>
                <w:color w:val="auto"/>
                <w:sz w:val="24"/>
              </w:rPr>
              <w:t>——其他多方面效应引起的倍频带衰减，dB。</w:t>
            </w:r>
          </w:p>
          <w:p w14:paraId="42F03A94">
            <w:pPr>
              <w:keepNext w:val="0"/>
              <w:keepLines w:val="0"/>
              <w:suppressLineNumbers w:val="0"/>
              <w:tabs>
                <w:tab w:val="left" w:pos="900"/>
              </w:tabs>
              <w:spacing w:before="0" w:beforeAutospacing="0" w:after="0" w:afterAutospacing="0" w:line="360" w:lineRule="auto"/>
              <w:ind w:left="0" w:right="0" w:firstLine="482"/>
              <w:rPr>
                <w:rFonts w:hint="default"/>
                <w:color w:val="auto"/>
                <w:sz w:val="24"/>
              </w:rPr>
            </w:pPr>
            <w:r>
              <w:rPr>
                <w:rFonts w:hint="eastAsia" w:ascii="宋体" w:hAnsi="宋体" w:cs="宋体"/>
                <w:color w:val="auto"/>
                <w:sz w:val="24"/>
              </w:rPr>
              <w:t>②</w:t>
            </w:r>
            <w:r>
              <w:rPr>
                <w:rFonts w:hint="default"/>
                <w:color w:val="auto"/>
                <w:sz w:val="24"/>
              </w:rPr>
              <w:t>室内声源等效室外声源声功率级计算方法</w:t>
            </w:r>
          </w:p>
          <w:p w14:paraId="0222A51E">
            <w:pPr>
              <w:keepNext w:val="0"/>
              <w:keepLines w:val="0"/>
              <w:suppressLineNumbers w:val="0"/>
              <w:tabs>
                <w:tab w:val="left" w:pos="900"/>
              </w:tabs>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声源位于室内，室内声源可采用等效室外声源声功率级法进行计算。设靠近开口处（或窗户）室内、室外某倍频带的声压级分别为L</w:t>
            </w:r>
            <w:r>
              <w:rPr>
                <w:rFonts w:hint="default"/>
                <w:color w:val="auto"/>
                <w:sz w:val="24"/>
                <w:vertAlign w:val="subscript"/>
              </w:rPr>
              <w:t>P1</w:t>
            </w:r>
            <w:r>
              <w:rPr>
                <w:rFonts w:hint="default"/>
                <w:color w:val="auto"/>
                <w:sz w:val="24"/>
              </w:rPr>
              <w:t>和L</w:t>
            </w:r>
            <w:r>
              <w:rPr>
                <w:rFonts w:hint="default"/>
                <w:color w:val="auto"/>
                <w:sz w:val="24"/>
                <w:vertAlign w:val="subscript"/>
              </w:rPr>
              <w:t>P2</w:t>
            </w:r>
            <w:r>
              <w:rPr>
                <w:rFonts w:hint="default"/>
                <w:color w:val="auto"/>
                <w:sz w:val="24"/>
              </w:rPr>
              <w:t>。若声源所在室内声场为近似扩散声场，则室外的倍频带声压级可按以下计算公式如下：</w:t>
            </w:r>
          </w:p>
          <w:p w14:paraId="7279A20B">
            <w:pPr>
              <w:keepNext w:val="0"/>
              <w:keepLines w:val="0"/>
              <w:suppressLineNumbers w:val="0"/>
              <w:tabs>
                <w:tab w:val="left" w:pos="900"/>
              </w:tabs>
              <w:spacing w:before="0" w:beforeAutospacing="0" w:after="0" w:afterAutospacing="0" w:line="360" w:lineRule="auto"/>
              <w:ind w:left="0" w:right="0"/>
              <w:jc w:val="center"/>
              <w:rPr>
                <w:rFonts w:hint="default"/>
                <w:color w:val="auto"/>
                <w:sz w:val="24"/>
              </w:rPr>
            </w:pPr>
            <w:r>
              <w:rPr>
                <w:rFonts w:hint="default"/>
                <w:color w:val="auto"/>
                <w:sz w:val="24"/>
              </w:rPr>
              <w:drawing>
                <wp:inline distT="0" distB="0" distL="0" distR="0">
                  <wp:extent cx="1256030" cy="217805"/>
                  <wp:effectExtent l="0" t="0" r="1270" b="1079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296705" cy="225113"/>
                          </a:xfrm>
                          <a:prstGeom prst="rect">
                            <a:avLst/>
                          </a:prstGeom>
                          <a:noFill/>
                          <a:ln>
                            <a:noFill/>
                          </a:ln>
                        </pic:spPr>
                      </pic:pic>
                    </a:graphicData>
                  </a:graphic>
                </wp:inline>
              </w:drawing>
            </w:r>
          </w:p>
          <w:p w14:paraId="78E793B0">
            <w:pPr>
              <w:keepNext w:val="0"/>
              <w:keepLines w:val="0"/>
              <w:suppressLineNumbers w:val="0"/>
              <w:spacing w:before="0" w:beforeAutospacing="0" w:after="0" w:afterAutospacing="0" w:line="360" w:lineRule="auto"/>
              <w:ind w:left="0" w:right="0" w:firstLine="482"/>
              <w:rPr>
                <w:rFonts w:hint="default"/>
                <w:color w:val="auto"/>
                <w:sz w:val="24"/>
              </w:rPr>
            </w:pPr>
            <w:r>
              <w:rPr>
                <w:rFonts w:hint="default"/>
                <w:color w:val="auto"/>
                <w:sz w:val="24"/>
              </w:rPr>
              <w:t>式中：TL——隔墙（或窗户）倍频带的隔声量，dB；</w:t>
            </w:r>
          </w:p>
          <w:p w14:paraId="17ABFE2E">
            <w:pPr>
              <w:keepNext w:val="0"/>
              <w:keepLines w:val="0"/>
              <w:suppressLineNumbers w:val="0"/>
              <w:spacing w:before="0" w:beforeAutospacing="0" w:after="0" w:afterAutospacing="0" w:line="360" w:lineRule="auto"/>
              <w:ind w:left="0" w:right="0" w:firstLine="482"/>
              <w:rPr>
                <w:rFonts w:hint="default"/>
                <w:color w:val="auto"/>
                <w:sz w:val="24"/>
              </w:rPr>
            </w:pPr>
            <w:r>
              <w:rPr>
                <w:rFonts w:hint="default"/>
                <w:color w:val="auto"/>
                <w:sz w:val="24"/>
              </w:rPr>
              <w:t>按下式计算某一室内声源靠近围护结构处产生的倍频带声压级：</w:t>
            </w:r>
          </w:p>
          <w:p w14:paraId="7A63F312">
            <w:pPr>
              <w:keepNext w:val="0"/>
              <w:keepLines w:val="0"/>
              <w:suppressLineNumbers w:val="0"/>
              <w:tabs>
                <w:tab w:val="left" w:pos="900"/>
              </w:tabs>
              <w:spacing w:before="0" w:beforeAutospacing="0" w:after="0" w:afterAutospacing="0" w:line="360" w:lineRule="auto"/>
              <w:ind w:left="0" w:right="0" w:firstLine="480" w:firstLineChars="200"/>
              <w:jc w:val="center"/>
              <w:rPr>
                <w:rFonts w:hint="default"/>
                <w:color w:val="auto"/>
                <w:sz w:val="24"/>
              </w:rPr>
            </w:pPr>
            <w:r>
              <w:rPr>
                <w:rFonts w:hint="default"/>
                <w:color w:val="auto"/>
                <w:sz w:val="24"/>
              </w:rPr>
              <w:drawing>
                <wp:inline distT="0" distB="0" distL="0" distR="0">
                  <wp:extent cx="1748790" cy="411480"/>
                  <wp:effectExtent l="0" t="0" r="3810" b="762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770267" cy="416737"/>
                          </a:xfrm>
                          <a:prstGeom prst="rect">
                            <a:avLst/>
                          </a:prstGeom>
                          <a:noFill/>
                          <a:ln>
                            <a:noFill/>
                          </a:ln>
                        </pic:spPr>
                      </pic:pic>
                    </a:graphicData>
                  </a:graphic>
                </wp:inline>
              </w:drawing>
            </w:r>
          </w:p>
          <w:p w14:paraId="74D61787">
            <w:pPr>
              <w:keepNext w:val="0"/>
              <w:keepLines w:val="0"/>
              <w:suppressLineNumbers w:val="0"/>
              <w:tabs>
                <w:tab w:val="left" w:pos="900"/>
              </w:tabs>
              <w:spacing w:before="0" w:beforeAutospacing="0" w:after="0" w:afterAutospacing="0" w:line="360" w:lineRule="auto"/>
              <w:ind w:left="0" w:right="0" w:firstLine="480" w:firstLineChars="200"/>
              <w:jc w:val="center"/>
              <w:rPr>
                <w:rFonts w:hint="default"/>
                <w:color w:val="auto"/>
                <w:sz w:val="24"/>
              </w:rPr>
            </w:pPr>
            <w:r>
              <w:rPr>
                <w:rFonts w:hint="default"/>
                <w:color w:val="auto"/>
                <w:sz w:val="24"/>
              </w:rPr>
              <w:t>式中：Q——指向性因数，通常对无指向性声源，当声源放在房间中心时，Q=1；当放在一面墙的中心时，Q=2；当放在两面墙夹角处时，Q=4；当放在三面墙夹角处时，Q=8；</w:t>
            </w:r>
          </w:p>
          <w:p w14:paraId="3CD7C08C">
            <w:pPr>
              <w:keepNext w:val="0"/>
              <w:keepLines w:val="0"/>
              <w:suppressLineNumbers w:val="0"/>
              <w:tabs>
                <w:tab w:val="left" w:pos="900"/>
              </w:tabs>
              <w:spacing w:before="0" w:beforeAutospacing="0" w:after="0" w:afterAutospacing="0" w:line="360" w:lineRule="auto"/>
              <w:ind w:left="0" w:right="0" w:firstLine="1200" w:firstLineChars="500"/>
              <w:rPr>
                <w:rFonts w:hint="default"/>
                <w:color w:val="auto"/>
                <w:sz w:val="24"/>
              </w:rPr>
            </w:pPr>
            <w:r>
              <w:rPr>
                <w:rFonts w:hint="default"/>
                <w:color w:val="auto"/>
                <w:sz w:val="24"/>
              </w:rPr>
              <w:t>R——房间常数，</w:t>
            </w:r>
            <w:r>
              <w:rPr>
                <w:rFonts w:hint="default"/>
                <w:color w:val="auto"/>
                <w:sz w:val="24"/>
              </w:rPr>
              <w:drawing>
                <wp:inline distT="0" distB="0" distL="0" distR="0">
                  <wp:extent cx="914400" cy="145415"/>
                  <wp:effectExtent l="0" t="0" r="0" b="698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921971" cy="146830"/>
                          </a:xfrm>
                          <a:prstGeom prst="rect">
                            <a:avLst/>
                          </a:prstGeom>
                          <a:noFill/>
                          <a:ln>
                            <a:noFill/>
                          </a:ln>
                        </pic:spPr>
                      </pic:pic>
                    </a:graphicData>
                  </a:graphic>
                </wp:inline>
              </w:drawing>
            </w:r>
            <w:r>
              <w:rPr>
                <w:rFonts w:hint="default"/>
                <w:color w:val="auto"/>
                <w:sz w:val="24"/>
              </w:rPr>
              <w:t>；</w:t>
            </w:r>
          </w:p>
          <w:p w14:paraId="4C076EB9">
            <w:pPr>
              <w:keepNext w:val="0"/>
              <w:keepLines w:val="0"/>
              <w:suppressLineNumbers w:val="0"/>
              <w:tabs>
                <w:tab w:val="left" w:pos="900"/>
              </w:tabs>
              <w:spacing w:before="0" w:beforeAutospacing="0" w:after="0" w:afterAutospacing="0" w:line="360" w:lineRule="auto"/>
              <w:ind w:left="0" w:right="0" w:firstLine="1200" w:firstLineChars="500"/>
              <w:rPr>
                <w:rFonts w:hint="default"/>
                <w:color w:val="auto"/>
                <w:sz w:val="24"/>
              </w:rPr>
            </w:pPr>
            <w:r>
              <w:rPr>
                <w:rFonts w:hint="default"/>
                <w:color w:val="auto"/>
                <w:sz w:val="24"/>
              </w:rPr>
              <w:t>S——为房间内表面面积，m</w:t>
            </w:r>
            <w:r>
              <w:rPr>
                <w:rFonts w:hint="default"/>
                <w:color w:val="auto"/>
                <w:sz w:val="24"/>
                <w:vertAlign w:val="superscript"/>
              </w:rPr>
              <w:t>2</w:t>
            </w:r>
            <w:r>
              <w:rPr>
                <w:rFonts w:hint="default"/>
                <w:color w:val="auto"/>
                <w:sz w:val="24"/>
              </w:rPr>
              <w:t>，α 为平均吸声系数；</w:t>
            </w:r>
          </w:p>
          <w:p w14:paraId="49559227">
            <w:pPr>
              <w:keepNext w:val="0"/>
              <w:keepLines w:val="0"/>
              <w:suppressLineNumbers w:val="0"/>
              <w:tabs>
                <w:tab w:val="left" w:pos="900"/>
              </w:tabs>
              <w:spacing w:before="0" w:beforeAutospacing="0" w:after="0" w:afterAutospacing="0" w:line="360" w:lineRule="auto"/>
              <w:ind w:left="0" w:right="0" w:firstLine="1200" w:firstLineChars="500"/>
              <w:rPr>
                <w:rFonts w:hint="default"/>
                <w:color w:val="auto"/>
                <w:sz w:val="24"/>
              </w:rPr>
            </w:pPr>
            <w:r>
              <w:rPr>
                <w:rFonts w:hint="default"/>
                <w:color w:val="auto"/>
                <w:sz w:val="24"/>
              </w:rPr>
              <w:t>r——声源到靠近围护结构某点处的距离，m。</w:t>
            </w:r>
          </w:p>
          <w:p w14:paraId="04026444">
            <w:pPr>
              <w:keepNext w:val="0"/>
              <w:keepLines w:val="0"/>
              <w:suppressLineNumbers w:val="0"/>
              <w:adjustRightInd w:val="0"/>
              <w:snapToGrid w:val="0"/>
              <w:spacing w:before="0" w:beforeAutospacing="0" w:after="0" w:afterAutospacing="0" w:line="360" w:lineRule="auto"/>
              <w:ind w:left="0" w:right="0" w:firstLine="482"/>
              <w:rPr>
                <w:rFonts w:hint="default"/>
                <w:color w:val="auto"/>
                <w:sz w:val="24"/>
              </w:rPr>
            </w:pPr>
            <w:r>
              <w:rPr>
                <w:rFonts w:hint="default"/>
                <w:color w:val="auto"/>
                <w:sz w:val="24"/>
              </w:rPr>
              <w:t>然后按下式计算出所有室内声源在围护结构处产生的i倍频带叠加声压级。</w:t>
            </w:r>
          </w:p>
          <w:p w14:paraId="0989AB7A">
            <w:pPr>
              <w:keepNext w:val="0"/>
              <w:keepLines w:val="0"/>
              <w:suppressLineNumbers w:val="0"/>
              <w:adjustRightInd w:val="0"/>
              <w:snapToGrid w:val="0"/>
              <w:spacing w:before="0" w:beforeAutospacing="0" w:after="0" w:afterAutospacing="0" w:line="360" w:lineRule="auto"/>
              <w:ind w:left="0" w:right="0"/>
              <w:jc w:val="center"/>
              <w:rPr>
                <w:rFonts w:hint="default"/>
                <w:color w:val="auto"/>
                <w:sz w:val="24"/>
              </w:rPr>
            </w:pPr>
            <w:r>
              <w:rPr>
                <w:rFonts w:hint="default"/>
                <w:color w:val="auto"/>
                <w:sz w:val="24"/>
              </w:rPr>
              <w:drawing>
                <wp:inline distT="0" distB="0" distL="0" distR="0">
                  <wp:extent cx="1624330" cy="422910"/>
                  <wp:effectExtent l="0" t="0" r="1397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658728" cy="431934"/>
                          </a:xfrm>
                          <a:prstGeom prst="rect">
                            <a:avLst/>
                          </a:prstGeom>
                          <a:noFill/>
                          <a:ln>
                            <a:noFill/>
                          </a:ln>
                        </pic:spPr>
                      </pic:pic>
                    </a:graphicData>
                  </a:graphic>
                </wp:inline>
              </w:drawing>
            </w:r>
          </w:p>
          <w:p w14:paraId="05A891ED">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式中：L</w:t>
            </w:r>
            <w:r>
              <w:rPr>
                <w:rFonts w:hint="default"/>
                <w:color w:val="auto"/>
                <w:sz w:val="24"/>
                <w:vertAlign w:val="subscript"/>
              </w:rPr>
              <w:t>P1i</w:t>
            </w:r>
            <w:r>
              <w:rPr>
                <w:rFonts w:hint="default"/>
                <w:color w:val="auto"/>
                <w:sz w:val="24"/>
              </w:rPr>
              <w:t>——靠近围护结构处室内N个声源i倍频带的叠加声压级，dB；</w:t>
            </w:r>
          </w:p>
          <w:p w14:paraId="75E523B7">
            <w:pPr>
              <w:keepNext w:val="0"/>
              <w:keepLines w:val="0"/>
              <w:suppressLineNumbers w:val="0"/>
              <w:spacing w:before="0" w:beforeAutospacing="0" w:after="0" w:afterAutospacing="0" w:line="360" w:lineRule="auto"/>
              <w:ind w:left="0" w:right="0" w:firstLine="960" w:firstLineChars="400"/>
              <w:rPr>
                <w:rFonts w:hint="default"/>
                <w:color w:val="auto"/>
                <w:sz w:val="24"/>
              </w:rPr>
            </w:pPr>
            <w:r>
              <w:rPr>
                <w:rFonts w:hint="default"/>
                <w:color w:val="auto"/>
                <w:sz w:val="24"/>
              </w:rPr>
              <w:t>L</w:t>
            </w:r>
            <w:r>
              <w:rPr>
                <w:rFonts w:hint="default"/>
                <w:color w:val="auto"/>
                <w:sz w:val="24"/>
                <w:vertAlign w:val="subscript"/>
              </w:rPr>
              <w:t>P1ij</w:t>
            </w:r>
            <w:r>
              <w:rPr>
                <w:rFonts w:hint="default"/>
                <w:color w:val="auto"/>
                <w:sz w:val="24"/>
              </w:rPr>
              <w:t>——室内j声源i倍频带的声压级，dB；</w:t>
            </w:r>
          </w:p>
          <w:p w14:paraId="00DF5B34">
            <w:pPr>
              <w:keepNext w:val="0"/>
              <w:keepLines w:val="0"/>
              <w:suppressLineNumbers w:val="0"/>
              <w:spacing w:before="0" w:beforeAutospacing="0" w:after="0" w:afterAutospacing="0" w:line="360" w:lineRule="auto"/>
              <w:ind w:left="0" w:right="0" w:firstLine="960" w:firstLineChars="400"/>
              <w:rPr>
                <w:rFonts w:hint="default"/>
                <w:color w:val="auto"/>
                <w:sz w:val="24"/>
              </w:rPr>
            </w:pPr>
            <w:r>
              <w:rPr>
                <w:rFonts w:hint="default"/>
                <w:color w:val="auto"/>
                <w:sz w:val="24"/>
              </w:rPr>
              <w:t>N——室内声源总数。</w:t>
            </w:r>
          </w:p>
          <w:p w14:paraId="7611D085">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然后按下式将室外声源的声压级和透过面积换算成等效的室外声源，计算出中心位置位于透声面积（S）处的等效声源的倍频带声功率级。</w:t>
            </w:r>
          </w:p>
          <w:p w14:paraId="078DCF3F">
            <w:pPr>
              <w:keepNext w:val="0"/>
              <w:keepLines w:val="0"/>
              <w:suppressLineNumbers w:val="0"/>
              <w:spacing w:before="0" w:beforeAutospacing="0" w:after="0" w:afterAutospacing="0" w:line="360" w:lineRule="auto"/>
              <w:ind w:left="0" w:right="0"/>
              <w:jc w:val="center"/>
              <w:rPr>
                <w:rFonts w:hint="default"/>
                <w:color w:val="auto"/>
                <w:sz w:val="24"/>
              </w:rPr>
            </w:pPr>
            <w:r>
              <w:rPr>
                <w:rFonts w:hint="default"/>
                <w:color w:val="auto"/>
                <w:sz w:val="24"/>
              </w:rPr>
              <w:drawing>
                <wp:inline distT="0" distB="0" distL="0" distR="0">
                  <wp:extent cx="1263650" cy="203200"/>
                  <wp:effectExtent l="0" t="0" r="1270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323133" cy="213134"/>
                          </a:xfrm>
                          <a:prstGeom prst="rect">
                            <a:avLst/>
                          </a:prstGeom>
                          <a:noFill/>
                          <a:ln>
                            <a:noFill/>
                          </a:ln>
                        </pic:spPr>
                      </pic:pic>
                    </a:graphicData>
                  </a:graphic>
                </wp:inline>
              </w:drawing>
            </w:r>
          </w:p>
          <w:p w14:paraId="710A00EA">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然后按室外声源预测方法计算预测点处的 A声级。</w:t>
            </w:r>
          </w:p>
          <w:p w14:paraId="186C5FDD">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ascii="宋体" w:hAnsi="宋体" w:cs="宋体"/>
                <w:color w:val="auto"/>
                <w:sz w:val="24"/>
              </w:rPr>
              <w:t>③</w:t>
            </w:r>
            <w:r>
              <w:rPr>
                <w:rFonts w:hint="default"/>
                <w:color w:val="auto"/>
                <w:sz w:val="24"/>
              </w:rPr>
              <w:t>噪声贡献值计算</w:t>
            </w:r>
          </w:p>
          <w:p w14:paraId="32A66BEF">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设第i个室外声源在预测点产生的A声级为L</w:t>
            </w:r>
            <w:r>
              <w:rPr>
                <w:rFonts w:hint="default"/>
                <w:color w:val="auto"/>
                <w:sz w:val="24"/>
                <w:vertAlign w:val="subscript"/>
              </w:rPr>
              <w:t>Ai</w:t>
            </w:r>
            <w:r>
              <w:rPr>
                <w:rFonts w:hint="default"/>
                <w:color w:val="auto"/>
                <w:sz w:val="24"/>
              </w:rPr>
              <w:t>，在T时间内该声源工作时间为t</w:t>
            </w:r>
            <w:r>
              <w:rPr>
                <w:rFonts w:hint="default"/>
                <w:color w:val="auto"/>
                <w:sz w:val="24"/>
                <w:vertAlign w:val="subscript"/>
              </w:rPr>
              <w:t>i</w:t>
            </w:r>
            <w:r>
              <w:rPr>
                <w:rFonts w:hint="default"/>
                <w:color w:val="auto"/>
                <w:sz w:val="24"/>
              </w:rPr>
              <w:t>；第j个等效室外声源在预测点产生的A声级为L</w:t>
            </w:r>
            <w:r>
              <w:rPr>
                <w:rFonts w:hint="default"/>
                <w:color w:val="auto"/>
                <w:sz w:val="24"/>
                <w:vertAlign w:val="subscript"/>
              </w:rPr>
              <w:t>Aj</w:t>
            </w:r>
            <w:r>
              <w:rPr>
                <w:rFonts w:hint="default"/>
                <w:color w:val="auto"/>
                <w:sz w:val="24"/>
              </w:rPr>
              <w:t>，在T时间内该声源工作时间为t</w:t>
            </w:r>
            <w:r>
              <w:rPr>
                <w:rFonts w:hint="default"/>
                <w:color w:val="auto"/>
                <w:sz w:val="24"/>
                <w:vertAlign w:val="subscript"/>
              </w:rPr>
              <w:t>j</w:t>
            </w:r>
            <w:r>
              <w:rPr>
                <w:rFonts w:hint="default"/>
                <w:color w:val="auto"/>
                <w:sz w:val="24"/>
              </w:rPr>
              <w:t>，则拟建工程声源对预测点产生的贡献值（Leqg）为：</w:t>
            </w:r>
          </w:p>
          <w:p w14:paraId="20B47715">
            <w:pPr>
              <w:keepNext w:val="0"/>
              <w:keepLines w:val="0"/>
              <w:suppressLineNumbers w:val="0"/>
              <w:spacing w:before="0" w:beforeAutospacing="0" w:after="0" w:afterAutospacing="0" w:line="360" w:lineRule="auto"/>
              <w:ind w:left="0" w:right="0"/>
              <w:jc w:val="center"/>
              <w:rPr>
                <w:rFonts w:hint="default"/>
                <w:color w:val="auto"/>
                <w:sz w:val="24"/>
              </w:rPr>
            </w:pPr>
            <w:r>
              <w:rPr>
                <w:rFonts w:hint="default"/>
                <w:color w:val="auto"/>
                <w:sz w:val="24"/>
              </w:rPr>
              <w:drawing>
                <wp:inline distT="0" distB="0" distL="0" distR="0">
                  <wp:extent cx="2265680" cy="401955"/>
                  <wp:effectExtent l="0" t="0" r="127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305840" cy="409234"/>
                          </a:xfrm>
                          <a:prstGeom prst="rect">
                            <a:avLst/>
                          </a:prstGeom>
                          <a:noFill/>
                          <a:ln>
                            <a:noFill/>
                          </a:ln>
                        </pic:spPr>
                      </pic:pic>
                    </a:graphicData>
                  </a:graphic>
                </wp:inline>
              </w:drawing>
            </w:r>
          </w:p>
          <w:p w14:paraId="02A3080B">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式中：t</w:t>
            </w:r>
            <w:r>
              <w:rPr>
                <w:rFonts w:hint="default"/>
                <w:color w:val="auto"/>
                <w:sz w:val="24"/>
                <w:vertAlign w:val="subscript"/>
              </w:rPr>
              <w:t>j</w:t>
            </w:r>
            <w:r>
              <w:rPr>
                <w:rFonts w:hint="default"/>
                <w:color w:val="auto"/>
                <w:sz w:val="24"/>
              </w:rPr>
              <w:t>——在T时间内j声源工作时间，s；</w:t>
            </w:r>
          </w:p>
          <w:p w14:paraId="5403DB15">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t</w:t>
            </w:r>
            <w:r>
              <w:rPr>
                <w:rFonts w:hint="default"/>
                <w:color w:val="auto"/>
                <w:sz w:val="24"/>
                <w:vertAlign w:val="subscript"/>
              </w:rPr>
              <w:t>i</w:t>
            </w:r>
            <w:r>
              <w:rPr>
                <w:rFonts w:hint="default"/>
                <w:color w:val="auto"/>
                <w:sz w:val="24"/>
              </w:rPr>
              <w:t>——在T时间内i声源工作时间，s；</w:t>
            </w:r>
          </w:p>
          <w:p w14:paraId="7C20482D">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T——用于计算等效声级的时间，s；</w:t>
            </w:r>
          </w:p>
          <w:p w14:paraId="16559354">
            <w:pPr>
              <w:keepNext w:val="0"/>
              <w:keepLines w:val="0"/>
              <w:suppressLineNumbers w:val="0"/>
              <w:spacing w:before="0" w:beforeAutospacing="0" w:after="0" w:afterAutospacing="0" w:line="360" w:lineRule="auto"/>
              <w:ind w:left="0" w:right="0" w:firstLine="1200" w:firstLineChars="500"/>
              <w:rPr>
                <w:rFonts w:hint="default"/>
                <w:color w:val="auto"/>
                <w:sz w:val="24"/>
              </w:rPr>
            </w:pPr>
            <w:r>
              <w:rPr>
                <w:rFonts w:hint="default"/>
                <w:color w:val="auto"/>
                <w:sz w:val="24"/>
              </w:rPr>
              <w:t>N——室外声源个数；</w:t>
            </w:r>
          </w:p>
          <w:p w14:paraId="679AD532">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default"/>
                <w:color w:val="auto"/>
                <w:sz w:val="24"/>
              </w:rPr>
            </w:pPr>
            <w:r>
              <w:rPr>
                <w:rFonts w:hint="default"/>
                <w:color w:val="auto"/>
                <w:sz w:val="24"/>
              </w:rPr>
              <w:t>M——等效室外声源个数。</w:t>
            </w:r>
          </w:p>
          <w:p w14:paraId="0733D032">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val="en-US" w:eastAsia="zh-CN"/>
              </w:rPr>
              <w:t>3</w:t>
            </w:r>
            <w:bookmarkEnd w:id="17"/>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eastAsia="zh-CN"/>
              </w:rPr>
              <w:t>达标情况分析</w:t>
            </w:r>
          </w:p>
          <w:p w14:paraId="535B491C">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预测结果详见下表4</w:t>
            </w:r>
            <w:r>
              <w:rPr>
                <w:rFonts w:hint="eastAsia"/>
                <w:color w:val="auto"/>
                <w:sz w:val="24"/>
              </w:rPr>
              <w:t>-</w:t>
            </w:r>
            <w:r>
              <w:rPr>
                <w:rFonts w:hint="eastAsia"/>
                <w:color w:val="auto"/>
                <w:sz w:val="24"/>
                <w:lang w:val="en-US" w:eastAsia="zh-CN"/>
              </w:rPr>
              <w:t>9</w:t>
            </w:r>
            <w:r>
              <w:rPr>
                <w:rFonts w:hint="default"/>
                <w:color w:val="auto"/>
                <w:sz w:val="24"/>
              </w:rPr>
              <w:t>。</w:t>
            </w:r>
          </w:p>
          <w:p w14:paraId="2A129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4-</w:t>
            </w:r>
            <w:r>
              <w:rPr>
                <w:rFonts w:hint="eastAsia" w:cs="Times New Roman"/>
                <w:b/>
                <w:color w:val="auto"/>
                <w:sz w:val="24"/>
                <w:highlight w:val="none"/>
                <w:lang w:val="en-US" w:eastAsia="zh-CN"/>
              </w:rPr>
              <w:t>9</w:t>
            </w:r>
            <w:r>
              <w:rPr>
                <w:rFonts w:hint="default" w:ascii="Times New Roman" w:hAnsi="Times New Roman" w:eastAsia="宋体" w:cs="Times New Roman"/>
                <w:b/>
                <w:color w:val="auto"/>
                <w:sz w:val="24"/>
                <w:highlight w:val="none"/>
              </w:rPr>
              <w:t xml:space="preserve">    设备噪声预测结果 </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单位：dB（A）</w:t>
            </w:r>
          </w:p>
          <w:tbl>
            <w:tblPr>
              <w:tblStyle w:val="30"/>
              <w:tblW w:w="85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60"/>
              <w:gridCol w:w="885"/>
              <w:gridCol w:w="885"/>
              <w:gridCol w:w="885"/>
              <w:gridCol w:w="885"/>
              <w:gridCol w:w="885"/>
              <w:gridCol w:w="885"/>
              <w:gridCol w:w="885"/>
              <w:gridCol w:w="887"/>
            </w:tblGrid>
            <w:tr w14:paraId="55B16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854" w:type="pct"/>
                  <w:vMerge w:val="restart"/>
                  <w:tcBorders>
                    <w:tl2br w:val="nil"/>
                    <w:tr2bl w:val="nil"/>
                  </w:tcBorders>
                  <w:noWrap w:val="0"/>
                  <w:tcMar>
                    <w:top w:w="15" w:type="dxa"/>
                    <w:left w:w="15" w:type="dxa"/>
                    <w:right w:w="15" w:type="dxa"/>
                  </w:tcMar>
                  <w:vAlign w:val="center"/>
                </w:tcPr>
                <w:p w14:paraId="1C5D7DA3">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声源</w:t>
                  </w:r>
                </w:p>
              </w:tc>
              <w:tc>
                <w:tcPr>
                  <w:tcW w:w="1036" w:type="pct"/>
                  <w:gridSpan w:val="2"/>
                  <w:tcBorders>
                    <w:tl2br w:val="nil"/>
                    <w:tr2bl w:val="nil"/>
                  </w:tcBorders>
                  <w:noWrap w:val="0"/>
                  <w:tcMar>
                    <w:top w:w="15" w:type="dxa"/>
                    <w:left w:w="15" w:type="dxa"/>
                    <w:right w:w="15" w:type="dxa"/>
                  </w:tcMar>
                  <w:vAlign w:val="center"/>
                </w:tcPr>
                <w:p w14:paraId="14FCFB9C">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东厂界</w:t>
                  </w:r>
                </w:p>
              </w:tc>
              <w:tc>
                <w:tcPr>
                  <w:tcW w:w="1036" w:type="pct"/>
                  <w:gridSpan w:val="2"/>
                  <w:tcBorders>
                    <w:tl2br w:val="nil"/>
                    <w:tr2bl w:val="nil"/>
                  </w:tcBorders>
                  <w:noWrap w:val="0"/>
                  <w:tcMar>
                    <w:top w:w="15" w:type="dxa"/>
                    <w:left w:w="15" w:type="dxa"/>
                    <w:right w:w="15" w:type="dxa"/>
                  </w:tcMar>
                  <w:vAlign w:val="center"/>
                </w:tcPr>
                <w:p w14:paraId="631A46E7">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南厂界</w:t>
                  </w:r>
                </w:p>
              </w:tc>
              <w:tc>
                <w:tcPr>
                  <w:tcW w:w="1036" w:type="pct"/>
                  <w:gridSpan w:val="2"/>
                  <w:tcBorders>
                    <w:tl2br w:val="nil"/>
                    <w:tr2bl w:val="nil"/>
                  </w:tcBorders>
                  <w:noWrap w:val="0"/>
                  <w:tcMar>
                    <w:top w:w="15" w:type="dxa"/>
                    <w:left w:w="15" w:type="dxa"/>
                    <w:right w:w="15" w:type="dxa"/>
                  </w:tcMar>
                  <w:vAlign w:val="center"/>
                </w:tcPr>
                <w:p w14:paraId="0F18E30C">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西厂界</w:t>
                  </w:r>
                </w:p>
              </w:tc>
              <w:tc>
                <w:tcPr>
                  <w:tcW w:w="1037" w:type="pct"/>
                  <w:gridSpan w:val="2"/>
                  <w:tcBorders>
                    <w:tl2br w:val="nil"/>
                    <w:tr2bl w:val="nil"/>
                  </w:tcBorders>
                  <w:noWrap w:val="0"/>
                  <w:tcMar>
                    <w:top w:w="15" w:type="dxa"/>
                    <w:left w:w="15" w:type="dxa"/>
                    <w:right w:w="15" w:type="dxa"/>
                  </w:tcMar>
                  <w:vAlign w:val="center"/>
                </w:tcPr>
                <w:p w14:paraId="76AA273F">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北厂界</w:t>
                  </w:r>
                </w:p>
              </w:tc>
            </w:tr>
            <w:tr w14:paraId="1FBEF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854" w:type="pct"/>
                  <w:vMerge w:val="continue"/>
                  <w:tcBorders>
                    <w:tl2br w:val="nil"/>
                    <w:tr2bl w:val="nil"/>
                  </w:tcBorders>
                  <w:noWrap w:val="0"/>
                  <w:tcMar>
                    <w:top w:w="15" w:type="dxa"/>
                    <w:left w:w="15" w:type="dxa"/>
                    <w:right w:w="15" w:type="dxa"/>
                  </w:tcMar>
                  <w:vAlign w:val="center"/>
                </w:tcPr>
                <w:p w14:paraId="03E28258">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p>
              </w:tc>
              <w:tc>
                <w:tcPr>
                  <w:tcW w:w="1036" w:type="pct"/>
                  <w:gridSpan w:val="2"/>
                  <w:tcBorders>
                    <w:tl2br w:val="nil"/>
                    <w:tr2bl w:val="nil"/>
                  </w:tcBorders>
                  <w:noWrap w:val="0"/>
                  <w:tcMar>
                    <w:top w:w="15" w:type="dxa"/>
                    <w:left w:w="15" w:type="dxa"/>
                    <w:right w:w="15" w:type="dxa"/>
                  </w:tcMar>
                  <w:vAlign w:val="center"/>
                </w:tcPr>
                <w:p w14:paraId="1A55A347">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距离(m)</w:t>
                  </w:r>
                </w:p>
              </w:tc>
              <w:tc>
                <w:tcPr>
                  <w:tcW w:w="1036" w:type="pct"/>
                  <w:gridSpan w:val="2"/>
                  <w:tcBorders>
                    <w:tl2br w:val="nil"/>
                    <w:tr2bl w:val="nil"/>
                  </w:tcBorders>
                  <w:noWrap w:val="0"/>
                  <w:tcMar>
                    <w:top w:w="15" w:type="dxa"/>
                    <w:left w:w="15" w:type="dxa"/>
                    <w:right w:w="15" w:type="dxa"/>
                  </w:tcMar>
                  <w:vAlign w:val="center"/>
                </w:tcPr>
                <w:p w14:paraId="05CC192C">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距离(m)</w:t>
                  </w:r>
                </w:p>
              </w:tc>
              <w:tc>
                <w:tcPr>
                  <w:tcW w:w="1036" w:type="pct"/>
                  <w:gridSpan w:val="2"/>
                  <w:tcBorders>
                    <w:tl2br w:val="nil"/>
                    <w:tr2bl w:val="nil"/>
                  </w:tcBorders>
                  <w:noWrap w:val="0"/>
                  <w:tcMar>
                    <w:top w:w="15" w:type="dxa"/>
                    <w:left w:w="15" w:type="dxa"/>
                    <w:right w:w="15" w:type="dxa"/>
                  </w:tcMar>
                  <w:vAlign w:val="center"/>
                </w:tcPr>
                <w:p w14:paraId="6DE7608F">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距离(m)</w:t>
                  </w:r>
                </w:p>
              </w:tc>
              <w:tc>
                <w:tcPr>
                  <w:tcW w:w="1037" w:type="pct"/>
                  <w:gridSpan w:val="2"/>
                  <w:tcBorders>
                    <w:tl2br w:val="nil"/>
                    <w:tr2bl w:val="nil"/>
                  </w:tcBorders>
                  <w:noWrap w:val="0"/>
                  <w:tcMar>
                    <w:top w:w="15" w:type="dxa"/>
                    <w:left w:w="15" w:type="dxa"/>
                    <w:right w:w="15" w:type="dxa"/>
                  </w:tcMar>
                  <w:vAlign w:val="center"/>
                </w:tcPr>
                <w:p w14:paraId="61D045B0">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距离(m)</w:t>
                  </w:r>
                </w:p>
              </w:tc>
            </w:tr>
            <w:tr w14:paraId="2FF64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 w:hRule="atLeast"/>
              </w:trPr>
              <w:tc>
                <w:tcPr>
                  <w:tcW w:w="854" w:type="pct"/>
                  <w:tcBorders>
                    <w:tl2br w:val="nil"/>
                    <w:tr2bl w:val="nil"/>
                  </w:tcBorders>
                  <w:noWrap w:val="0"/>
                  <w:tcMar>
                    <w:top w:w="15" w:type="dxa"/>
                    <w:left w:w="15" w:type="dxa"/>
                    <w:right w:w="15" w:type="dxa"/>
                  </w:tcMar>
                  <w:vAlign w:val="center"/>
                </w:tcPr>
                <w:p w14:paraId="70B67096">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噪声源（65.41dB(A)）</w:t>
                  </w:r>
                </w:p>
              </w:tc>
              <w:tc>
                <w:tcPr>
                  <w:tcW w:w="1036" w:type="pct"/>
                  <w:gridSpan w:val="2"/>
                  <w:tcBorders>
                    <w:tl2br w:val="nil"/>
                    <w:tr2bl w:val="nil"/>
                  </w:tcBorders>
                  <w:noWrap w:val="0"/>
                  <w:tcMar>
                    <w:top w:w="15" w:type="dxa"/>
                    <w:left w:w="15" w:type="dxa"/>
                    <w:right w:w="15" w:type="dxa"/>
                  </w:tcMar>
                  <w:vAlign w:val="center"/>
                </w:tcPr>
                <w:p w14:paraId="14402997">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w:t>
                  </w:r>
                </w:p>
              </w:tc>
              <w:tc>
                <w:tcPr>
                  <w:tcW w:w="1036" w:type="pct"/>
                  <w:gridSpan w:val="2"/>
                  <w:tcBorders>
                    <w:tl2br w:val="nil"/>
                    <w:tr2bl w:val="nil"/>
                  </w:tcBorders>
                  <w:noWrap w:val="0"/>
                  <w:tcMar>
                    <w:top w:w="15" w:type="dxa"/>
                    <w:left w:w="15" w:type="dxa"/>
                    <w:right w:w="15" w:type="dxa"/>
                  </w:tcMar>
                  <w:vAlign w:val="center"/>
                </w:tcPr>
                <w:p w14:paraId="06CD78C8">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42</w:t>
                  </w:r>
                </w:p>
              </w:tc>
              <w:tc>
                <w:tcPr>
                  <w:tcW w:w="1036" w:type="pct"/>
                  <w:gridSpan w:val="2"/>
                  <w:tcBorders>
                    <w:tl2br w:val="nil"/>
                    <w:tr2bl w:val="nil"/>
                  </w:tcBorders>
                  <w:noWrap w:val="0"/>
                  <w:tcMar>
                    <w:top w:w="15" w:type="dxa"/>
                    <w:left w:w="15" w:type="dxa"/>
                    <w:right w:w="15" w:type="dxa"/>
                  </w:tcMar>
                  <w:vAlign w:val="center"/>
                </w:tcPr>
                <w:p w14:paraId="2208263C">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71</w:t>
                  </w:r>
                </w:p>
              </w:tc>
              <w:tc>
                <w:tcPr>
                  <w:tcW w:w="1037" w:type="pct"/>
                  <w:gridSpan w:val="2"/>
                  <w:tcBorders>
                    <w:tl2br w:val="nil"/>
                    <w:tr2bl w:val="nil"/>
                  </w:tcBorders>
                  <w:noWrap w:val="0"/>
                  <w:tcMar>
                    <w:top w:w="15" w:type="dxa"/>
                    <w:left w:w="15" w:type="dxa"/>
                    <w:right w:w="15" w:type="dxa"/>
                  </w:tcMar>
                  <w:vAlign w:val="center"/>
                </w:tcPr>
                <w:p w14:paraId="49C31CB2">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90</w:t>
                  </w:r>
                </w:p>
              </w:tc>
            </w:tr>
            <w:tr w14:paraId="074A4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4" w:type="pct"/>
                  <w:tcBorders>
                    <w:tl2br w:val="nil"/>
                    <w:tr2bl w:val="nil"/>
                  </w:tcBorders>
                  <w:noWrap w:val="0"/>
                  <w:tcMar>
                    <w:top w:w="15" w:type="dxa"/>
                    <w:left w:w="15" w:type="dxa"/>
                    <w:right w:w="15" w:type="dxa"/>
                  </w:tcMar>
                  <w:vAlign w:val="center"/>
                </w:tcPr>
                <w:p w14:paraId="2E7CFC7E">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贡献值dB(A)</w:t>
                  </w:r>
                </w:p>
              </w:tc>
              <w:tc>
                <w:tcPr>
                  <w:tcW w:w="1036" w:type="pct"/>
                  <w:gridSpan w:val="2"/>
                  <w:tcBorders>
                    <w:tl2br w:val="nil"/>
                    <w:tr2bl w:val="nil"/>
                  </w:tcBorders>
                  <w:noWrap w:val="0"/>
                  <w:tcMar>
                    <w:top w:w="15" w:type="dxa"/>
                    <w:left w:w="15" w:type="dxa"/>
                    <w:right w:w="15" w:type="dxa"/>
                  </w:tcMar>
                  <w:vAlign w:val="center"/>
                </w:tcPr>
                <w:p w14:paraId="0456A8B4">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31.08</w:t>
                  </w:r>
                </w:p>
              </w:tc>
              <w:tc>
                <w:tcPr>
                  <w:tcW w:w="1036" w:type="pct"/>
                  <w:gridSpan w:val="2"/>
                  <w:tcBorders>
                    <w:tl2br w:val="nil"/>
                    <w:tr2bl w:val="nil"/>
                  </w:tcBorders>
                  <w:noWrap w:val="0"/>
                  <w:tcMar>
                    <w:top w:w="15" w:type="dxa"/>
                    <w:left w:w="15" w:type="dxa"/>
                    <w:right w:w="15" w:type="dxa"/>
                  </w:tcMar>
                  <w:vAlign w:val="center"/>
                </w:tcPr>
                <w:p w14:paraId="57C772DB">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32.94</w:t>
                  </w:r>
                </w:p>
              </w:tc>
              <w:tc>
                <w:tcPr>
                  <w:tcW w:w="1036" w:type="pct"/>
                  <w:gridSpan w:val="2"/>
                  <w:tcBorders>
                    <w:tl2br w:val="nil"/>
                    <w:tr2bl w:val="nil"/>
                  </w:tcBorders>
                  <w:noWrap w:val="0"/>
                  <w:tcMar>
                    <w:top w:w="15" w:type="dxa"/>
                    <w:left w:w="15" w:type="dxa"/>
                    <w:right w:w="15" w:type="dxa"/>
                  </w:tcMar>
                  <w:vAlign w:val="center"/>
                </w:tcPr>
                <w:p w14:paraId="451B88FE">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28.38</w:t>
                  </w:r>
                </w:p>
              </w:tc>
              <w:tc>
                <w:tcPr>
                  <w:tcW w:w="1037" w:type="pct"/>
                  <w:gridSpan w:val="2"/>
                  <w:tcBorders>
                    <w:tl2br w:val="nil"/>
                    <w:tr2bl w:val="nil"/>
                  </w:tcBorders>
                  <w:noWrap w:val="0"/>
                  <w:tcMar>
                    <w:top w:w="15" w:type="dxa"/>
                    <w:left w:w="15" w:type="dxa"/>
                    <w:right w:w="15" w:type="dxa"/>
                  </w:tcMar>
                  <w:vAlign w:val="center"/>
                </w:tcPr>
                <w:p w14:paraId="42F7C0AE">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26.32</w:t>
                  </w:r>
                </w:p>
              </w:tc>
            </w:tr>
            <w:tr w14:paraId="1E143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854" w:type="pct"/>
                  <w:tcBorders>
                    <w:tl2br w:val="nil"/>
                    <w:tr2bl w:val="nil"/>
                  </w:tcBorders>
                  <w:noWrap w:val="0"/>
                  <w:tcMar>
                    <w:top w:w="15" w:type="dxa"/>
                    <w:left w:w="15" w:type="dxa"/>
                    <w:right w:w="15" w:type="dxa"/>
                  </w:tcMar>
                  <w:vAlign w:val="center"/>
                </w:tcPr>
                <w:p w14:paraId="3A1C8D4C">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标准值</w:t>
                  </w:r>
                </w:p>
              </w:tc>
              <w:tc>
                <w:tcPr>
                  <w:tcW w:w="518" w:type="pct"/>
                  <w:tcBorders>
                    <w:tl2br w:val="nil"/>
                    <w:tr2bl w:val="nil"/>
                  </w:tcBorders>
                  <w:noWrap w:val="0"/>
                  <w:tcMar>
                    <w:top w:w="15" w:type="dxa"/>
                    <w:left w:w="15" w:type="dxa"/>
                    <w:right w:w="15" w:type="dxa"/>
                  </w:tcMar>
                  <w:vAlign w:val="center"/>
                </w:tcPr>
                <w:p w14:paraId="1E5BA405">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518" w:type="pct"/>
                  <w:tcBorders>
                    <w:tl2br w:val="nil"/>
                    <w:tr2bl w:val="nil"/>
                  </w:tcBorders>
                  <w:noWrap w:val="0"/>
                  <w:tcMar>
                    <w:top w:w="15" w:type="dxa"/>
                    <w:left w:w="15" w:type="dxa"/>
                    <w:right w:w="15" w:type="dxa"/>
                  </w:tcMar>
                  <w:vAlign w:val="center"/>
                </w:tcPr>
                <w:p w14:paraId="34ABAE26">
                  <w:pPr>
                    <w:pStyle w:val="112"/>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w:t>
                  </w:r>
                </w:p>
              </w:tc>
              <w:tc>
                <w:tcPr>
                  <w:tcW w:w="518" w:type="pct"/>
                  <w:tcBorders>
                    <w:tl2br w:val="nil"/>
                    <w:tr2bl w:val="nil"/>
                  </w:tcBorders>
                  <w:noWrap w:val="0"/>
                  <w:tcMar>
                    <w:top w:w="15" w:type="dxa"/>
                    <w:left w:w="15" w:type="dxa"/>
                    <w:right w:w="15" w:type="dxa"/>
                  </w:tcMar>
                  <w:vAlign w:val="center"/>
                </w:tcPr>
                <w:p w14:paraId="54CAC0A9">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518" w:type="pct"/>
                  <w:tcBorders>
                    <w:tl2br w:val="nil"/>
                    <w:tr2bl w:val="nil"/>
                  </w:tcBorders>
                  <w:noWrap w:val="0"/>
                  <w:tcMar>
                    <w:top w:w="15" w:type="dxa"/>
                    <w:left w:w="15" w:type="dxa"/>
                    <w:right w:w="15" w:type="dxa"/>
                  </w:tcMar>
                  <w:vAlign w:val="center"/>
                </w:tcPr>
                <w:p w14:paraId="787AEACD">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w:t>
                  </w:r>
                </w:p>
              </w:tc>
              <w:tc>
                <w:tcPr>
                  <w:tcW w:w="518" w:type="pct"/>
                  <w:tcBorders>
                    <w:tl2br w:val="nil"/>
                    <w:tr2bl w:val="nil"/>
                  </w:tcBorders>
                  <w:noWrap w:val="0"/>
                  <w:tcMar>
                    <w:top w:w="15" w:type="dxa"/>
                    <w:left w:w="15" w:type="dxa"/>
                    <w:right w:w="15" w:type="dxa"/>
                  </w:tcMar>
                  <w:vAlign w:val="center"/>
                </w:tcPr>
                <w:p w14:paraId="058B100B">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518" w:type="pct"/>
                  <w:tcBorders>
                    <w:tl2br w:val="nil"/>
                    <w:tr2bl w:val="nil"/>
                  </w:tcBorders>
                  <w:noWrap w:val="0"/>
                  <w:tcMar>
                    <w:top w:w="15" w:type="dxa"/>
                    <w:left w:w="15" w:type="dxa"/>
                    <w:right w:w="15" w:type="dxa"/>
                  </w:tcMar>
                  <w:vAlign w:val="center"/>
                </w:tcPr>
                <w:p w14:paraId="5BC36066">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w:t>
                  </w:r>
                </w:p>
              </w:tc>
              <w:tc>
                <w:tcPr>
                  <w:tcW w:w="518" w:type="pct"/>
                  <w:tcBorders>
                    <w:tl2br w:val="nil"/>
                    <w:tr2bl w:val="nil"/>
                  </w:tcBorders>
                  <w:noWrap w:val="0"/>
                  <w:tcMar>
                    <w:top w:w="15" w:type="dxa"/>
                    <w:left w:w="15" w:type="dxa"/>
                    <w:right w:w="15" w:type="dxa"/>
                  </w:tcMar>
                  <w:vAlign w:val="center"/>
                </w:tcPr>
                <w:p w14:paraId="3D42844F">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519" w:type="pct"/>
                  <w:tcBorders>
                    <w:tl2br w:val="nil"/>
                    <w:tr2bl w:val="nil"/>
                  </w:tcBorders>
                  <w:noWrap w:val="0"/>
                  <w:tcMar>
                    <w:top w:w="15" w:type="dxa"/>
                    <w:left w:w="15" w:type="dxa"/>
                    <w:right w:w="15" w:type="dxa"/>
                  </w:tcMar>
                  <w:vAlign w:val="center"/>
                </w:tcPr>
                <w:p w14:paraId="5317B4CD">
                  <w:pPr>
                    <w:pStyle w:val="112"/>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w:t>
                  </w:r>
                </w:p>
              </w:tc>
            </w:tr>
          </w:tbl>
          <w:p w14:paraId="45703176">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w:t>
            </w:r>
            <w:r>
              <w:rPr>
                <w:rFonts w:hint="default" w:ascii="Times New Roman" w:hAnsi="Times New Roman" w:eastAsia="宋体" w:cs="Times New Roman"/>
                <w:color w:val="auto"/>
                <w:sz w:val="24"/>
                <w:szCs w:val="24"/>
                <w:highlight w:val="none"/>
                <w:lang w:eastAsia="zh-CN"/>
              </w:rPr>
              <w:t>预测</w:t>
            </w:r>
            <w:r>
              <w:rPr>
                <w:rFonts w:hint="default" w:ascii="Times New Roman" w:hAnsi="Times New Roman" w:eastAsia="宋体" w:cs="Times New Roman"/>
                <w:color w:val="auto"/>
                <w:sz w:val="24"/>
                <w:szCs w:val="24"/>
                <w:highlight w:val="none"/>
              </w:rPr>
              <w:t>结果可知，本项目运营期的噪声源经采取评价提出的治理措施，可得到有效的削减，项目所在地厂界四周噪声预测值在昼、夜间均能满足《工业企业厂界环境噪声排放标准》（GB12348-2008）</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类标准限值要求。</w:t>
            </w:r>
          </w:p>
          <w:p w14:paraId="0D989FBC">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w:t>
            </w:r>
            <w:r>
              <w:rPr>
                <w:rFonts w:hint="eastAsia" w:ascii="Times New Roman" w:hAnsi="Times New Roman" w:eastAsia="宋体" w:cs="Times New Roman"/>
                <w:b/>
                <w:bCs/>
                <w:color w:val="auto"/>
                <w:sz w:val="24"/>
                <w:szCs w:val="24"/>
                <w:highlight w:val="none"/>
                <w:lang w:eastAsia="zh-CN"/>
              </w:rPr>
              <w:t>噪声控制措施</w:t>
            </w:r>
          </w:p>
          <w:p w14:paraId="44DF7E98">
            <w:pPr>
              <w:keepNext w:val="0"/>
              <w:keepLines w:val="0"/>
              <w:suppressLineNumbers w:val="0"/>
              <w:adjustRightInd w:val="0"/>
              <w:snapToGrid w:val="0"/>
              <w:spacing w:before="0" w:beforeAutospacing="0" w:after="0" w:afterAutospacing="0" w:line="360" w:lineRule="auto"/>
              <w:ind w:left="0" w:right="0" w:firstLine="496" w:firstLineChars="200"/>
              <w:rPr>
                <w:rFonts w:hint="default"/>
                <w:color w:val="auto"/>
                <w:spacing w:val="4"/>
                <w:sz w:val="24"/>
              </w:rPr>
            </w:pPr>
            <w:r>
              <w:rPr>
                <w:rFonts w:hint="default"/>
                <w:color w:val="auto"/>
                <w:spacing w:val="4"/>
                <w:sz w:val="24"/>
              </w:rPr>
              <w:t>风机进出口安装消声器</w:t>
            </w:r>
            <w:r>
              <w:rPr>
                <w:rFonts w:hint="eastAsia"/>
                <w:color w:val="auto"/>
                <w:spacing w:val="4"/>
                <w:sz w:val="24"/>
              </w:rPr>
              <w:t>，</w:t>
            </w:r>
            <w:r>
              <w:rPr>
                <w:rFonts w:hint="default"/>
                <w:color w:val="auto"/>
                <w:spacing w:val="4"/>
                <w:sz w:val="24"/>
              </w:rPr>
              <w:t>减振基础、加装减振垫，采用弹性</w:t>
            </w:r>
            <w:r>
              <w:rPr>
                <w:rFonts w:hint="eastAsia"/>
                <w:color w:val="auto"/>
                <w:spacing w:val="4"/>
                <w:sz w:val="24"/>
                <w:lang w:eastAsia="zh-CN"/>
              </w:rPr>
              <w:t>支撑</w:t>
            </w:r>
            <w:r>
              <w:rPr>
                <w:rFonts w:hint="default"/>
                <w:color w:val="auto"/>
                <w:spacing w:val="4"/>
                <w:sz w:val="24"/>
              </w:rPr>
              <w:t>或弹性连接以减少振动，主要降低风机振动产生低频噪声；风机</w:t>
            </w:r>
            <w:r>
              <w:rPr>
                <w:rFonts w:hint="eastAsia"/>
                <w:color w:val="auto"/>
                <w:spacing w:val="4"/>
                <w:sz w:val="24"/>
                <w:lang w:eastAsia="zh-CN"/>
              </w:rPr>
              <w:t>、</w:t>
            </w:r>
            <w:r>
              <w:rPr>
                <w:rFonts w:hint="eastAsia"/>
                <w:color w:val="auto"/>
                <w:sz w:val="24"/>
                <w:lang w:eastAsia="zh-CN"/>
              </w:rPr>
              <w:t>喷枪</w:t>
            </w:r>
            <w:r>
              <w:rPr>
                <w:rFonts w:hint="default"/>
                <w:color w:val="auto"/>
                <w:spacing w:val="4"/>
                <w:sz w:val="24"/>
              </w:rPr>
              <w:t>安装在车间或设备房内，通过建筑隔声削减源强。</w:t>
            </w:r>
          </w:p>
          <w:p w14:paraId="240BCE09">
            <w:pPr>
              <w:keepNext w:val="0"/>
              <w:keepLines w:val="0"/>
              <w:suppressLineNumbers w:val="0"/>
              <w:spacing w:before="0" w:beforeAutospacing="0" w:after="0" w:afterAutospacing="0" w:line="360" w:lineRule="auto"/>
              <w:ind w:left="0" w:right="0" w:firstLine="496" w:firstLineChars="200"/>
              <w:rPr>
                <w:rFonts w:hint="default"/>
                <w:color w:val="auto"/>
                <w:sz w:val="24"/>
              </w:rPr>
            </w:pPr>
            <w:r>
              <w:rPr>
                <w:rFonts w:hint="default"/>
                <w:color w:val="auto"/>
                <w:spacing w:val="4"/>
                <w:sz w:val="24"/>
              </w:rPr>
              <w:t>采取以上各种降噪措施后，厂界噪声满足《工业企业厂界</w:t>
            </w:r>
            <w:r>
              <w:rPr>
                <w:rFonts w:hint="eastAsia"/>
                <w:color w:val="auto"/>
                <w:spacing w:val="4"/>
                <w:sz w:val="24"/>
              </w:rPr>
              <w:t>环境</w:t>
            </w:r>
            <w:r>
              <w:rPr>
                <w:rFonts w:hint="default"/>
                <w:color w:val="auto"/>
                <w:spacing w:val="4"/>
                <w:sz w:val="24"/>
              </w:rPr>
              <w:t>噪声</w:t>
            </w:r>
            <w:r>
              <w:rPr>
                <w:rFonts w:hint="eastAsia"/>
                <w:color w:val="auto"/>
                <w:spacing w:val="4"/>
                <w:sz w:val="24"/>
              </w:rPr>
              <w:t>排放</w:t>
            </w:r>
            <w:r>
              <w:rPr>
                <w:rFonts w:hint="default"/>
                <w:color w:val="auto"/>
                <w:spacing w:val="4"/>
                <w:sz w:val="24"/>
              </w:rPr>
              <w:t>标准》（GB12348</w:t>
            </w:r>
            <w:r>
              <w:rPr>
                <w:rFonts w:hint="eastAsia"/>
                <w:color w:val="auto"/>
                <w:spacing w:val="4"/>
                <w:sz w:val="24"/>
              </w:rPr>
              <w:t>-2008</w:t>
            </w:r>
            <w:r>
              <w:rPr>
                <w:rFonts w:hint="default"/>
                <w:color w:val="auto"/>
                <w:spacing w:val="4"/>
                <w:sz w:val="24"/>
              </w:rPr>
              <w:t>）</w:t>
            </w:r>
            <w:r>
              <w:rPr>
                <w:rFonts w:hint="eastAsia"/>
                <w:color w:val="auto"/>
                <w:spacing w:val="4"/>
                <w:sz w:val="24"/>
                <w:lang w:val="en-US" w:eastAsia="zh-CN"/>
              </w:rPr>
              <w:t>2</w:t>
            </w:r>
            <w:r>
              <w:rPr>
                <w:rFonts w:hint="default"/>
                <w:color w:val="auto"/>
                <w:spacing w:val="4"/>
                <w:sz w:val="24"/>
              </w:rPr>
              <w:t>类标准的要求。拟建工程采取的降噪措施有效、可行。</w:t>
            </w:r>
          </w:p>
          <w:p w14:paraId="3B02B4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lang w:val="en-US" w:eastAsia="zh-CN"/>
              </w:rPr>
              <w:t>.噪声监测要求</w:t>
            </w:r>
          </w:p>
          <w:p w14:paraId="07C2C5E8">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噪声监测：厂界噪声监测。</w:t>
            </w:r>
          </w:p>
          <w:p w14:paraId="7BCD1DE9">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本项目噪声监测点位、监测因子和频次见表</w:t>
            </w:r>
            <w:r>
              <w:rPr>
                <w:rFonts w:hint="default" w:ascii="Times New Roman" w:hAnsi="Times New Roman" w:eastAsia="宋体" w:cs="Times New Roman"/>
                <w:bCs/>
                <w:color w:val="auto"/>
                <w:sz w:val="24"/>
                <w:szCs w:val="24"/>
                <w:highlight w:val="none"/>
                <w:lang w:val="en-US" w:eastAsia="zh-CN"/>
              </w:rPr>
              <w:t>4-1</w:t>
            </w:r>
            <w:r>
              <w:rPr>
                <w:rFonts w:hint="eastAsia" w:cs="Times New Roman"/>
                <w:bCs/>
                <w:color w:val="auto"/>
                <w:sz w:val="24"/>
                <w:szCs w:val="24"/>
                <w:highlight w:val="none"/>
                <w:lang w:val="en-US" w:eastAsia="zh-CN"/>
              </w:rPr>
              <w:t>0</w:t>
            </w:r>
            <w:r>
              <w:rPr>
                <w:rFonts w:hint="default" w:ascii="Times New Roman" w:hAnsi="Times New Roman" w:eastAsia="宋体" w:cs="Times New Roman"/>
                <w:bCs/>
                <w:color w:val="auto"/>
                <w:sz w:val="24"/>
                <w:szCs w:val="24"/>
                <w:highlight w:val="none"/>
              </w:rPr>
              <w:t>。</w:t>
            </w:r>
          </w:p>
          <w:p w14:paraId="1A988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4-1</w:t>
            </w:r>
            <w:r>
              <w:rPr>
                <w:rFonts w:hint="eastAsia" w:cs="Times New Roman"/>
                <w:b/>
                <w:bCs/>
                <w:color w:val="auto"/>
                <w:sz w:val="24"/>
                <w:highlight w:val="none"/>
                <w:lang w:val="en-US" w:eastAsia="zh-CN"/>
              </w:rPr>
              <w:t>0</w:t>
            </w:r>
            <w:r>
              <w:rPr>
                <w:rFonts w:hint="default" w:ascii="Times New Roman" w:hAnsi="Times New Roman" w:eastAsia="宋体" w:cs="Times New Roman"/>
                <w:b/>
                <w:bCs/>
                <w:color w:val="auto"/>
                <w:sz w:val="24"/>
                <w:highlight w:val="none"/>
              </w:rPr>
              <w:t xml:space="preserve">    </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bCs/>
                <w:color w:val="auto"/>
                <w:sz w:val="24"/>
                <w:highlight w:val="none"/>
              </w:rPr>
              <w:t>环境监测一览表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117"/>
              <w:gridCol w:w="1393"/>
              <w:gridCol w:w="1325"/>
              <w:gridCol w:w="1426"/>
              <w:gridCol w:w="2589"/>
            </w:tblGrid>
            <w:tr w14:paraId="7171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blHeader/>
                <w:jc w:val="center"/>
              </w:trPr>
              <w:tc>
                <w:tcPr>
                  <w:tcW w:w="429" w:type="pct"/>
                  <w:tcBorders>
                    <w:tl2br w:val="nil"/>
                    <w:tr2bl w:val="nil"/>
                  </w:tcBorders>
                  <w:noWrap w:val="0"/>
                  <w:vAlign w:val="center"/>
                </w:tcPr>
                <w:p w14:paraId="3F54D327">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名称</w:t>
                  </w:r>
                </w:p>
              </w:tc>
              <w:tc>
                <w:tcPr>
                  <w:tcW w:w="650" w:type="pct"/>
                  <w:tcBorders>
                    <w:tl2br w:val="nil"/>
                    <w:tr2bl w:val="nil"/>
                  </w:tcBorders>
                  <w:noWrap w:val="0"/>
                  <w:vAlign w:val="center"/>
                </w:tcPr>
                <w:p w14:paraId="674B1EB4">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监测项目</w:t>
                  </w:r>
                </w:p>
              </w:tc>
              <w:tc>
                <w:tcPr>
                  <w:tcW w:w="811" w:type="pct"/>
                  <w:tcBorders>
                    <w:tl2br w:val="nil"/>
                    <w:tr2bl w:val="nil"/>
                  </w:tcBorders>
                  <w:noWrap w:val="0"/>
                  <w:vAlign w:val="center"/>
                </w:tcPr>
                <w:p w14:paraId="74FE09CB">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eastAsia" w:cs="Times New Roman"/>
                      <w:bCs/>
                      <w:color w:val="auto"/>
                      <w:sz w:val="21"/>
                      <w:szCs w:val="21"/>
                      <w:highlight w:val="none"/>
                      <w:lang w:eastAsia="zh-CN"/>
                    </w:rPr>
                    <w:t>监测点位</w:t>
                  </w:r>
                </w:p>
              </w:tc>
              <w:tc>
                <w:tcPr>
                  <w:tcW w:w="771" w:type="pct"/>
                  <w:tcBorders>
                    <w:tl2br w:val="nil"/>
                    <w:tr2bl w:val="nil"/>
                  </w:tcBorders>
                  <w:noWrap w:val="0"/>
                  <w:vAlign w:val="center"/>
                </w:tcPr>
                <w:p w14:paraId="2F6C0B6F">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监测因子</w:t>
                  </w:r>
                </w:p>
              </w:tc>
              <w:tc>
                <w:tcPr>
                  <w:tcW w:w="830" w:type="pct"/>
                  <w:tcBorders>
                    <w:tl2br w:val="nil"/>
                    <w:tr2bl w:val="nil"/>
                  </w:tcBorders>
                  <w:noWrap w:val="0"/>
                  <w:vAlign w:val="center"/>
                </w:tcPr>
                <w:p w14:paraId="0D2C16CF">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监测频次</w:t>
                  </w:r>
                </w:p>
              </w:tc>
              <w:tc>
                <w:tcPr>
                  <w:tcW w:w="1507" w:type="pct"/>
                  <w:tcBorders>
                    <w:tl2br w:val="nil"/>
                    <w:tr2bl w:val="nil"/>
                  </w:tcBorders>
                  <w:noWrap w:val="0"/>
                  <w:vAlign w:val="center"/>
                </w:tcPr>
                <w:p w14:paraId="2FDA12C6">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执行标准</w:t>
                  </w:r>
                </w:p>
              </w:tc>
            </w:tr>
            <w:tr w14:paraId="73C5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429" w:type="pct"/>
                  <w:tcBorders>
                    <w:tl2br w:val="nil"/>
                    <w:tr2bl w:val="nil"/>
                  </w:tcBorders>
                  <w:noWrap w:val="0"/>
                  <w:vAlign w:val="center"/>
                </w:tcPr>
                <w:p w14:paraId="0A2EF7E7">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噪声</w:t>
                  </w:r>
                </w:p>
              </w:tc>
              <w:tc>
                <w:tcPr>
                  <w:tcW w:w="650" w:type="pct"/>
                  <w:tcBorders>
                    <w:tl2br w:val="nil"/>
                    <w:tr2bl w:val="nil"/>
                  </w:tcBorders>
                  <w:noWrap w:val="0"/>
                  <w:vAlign w:val="center"/>
                </w:tcPr>
                <w:p w14:paraId="78508F7B">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厂界噪声</w:t>
                  </w:r>
                </w:p>
              </w:tc>
              <w:tc>
                <w:tcPr>
                  <w:tcW w:w="811" w:type="pct"/>
                  <w:tcBorders>
                    <w:tl2br w:val="nil"/>
                    <w:tr2bl w:val="nil"/>
                  </w:tcBorders>
                  <w:noWrap w:val="0"/>
                  <w:vAlign w:val="center"/>
                </w:tcPr>
                <w:p w14:paraId="73E8006D">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项目厂界外1m</w:t>
                  </w:r>
                </w:p>
              </w:tc>
              <w:tc>
                <w:tcPr>
                  <w:tcW w:w="771" w:type="pct"/>
                  <w:tcBorders>
                    <w:tl2br w:val="nil"/>
                    <w:tr2bl w:val="nil"/>
                  </w:tcBorders>
                  <w:noWrap w:val="0"/>
                  <w:vAlign w:val="center"/>
                </w:tcPr>
                <w:p w14:paraId="68145463">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等效A声级</w:t>
                  </w:r>
                </w:p>
              </w:tc>
              <w:tc>
                <w:tcPr>
                  <w:tcW w:w="830" w:type="pct"/>
                  <w:tcBorders>
                    <w:tl2br w:val="nil"/>
                    <w:tr2bl w:val="nil"/>
                  </w:tcBorders>
                  <w:noWrap w:val="0"/>
                  <w:vAlign w:val="center"/>
                </w:tcPr>
                <w:p w14:paraId="606510FD">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1期/季，每期昼夜各1次</w:t>
                  </w:r>
                </w:p>
              </w:tc>
              <w:tc>
                <w:tcPr>
                  <w:tcW w:w="1507" w:type="pct"/>
                  <w:tcBorders>
                    <w:tl2br w:val="nil"/>
                    <w:tr2bl w:val="nil"/>
                  </w:tcBorders>
                  <w:noWrap w:val="0"/>
                  <w:vAlign w:val="center"/>
                </w:tcPr>
                <w:p w14:paraId="0BE98C0A">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《工业企业厂界环境噪声排放标准》（GB12348-2008）</w:t>
                  </w:r>
                  <w:r>
                    <w:rPr>
                      <w:rFonts w:hint="eastAsia" w:cs="Times New Roman"/>
                      <w:bCs/>
                      <w:color w:val="auto"/>
                      <w:sz w:val="21"/>
                      <w:szCs w:val="21"/>
                      <w:highlight w:val="none"/>
                      <w:lang w:val="en-US" w:eastAsia="zh-CN"/>
                    </w:rPr>
                    <w:t>2</w:t>
                  </w:r>
                  <w:r>
                    <w:rPr>
                      <w:rFonts w:hint="default" w:ascii="Times New Roman" w:hAnsi="Times New Roman" w:eastAsia="宋体" w:cs="Times New Roman"/>
                      <w:bCs/>
                      <w:color w:val="auto"/>
                      <w:sz w:val="21"/>
                      <w:szCs w:val="21"/>
                      <w:highlight w:val="none"/>
                    </w:rPr>
                    <w:t>类标准限值要求</w:t>
                  </w:r>
                </w:p>
              </w:tc>
            </w:tr>
          </w:tbl>
          <w:p w14:paraId="46E34DEE">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eastAsia="zh-CN"/>
              </w:rPr>
              <w:t>四、固体废物</w:t>
            </w:r>
          </w:p>
          <w:p w14:paraId="3FB7E920">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1.固体废物来源分析</w:t>
            </w:r>
          </w:p>
          <w:p w14:paraId="60A24078">
            <w:pPr>
              <w:pStyle w:val="4"/>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rPr>
            </w:pPr>
            <w:r>
              <w:rPr>
                <w:rFonts w:hint="eastAsia" w:ascii="Times New Roman" w:hAnsi="Times New Roman" w:eastAsia="宋体" w:cs="Times New Roman"/>
                <w:b w:val="0"/>
                <w:bCs w:val="0"/>
                <w:color w:val="auto"/>
                <w:kern w:val="2"/>
                <w:sz w:val="24"/>
                <w:szCs w:val="24"/>
                <w:lang w:val="en-US" w:eastAsia="zh-CN" w:bidi="ar-SA"/>
              </w:rPr>
              <w:t>本项目依托布尔台煤矿现有劳动定员，不新增劳动定员，故不新增生活垃圾</w:t>
            </w:r>
            <w:r>
              <w:rPr>
                <w:rFonts w:hint="eastAsia" w:eastAsia="宋体"/>
                <w:b w:val="0"/>
                <w:bCs w:val="0"/>
                <w:color w:val="auto"/>
                <w:sz w:val="24"/>
                <w:szCs w:val="24"/>
              </w:rPr>
              <w:t>。</w:t>
            </w:r>
            <w:r>
              <w:rPr>
                <w:rFonts w:hint="default" w:ascii="Times New Roman" w:hAnsi="Times New Roman" w:eastAsia="宋体" w:cs="Times New Roman"/>
                <w:b w:val="0"/>
                <w:bCs w:val="0"/>
                <w:color w:val="auto"/>
                <w:sz w:val="24"/>
                <w:highlight w:val="none"/>
                <w:lang w:val="en-US" w:eastAsia="zh-CN"/>
              </w:rPr>
              <w:t>本</w:t>
            </w:r>
            <w:r>
              <w:rPr>
                <w:rFonts w:hint="default" w:ascii="Times New Roman" w:hAnsi="Times New Roman" w:eastAsia="宋体" w:cs="Times New Roman"/>
                <w:b w:val="0"/>
                <w:bCs w:val="0"/>
                <w:color w:val="auto"/>
                <w:sz w:val="24"/>
                <w:highlight w:val="none"/>
              </w:rPr>
              <w:t>项目固体废物主要包括生产过程</w:t>
            </w:r>
            <w:r>
              <w:rPr>
                <w:rFonts w:hint="eastAsia" w:ascii="Times New Roman" w:hAnsi="Times New Roman" w:eastAsia="宋体" w:cs="Times New Roman"/>
                <w:b w:val="0"/>
                <w:bCs w:val="0"/>
                <w:color w:val="auto"/>
                <w:sz w:val="24"/>
                <w:highlight w:val="none"/>
                <w:lang w:val="en-US" w:eastAsia="zh-CN"/>
              </w:rPr>
              <w:t>产生的S1废水性漆、S2水性漆桶、S3废漆渣、S4废纸壳、S5废过滤棉、S6废过滤袋、S7废活性炭、S8废催化剂，</w:t>
            </w:r>
            <w:r>
              <w:rPr>
                <w:rFonts w:hint="default" w:ascii="Times New Roman" w:hAnsi="Times New Roman" w:eastAsia="宋体" w:cs="Times New Roman"/>
                <w:b w:val="0"/>
                <w:bCs w:val="0"/>
                <w:color w:val="auto"/>
                <w:sz w:val="24"/>
                <w:highlight w:val="none"/>
              </w:rPr>
              <w:t>具体计算如下：</w:t>
            </w:r>
          </w:p>
          <w:p w14:paraId="5725F2A6">
            <w:pPr>
              <w:pStyle w:val="4"/>
              <w:keepNext w:val="0"/>
              <w:keepLines w:val="0"/>
              <w:suppressLineNumbers w:val="0"/>
              <w:spacing w:before="0" w:beforeAutospacing="0" w:after="0" w:afterAutospacing="0" w:line="360" w:lineRule="auto"/>
              <w:ind w:left="0" w:right="0" w:firstLine="480" w:firstLineChars="200"/>
              <w:rPr>
                <w:rFonts w:hint="eastAsia" w:eastAsia="宋体"/>
                <w:b w:val="0"/>
                <w:bCs w:val="0"/>
                <w:color w:val="auto"/>
                <w:sz w:val="24"/>
                <w:szCs w:val="24"/>
                <w:lang w:val="en-US" w:eastAsia="zh-CN"/>
              </w:rPr>
            </w:pPr>
            <w:r>
              <w:rPr>
                <w:rFonts w:hint="eastAsia" w:eastAsia="宋体"/>
                <w:b w:val="0"/>
                <w:bCs w:val="0"/>
                <w:color w:val="auto"/>
                <w:sz w:val="24"/>
                <w:szCs w:val="24"/>
                <w:lang w:val="en-US" w:eastAsia="zh-CN"/>
              </w:rPr>
              <w:t>（1）废水性漆（S1）及水性漆桶（S2）</w:t>
            </w:r>
          </w:p>
          <w:p w14:paraId="0E45A908">
            <w:pPr>
              <w:pStyle w:val="4"/>
              <w:keepNext w:val="0"/>
              <w:keepLines w:val="0"/>
              <w:suppressLineNumbers w:val="0"/>
              <w:spacing w:before="0" w:beforeAutospacing="0" w:after="0" w:afterAutospacing="0" w:line="360" w:lineRule="auto"/>
              <w:ind w:left="0" w:right="0" w:firstLine="480" w:firstLineChars="200"/>
              <w:rPr>
                <w:rFonts w:hint="default" w:eastAsia="宋体"/>
                <w:b w:val="0"/>
                <w:bCs w:val="0"/>
                <w:color w:val="auto"/>
                <w:sz w:val="24"/>
                <w:szCs w:val="24"/>
                <w:lang w:val="en-US" w:eastAsia="zh-CN"/>
              </w:rPr>
            </w:pPr>
            <w:r>
              <w:rPr>
                <w:rFonts w:hint="eastAsia" w:eastAsia="宋体"/>
                <w:b w:val="0"/>
                <w:bCs w:val="0"/>
                <w:color w:val="auto"/>
                <w:sz w:val="24"/>
                <w:szCs w:val="24"/>
                <w:lang w:val="en-US" w:eastAsia="zh-CN"/>
              </w:rPr>
              <w:t>本项目在刷漆、喷漆过程中会产生废漆桶及废水性漆，根据《国家危险废物名录》（2021年版），</w:t>
            </w:r>
            <w:r>
              <w:rPr>
                <w:rFonts w:hint="eastAsia" w:ascii="Times New Roman" w:hAnsi="Times New Roman" w:eastAsia="宋体" w:cs="Times New Roman"/>
                <w:b w:val="0"/>
                <w:bCs w:val="0"/>
                <w:color w:val="auto"/>
                <w:sz w:val="24"/>
                <w:szCs w:val="24"/>
                <w:lang w:val="en-US" w:eastAsia="zh-CN"/>
              </w:rPr>
              <w:t>本项目产生的</w:t>
            </w:r>
            <w:r>
              <w:rPr>
                <w:rFonts w:hint="eastAsia" w:eastAsia="宋体"/>
                <w:b w:val="0"/>
                <w:bCs w:val="0"/>
                <w:color w:val="auto"/>
                <w:sz w:val="24"/>
                <w:szCs w:val="24"/>
                <w:lang w:val="en-US" w:eastAsia="zh-CN"/>
              </w:rPr>
              <w:t>废漆桶及废水性漆</w:t>
            </w:r>
            <w:r>
              <w:rPr>
                <w:rFonts w:hint="eastAsia" w:ascii="Times New Roman" w:hAnsi="Times New Roman" w:eastAsia="宋体" w:cs="Times New Roman"/>
                <w:b w:val="0"/>
                <w:bCs w:val="0"/>
                <w:color w:val="auto"/>
                <w:sz w:val="24"/>
                <w:szCs w:val="24"/>
                <w:lang w:val="en-US" w:eastAsia="zh-CN"/>
              </w:rPr>
              <w:t>属于HW49其他废物中非特定行业900-041-49，根据企业实际生产状况及同类项目生产情况可知本项目废水性漆产生量约为0.2t/a，本项目使用的漆桶包装规格为25kg/桶，项目每年使用水性漆9.6t/a，每个漆桶重量约为0.5kg，则本项目产生漆桶384个（即0.192t/a），产生</w:t>
            </w:r>
            <w:r>
              <w:rPr>
                <w:rFonts w:hint="eastAsia" w:eastAsia="宋体"/>
                <w:b w:val="0"/>
                <w:bCs w:val="0"/>
                <w:color w:val="auto"/>
                <w:sz w:val="24"/>
                <w:szCs w:val="24"/>
                <w:lang w:val="en-US" w:eastAsia="zh-CN"/>
              </w:rPr>
              <w:t>废漆桶及废水性漆</w:t>
            </w:r>
            <w:r>
              <w:rPr>
                <w:rFonts w:hint="eastAsia" w:ascii="Times New Roman" w:hAnsi="Times New Roman" w:eastAsia="宋体" w:cs="Times New Roman"/>
                <w:b w:val="0"/>
                <w:bCs w:val="0"/>
                <w:color w:val="auto"/>
                <w:sz w:val="24"/>
                <w:szCs w:val="24"/>
                <w:lang w:val="en-US" w:eastAsia="zh-CN"/>
              </w:rPr>
              <w:t>，暂存于布尔台煤矿厂区危废暂存库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p>
          <w:p w14:paraId="67E1538C">
            <w:pPr>
              <w:pStyle w:val="4"/>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（2）废漆渣（S3）及废纸壳（S4）</w:t>
            </w:r>
          </w:p>
          <w:p w14:paraId="5BE233F7">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eastAsia="宋体"/>
                <w:b w:val="0"/>
                <w:bCs w:val="0"/>
                <w:color w:val="auto"/>
                <w:sz w:val="24"/>
                <w:szCs w:val="24"/>
                <w:lang w:val="en-US" w:eastAsia="zh-CN"/>
              </w:rPr>
              <w:t>本项目漆雾过滤系统会产生废漆渣（含纸壳）</w:t>
            </w:r>
            <w:r>
              <w:rPr>
                <w:rFonts w:hint="eastAsia" w:ascii="Times New Roman" w:hAnsi="Times New Roman" w:eastAsia="宋体" w:cs="Times New Roman"/>
                <w:b w:val="0"/>
                <w:bCs w:val="0"/>
                <w:color w:val="auto"/>
                <w:sz w:val="24"/>
                <w:szCs w:val="24"/>
                <w:lang w:val="en-US" w:eastAsia="zh-CN"/>
              </w:rPr>
              <w:t>，</w:t>
            </w:r>
            <w:r>
              <w:rPr>
                <w:rFonts w:hint="eastAsia" w:eastAsia="宋体"/>
                <w:b w:val="0"/>
                <w:bCs w:val="0"/>
                <w:color w:val="auto"/>
                <w:sz w:val="24"/>
                <w:szCs w:val="24"/>
                <w:lang w:val="en-US" w:eastAsia="zh-CN"/>
              </w:rPr>
              <w:t>根据《国家危险废物名录》（2021年版），</w:t>
            </w:r>
            <w:r>
              <w:rPr>
                <w:rFonts w:hint="eastAsia" w:ascii="Times New Roman" w:hAnsi="Times New Roman" w:eastAsia="宋体" w:cs="Times New Roman"/>
                <w:b w:val="0"/>
                <w:bCs w:val="0"/>
                <w:color w:val="auto"/>
                <w:sz w:val="24"/>
                <w:szCs w:val="24"/>
                <w:lang w:val="en-US" w:eastAsia="zh-CN"/>
              </w:rPr>
              <w:t>本项目产生的废漆渣（含纸壳）属于HW49其他废物中非特定行业900-041-49，根据物料衡算可知本项目废漆渣（含纸壳）产生量约为</w:t>
            </w:r>
            <w:r>
              <w:rPr>
                <w:rFonts w:hint="eastAsia" w:ascii="Times New Roman" w:hAnsi="Times New Roman" w:eastAsia="宋体" w:cs="Times New Roman"/>
                <w:b w:val="0"/>
                <w:bCs w:val="0"/>
                <w:color w:val="auto"/>
                <w:sz w:val="24"/>
                <w:szCs w:val="24"/>
                <w:highlight w:val="none"/>
                <w:lang w:val="en-US" w:eastAsia="zh-CN"/>
              </w:rPr>
              <w:t>2.148t/a</w:t>
            </w:r>
            <w:r>
              <w:rPr>
                <w:rFonts w:hint="eastAsia" w:ascii="Times New Roman" w:hAnsi="Times New Roman" w:eastAsia="宋体" w:cs="Times New Roman"/>
                <w:b w:val="0"/>
                <w:bCs w:val="0"/>
                <w:color w:val="auto"/>
                <w:sz w:val="24"/>
                <w:szCs w:val="24"/>
                <w:lang w:val="en-US" w:eastAsia="zh-CN"/>
              </w:rPr>
              <w:t>，产生</w:t>
            </w:r>
            <w:r>
              <w:rPr>
                <w:rFonts w:hint="eastAsia" w:eastAsia="宋体"/>
                <w:b w:val="0"/>
                <w:bCs w:val="0"/>
                <w:color w:val="auto"/>
                <w:sz w:val="24"/>
                <w:szCs w:val="24"/>
                <w:lang w:val="en-US" w:eastAsia="zh-CN"/>
              </w:rPr>
              <w:t>废漆渣（</w:t>
            </w:r>
            <w:r>
              <w:rPr>
                <w:rFonts w:hint="eastAsia" w:ascii="Times New Roman" w:hAnsi="Times New Roman" w:eastAsia="宋体" w:cs="Times New Roman"/>
                <w:b w:val="0"/>
                <w:bCs w:val="0"/>
                <w:color w:val="auto"/>
                <w:sz w:val="24"/>
                <w:szCs w:val="24"/>
                <w:lang w:val="en-US" w:eastAsia="zh-CN"/>
              </w:rPr>
              <w:t>含纸壳</w:t>
            </w:r>
            <w:r>
              <w:rPr>
                <w:rFonts w:hint="eastAsia" w:eastAsia="宋体"/>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p>
          <w:p w14:paraId="272F92F7">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（3）废过滤棉（S5）</w:t>
            </w:r>
          </w:p>
          <w:p w14:paraId="6F8B2D57">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项目漆雾过滤系统会产生废过滤棉，根据《国家危险废物名录》（2021年版），本项目产生的废过滤棉属于HW49其他废物中非特定行业900-041-49，根据类比同类项目可知废过滤棉产生量约为0.1t/a，产生废过滤棉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p>
          <w:p w14:paraId="17C8FACC">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（4）废过滤袋（S6）</w:t>
            </w:r>
          </w:p>
          <w:p w14:paraId="1913C832">
            <w:pPr>
              <w:pStyle w:val="4"/>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项目漆雾过滤系统会产生废过滤袋，根据《国家危险废物名录》（2021年版），本项目产生的废过滤袋属于HW49其他废物中非特定行业900-041-49，根据类比同类项目可知废过滤袋产生量约为0.2t/a，产生废过滤袋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p>
          <w:p w14:paraId="0EC59DEE">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（5）废活性炭（S7）</w:t>
            </w:r>
          </w:p>
          <w:p w14:paraId="0B54B427">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eastAsia="宋体"/>
                <w:b w:val="0"/>
                <w:bCs w:val="0"/>
                <w:color w:val="auto"/>
                <w:sz w:val="24"/>
                <w:szCs w:val="24"/>
                <w:lang w:val="en-US" w:eastAsia="zh-CN"/>
              </w:rPr>
              <w:t>本项目废气处理系统产生的废活性炭，根据类比同类项目可知废活性炭产生系数约为0.4t/t漆料，本项目水性漆用量为9.6t/a，则本项目废活性炭产生量为3.84t/a</w:t>
            </w:r>
            <w:r>
              <w:rPr>
                <w:rFonts w:hint="eastAsia" w:ascii="Times New Roman" w:hAnsi="Times New Roman" w:eastAsia="宋体" w:cs="Times New Roman"/>
                <w:b w:val="0"/>
                <w:bCs w:val="0"/>
                <w:color w:val="auto"/>
                <w:sz w:val="24"/>
                <w:szCs w:val="24"/>
                <w:lang w:val="en-US" w:eastAsia="zh-CN"/>
              </w:rPr>
              <w:t>，</w:t>
            </w:r>
            <w:r>
              <w:rPr>
                <w:rFonts w:hint="eastAsia" w:eastAsia="宋体"/>
                <w:b w:val="0"/>
                <w:bCs w:val="0"/>
                <w:color w:val="auto"/>
                <w:sz w:val="24"/>
                <w:szCs w:val="24"/>
                <w:lang w:val="en-US" w:eastAsia="zh-CN"/>
              </w:rPr>
              <w:t>根据《国家危险废物名录》（2021年版），</w:t>
            </w:r>
            <w:r>
              <w:rPr>
                <w:rFonts w:hint="eastAsia" w:ascii="Times New Roman" w:hAnsi="Times New Roman" w:eastAsia="宋体" w:cs="Times New Roman"/>
                <w:b w:val="0"/>
                <w:bCs w:val="0"/>
                <w:color w:val="auto"/>
                <w:sz w:val="24"/>
                <w:szCs w:val="24"/>
                <w:lang w:val="en-US" w:eastAsia="zh-CN"/>
              </w:rPr>
              <w:t>本项目产生的废活性炭属于HW49其他废物中非特定行业900-041-49，暂存于布尔台煤矿厂区危废暂存库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p>
          <w:p w14:paraId="2C382877">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（6）废催化剂（S8）</w:t>
            </w:r>
          </w:p>
          <w:p w14:paraId="566BD071">
            <w:pPr>
              <w:pStyle w:val="4"/>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本项目</w:t>
            </w:r>
            <w:r>
              <w:rPr>
                <w:rFonts w:hint="eastAsia" w:eastAsia="宋体"/>
                <w:b w:val="0"/>
                <w:bCs w:val="0"/>
                <w:color w:val="auto"/>
                <w:sz w:val="24"/>
                <w:szCs w:val="24"/>
                <w:lang w:val="en-US" w:eastAsia="zh-CN"/>
              </w:rPr>
              <w:t>废气处理</w:t>
            </w:r>
            <w:r>
              <w:rPr>
                <w:rFonts w:hint="eastAsia"/>
                <w:b w:val="0"/>
                <w:bCs w:val="0"/>
                <w:color w:val="auto"/>
                <w:sz w:val="24"/>
                <w:szCs w:val="24"/>
                <w:lang w:val="en-US" w:eastAsia="zh-CN"/>
              </w:rPr>
              <w:t>系统</w:t>
            </w:r>
            <w:r>
              <w:rPr>
                <w:rFonts w:hint="eastAsia" w:ascii="Times New Roman" w:hAnsi="Times New Roman" w:eastAsia="宋体" w:cs="Times New Roman"/>
                <w:b w:val="0"/>
                <w:bCs w:val="0"/>
                <w:color w:val="auto"/>
                <w:sz w:val="24"/>
                <w:szCs w:val="24"/>
                <w:lang w:val="en-US" w:eastAsia="zh-CN"/>
              </w:rPr>
              <w:t>会产生废催化剂（催化剂为陶瓷基载体的Pt、Pd贵金属型催化剂），根据类比同类项目可知废催化剂产生量约为0.2t/3a，根据《国家危险废物名录》（2021年版）可知，该催化剂暂时</w:t>
            </w:r>
            <w:r>
              <w:rPr>
                <w:rFonts w:hint="eastAsia" w:ascii="Times New Roman" w:hAnsi="Times New Roman" w:cs="Times New Roman"/>
                <w:b w:val="0"/>
                <w:bCs w:val="0"/>
                <w:color w:val="auto"/>
                <w:sz w:val="24"/>
                <w:szCs w:val="24"/>
                <w:lang w:val="en-US" w:eastAsia="zh-CN"/>
              </w:rPr>
              <w:t>还</w:t>
            </w:r>
            <w:r>
              <w:rPr>
                <w:rFonts w:hint="eastAsia" w:ascii="Times New Roman" w:hAnsi="Times New Roman" w:eastAsia="宋体" w:cs="Times New Roman"/>
                <w:b w:val="0"/>
                <w:bCs w:val="0"/>
                <w:color w:val="auto"/>
                <w:sz w:val="24"/>
                <w:szCs w:val="24"/>
                <w:lang w:val="en-US" w:eastAsia="zh-CN"/>
              </w:rPr>
              <w:t>没有列入国家危险废物名录中，</w:t>
            </w:r>
            <w:r>
              <w:rPr>
                <w:rFonts w:hint="eastAsia" w:ascii="Times New Roman" w:hAnsi="Times New Roman" w:eastAsia="宋体" w:cs="Times New Roman"/>
                <w:b w:val="0"/>
                <w:bCs w:val="0"/>
                <w:color w:val="auto"/>
                <w:kern w:val="0"/>
                <w:sz w:val="24"/>
                <w:szCs w:val="20"/>
                <w:lang w:val="en-US" w:eastAsia="zh-CN" w:bidi="ar-SA"/>
              </w:rPr>
              <w:t>催化剂表面随着大有机物发生氧化反应后会钝化失活，不属于沾染有毒有害成分的废物，因此按照一般固废处置，催化剂定期由厂家更换处置回收，不在厂内进行暂存。</w:t>
            </w:r>
          </w:p>
          <w:p w14:paraId="5B92C355">
            <w:pPr>
              <w:pStyle w:val="58"/>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2"/>
                <w:highlight w:val="none"/>
              </w:rPr>
            </w:pPr>
            <w:r>
              <w:rPr>
                <w:rFonts w:hint="default" w:ascii="Times New Roman" w:hAnsi="Times New Roman" w:eastAsia="宋体" w:cs="Times New Roman"/>
                <w:b/>
                <w:bCs w:val="0"/>
                <w:color w:val="auto"/>
                <w:kern w:val="2"/>
                <w:highlight w:val="none"/>
              </w:rPr>
              <w:t>2.环境管理要求</w:t>
            </w:r>
          </w:p>
          <w:p w14:paraId="4A40A786">
            <w:pPr>
              <w:keepNext w:val="0"/>
              <w:keepLines w:val="0"/>
              <w:pageBreakBefore w:val="0"/>
              <w:widowControl w:val="0"/>
              <w:suppressLineNumbers w:val="0"/>
              <w:tabs>
                <w:tab w:val="left" w:pos="7020"/>
              </w:tabs>
              <w:kinsoku/>
              <w:wordWrap/>
              <w:overflowPunct/>
              <w:topLinePunct w:val="0"/>
              <w:bidi w:val="0"/>
              <w:adjustRightInd w:val="0"/>
              <w:snapToGrid w:val="0"/>
              <w:spacing w:before="0" w:beforeAutospacing="0" w:after="0" w:afterAutospacing="0" w:line="360" w:lineRule="auto"/>
              <w:ind w:left="0" w:right="0" w:firstLine="48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（1）固体废物产生及处置情况</w:t>
            </w:r>
          </w:p>
          <w:p w14:paraId="4FF211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 w:val="0"/>
                <w:bCs w:val="0"/>
                <w:color w:val="auto"/>
                <w:kern w:val="2"/>
                <w:sz w:val="24"/>
                <w:szCs w:val="24"/>
                <w:lang w:val="en-US" w:eastAsia="zh-CN" w:bidi="ar-SA"/>
              </w:rPr>
              <w:t>本项目依托布尔台煤矿现有劳动定员，不新增劳动定员，故不新增生活垃圾</w:t>
            </w:r>
            <w:r>
              <w:rPr>
                <w:rFonts w:hint="eastAsia" w:eastAsia="宋体"/>
                <w:b w:val="0"/>
                <w:bCs w:val="0"/>
                <w:color w:val="auto"/>
                <w:sz w:val="24"/>
                <w:szCs w:val="24"/>
              </w:rPr>
              <w:t>。</w:t>
            </w:r>
            <w:r>
              <w:rPr>
                <w:rFonts w:hint="default" w:ascii="Times New Roman" w:hAnsi="Times New Roman" w:eastAsia="宋体" w:cs="Times New Roman"/>
                <w:b w:val="0"/>
                <w:bCs w:val="0"/>
                <w:color w:val="auto"/>
                <w:sz w:val="24"/>
                <w:highlight w:val="none"/>
                <w:lang w:val="en-US" w:eastAsia="zh-CN"/>
              </w:rPr>
              <w:t>本</w:t>
            </w:r>
            <w:r>
              <w:rPr>
                <w:rFonts w:hint="default" w:ascii="Times New Roman" w:hAnsi="Times New Roman" w:eastAsia="宋体" w:cs="Times New Roman"/>
                <w:b w:val="0"/>
                <w:bCs w:val="0"/>
                <w:color w:val="auto"/>
                <w:sz w:val="24"/>
                <w:highlight w:val="none"/>
              </w:rPr>
              <w:t>项目固体废物主要包括生产过程</w:t>
            </w:r>
            <w:r>
              <w:rPr>
                <w:rFonts w:hint="eastAsia" w:ascii="Times New Roman" w:hAnsi="Times New Roman" w:eastAsia="宋体" w:cs="Times New Roman"/>
                <w:b w:val="0"/>
                <w:bCs w:val="0"/>
                <w:color w:val="auto"/>
                <w:sz w:val="24"/>
                <w:highlight w:val="none"/>
                <w:lang w:val="en-US" w:eastAsia="zh-CN"/>
              </w:rPr>
              <w:t>产生的S1废水性漆、S2水性漆桶、S3废漆渣、S4废纸壳、S5废过滤棉、S6废过滤袋、S7废活性炭、S8废催化剂</w:t>
            </w:r>
            <w:r>
              <w:rPr>
                <w:rFonts w:hint="default" w:ascii="Times New Roman" w:hAnsi="Times New Roman" w:eastAsia="宋体" w:cs="Times New Roman"/>
                <w:bCs/>
                <w:color w:val="auto"/>
                <w:sz w:val="24"/>
                <w:highlight w:val="none"/>
                <w:lang w:val="en-US" w:eastAsia="zh-CN"/>
              </w:rPr>
              <w:t>。</w:t>
            </w:r>
          </w:p>
          <w:p w14:paraId="410BC1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S1废水性漆、S2水性漆桶、S3废漆渣、S4废纸壳、S5废过滤棉、S6废过滤袋、S7废活性炭</w:t>
            </w:r>
            <w:r>
              <w:rPr>
                <w:rFonts w:hint="eastAsia" w:ascii="Times New Roman" w:hAnsi="Times New Roman" w:eastAsia="宋体" w:cs="Times New Roman"/>
                <w:b w:val="0"/>
                <w:bCs w:val="0"/>
                <w:color w:val="auto"/>
                <w:sz w:val="24"/>
                <w:szCs w:val="24"/>
                <w:lang w:val="en-US" w:eastAsia="zh-CN"/>
              </w:rPr>
              <w:t>暂存于布尔台煤矿厂区危废暂存库</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定期</w:t>
            </w:r>
            <w:r>
              <w:rPr>
                <w:rFonts w:hint="default" w:ascii="Times New Roman" w:hAnsi="Times New Roman" w:eastAsia="宋体" w:cs="Times New Roman"/>
                <w:b w:val="0"/>
                <w:bCs w:val="0"/>
                <w:color w:val="auto"/>
                <w:sz w:val="24"/>
                <w:szCs w:val="24"/>
                <w:lang w:val="en-US" w:eastAsia="zh-CN"/>
              </w:rPr>
              <w:t>委托有资质单位处置</w:t>
            </w:r>
            <w:r>
              <w:rPr>
                <w:rFonts w:hint="eastAsia"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highlight w:val="none"/>
                <w:lang w:val="en-US" w:eastAsia="zh-CN"/>
              </w:rPr>
              <w:t>S8废催化剂</w:t>
            </w:r>
            <w:r>
              <w:rPr>
                <w:rFonts w:hint="eastAsia" w:ascii="Times New Roman" w:hAnsi="Times New Roman" w:eastAsia="宋体" w:cs="Times New Roman"/>
                <w:b w:val="0"/>
                <w:bCs w:val="0"/>
                <w:color w:val="auto"/>
                <w:kern w:val="0"/>
                <w:sz w:val="24"/>
                <w:szCs w:val="20"/>
                <w:lang w:val="en-US" w:eastAsia="zh-CN" w:bidi="ar-SA"/>
              </w:rPr>
              <w:t>定期由厂家更换处置回收，不在厂内进行暂存。</w:t>
            </w:r>
          </w:p>
          <w:p w14:paraId="40092D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综上，项目固体废物可得到合理处置，对外环境影响较小。</w:t>
            </w:r>
          </w:p>
          <w:p w14:paraId="07AD0E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）危险废物暂存间</w:t>
            </w:r>
          </w:p>
          <w:p w14:paraId="6A8118F0">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highlight w:val="none"/>
                <w:lang w:val="en-US" w:eastAsia="zh-CN"/>
              </w:rPr>
              <w:t>S1废水性漆、S2水性漆桶、S3废漆渣、S4废纸壳、S5废过滤棉、S6废过滤袋、S7废活性炭</w:t>
            </w:r>
            <w:r>
              <w:rPr>
                <w:rFonts w:hint="eastAsia" w:ascii="Times New Roman" w:hAnsi="Times New Roman" w:eastAsia="宋体" w:cs="Times New Roman"/>
                <w:b w:val="0"/>
                <w:bCs w:val="0"/>
                <w:color w:val="auto"/>
                <w:sz w:val="24"/>
                <w:szCs w:val="24"/>
                <w:highlight w:val="none"/>
                <w:lang w:val="en-US" w:eastAsia="zh-CN"/>
              </w:rPr>
              <w:t>暂存于布尔台煤矿厂区危废暂存库</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定期</w:t>
            </w:r>
            <w:r>
              <w:rPr>
                <w:rFonts w:hint="default" w:ascii="Times New Roman" w:hAnsi="Times New Roman" w:eastAsia="宋体" w:cs="Times New Roman"/>
                <w:b w:val="0"/>
                <w:bCs w:val="0"/>
                <w:color w:val="auto"/>
                <w:sz w:val="24"/>
                <w:szCs w:val="24"/>
                <w:highlight w:val="none"/>
                <w:lang w:val="en-US" w:eastAsia="zh-CN"/>
              </w:rPr>
              <w:t>委托有资质单位处置</w:t>
            </w:r>
            <w:r>
              <w:rPr>
                <w:rFonts w:hint="eastAsia" w:ascii="Times New Roman" w:hAnsi="Times New Roman" w:eastAsia="宋体" w:cs="Times New Roman"/>
                <w:b w:val="0"/>
                <w:bCs w:val="0"/>
                <w:color w:val="auto"/>
                <w:sz w:val="24"/>
                <w:szCs w:val="24"/>
                <w:highlight w:val="none"/>
                <w:lang w:val="en-US" w:eastAsia="zh-CN"/>
              </w:rPr>
              <w:t>。危废暂存库库房面积</w:t>
            </w:r>
            <w:r>
              <w:rPr>
                <w:rFonts w:hint="default" w:ascii="Times New Roman" w:hAnsi="Times New Roman" w:eastAsia="宋体" w:cs="Times New Roman"/>
                <w:b w:val="0"/>
                <w:bCs w:val="0"/>
                <w:color w:val="auto"/>
                <w:sz w:val="24"/>
                <w:szCs w:val="24"/>
                <w:highlight w:val="none"/>
                <w:lang w:val="en-US" w:eastAsia="zh-CN"/>
              </w:rPr>
              <w:t>207m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eastAsia" w:ascii="Times New Roman" w:hAnsi="Times New Roman" w:eastAsia="宋体" w:cs="Times New Roman"/>
                <w:b w:val="0"/>
                <w:bCs w:val="0"/>
                <w:color w:val="auto"/>
                <w:sz w:val="24"/>
                <w:szCs w:val="24"/>
                <w:highlight w:val="none"/>
                <w:lang w:val="en-US" w:eastAsia="zh-CN"/>
              </w:rPr>
              <w:t>，建筑高度</w:t>
            </w:r>
            <w:r>
              <w:rPr>
                <w:rFonts w:hint="default" w:ascii="Times New Roman" w:hAnsi="Times New Roman" w:eastAsia="宋体" w:cs="Times New Roman"/>
                <w:b w:val="0"/>
                <w:bCs w:val="0"/>
                <w:color w:val="auto"/>
                <w:sz w:val="24"/>
                <w:szCs w:val="24"/>
                <w:highlight w:val="none"/>
                <w:lang w:val="en-US" w:eastAsia="zh-CN"/>
              </w:rPr>
              <w:t>4.8</w:t>
            </w:r>
            <w:r>
              <w:rPr>
                <w:rFonts w:hint="eastAsia" w:ascii="Times New Roman" w:hAnsi="Times New Roman" w:eastAsia="宋体" w:cs="Times New Roman"/>
                <w:b w:val="0"/>
                <w:bCs w:val="0"/>
                <w:color w:val="auto"/>
                <w:sz w:val="24"/>
                <w:szCs w:val="24"/>
                <w:highlight w:val="none"/>
                <w:lang w:val="en-US" w:eastAsia="zh-CN"/>
              </w:rPr>
              <w:t>米，外侧</w:t>
            </w:r>
            <w:r>
              <w:rPr>
                <w:rFonts w:hint="default" w:ascii="Times New Roman" w:hAnsi="Times New Roman" w:eastAsia="宋体" w:cs="Times New Roman"/>
                <w:b w:val="0"/>
                <w:bCs w:val="0"/>
                <w:color w:val="auto"/>
                <w:sz w:val="24"/>
                <w:szCs w:val="24"/>
                <w:highlight w:val="none"/>
                <w:lang w:val="en-US" w:eastAsia="zh-CN"/>
              </w:rPr>
              <w:t>1.5m</w:t>
            </w:r>
            <w:r>
              <w:rPr>
                <w:rFonts w:hint="eastAsia" w:ascii="Times New Roman" w:hAnsi="Times New Roman" w:eastAsia="宋体" w:cs="Times New Roman"/>
                <w:b w:val="0"/>
                <w:bCs w:val="0"/>
                <w:color w:val="auto"/>
                <w:sz w:val="24"/>
                <w:szCs w:val="24"/>
                <w:highlight w:val="none"/>
                <w:lang w:val="en-US" w:eastAsia="zh-CN"/>
              </w:rPr>
              <w:t>高砖混结构，内侧</w:t>
            </w:r>
            <w:r>
              <w:rPr>
                <w:rFonts w:hint="default" w:ascii="Times New Roman" w:hAnsi="Times New Roman" w:eastAsia="宋体" w:cs="Times New Roman"/>
                <w:b w:val="0"/>
                <w:bCs w:val="0"/>
                <w:color w:val="auto"/>
                <w:sz w:val="24"/>
                <w:szCs w:val="24"/>
                <w:highlight w:val="none"/>
                <w:lang w:val="en-US" w:eastAsia="zh-CN"/>
              </w:rPr>
              <w:t>4.8m</w:t>
            </w:r>
            <w:r>
              <w:rPr>
                <w:rFonts w:hint="eastAsia" w:ascii="Times New Roman" w:hAnsi="Times New Roman" w:eastAsia="宋体" w:cs="Times New Roman"/>
                <w:b w:val="0"/>
                <w:bCs w:val="0"/>
                <w:color w:val="auto"/>
                <w:sz w:val="24"/>
                <w:szCs w:val="24"/>
                <w:highlight w:val="none"/>
                <w:lang w:val="en-US" w:eastAsia="zh-CN"/>
              </w:rPr>
              <w:t>高彩钢结构，库房地面防渗层整体基础采用</w:t>
            </w:r>
            <w:r>
              <w:rPr>
                <w:rFonts w:hint="default" w:ascii="Times New Roman" w:hAnsi="Times New Roman" w:eastAsia="宋体" w:cs="Times New Roman"/>
                <w:b w:val="0"/>
                <w:bCs w:val="0"/>
                <w:color w:val="auto"/>
                <w:sz w:val="24"/>
                <w:szCs w:val="24"/>
                <w:highlight w:val="none"/>
                <w:lang w:val="en-US" w:eastAsia="zh-CN"/>
              </w:rPr>
              <w:t>C15</w:t>
            </w:r>
            <w:r>
              <w:rPr>
                <w:rFonts w:hint="eastAsia" w:ascii="Times New Roman" w:hAnsi="Times New Roman" w:eastAsia="宋体" w:cs="Times New Roman"/>
                <w:b w:val="0"/>
                <w:bCs w:val="0"/>
                <w:color w:val="auto"/>
                <w:sz w:val="24"/>
                <w:szCs w:val="24"/>
                <w:highlight w:val="none"/>
                <w:lang w:val="en-US" w:eastAsia="zh-CN"/>
              </w:rPr>
              <w:t>混凝土垫层</w:t>
            </w:r>
            <w:r>
              <w:rPr>
                <w:rFonts w:hint="default" w:ascii="Times New Roman" w:hAnsi="Times New Roman" w:eastAsia="宋体" w:cs="Times New Roman"/>
                <w:b w:val="0"/>
                <w:bCs w:val="0"/>
                <w:color w:val="auto"/>
                <w:sz w:val="24"/>
                <w:szCs w:val="24"/>
                <w:highlight w:val="none"/>
                <w:lang w:val="en-US" w:eastAsia="zh-CN"/>
              </w:rPr>
              <w:t>150mm</w:t>
            </w:r>
            <w:r>
              <w:rPr>
                <w:rFonts w:hint="eastAsia" w:ascii="Times New Roman" w:hAnsi="Times New Roman" w:eastAsia="宋体" w:cs="Times New Roman"/>
                <w:b w:val="0"/>
                <w:bCs w:val="0"/>
                <w:color w:val="auto"/>
                <w:sz w:val="24"/>
                <w:szCs w:val="24"/>
                <w:highlight w:val="none"/>
                <w:lang w:val="en-US" w:eastAsia="zh-CN"/>
              </w:rPr>
              <w:t>厚、</w:t>
            </w:r>
            <w:r>
              <w:rPr>
                <w:rFonts w:hint="default" w:ascii="Times New Roman" w:hAnsi="Times New Roman" w:eastAsia="宋体" w:cs="Times New Roman"/>
                <w:b w:val="0"/>
                <w:bCs w:val="0"/>
                <w:color w:val="auto"/>
                <w:sz w:val="24"/>
                <w:szCs w:val="24"/>
                <w:highlight w:val="none"/>
                <w:lang w:val="en-US" w:eastAsia="zh-CN"/>
              </w:rPr>
              <w:t>SBS</w:t>
            </w:r>
            <w:r>
              <w:rPr>
                <w:rFonts w:hint="eastAsia" w:ascii="Times New Roman" w:hAnsi="Times New Roman" w:eastAsia="宋体" w:cs="Times New Roman"/>
                <w:b w:val="0"/>
                <w:bCs w:val="0"/>
                <w:color w:val="auto"/>
                <w:sz w:val="24"/>
                <w:szCs w:val="24"/>
                <w:highlight w:val="none"/>
                <w:lang w:val="en-US" w:eastAsia="zh-CN"/>
              </w:rPr>
              <w:t>防水层（</w:t>
            </w:r>
            <w:r>
              <w:rPr>
                <w:rFonts w:hint="default" w:ascii="Times New Roman" w:hAnsi="Times New Roman" w:eastAsia="宋体" w:cs="Times New Roman"/>
                <w:b w:val="0"/>
                <w:bCs w:val="0"/>
                <w:color w:val="auto"/>
                <w:sz w:val="24"/>
                <w:szCs w:val="24"/>
                <w:highlight w:val="none"/>
                <w:lang w:val="en-US" w:eastAsia="zh-CN"/>
              </w:rPr>
              <w:t>4mm</w:t>
            </w:r>
            <w:r>
              <w:rPr>
                <w:rFonts w:hint="eastAsia" w:ascii="Times New Roman" w:hAnsi="Times New Roman" w:eastAsia="宋体" w:cs="Times New Roman"/>
                <w:b w:val="0"/>
                <w:bCs w:val="0"/>
                <w:color w:val="auto"/>
                <w:sz w:val="24"/>
                <w:szCs w:val="24"/>
                <w:highlight w:val="none"/>
                <w:lang w:val="en-US" w:eastAsia="zh-CN"/>
              </w:rPr>
              <w:t>厚）一道、</w:t>
            </w:r>
            <w:r>
              <w:rPr>
                <w:rFonts w:hint="default" w:ascii="Times New Roman" w:hAnsi="Times New Roman" w:eastAsia="宋体" w:cs="Times New Roman"/>
                <w:b w:val="0"/>
                <w:bCs w:val="0"/>
                <w:color w:val="auto"/>
                <w:sz w:val="24"/>
                <w:szCs w:val="24"/>
                <w:highlight w:val="none"/>
                <w:lang w:val="en-US" w:eastAsia="zh-CN"/>
              </w:rPr>
              <w:t>C30</w:t>
            </w:r>
            <w:r>
              <w:rPr>
                <w:rFonts w:hint="eastAsia" w:ascii="Times New Roman" w:hAnsi="Times New Roman" w:eastAsia="宋体" w:cs="Times New Roman"/>
                <w:b w:val="0"/>
                <w:bCs w:val="0"/>
                <w:color w:val="auto"/>
                <w:sz w:val="24"/>
                <w:szCs w:val="24"/>
                <w:highlight w:val="none"/>
                <w:lang w:val="en-US" w:eastAsia="zh-CN"/>
              </w:rPr>
              <w:t>混凝土</w:t>
            </w:r>
            <w:r>
              <w:rPr>
                <w:rFonts w:hint="default" w:ascii="Times New Roman" w:hAnsi="Times New Roman" w:eastAsia="宋体" w:cs="Times New Roman"/>
                <w:b w:val="0"/>
                <w:bCs w:val="0"/>
                <w:color w:val="auto"/>
                <w:sz w:val="24"/>
                <w:szCs w:val="24"/>
                <w:highlight w:val="none"/>
                <w:lang w:val="en-US" w:eastAsia="zh-CN"/>
              </w:rPr>
              <w:t>200mm</w:t>
            </w:r>
            <w:r>
              <w:rPr>
                <w:rFonts w:hint="eastAsia" w:ascii="Times New Roman" w:hAnsi="Times New Roman" w:eastAsia="宋体" w:cs="Times New Roman"/>
                <w:b w:val="0"/>
                <w:bCs w:val="0"/>
                <w:color w:val="auto"/>
                <w:sz w:val="24"/>
                <w:szCs w:val="24"/>
                <w:highlight w:val="none"/>
                <w:lang w:val="en-US" w:eastAsia="zh-CN"/>
              </w:rPr>
              <w:t>厚、地面上整体涂刷环氧树脂地坪漆</w:t>
            </w:r>
            <w:r>
              <w:rPr>
                <w:rFonts w:hint="default"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val="en-US" w:eastAsia="zh-CN"/>
              </w:rPr>
              <w:t>遍；配置防爆照明设施、消防设施及监控设备。内设导流槽和事故池（</w:t>
            </w:r>
            <w:r>
              <w:rPr>
                <w:rFonts w:hint="default" w:ascii="Times New Roman" w:hAnsi="Times New Roman" w:eastAsia="宋体" w:cs="Times New Roman"/>
                <w:b w:val="0"/>
                <w:bCs w:val="0"/>
                <w:color w:val="auto"/>
                <w:sz w:val="24"/>
                <w:szCs w:val="24"/>
                <w:highlight w:val="none"/>
                <w:lang w:val="en-US" w:eastAsia="zh-CN"/>
              </w:rPr>
              <w:t>300*300*700mm</w:t>
            </w:r>
            <w:r>
              <w:rPr>
                <w:rFonts w:hint="eastAsia" w:ascii="Times New Roman" w:hAnsi="Times New Roman" w:eastAsia="宋体" w:cs="Times New Roman"/>
                <w:b w:val="0"/>
                <w:bCs w:val="0"/>
                <w:color w:val="auto"/>
                <w:sz w:val="24"/>
                <w:szCs w:val="24"/>
                <w:highlight w:val="none"/>
                <w:lang w:val="en-US" w:eastAsia="zh-CN"/>
              </w:rPr>
              <w:t>）。</w:t>
            </w:r>
          </w:p>
          <w:p w14:paraId="3C2F8DC9">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危废库内部进行分区，内部分为HW08废矿物油与含矿物油废物、HW31含铅废物及HW49其他废物，本项目产生危险废物废水性漆及废水性漆桶、废漆渣（含纸壳）、废过滤棉、废过滤袋、废气处理装置产生的废活性炭、属于危险废物HW49，项目危废库为新建库房，建设时已经考虑到以上危险废物的贮存，库容完全满足要求。</w:t>
            </w:r>
          </w:p>
          <w:p w14:paraId="57DDB0D2">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2021年2月11日，鄂尔多斯市生态环境局以《关于布尔台煤矿区域危险废物暂存库建设项目环境影响报告表的批复》（鄂环审字[2021]74号）对该危险废物暂存间进行了批复。2022年4月20日，中国神华能源股份有限公司神东煤炭分公司对该危险废物暂存间进行自主竣工环保验收，项目验收合格。</w:t>
            </w:r>
          </w:p>
          <w:p w14:paraId="5DDBDE42">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综上所述，项目依托布尔台煤矿危废暂存库可行。</w:t>
            </w:r>
          </w:p>
          <w:p w14:paraId="4679E6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default"/>
                <w:color w:val="auto"/>
                <w:sz w:val="24"/>
                <w:szCs w:val="20"/>
              </w:rPr>
              <w:t>危险废物在收集时，应清楚废物的类别及</w:t>
            </w:r>
            <w:r>
              <w:rPr>
                <w:rFonts w:hint="eastAsia"/>
                <w:color w:val="auto"/>
                <w:sz w:val="24"/>
                <w:szCs w:val="20"/>
                <w:lang w:eastAsia="zh-CN"/>
              </w:rPr>
              <w:t>主要成分</w:t>
            </w:r>
            <w:r>
              <w:rPr>
                <w:rFonts w:hint="default"/>
                <w:color w:val="auto"/>
                <w:sz w:val="24"/>
                <w:szCs w:val="20"/>
              </w:rPr>
              <w:t>，以方便委托处理单位处理，根据危险废物的性质和形态，可采用不同大小和不同材质的容器进行包装，所有包装容器应足够安全，并经过周密检查，严防在装载、搬移或运输途中出现渗漏、溢出、抛洒或挥发等情况。并按照国家有关危险废物申报登记、转移联单等管理制度的要求，向当地</w:t>
            </w:r>
            <w:r>
              <w:rPr>
                <w:rFonts w:hint="eastAsia"/>
                <w:color w:val="auto"/>
                <w:sz w:val="24"/>
                <w:szCs w:val="20"/>
                <w:lang w:eastAsia="zh-CN"/>
              </w:rPr>
              <w:t>生态环境部</w:t>
            </w:r>
            <w:r>
              <w:rPr>
                <w:rFonts w:hint="default"/>
                <w:color w:val="auto"/>
                <w:sz w:val="24"/>
                <w:szCs w:val="20"/>
              </w:rPr>
              <w:t>门进行危险废物的申报、转移等。</w:t>
            </w:r>
          </w:p>
          <w:p w14:paraId="42E026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1）</w:t>
            </w:r>
            <w:r>
              <w:rPr>
                <w:rFonts w:hint="default"/>
                <w:color w:val="auto"/>
                <w:sz w:val="24"/>
                <w:szCs w:val="20"/>
              </w:rPr>
              <w:t>危险废物暂存管理要求</w:t>
            </w:r>
          </w:p>
          <w:p w14:paraId="58FBE4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①</w:t>
            </w:r>
            <w:r>
              <w:rPr>
                <w:rFonts w:hint="default"/>
                <w:color w:val="auto"/>
                <w:sz w:val="24"/>
                <w:szCs w:val="20"/>
              </w:rPr>
              <w:t>不相容的危险废物必须分开存放，并设有隔离间隔断。</w:t>
            </w:r>
          </w:p>
          <w:p w14:paraId="53C8D7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②</w:t>
            </w:r>
            <w:r>
              <w:rPr>
                <w:rFonts w:hint="default"/>
                <w:color w:val="auto"/>
                <w:sz w:val="24"/>
                <w:szCs w:val="20"/>
              </w:rPr>
              <w:t>堆放危险废物的高度应根据地面承载能力确定。</w:t>
            </w:r>
          </w:p>
          <w:p w14:paraId="1A5DE4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③</w:t>
            </w:r>
            <w:r>
              <w:rPr>
                <w:rFonts w:hint="default"/>
                <w:color w:val="auto"/>
                <w:sz w:val="24"/>
                <w:szCs w:val="20"/>
              </w:rPr>
              <w:t>产生量大的危险废物可以散装方式堆放贮存在按要求设计的废物堆里。</w:t>
            </w:r>
          </w:p>
          <w:p w14:paraId="78639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④</w:t>
            </w:r>
            <w:r>
              <w:rPr>
                <w:rFonts w:hint="default"/>
                <w:color w:val="auto"/>
                <w:sz w:val="24"/>
                <w:szCs w:val="20"/>
              </w:rPr>
              <w:t>每个堆间应留有搬运通道。</w:t>
            </w:r>
          </w:p>
          <w:p w14:paraId="6276E0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⑤</w:t>
            </w:r>
            <w:r>
              <w:rPr>
                <w:rFonts w:hint="default"/>
                <w:color w:val="auto"/>
                <w:sz w:val="24"/>
                <w:szCs w:val="20"/>
              </w:rPr>
              <w:t>危险废物产生者和危险废物贮存设施经营者均须</w:t>
            </w:r>
            <w:r>
              <w:rPr>
                <w:rFonts w:hint="eastAsia"/>
                <w:color w:val="auto"/>
                <w:sz w:val="24"/>
                <w:szCs w:val="20"/>
                <w:lang w:eastAsia="zh-CN"/>
              </w:rPr>
              <w:t>做好</w:t>
            </w:r>
            <w:r>
              <w:rPr>
                <w:rFonts w:hint="default"/>
                <w:color w:val="auto"/>
                <w:sz w:val="24"/>
                <w:szCs w:val="20"/>
              </w:rPr>
              <w:t>危险废物情况的记录，记录上须注明危险废物的名称、来源、数量、特性和包装容器的类别、入库日期、存放库位、废物出库日期及接收单位名称。危险废物的记录和货单在危险废物回取后应继续保留。</w:t>
            </w:r>
          </w:p>
          <w:p w14:paraId="79BA69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⑥</w:t>
            </w:r>
            <w:r>
              <w:rPr>
                <w:rFonts w:hint="default"/>
                <w:color w:val="auto"/>
                <w:sz w:val="24"/>
                <w:szCs w:val="20"/>
              </w:rPr>
              <w:t>必须定期对所贮存的危险废物包装容器及贮存设施进行检查，发现破损，应及时采取措施清理更换。</w:t>
            </w:r>
          </w:p>
          <w:p w14:paraId="57DA6D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2）</w:t>
            </w:r>
            <w:r>
              <w:rPr>
                <w:rFonts w:hint="default"/>
                <w:color w:val="auto"/>
                <w:sz w:val="24"/>
                <w:szCs w:val="20"/>
              </w:rPr>
              <w:t>危险废物运输要求</w:t>
            </w:r>
          </w:p>
          <w:p w14:paraId="6A55EA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default"/>
                <w:color w:val="auto"/>
                <w:sz w:val="24"/>
                <w:szCs w:val="20"/>
              </w:rPr>
              <w:t>危险废物运输中应做到以下几点：</w:t>
            </w:r>
          </w:p>
          <w:p w14:paraId="76FA3E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①</w:t>
            </w:r>
            <w:r>
              <w:rPr>
                <w:rFonts w:hint="default"/>
                <w:color w:val="auto"/>
                <w:sz w:val="24"/>
                <w:szCs w:val="20"/>
              </w:rPr>
              <w:t>危险废物的运输车辆须经主管单位检查，并持有有关单位签发的许可证，负责运输的司机应通过培训，持有证明文件。</w:t>
            </w:r>
          </w:p>
          <w:p w14:paraId="195FB3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②</w:t>
            </w:r>
            <w:r>
              <w:rPr>
                <w:rFonts w:hint="default"/>
                <w:color w:val="auto"/>
                <w:sz w:val="24"/>
                <w:szCs w:val="20"/>
              </w:rPr>
              <w:t>承载危险废物的车辆须有明显的标志或适当的危险符号，以引起注意。</w:t>
            </w:r>
          </w:p>
          <w:p w14:paraId="53F9AA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color w:val="auto"/>
                <w:sz w:val="24"/>
                <w:szCs w:val="20"/>
              </w:rPr>
            </w:pPr>
            <w:r>
              <w:rPr>
                <w:rFonts w:hint="eastAsia"/>
                <w:color w:val="auto"/>
                <w:sz w:val="24"/>
                <w:szCs w:val="20"/>
                <w:lang w:val="en-US" w:eastAsia="zh-CN"/>
              </w:rPr>
              <w:t>③</w:t>
            </w:r>
            <w:r>
              <w:rPr>
                <w:rFonts w:hint="default"/>
                <w:color w:val="auto"/>
                <w:sz w:val="24"/>
                <w:szCs w:val="20"/>
              </w:rPr>
              <w:t>载有危险废物的车辆在公路上行驶时，需持有运输许可证，其上应注明废物来源、性质和运往地点。</w:t>
            </w:r>
          </w:p>
          <w:p w14:paraId="4D4F81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96" w:firstLineChars="200"/>
              <w:jc w:val="both"/>
              <w:textAlignment w:val="auto"/>
              <w:rPr>
                <w:rFonts w:hint="default" w:ascii="Times New Roman" w:hAnsi="Times New Roman" w:eastAsia="宋体" w:cs="Times New Roman"/>
                <w:bCs/>
                <w:color w:val="auto"/>
                <w:spacing w:val="4"/>
                <w:sz w:val="24"/>
                <w:szCs w:val="24"/>
                <w:highlight w:val="none"/>
                <w:lang w:val="en-US" w:eastAsia="zh-CN" w:bidi="ar-SA"/>
              </w:rPr>
            </w:pPr>
            <w:r>
              <w:rPr>
                <w:rFonts w:hint="eastAsia" w:ascii="Times New Roman" w:hAnsi="Times New Roman" w:eastAsia="宋体" w:cs="Times New Roman"/>
                <w:bCs/>
                <w:color w:val="auto"/>
                <w:spacing w:val="4"/>
                <w:sz w:val="24"/>
                <w:szCs w:val="24"/>
                <w:highlight w:val="none"/>
                <w:lang w:val="en-US" w:eastAsia="zh-CN" w:bidi="ar-SA"/>
              </w:rPr>
              <w:t>④</w:t>
            </w:r>
            <w:r>
              <w:rPr>
                <w:rFonts w:hint="default" w:ascii="Times New Roman" w:hAnsi="Times New Roman" w:eastAsia="宋体" w:cs="Times New Roman"/>
                <w:bCs/>
                <w:color w:val="auto"/>
                <w:spacing w:val="4"/>
                <w:sz w:val="24"/>
                <w:szCs w:val="24"/>
                <w:highlight w:val="none"/>
                <w:lang w:val="en-US" w:eastAsia="zh-CN" w:bidi="ar-SA"/>
              </w:rPr>
              <w:t>组织危险废物的运输单位，在事先需</w:t>
            </w:r>
            <w:r>
              <w:rPr>
                <w:rFonts w:hint="eastAsia" w:cs="Times New Roman"/>
                <w:bCs/>
                <w:color w:val="auto"/>
                <w:spacing w:val="4"/>
                <w:sz w:val="24"/>
                <w:szCs w:val="24"/>
                <w:highlight w:val="none"/>
                <w:lang w:val="en-US" w:eastAsia="zh-CN" w:bidi="ar-SA"/>
              </w:rPr>
              <w:t>做出</w:t>
            </w:r>
            <w:r>
              <w:rPr>
                <w:rFonts w:hint="default" w:ascii="Times New Roman" w:hAnsi="Times New Roman" w:eastAsia="宋体" w:cs="Times New Roman"/>
                <w:bCs/>
                <w:color w:val="auto"/>
                <w:spacing w:val="4"/>
                <w:sz w:val="24"/>
                <w:szCs w:val="24"/>
                <w:highlight w:val="none"/>
                <w:lang w:val="en-US" w:eastAsia="zh-CN" w:bidi="ar-SA"/>
              </w:rPr>
              <w:t>周密的运输计划和行驶路线，其中包括有效的废物泄漏情况下的应急措施。</w:t>
            </w:r>
          </w:p>
          <w:p w14:paraId="56AF63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96" w:firstLineChars="200"/>
              <w:jc w:val="both"/>
              <w:textAlignment w:val="auto"/>
              <w:rPr>
                <w:rFonts w:hint="eastAsia" w:ascii="Times New Roman" w:hAnsi="Times New Roman" w:eastAsia="宋体" w:cs="Times New Roman"/>
                <w:bCs/>
                <w:color w:val="auto"/>
                <w:spacing w:val="4"/>
                <w:sz w:val="24"/>
                <w:szCs w:val="24"/>
                <w:highlight w:val="none"/>
                <w:lang w:val="en-US" w:eastAsia="zh-CN" w:bidi="ar-SA"/>
              </w:rPr>
            </w:pPr>
            <w:r>
              <w:rPr>
                <w:rFonts w:hint="default" w:ascii="Times New Roman" w:hAnsi="Times New Roman" w:eastAsia="宋体" w:cs="Times New Roman"/>
                <w:bCs/>
                <w:color w:val="auto"/>
                <w:spacing w:val="4"/>
                <w:sz w:val="24"/>
                <w:szCs w:val="24"/>
                <w:highlight w:val="none"/>
                <w:lang w:val="en-US" w:eastAsia="zh-CN" w:bidi="ar-SA"/>
              </w:rPr>
              <w:t>综上，本项目产生的各种固体废物通过分类放置、分类处置，不会对周围环境造成不利影响。</w:t>
            </w:r>
          </w:p>
          <w:p w14:paraId="7F22F9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五、地下水、土壤</w:t>
            </w:r>
          </w:p>
          <w:p w14:paraId="3D4BA120">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kern w:val="2"/>
                <w:szCs w:val="24"/>
                <w:highlight w:val="none"/>
              </w:rPr>
            </w:pPr>
            <w:r>
              <w:rPr>
                <w:rFonts w:hint="default" w:ascii="Times New Roman" w:hAnsi="Times New Roman" w:eastAsia="宋体" w:cs="Times New Roman"/>
                <w:b/>
                <w:bCs/>
                <w:color w:val="auto"/>
                <w:kern w:val="2"/>
                <w:szCs w:val="24"/>
                <w:highlight w:val="none"/>
              </w:rPr>
              <w:t>1</w:t>
            </w:r>
            <w:r>
              <w:rPr>
                <w:rFonts w:hint="default" w:ascii="Times New Roman" w:hAnsi="Times New Roman" w:eastAsia="宋体" w:cs="Times New Roman"/>
                <w:b/>
                <w:bCs/>
                <w:color w:val="auto"/>
                <w:kern w:val="2"/>
                <w:szCs w:val="24"/>
                <w:highlight w:val="none"/>
                <w:lang w:val="en-US" w:eastAsia="zh-CN"/>
              </w:rPr>
              <w:t>.</w:t>
            </w:r>
            <w:r>
              <w:rPr>
                <w:rFonts w:hint="default" w:ascii="Times New Roman" w:hAnsi="Times New Roman" w:eastAsia="宋体" w:cs="Times New Roman"/>
                <w:b/>
                <w:bCs/>
                <w:color w:val="auto"/>
                <w:kern w:val="2"/>
                <w:szCs w:val="24"/>
                <w:highlight w:val="none"/>
              </w:rPr>
              <w:t>污染源分析</w:t>
            </w:r>
          </w:p>
          <w:p w14:paraId="4CDC021E">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本项目</w:t>
            </w:r>
            <w:r>
              <w:rPr>
                <w:rFonts w:hint="default" w:ascii="Times New Roman" w:hAnsi="Times New Roman" w:eastAsia="宋体" w:cs="Times New Roman"/>
                <w:color w:val="auto"/>
                <w:kern w:val="2"/>
                <w:szCs w:val="24"/>
                <w:highlight w:val="none"/>
                <w:lang w:val="en-US" w:eastAsia="zh-CN"/>
              </w:rPr>
              <w:t>场地均要求</w:t>
            </w:r>
            <w:r>
              <w:rPr>
                <w:rFonts w:hint="default" w:ascii="Times New Roman" w:hAnsi="Times New Roman" w:eastAsia="宋体" w:cs="Times New Roman"/>
                <w:color w:val="auto"/>
                <w:kern w:val="2"/>
                <w:szCs w:val="24"/>
                <w:highlight w:val="none"/>
              </w:rPr>
              <w:t>硬化，正常工况下不会对土壤、地下水环境造成影响。</w:t>
            </w:r>
          </w:p>
          <w:p w14:paraId="187392E5">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kern w:val="2"/>
                <w:szCs w:val="24"/>
                <w:highlight w:val="none"/>
              </w:rPr>
            </w:pPr>
            <w:r>
              <w:rPr>
                <w:rFonts w:hint="default" w:ascii="Times New Roman" w:hAnsi="Times New Roman" w:eastAsia="宋体" w:cs="Times New Roman"/>
                <w:b/>
                <w:bCs/>
                <w:color w:val="auto"/>
                <w:kern w:val="2"/>
                <w:szCs w:val="24"/>
                <w:highlight w:val="none"/>
              </w:rPr>
              <w:t>2</w:t>
            </w:r>
            <w:r>
              <w:rPr>
                <w:rFonts w:hint="default" w:ascii="Times New Roman" w:hAnsi="Times New Roman" w:eastAsia="宋体" w:cs="Times New Roman"/>
                <w:b/>
                <w:bCs/>
                <w:color w:val="auto"/>
                <w:kern w:val="2"/>
                <w:szCs w:val="24"/>
                <w:highlight w:val="none"/>
                <w:lang w:val="en-US" w:eastAsia="zh-CN"/>
              </w:rPr>
              <w:t>.</w:t>
            </w:r>
            <w:r>
              <w:rPr>
                <w:rFonts w:hint="default" w:ascii="Times New Roman" w:hAnsi="Times New Roman" w:eastAsia="宋体" w:cs="Times New Roman"/>
                <w:b/>
                <w:bCs/>
                <w:color w:val="auto"/>
                <w:kern w:val="2"/>
                <w:szCs w:val="24"/>
                <w:highlight w:val="none"/>
              </w:rPr>
              <w:t>污染途径分析</w:t>
            </w:r>
          </w:p>
          <w:p w14:paraId="73B21ADB">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根据分析，本项目土壤、地下水可能影响途径为地面漫流、垂直入渗。</w:t>
            </w:r>
          </w:p>
          <w:p w14:paraId="7A2C3F38">
            <w:pPr>
              <w:pStyle w:val="122"/>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生产过程中“跑冒滴漏”，或其他防渗防漏措施不完善，则会导致</w:t>
            </w:r>
            <w:r>
              <w:rPr>
                <w:rFonts w:hint="eastAsia" w:cs="Times New Roman"/>
                <w:color w:val="auto"/>
                <w:kern w:val="2"/>
                <w:szCs w:val="24"/>
                <w:highlight w:val="none"/>
                <w:lang w:val="en-US" w:eastAsia="zh-CN"/>
              </w:rPr>
              <w:t>油漆</w:t>
            </w:r>
            <w:r>
              <w:rPr>
                <w:rFonts w:hint="default" w:ascii="Times New Roman" w:hAnsi="Times New Roman" w:eastAsia="宋体" w:cs="Times New Roman"/>
                <w:color w:val="auto"/>
                <w:kern w:val="2"/>
                <w:szCs w:val="24"/>
                <w:highlight w:val="none"/>
              </w:rPr>
              <w:t>等原料渗漏进入土壤、地下水。</w:t>
            </w:r>
          </w:p>
          <w:p w14:paraId="0C93C75B">
            <w:pPr>
              <w:pStyle w:val="122"/>
              <w:keepNext w:val="0"/>
              <w:keepLines w:val="0"/>
              <w:suppressLineNumbers w:val="0"/>
              <w:snapToGrid/>
              <w:spacing w:before="0" w:beforeAutospacing="0" w:after="0" w:afterAutospacing="0" w:line="360" w:lineRule="auto"/>
              <w:ind w:left="0" w:right="0" w:firstLine="482"/>
              <w:rPr>
                <w:rFonts w:hint="default" w:ascii="Times New Roman" w:hAnsi="Times New Roman" w:eastAsia="宋体" w:cs="Times New Roman"/>
                <w:b/>
                <w:bCs/>
                <w:color w:val="auto"/>
                <w:kern w:val="2"/>
                <w:szCs w:val="24"/>
                <w:highlight w:val="none"/>
              </w:rPr>
            </w:pPr>
            <w:r>
              <w:rPr>
                <w:rFonts w:hint="default" w:ascii="Times New Roman" w:hAnsi="Times New Roman" w:eastAsia="宋体" w:cs="Times New Roman"/>
                <w:b/>
                <w:bCs/>
                <w:color w:val="auto"/>
                <w:kern w:val="2"/>
                <w:szCs w:val="24"/>
                <w:highlight w:val="none"/>
              </w:rPr>
              <w:t>3.地下水及土壤污染防治措施</w:t>
            </w:r>
          </w:p>
          <w:p w14:paraId="0DB343FA">
            <w:pPr>
              <w:pStyle w:val="4"/>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车间地面均采取混凝土硬化+HDPE膜防渗措施，防渗性能均满足一般防渗要求（等效黏土防渗层Mb≥1.5m，渗透系数≤1.0×10</w:t>
            </w:r>
            <w:r>
              <w:rPr>
                <w:rFonts w:hint="eastAsia" w:ascii="Times New Roman" w:hAnsi="Times New Roman" w:eastAsia="宋体" w:cs="Times New Roman"/>
                <w:b w:val="0"/>
                <w:bCs w:val="0"/>
                <w:color w:val="auto"/>
                <w:sz w:val="24"/>
                <w:szCs w:val="24"/>
                <w:vertAlign w:val="superscript"/>
                <w:lang w:val="en-US" w:eastAsia="zh-CN"/>
              </w:rPr>
              <w:t>-7</w:t>
            </w:r>
            <w:r>
              <w:rPr>
                <w:rFonts w:hint="eastAsia" w:ascii="Times New Roman" w:hAnsi="Times New Roman" w:eastAsia="宋体" w:cs="Times New Roman"/>
                <w:b w:val="0"/>
                <w:bCs w:val="0"/>
                <w:color w:val="auto"/>
                <w:sz w:val="24"/>
                <w:szCs w:val="24"/>
                <w:lang w:val="en-US" w:eastAsia="zh-CN"/>
              </w:rPr>
              <w:t>cm/s），且项目不产生废水，同时水性漆等液体原料现用现买，不进行贮存，使用完产生废漆液等均暂存于布尔台煤矿危废暂存库，故项目不存在污染途径。</w:t>
            </w:r>
          </w:p>
          <w:p w14:paraId="36DD6C5B">
            <w:pPr>
              <w:pStyle w:val="4"/>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综上所述，本项目对地下水和土壤的影响较小。</w:t>
            </w:r>
          </w:p>
          <w:p w14:paraId="6A951D51">
            <w:pPr>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auto"/>
                <w:sz w:val="24"/>
                <w:szCs w:val="24"/>
                <w:lang w:val="en-US" w:eastAsia="zh-CN"/>
              </w:rPr>
            </w:pPr>
          </w:p>
          <w:p w14:paraId="10DEB514">
            <w:pPr>
              <w:pStyle w:val="23"/>
              <w:keepNext w:val="0"/>
              <w:keepLines w:val="0"/>
              <w:suppressLineNumbers w:val="0"/>
              <w:spacing w:before="0" w:beforeAutospacing="0" w:after="0" w:afterAutospacing="0"/>
              <w:ind w:right="0"/>
              <w:rPr>
                <w:rFonts w:hint="eastAsia"/>
                <w:color w:val="auto"/>
                <w:lang w:val="en-US" w:eastAsia="zh-CN"/>
              </w:rPr>
            </w:pPr>
          </w:p>
          <w:p w14:paraId="7305865A">
            <w:pPr>
              <w:pStyle w:val="131"/>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六、环境风险</w:t>
            </w:r>
          </w:p>
          <w:p w14:paraId="68FC8AC1">
            <w:pPr>
              <w:keepNext w:val="0"/>
              <w:keepLines w:val="0"/>
              <w:suppressLineNumbers w:val="0"/>
              <w:spacing w:before="0" w:beforeAutospacing="0" w:after="0" w:afterAutospacing="0" w:line="360" w:lineRule="auto"/>
              <w:ind w:left="0" w:right="0" w:firstLine="470" w:firstLineChars="196"/>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境风险评价的目的是分析和预测建设项目存在的潜在危险、有害因素，建设项目建设和运行期间可能产生的突发性事件或事故（一般不包括人为破坏及自然灾害），所造成的人身安全与环境影响和损害程度，提出合理可行的防范、应急减缓措施，以使建设项目的事故率、损失和环境影响降低到可接受水平。</w:t>
            </w:r>
          </w:p>
          <w:p w14:paraId="70F05B67">
            <w:pPr>
              <w:keepNext w:val="0"/>
              <w:keepLines w:val="0"/>
              <w:suppressLineNumbers w:val="0"/>
              <w:spacing w:before="0" w:beforeAutospacing="0" w:after="0" w:afterAutospacing="0" w:line="360" w:lineRule="auto"/>
              <w:ind w:left="0" w:right="0" w:firstLine="470" w:firstLineChars="196"/>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遵照国家环保部（现生态环境部）《关于进一步加强环境影响评价管理防范环境风险的通知》（环发〔2012〕77号）和《建设项目环境风险评价技术导则》（HJ/T169-2018）的要求，通过对本项目风险识别、风险分析和后果计算等风险评价内容，提出本项目减缓风险的措施和应急预案，为环境管理提供资料和依据，达到降低危险、减少危害的目的。</w:t>
            </w:r>
          </w:p>
          <w:p w14:paraId="65C34DB2">
            <w:pPr>
              <w:pStyle w:val="131"/>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lang w:val="en-US"/>
              </w:rPr>
              <w:t>1.</w:t>
            </w:r>
            <w:r>
              <w:rPr>
                <w:rFonts w:hint="eastAsia" w:ascii="Times New Roman" w:hAnsi="Times New Roman" w:eastAsia="宋体" w:cs="Times New Roman"/>
                <w:bCs/>
                <w:color w:val="auto"/>
                <w:highlight w:val="none"/>
              </w:rPr>
              <w:t>风险物质识别</w:t>
            </w:r>
          </w:p>
          <w:p w14:paraId="5286DA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根据《建设项目环境风险评价技术导则》（HJ/T169-2018）附录 B有关资料对本项目主要原料及产品的毒性及其风险危害特性进行识别，本项目无环境风险物质，本项目Q＜1，则本项目环境风险潜势为Ⅰ，仅需要对项目环境风险进行简单分析。</w:t>
            </w:r>
          </w:p>
          <w:p w14:paraId="65A6D39F">
            <w:pPr>
              <w:pStyle w:val="131"/>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lang w:val="en-US"/>
              </w:rPr>
              <w:t>2.</w:t>
            </w:r>
            <w:r>
              <w:rPr>
                <w:rFonts w:hint="eastAsia" w:ascii="Times New Roman" w:hAnsi="Times New Roman" w:eastAsia="宋体" w:cs="Times New Roman"/>
                <w:bCs/>
                <w:color w:val="auto"/>
                <w:highlight w:val="none"/>
              </w:rPr>
              <w:t>风险源分布及可能影响途径</w:t>
            </w:r>
          </w:p>
          <w:p w14:paraId="4B973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color w:val="auto"/>
                <w:kern w:val="0"/>
                <w:sz w:val="24"/>
                <w:szCs w:val="24"/>
                <w:lang w:val="en-US" w:eastAsia="zh-CN" w:bidi="ar"/>
              </w:rPr>
            </w:pPr>
            <w:r>
              <w:rPr>
                <w:rFonts w:hint="eastAsia"/>
                <w:color w:val="auto"/>
                <w:kern w:val="0"/>
                <w:sz w:val="24"/>
                <w:szCs w:val="24"/>
                <w:lang w:eastAsia="zh-CN" w:bidi="ar"/>
              </w:rPr>
              <w:t>（</w:t>
            </w:r>
            <w:r>
              <w:rPr>
                <w:rFonts w:hint="eastAsia"/>
                <w:color w:val="auto"/>
                <w:kern w:val="0"/>
                <w:sz w:val="24"/>
                <w:szCs w:val="24"/>
                <w:lang w:val="en-US" w:eastAsia="zh-CN" w:bidi="ar"/>
              </w:rPr>
              <w:t>1</w:t>
            </w:r>
            <w:r>
              <w:rPr>
                <w:rFonts w:hint="eastAsia"/>
                <w:color w:val="auto"/>
                <w:kern w:val="0"/>
                <w:sz w:val="24"/>
                <w:szCs w:val="24"/>
                <w:lang w:eastAsia="zh-CN" w:bidi="ar"/>
              </w:rPr>
              <w:t>）</w:t>
            </w:r>
            <w:r>
              <w:rPr>
                <w:rFonts w:hint="eastAsia"/>
                <w:color w:val="auto"/>
                <w:kern w:val="0"/>
                <w:sz w:val="24"/>
                <w:szCs w:val="24"/>
                <w:lang w:val="en-US" w:eastAsia="zh-CN" w:bidi="ar"/>
              </w:rPr>
              <w:t>电气设备故障引起的火灾</w:t>
            </w:r>
          </w:p>
          <w:p w14:paraId="7E7FD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eastAsia="宋体"/>
                <w:color w:val="auto"/>
                <w:kern w:val="0"/>
                <w:sz w:val="24"/>
                <w:szCs w:val="24"/>
                <w:lang w:eastAsia="zh-CN" w:bidi="ar"/>
              </w:rPr>
            </w:pPr>
            <w:r>
              <w:rPr>
                <w:rFonts w:hint="eastAsia"/>
                <w:color w:val="auto"/>
                <w:kern w:val="0"/>
                <w:sz w:val="24"/>
                <w:szCs w:val="24"/>
                <w:lang w:bidi="ar"/>
              </w:rPr>
              <w:t>企业员工在厂区吸烟或生产过程中不慎造成电气设备故障等，可能引起火灾</w:t>
            </w:r>
            <w:r>
              <w:rPr>
                <w:rFonts w:hint="eastAsia"/>
                <w:color w:val="auto"/>
                <w:kern w:val="0"/>
                <w:sz w:val="24"/>
                <w:szCs w:val="24"/>
                <w:lang w:eastAsia="zh-CN" w:bidi="ar"/>
              </w:rPr>
              <w:t>，</w:t>
            </w:r>
            <w:r>
              <w:rPr>
                <w:rFonts w:hint="eastAsia"/>
                <w:color w:val="auto"/>
                <w:kern w:val="0"/>
                <w:sz w:val="24"/>
                <w:szCs w:val="24"/>
                <w:lang w:bidi="ar"/>
              </w:rPr>
              <w:t>有时会发生火灾连片使大批设备烧毁。火灾是通过放出辐射热影响周围环境。如果辐射热的能量足够大，可引起其他可燃物燃烧。物质在燃烧过程中会产生大量浓烟和烟尘</w:t>
            </w:r>
            <w:r>
              <w:rPr>
                <w:rFonts w:hint="eastAsia"/>
                <w:color w:val="auto"/>
                <w:kern w:val="0"/>
                <w:sz w:val="24"/>
                <w:szCs w:val="24"/>
                <w:lang w:eastAsia="zh-CN" w:bidi="ar"/>
              </w:rPr>
              <w:t>，</w:t>
            </w:r>
            <w:r>
              <w:rPr>
                <w:rFonts w:hint="eastAsia"/>
                <w:color w:val="auto"/>
                <w:kern w:val="0"/>
                <w:sz w:val="24"/>
                <w:szCs w:val="24"/>
                <w:lang w:bidi="ar"/>
              </w:rPr>
              <w:t>其中含有大量的一氧化碳、二氧化碳及其他有毒气体，带来大气环境污染。</w:t>
            </w:r>
          </w:p>
          <w:p w14:paraId="18CC1B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eastAsia="zh-CN" w:bidi="ar"/>
              </w:rPr>
              <w:t>（</w:t>
            </w:r>
            <w:r>
              <w:rPr>
                <w:rFonts w:hint="eastAsia" w:ascii="Times New Roman" w:hAnsi="Times New Roman" w:eastAsia="宋体" w:cs="Times New Roman"/>
                <w:color w:val="auto"/>
                <w:kern w:val="0"/>
                <w:sz w:val="24"/>
                <w:szCs w:val="24"/>
                <w:lang w:val="en-US" w:eastAsia="zh-CN" w:bidi="ar"/>
              </w:rPr>
              <w:t>2</w:t>
            </w:r>
            <w:r>
              <w:rPr>
                <w:rFonts w:hint="eastAsia" w:ascii="Times New Roman" w:hAnsi="Times New Roman" w:eastAsia="宋体" w:cs="Times New Roman"/>
                <w:color w:val="auto"/>
                <w:kern w:val="0"/>
                <w:sz w:val="24"/>
                <w:szCs w:val="24"/>
                <w:lang w:eastAsia="zh-CN" w:bidi="ar"/>
              </w:rPr>
              <w:t>）</w:t>
            </w:r>
            <w:r>
              <w:rPr>
                <w:rFonts w:hint="eastAsia" w:ascii="Times New Roman" w:hAnsi="Times New Roman" w:eastAsia="宋体" w:cs="Times New Roman"/>
                <w:color w:val="auto"/>
                <w:kern w:val="0"/>
                <w:sz w:val="24"/>
                <w:szCs w:val="24"/>
                <w:lang w:val="en-US" w:eastAsia="zh-CN" w:bidi="ar"/>
              </w:rPr>
              <w:t>环保设施故障引起的环境污染</w:t>
            </w:r>
          </w:p>
          <w:p w14:paraId="1DDC7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厂区环保设施主要为喷漆房配套的环保设施。生产运营过程中，喷漆房配套的环保设施损坏或设施发生故障导致废气污染物超标排放，少量</w:t>
            </w:r>
            <w:r>
              <w:rPr>
                <w:rFonts w:hint="default" w:ascii="Times New Roman" w:hAnsi="Times New Roman" w:eastAsia="宋体" w:cs="Times New Roman"/>
                <w:color w:val="auto"/>
                <w:kern w:val="0"/>
                <w:sz w:val="24"/>
                <w:szCs w:val="24"/>
                <w:lang w:val="en-US" w:eastAsia="zh-CN" w:bidi="ar"/>
              </w:rPr>
              <w:t>未处理</w:t>
            </w:r>
            <w:r>
              <w:rPr>
                <w:rFonts w:hint="eastAsia" w:ascii="Times New Roman" w:hAnsi="Times New Roman" w:cs="Times New Roman"/>
                <w:color w:val="auto"/>
                <w:kern w:val="0"/>
                <w:sz w:val="24"/>
                <w:szCs w:val="24"/>
                <w:lang w:val="en-US" w:eastAsia="zh-CN" w:bidi="ar"/>
              </w:rPr>
              <w:t>废气</w:t>
            </w:r>
            <w:r>
              <w:rPr>
                <w:rFonts w:hint="default" w:ascii="Times New Roman" w:hAnsi="Times New Roman" w:eastAsia="宋体" w:cs="Times New Roman"/>
                <w:color w:val="auto"/>
                <w:kern w:val="0"/>
                <w:sz w:val="24"/>
                <w:szCs w:val="24"/>
                <w:lang w:val="en-US" w:eastAsia="zh-CN" w:bidi="ar"/>
              </w:rPr>
              <w:t>直接进入大气环境</w:t>
            </w:r>
            <w:r>
              <w:rPr>
                <w:rFonts w:hint="eastAsia" w:ascii="Times New Roman" w:hAnsi="Times New Roman" w:eastAsia="宋体" w:cs="Times New Roman"/>
                <w:color w:val="auto"/>
                <w:kern w:val="0"/>
                <w:sz w:val="24"/>
                <w:szCs w:val="24"/>
                <w:lang w:val="en-US" w:eastAsia="zh-CN" w:bidi="ar"/>
              </w:rPr>
              <w:t>，对大气环境造成污染。</w:t>
            </w:r>
          </w:p>
          <w:p w14:paraId="2A15E7C6">
            <w:pPr>
              <w:keepNext w:val="0"/>
              <w:keepLines w:val="0"/>
              <w:suppressLineNumbers w:val="0"/>
              <w:shd w:val="clear" w:color="auto" w:fill="FFFFFF"/>
              <w:spacing w:before="0" w:beforeAutospacing="0" w:after="0" w:afterAutospacing="0" w:line="360" w:lineRule="auto"/>
              <w:ind w:left="0" w:right="0" w:firstLine="480" w:firstLineChars="200"/>
              <w:rPr>
                <w:rFonts w:hint="default"/>
                <w:color w:val="auto"/>
                <w:sz w:val="24"/>
                <w:szCs w:val="24"/>
              </w:rPr>
            </w:pPr>
            <w:r>
              <w:rPr>
                <w:rFonts w:hint="eastAsia" w:cs="宋体"/>
                <w:color w:val="auto"/>
                <w:sz w:val="24"/>
                <w:szCs w:val="24"/>
              </w:rPr>
              <w:t>（</w:t>
            </w:r>
            <w:r>
              <w:rPr>
                <w:rFonts w:hint="eastAsia"/>
                <w:color w:val="auto"/>
                <w:sz w:val="24"/>
                <w:szCs w:val="24"/>
                <w:lang w:val="en-US" w:eastAsia="zh-CN"/>
              </w:rPr>
              <w:t>3</w:t>
            </w:r>
            <w:r>
              <w:rPr>
                <w:rFonts w:hint="eastAsia" w:cs="宋体"/>
                <w:color w:val="auto"/>
                <w:sz w:val="24"/>
                <w:szCs w:val="24"/>
              </w:rPr>
              <w:t>）固废事故风险防范措施</w:t>
            </w:r>
          </w:p>
          <w:p w14:paraId="72BE058C">
            <w:pPr>
              <w:keepNext w:val="0"/>
              <w:keepLines w:val="0"/>
              <w:suppressLineNumbers w:val="0"/>
              <w:shd w:val="clear" w:color="auto" w:fill="FFFFFF"/>
              <w:spacing w:before="0" w:beforeAutospacing="0" w:after="0" w:afterAutospacing="0" w:line="360" w:lineRule="auto"/>
              <w:ind w:left="0" w:right="0" w:firstLine="480" w:firstLineChars="200"/>
              <w:rPr>
                <w:rFonts w:hint="default"/>
                <w:color w:val="auto"/>
                <w:sz w:val="24"/>
                <w:szCs w:val="24"/>
              </w:rPr>
            </w:pPr>
            <w:r>
              <w:rPr>
                <w:rFonts w:hint="eastAsia" w:cs="宋体"/>
                <w:color w:val="auto"/>
                <w:sz w:val="24"/>
                <w:szCs w:val="24"/>
              </w:rPr>
              <w:t>全厂各种固废分类收集，盛放，临时存放室内固定场所，不被雨淋、风吹、专车运送，所有固废都得到合适的处置或综合利用，危险废物委托有资质的单位处置，生活垃圾由环卫部门统一收集处理，固废实现“零排放”是有保证的，不会对环境产生二次污染。</w:t>
            </w:r>
          </w:p>
          <w:p w14:paraId="54564B0A">
            <w:pPr>
              <w:keepNext w:val="0"/>
              <w:keepLines w:val="0"/>
              <w:suppressLineNumbers w:val="0"/>
              <w:shd w:val="clear" w:color="auto" w:fill="FFFFFF"/>
              <w:spacing w:before="0" w:beforeAutospacing="0" w:after="0" w:afterAutospacing="0" w:line="360" w:lineRule="auto"/>
              <w:ind w:left="0" w:right="0" w:firstLine="480" w:firstLineChars="200"/>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rPr>
              <w:t>3.</w:t>
            </w:r>
            <w:r>
              <w:rPr>
                <w:rFonts w:hint="eastAsia" w:ascii="Times New Roman" w:hAnsi="Times New Roman" w:eastAsia="宋体" w:cs="宋体"/>
                <w:color w:val="auto"/>
                <w:sz w:val="24"/>
                <w:szCs w:val="24"/>
              </w:rPr>
              <w:t>环境风险防范措施</w:t>
            </w:r>
          </w:p>
          <w:p w14:paraId="7F8FCA76">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lang w:eastAsia="zh-CN"/>
              </w:rPr>
            </w:pPr>
            <w:r>
              <w:rPr>
                <w:rFonts w:hint="eastAsia"/>
                <w:color w:val="auto"/>
                <w:sz w:val="24"/>
              </w:rPr>
              <w:t>为使环境风险减小到最低限度，制定完善的环境风险防范措施及</w:t>
            </w:r>
            <w:r>
              <w:rPr>
                <w:rFonts w:hint="default"/>
                <w:color w:val="auto"/>
                <w:sz w:val="24"/>
              </w:rPr>
              <w:t>应急要求</w:t>
            </w:r>
            <w:r>
              <w:rPr>
                <w:rFonts w:hint="eastAsia"/>
                <w:color w:val="auto"/>
                <w:sz w:val="24"/>
              </w:rPr>
              <w:t>，尽可能降低本项目环境风险事故发生的概率。</w:t>
            </w:r>
            <w:r>
              <w:rPr>
                <w:rFonts w:hint="eastAsia"/>
                <w:color w:val="auto"/>
                <w:sz w:val="24"/>
                <w:lang w:eastAsia="zh-CN"/>
              </w:rPr>
              <w:t>针对不同环境风险事故建议采取不同的防范措施：</w:t>
            </w:r>
          </w:p>
          <w:p w14:paraId="31AE4F91">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w:t>
            </w:r>
            <w:r>
              <w:rPr>
                <w:rFonts w:hint="eastAsia" w:cs="宋体"/>
                <w:color w:val="auto"/>
                <w:sz w:val="24"/>
                <w:szCs w:val="24"/>
              </w:rPr>
              <w:t>火灾事故风险防范措施</w:t>
            </w:r>
            <w:r>
              <w:rPr>
                <w:rFonts w:hint="eastAsia"/>
                <w:color w:val="auto"/>
                <w:kern w:val="0"/>
                <w:sz w:val="24"/>
                <w:szCs w:val="24"/>
                <w:lang w:val="en-US" w:eastAsia="zh-CN" w:bidi="ar"/>
              </w:rPr>
              <w:t>：</w:t>
            </w:r>
          </w:p>
          <w:p w14:paraId="59961628">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①厂区内尤其是生产车间和仓库严禁吸烟。</w:t>
            </w:r>
          </w:p>
          <w:p w14:paraId="271B9B14">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rPr>
              <w:t>②定期检查设备的运行状况，发现不良问题及时解决</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同时注重加强安全教育，</w:t>
            </w:r>
            <w:r>
              <w:rPr>
                <w:rFonts w:hint="eastAsia" w:cs="Times New Roman"/>
                <w:color w:val="auto"/>
                <w:sz w:val="24"/>
                <w:lang w:eastAsia="zh-CN"/>
              </w:rPr>
              <w:t>增强</w:t>
            </w:r>
            <w:r>
              <w:rPr>
                <w:rFonts w:hint="eastAsia" w:ascii="Times New Roman" w:hAnsi="Times New Roman" w:eastAsia="宋体" w:cs="Times New Roman"/>
                <w:color w:val="auto"/>
                <w:sz w:val="24"/>
              </w:rPr>
              <w:t xml:space="preserve">职工的安全意识和安全防范能力。 </w:t>
            </w:r>
          </w:p>
          <w:p w14:paraId="0E112F5B">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③</w:t>
            </w:r>
            <w:r>
              <w:rPr>
                <w:rFonts w:hint="eastAsia" w:ascii="Times New Roman" w:hAnsi="Times New Roman" w:eastAsia="宋体" w:cs="Times New Roman"/>
                <w:color w:val="auto"/>
                <w:sz w:val="24"/>
              </w:rPr>
              <w:t>按照相关规定设置逃生系统，设置足够并匹配的消防器材。</w:t>
            </w:r>
          </w:p>
          <w:p w14:paraId="1959E56A">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left"/>
              <w:rPr>
                <w:rFonts w:hint="eastAsia" w:cs="宋体"/>
                <w:color w:val="auto"/>
                <w:sz w:val="24"/>
                <w:szCs w:val="24"/>
                <w:lang w:val="en-US" w:eastAsia="zh-CN"/>
              </w:rPr>
            </w:pPr>
            <w:r>
              <w:rPr>
                <w:rFonts w:hint="eastAsia" w:cs="宋体"/>
                <w:color w:val="auto"/>
                <w:sz w:val="24"/>
                <w:szCs w:val="24"/>
                <w:lang w:eastAsia="zh-CN"/>
              </w:rPr>
              <w:t>（</w:t>
            </w:r>
            <w:r>
              <w:rPr>
                <w:rFonts w:hint="eastAsia" w:cs="宋体"/>
                <w:color w:val="auto"/>
                <w:sz w:val="24"/>
                <w:szCs w:val="24"/>
                <w:lang w:val="en-US" w:eastAsia="zh-CN"/>
              </w:rPr>
              <w:t>2</w:t>
            </w:r>
            <w:r>
              <w:rPr>
                <w:rFonts w:hint="eastAsia" w:cs="宋体"/>
                <w:color w:val="auto"/>
                <w:sz w:val="24"/>
                <w:szCs w:val="24"/>
                <w:lang w:eastAsia="zh-CN"/>
              </w:rPr>
              <w:t>）</w:t>
            </w:r>
            <w:r>
              <w:rPr>
                <w:rFonts w:hint="eastAsia" w:cs="宋体"/>
                <w:color w:val="auto"/>
                <w:sz w:val="24"/>
                <w:szCs w:val="24"/>
              </w:rPr>
              <w:t>废气异常排放风险防范</w:t>
            </w:r>
            <w:r>
              <w:rPr>
                <w:rFonts w:hint="eastAsia" w:cs="宋体"/>
                <w:color w:val="auto"/>
                <w:sz w:val="24"/>
                <w:szCs w:val="24"/>
                <w:lang w:val="en-US" w:eastAsia="zh-CN"/>
              </w:rPr>
              <w:t>：</w:t>
            </w:r>
          </w:p>
          <w:p w14:paraId="4012BE49">
            <w:pPr>
              <w:keepNext w:val="0"/>
              <w:keepLines w:val="0"/>
              <w:numPr>
                <w:ilvl w:val="0"/>
                <w:numId w:val="0"/>
              </w:numPr>
              <w:suppressLineNumbers w:val="0"/>
              <w:adjustRightInd w:val="0"/>
              <w:snapToGrid w:val="0"/>
              <w:spacing w:before="0" w:beforeAutospacing="0" w:after="0" w:afterAutospacing="0" w:line="360" w:lineRule="auto"/>
              <w:ind w:left="0" w:leftChars="0" w:right="0" w:firstLine="480" w:firstLineChars="200"/>
              <w:jc w:val="left"/>
              <w:rPr>
                <w:rFonts w:hint="default"/>
                <w:color w:val="auto"/>
                <w:lang w:val="en-US" w:eastAsia="zh-CN"/>
              </w:rPr>
            </w:pPr>
            <w:r>
              <w:rPr>
                <w:rFonts w:hint="eastAsia" w:ascii="Times New Roman" w:hAnsi="Times New Roman" w:eastAsia="宋体" w:cs="Times New Roman"/>
                <w:color w:val="auto"/>
                <w:sz w:val="24"/>
              </w:rPr>
              <w:t>①</w:t>
            </w:r>
            <w:r>
              <w:rPr>
                <w:rFonts w:hint="default" w:ascii="Times New Roman" w:hAnsi="Times New Roman" w:eastAsia="宋体" w:cs="Times New Roman"/>
                <w:color w:val="auto"/>
                <w:sz w:val="24"/>
                <w:lang w:val="en-US" w:eastAsia="zh-CN"/>
              </w:rPr>
              <w:t>企业重视</w:t>
            </w:r>
            <w:r>
              <w:rPr>
                <w:rFonts w:hint="eastAsia" w:ascii="Times New Roman" w:hAnsi="Times New Roman" w:eastAsia="宋体" w:cs="Times New Roman"/>
                <w:color w:val="auto"/>
                <w:sz w:val="24"/>
                <w:lang w:val="en-US" w:eastAsia="zh-CN"/>
              </w:rPr>
              <w:t>各环保设备</w:t>
            </w:r>
            <w:r>
              <w:rPr>
                <w:rFonts w:hint="default" w:ascii="Times New Roman" w:hAnsi="Times New Roman" w:eastAsia="宋体" w:cs="Times New Roman"/>
                <w:color w:val="auto"/>
                <w:sz w:val="24"/>
                <w:lang w:val="en-US" w:eastAsia="zh-CN"/>
              </w:rPr>
              <w:t>的日常</w:t>
            </w:r>
            <w:r>
              <w:rPr>
                <w:rFonts w:hint="eastAsia" w:ascii="Times New Roman" w:hAnsi="Times New Roman" w:eastAsia="宋体" w:cs="Times New Roman"/>
                <w:color w:val="auto"/>
                <w:sz w:val="24"/>
                <w:lang w:val="en-US" w:eastAsia="zh-CN"/>
              </w:rPr>
              <w:t>运营</w:t>
            </w:r>
            <w:r>
              <w:rPr>
                <w:rFonts w:hint="default" w:ascii="Times New Roman" w:hAnsi="Times New Roman" w:eastAsia="宋体" w:cs="Times New Roman"/>
                <w:color w:val="auto"/>
                <w:sz w:val="24"/>
                <w:lang w:val="en-US" w:eastAsia="zh-CN"/>
              </w:rPr>
              <w:t>管理，保证</w:t>
            </w:r>
            <w:r>
              <w:rPr>
                <w:rFonts w:hint="eastAsia" w:ascii="Times New Roman" w:hAnsi="Times New Roman" w:eastAsia="宋体" w:cs="Times New Roman"/>
                <w:color w:val="auto"/>
                <w:sz w:val="24"/>
                <w:lang w:val="en-US" w:eastAsia="zh-CN"/>
              </w:rPr>
              <w:t>其处理</w:t>
            </w:r>
            <w:r>
              <w:rPr>
                <w:rFonts w:hint="default" w:ascii="Times New Roman" w:hAnsi="Times New Roman" w:eastAsia="宋体" w:cs="Times New Roman"/>
                <w:color w:val="auto"/>
                <w:sz w:val="24"/>
                <w:lang w:val="en-US" w:eastAsia="zh-CN"/>
              </w:rPr>
              <w:t>效率，避免事</w:t>
            </w:r>
            <w:r>
              <w:rPr>
                <w:rFonts w:hint="eastAsia" w:cs="Times New Roman"/>
                <w:color w:val="auto"/>
                <w:sz w:val="24"/>
                <w:lang w:val="en-US" w:eastAsia="zh-CN"/>
              </w:rPr>
              <w:t>故发</w:t>
            </w:r>
            <w:r>
              <w:rPr>
                <w:rFonts w:hint="default" w:ascii="Times New Roman" w:hAnsi="Times New Roman" w:eastAsia="宋体" w:cs="Times New Roman"/>
                <w:color w:val="auto"/>
                <w:sz w:val="24"/>
                <w:lang w:val="en-US" w:eastAsia="zh-CN"/>
              </w:rPr>
              <w:t>生的可能。</w:t>
            </w:r>
          </w:p>
          <w:p w14:paraId="1D9B322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sz w:val="24"/>
                <w:lang w:val="en-US" w:eastAsia="zh-CN"/>
              </w:rPr>
              <w:t>②定期对环保设备进行检修并整理成册</w:t>
            </w:r>
            <w:r>
              <w:rPr>
                <w:rFonts w:hint="default" w:ascii="Times New Roman" w:hAnsi="Times New Roman" w:eastAsia="宋体" w:cs="Times New Roman"/>
                <w:color w:val="auto"/>
                <w:kern w:val="0"/>
                <w:sz w:val="24"/>
                <w:szCs w:val="24"/>
                <w:lang w:val="en-US" w:eastAsia="zh-CN" w:bidi="ar"/>
              </w:rPr>
              <w:t>。</w:t>
            </w:r>
          </w:p>
          <w:p w14:paraId="29F6457D">
            <w:pPr>
              <w:keepNext w:val="0"/>
              <w:keepLines w:val="0"/>
              <w:suppressLineNumbers w:val="0"/>
              <w:shd w:val="clear" w:color="auto" w:fill="FFFFFF"/>
              <w:spacing w:before="0" w:beforeAutospacing="0" w:after="0" w:afterAutospacing="0" w:line="360" w:lineRule="auto"/>
              <w:ind w:left="479" w:leftChars="228" w:right="0" w:firstLine="0" w:firstLineChars="0"/>
              <w:rPr>
                <w:rFonts w:hint="eastAsia" w:eastAsia="宋体" w:cs="宋体"/>
                <w:color w:val="auto"/>
                <w:sz w:val="24"/>
                <w:szCs w:val="24"/>
                <w:lang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lang w:eastAsia="zh-CN"/>
              </w:rPr>
              <w:t>）</w:t>
            </w:r>
            <w:r>
              <w:rPr>
                <w:rFonts w:hint="eastAsia" w:cs="宋体"/>
                <w:color w:val="auto"/>
                <w:sz w:val="24"/>
                <w:szCs w:val="24"/>
              </w:rPr>
              <w:t>固废事故风险防范措施</w:t>
            </w:r>
            <w:r>
              <w:rPr>
                <w:rFonts w:hint="eastAsia" w:cs="宋体"/>
                <w:color w:val="auto"/>
                <w:sz w:val="24"/>
                <w:szCs w:val="24"/>
                <w:lang w:eastAsia="zh-CN"/>
              </w:rPr>
              <w:t>：</w:t>
            </w:r>
          </w:p>
          <w:p w14:paraId="1E8FEC8B">
            <w:pPr>
              <w:keepNext w:val="0"/>
              <w:keepLines w:val="0"/>
              <w:suppressLineNumbers w:val="0"/>
              <w:shd w:val="clear" w:color="auto" w:fill="FFFFFF"/>
              <w:spacing w:before="0" w:beforeAutospacing="0" w:after="0" w:afterAutospacing="0" w:line="360" w:lineRule="auto"/>
              <w:ind w:left="479" w:leftChars="228" w:right="0" w:firstLine="0" w:firstLineChars="0"/>
              <w:rPr>
                <w:rFonts w:hint="default"/>
                <w:color w:val="auto"/>
                <w:sz w:val="24"/>
                <w:szCs w:val="24"/>
              </w:rPr>
            </w:pPr>
            <w:r>
              <w:rPr>
                <w:rFonts w:hint="eastAsia" w:cs="宋体"/>
                <w:color w:val="auto"/>
                <w:sz w:val="24"/>
                <w:szCs w:val="24"/>
              </w:rPr>
              <w:t>①建立健全危废台账制度，严格管理，责任到人。</w:t>
            </w:r>
          </w:p>
          <w:p w14:paraId="31908D17">
            <w:pPr>
              <w:keepNext w:val="0"/>
              <w:keepLines w:val="0"/>
              <w:suppressLineNumbers w:val="0"/>
              <w:shd w:val="clear" w:color="auto" w:fill="FFFFFF"/>
              <w:spacing w:before="0" w:beforeAutospacing="0" w:after="0" w:afterAutospacing="0" w:line="360" w:lineRule="auto"/>
              <w:ind w:left="0" w:right="0" w:firstLine="480" w:firstLineChars="200"/>
              <w:rPr>
                <w:rFonts w:hint="default"/>
                <w:color w:val="auto"/>
                <w:sz w:val="24"/>
                <w:szCs w:val="24"/>
              </w:rPr>
            </w:pPr>
            <w:r>
              <w:rPr>
                <w:rFonts w:hint="eastAsia" w:ascii="宋体" w:hAnsi="宋体" w:cs="宋体"/>
                <w:color w:val="auto"/>
                <w:sz w:val="24"/>
                <w:szCs w:val="24"/>
              </w:rPr>
              <w:t>②</w:t>
            </w:r>
            <w:r>
              <w:rPr>
                <w:rFonts w:hint="eastAsia" w:cs="宋体"/>
                <w:color w:val="auto"/>
                <w:sz w:val="24"/>
                <w:szCs w:val="24"/>
              </w:rPr>
              <w:t>在收集过程中要根据各种危险废物的性质进行分类、分别收集和临时贮存。</w:t>
            </w:r>
          </w:p>
          <w:p w14:paraId="7FC72342">
            <w:pPr>
              <w:keepNext w:val="0"/>
              <w:keepLines w:val="0"/>
              <w:suppressLineNumbers w:val="0"/>
              <w:shd w:val="clear" w:color="auto" w:fill="FFFFFF"/>
              <w:spacing w:before="0" w:beforeAutospacing="0" w:after="0" w:afterAutospacing="0" w:line="360" w:lineRule="auto"/>
              <w:ind w:left="0" w:right="0" w:firstLine="480" w:firstLineChars="200"/>
              <w:rPr>
                <w:rFonts w:hint="eastAsia" w:ascii="Times New Roman" w:hAnsi="Times New Roman" w:eastAsia="宋体" w:cs="宋体"/>
                <w:color w:val="auto"/>
                <w:sz w:val="24"/>
                <w:szCs w:val="24"/>
              </w:rPr>
            </w:pPr>
            <w:r>
              <w:rPr>
                <w:rFonts w:hint="eastAsia" w:ascii="宋体" w:hAnsi="宋体" w:cs="宋体"/>
                <w:color w:val="auto"/>
                <w:sz w:val="24"/>
                <w:szCs w:val="24"/>
              </w:rPr>
              <w:t>③</w:t>
            </w:r>
            <w:r>
              <w:rPr>
                <w:rFonts w:hint="eastAsia" w:cs="宋体"/>
                <w:color w:val="auto"/>
                <w:sz w:val="24"/>
                <w:szCs w:val="24"/>
              </w:rPr>
              <w:t>厂内应设置专门的危险废物暂存间，以便贮存不能及时送出处理的固废，避免在露天堆放中产生的泄漏、渗透、蒸发、雨水淋</w:t>
            </w:r>
            <w:r>
              <w:rPr>
                <w:rFonts w:hint="eastAsia" w:ascii="Times New Roman" w:hAnsi="Times New Roman" w:eastAsia="宋体" w:cs="宋体"/>
                <w:color w:val="auto"/>
                <w:sz w:val="24"/>
                <w:szCs w:val="24"/>
              </w:rPr>
              <w:t>溶以及大风吹扬等产生二次。</w:t>
            </w:r>
          </w:p>
          <w:p w14:paraId="3139C43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eastAsia" w:ascii="Times New Roman" w:hAnsi="Times New Roman" w:eastAsia="宋体" w:cs="宋体"/>
                <w:color w:val="auto"/>
                <w:sz w:val="24"/>
                <w:szCs w:val="24"/>
                <w:lang w:val="en-US" w:eastAsia="zh-CN"/>
              </w:rPr>
              <w:t>④</w:t>
            </w:r>
            <w:r>
              <w:rPr>
                <w:rFonts w:hint="eastAsia" w:cs="宋体"/>
                <w:color w:val="auto"/>
                <w:sz w:val="24"/>
                <w:szCs w:val="24"/>
                <w:lang w:val="en-US" w:eastAsia="zh-CN"/>
              </w:rPr>
              <w:t>厂内</w:t>
            </w:r>
            <w:r>
              <w:rPr>
                <w:rFonts w:hint="eastAsia" w:ascii="Times New Roman" w:hAnsi="Times New Roman" w:eastAsia="宋体" w:cs="宋体"/>
                <w:color w:val="auto"/>
                <w:sz w:val="24"/>
                <w:szCs w:val="24"/>
                <w:lang w:val="en-US" w:eastAsia="zh-CN"/>
              </w:rPr>
              <w:t>运输过程中要注意不同的危险废物要单独运输，固废的包装容器要注意密闭，以免在运输途中发生危险废物的泄漏，从而产生二次污染。</w:t>
            </w:r>
          </w:p>
          <w:p w14:paraId="6C5337E3">
            <w:pPr>
              <w:pStyle w:val="131"/>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lang w:val="en-US" w:eastAsia="zh-CN"/>
              </w:rPr>
              <w:t>七、</w:t>
            </w:r>
            <w:r>
              <w:rPr>
                <w:rFonts w:hint="default" w:ascii="Times New Roman" w:hAnsi="Times New Roman" w:eastAsia="宋体" w:cs="Times New Roman"/>
                <w:bCs/>
                <w:color w:val="auto"/>
                <w:highlight w:val="none"/>
              </w:rPr>
              <w:t>环境管理及环境监测</w:t>
            </w:r>
          </w:p>
          <w:p w14:paraId="4498796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bidi="ar"/>
              </w:rPr>
              <w:t>（1）</w:t>
            </w:r>
            <w:r>
              <w:rPr>
                <w:rFonts w:hint="default" w:ascii="Times New Roman" w:hAnsi="Times New Roman" w:eastAsia="宋体" w:cs="Times New Roman"/>
                <w:color w:val="auto"/>
                <w:kern w:val="0"/>
                <w:sz w:val="24"/>
                <w:highlight w:val="none"/>
                <w:lang w:bidi="ar"/>
              </w:rPr>
              <w:t>环境管理</w:t>
            </w:r>
          </w:p>
          <w:p w14:paraId="1353BC21">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根据本项目的生产特点，对环境管理机构的设置建议如下：</w:t>
            </w:r>
          </w:p>
          <w:p w14:paraId="2959B23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环境管理应由总经理主管负责，并与各职能部门保持密切的联系，由专职环境保护管理和工作人员实施全公司的环境管理工作，其主要职责是：</w:t>
            </w:r>
          </w:p>
          <w:p w14:paraId="659AD69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①贯彻执行国家和地方的环境保护法规和标准；</w:t>
            </w:r>
          </w:p>
          <w:p w14:paraId="28E01A5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②接受</w:t>
            </w:r>
            <w:r>
              <w:rPr>
                <w:rFonts w:hint="default" w:ascii="Times New Roman" w:hAnsi="Times New Roman" w:eastAsia="宋体" w:cs="Times New Roman"/>
                <w:color w:val="auto"/>
                <w:kern w:val="0"/>
                <w:sz w:val="24"/>
                <w:highlight w:val="none"/>
                <w:lang w:eastAsia="zh-CN" w:bidi="ar"/>
              </w:rPr>
              <w:t>生态环境</w:t>
            </w:r>
            <w:r>
              <w:rPr>
                <w:rFonts w:hint="default" w:ascii="Times New Roman" w:hAnsi="Times New Roman" w:eastAsia="宋体" w:cs="Times New Roman"/>
                <w:color w:val="auto"/>
                <w:kern w:val="0"/>
                <w:sz w:val="24"/>
                <w:highlight w:val="none"/>
                <w:lang w:bidi="ar"/>
              </w:rPr>
              <w:t>主管部门的检查监督，定期上报各项环境管理工作的执行情况；</w:t>
            </w:r>
          </w:p>
          <w:p w14:paraId="3808AA7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③组织制定公司各部门的环境管理规章制度；</w:t>
            </w:r>
          </w:p>
          <w:p w14:paraId="3A8F602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④负责环保设施的正常运转，以及环境监测计划的实施。</w:t>
            </w:r>
          </w:p>
          <w:p w14:paraId="40A48BFA">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⑤完善危险废物暂存间建设，规范固体废物堆放管理做好台账及转运记录，落实企业自行监测计划。</w:t>
            </w:r>
          </w:p>
          <w:p w14:paraId="570A879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w:t>
            </w:r>
            <w:r>
              <w:rPr>
                <w:rFonts w:hint="default" w:ascii="Times New Roman" w:hAnsi="Times New Roman" w:eastAsia="宋体" w:cs="Times New Roman"/>
                <w:color w:val="auto"/>
                <w:kern w:val="0"/>
                <w:sz w:val="24"/>
                <w:highlight w:val="none"/>
                <w:lang w:val="en-US" w:eastAsia="zh-CN" w:bidi="ar"/>
              </w:rPr>
              <w:t>3</w:t>
            </w:r>
            <w:r>
              <w:rPr>
                <w:rFonts w:hint="default" w:ascii="Times New Roman" w:hAnsi="Times New Roman" w:eastAsia="宋体" w:cs="Times New Roman"/>
                <w:color w:val="auto"/>
                <w:kern w:val="0"/>
                <w:sz w:val="24"/>
                <w:highlight w:val="none"/>
                <w:lang w:bidi="ar"/>
              </w:rPr>
              <w:t>）排污口的规范化</w:t>
            </w:r>
          </w:p>
          <w:p w14:paraId="7D224DD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根据《关于开展排放口规范化整治工作的通知》国家环境保护总局环发【1999】24号文件的要求，一切新建、改建的排污单位以及限期治理的排污单位，必须在建设污染治理设施的同时，建设规范化排污口。因此，建设单位在投产时，各类排污口必须规范化建设和管理，而且规范化工作应</w:t>
            </w:r>
            <w:r>
              <w:rPr>
                <w:rFonts w:hint="eastAsia" w:cs="Times New Roman"/>
                <w:color w:val="auto"/>
                <w:kern w:val="0"/>
                <w:sz w:val="24"/>
                <w:highlight w:val="none"/>
                <w:lang w:eastAsia="zh-CN" w:bidi="ar"/>
              </w:rPr>
              <w:t>与</w:t>
            </w:r>
            <w:r>
              <w:rPr>
                <w:rFonts w:hint="default" w:ascii="Times New Roman" w:hAnsi="Times New Roman" w:eastAsia="宋体" w:cs="Times New Roman"/>
                <w:color w:val="auto"/>
                <w:kern w:val="0"/>
                <w:sz w:val="24"/>
                <w:highlight w:val="none"/>
                <w:lang w:bidi="ar"/>
              </w:rPr>
              <w:t>污染治理同步实施，即治理设施完工时，规范化工作必须同时完成，并列入污染物治理设施的验收内容。</w:t>
            </w:r>
          </w:p>
          <w:p w14:paraId="46B57FC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拟建项目应在气、水、声、固排污口（源）挂牌标识。规范化整治具体如下：</w:t>
            </w:r>
          </w:p>
          <w:p w14:paraId="175E40D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1</w:t>
            </w:r>
            <w:r>
              <w:rPr>
                <w:rFonts w:hint="default" w:ascii="Times New Roman" w:hAnsi="Times New Roman" w:eastAsia="宋体" w:cs="Times New Roman"/>
                <w:color w:val="auto"/>
                <w:kern w:val="0"/>
                <w:sz w:val="24"/>
                <w:highlight w:val="none"/>
                <w:lang w:eastAsia="zh-CN" w:bidi="ar"/>
              </w:rPr>
              <w:t>）项目排气筒应按规范要求设置永久性采样口和采样平台。</w:t>
            </w:r>
          </w:p>
          <w:p w14:paraId="7FEDB98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2</w:t>
            </w:r>
            <w:r>
              <w:rPr>
                <w:rFonts w:hint="default" w:ascii="Times New Roman" w:hAnsi="Times New Roman" w:eastAsia="宋体" w:cs="Times New Roman"/>
                <w:color w:val="auto"/>
                <w:kern w:val="0"/>
                <w:sz w:val="24"/>
                <w:highlight w:val="none"/>
                <w:lang w:bidi="ar"/>
              </w:rPr>
              <w:t>）项目建成后，生活污水排放口附近醒目处应树立一个环保图形标志牌。</w:t>
            </w:r>
          </w:p>
          <w:p w14:paraId="6589C7E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3</w:t>
            </w:r>
            <w:r>
              <w:rPr>
                <w:rFonts w:hint="default" w:ascii="Times New Roman" w:hAnsi="Times New Roman" w:eastAsia="宋体" w:cs="Times New Roman"/>
                <w:color w:val="auto"/>
                <w:kern w:val="0"/>
                <w:sz w:val="24"/>
                <w:highlight w:val="none"/>
                <w:lang w:bidi="ar"/>
              </w:rPr>
              <w:t>）项目建成后，废渣处置前应当有防扬散、防流失等措施，贮存处进出口醒目应设置环保图形标志牌。</w:t>
            </w:r>
          </w:p>
          <w:p w14:paraId="7C1CFA3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w:t>
            </w:r>
            <w:r>
              <w:rPr>
                <w:rFonts w:hint="default" w:ascii="Times New Roman" w:hAnsi="Times New Roman" w:eastAsia="宋体" w:cs="Times New Roman"/>
                <w:color w:val="auto"/>
                <w:kern w:val="0"/>
                <w:sz w:val="24"/>
                <w:highlight w:val="none"/>
                <w:lang w:val="en-US" w:eastAsia="zh-CN" w:bidi="ar"/>
              </w:rPr>
              <w:t>4</w:t>
            </w:r>
            <w:r>
              <w:rPr>
                <w:rFonts w:hint="default" w:ascii="Times New Roman" w:hAnsi="Times New Roman" w:eastAsia="宋体" w:cs="Times New Roman"/>
                <w:color w:val="auto"/>
                <w:kern w:val="0"/>
                <w:sz w:val="24"/>
                <w:highlight w:val="none"/>
                <w:lang w:bidi="ar"/>
              </w:rPr>
              <w:t>）项目建成后，在噪声较大的车间外或噪声源较大的地方醒目处应设置环保图形标志牌。</w:t>
            </w:r>
          </w:p>
          <w:p w14:paraId="6D40A1BD">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标志牌的设置应按《环境保护图形标志—排放口（源）》（GB15562.1-1995）的规定执行。标志牌必须保持清晰、完整，当发现有损坏或颜色有变化，应及时修复或更换。检查时间一年两次。具体见表4-</w:t>
            </w:r>
            <w:r>
              <w:rPr>
                <w:rFonts w:hint="eastAsia" w:cs="Times New Roman"/>
                <w:color w:val="auto"/>
                <w:kern w:val="0"/>
                <w:sz w:val="24"/>
                <w:highlight w:val="none"/>
                <w:lang w:val="en-US" w:eastAsia="zh-CN" w:bidi="ar"/>
              </w:rPr>
              <w:t>11</w:t>
            </w:r>
            <w:r>
              <w:rPr>
                <w:rFonts w:hint="default" w:ascii="Times New Roman" w:hAnsi="Times New Roman" w:eastAsia="宋体" w:cs="Times New Roman"/>
                <w:color w:val="auto"/>
                <w:kern w:val="0"/>
                <w:sz w:val="24"/>
                <w:highlight w:val="none"/>
                <w:lang w:bidi="ar"/>
              </w:rPr>
              <w:t>和表4-</w:t>
            </w:r>
            <w:r>
              <w:rPr>
                <w:rFonts w:hint="eastAsia" w:cs="Times New Roman"/>
                <w:color w:val="auto"/>
                <w:kern w:val="0"/>
                <w:sz w:val="24"/>
                <w:highlight w:val="none"/>
                <w:lang w:val="en-US" w:eastAsia="zh-CN" w:bidi="ar"/>
              </w:rPr>
              <w:t>12</w:t>
            </w:r>
            <w:r>
              <w:rPr>
                <w:rFonts w:hint="default" w:ascii="Times New Roman" w:hAnsi="Times New Roman" w:eastAsia="宋体" w:cs="Times New Roman"/>
                <w:color w:val="auto"/>
                <w:kern w:val="0"/>
                <w:sz w:val="24"/>
                <w:highlight w:val="none"/>
                <w:lang w:bidi="ar"/>
              </w:rPr>
              <w:t>。</w:t>
            </w:r>
          </w:p>
          <w:p w14:paraId="15B4C34E">
            <w:pPr>
              <w:pStyle w:val="132"/>
              <w:keepNext w:val="0"/>
              <w:keepLines w:val="0"/>
              <w:widowControl w:val="0"/>
              <w:suppressLineNumbers w:val="0"/>
              <w:snapToGrid/>
              <w:spacing w:before="0" w:beforeAutospacing="0" w:afterAutospacing="0" w:line="240" w:lineRule="auto"/>
              <w:ind w:left="0" w:right="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w:t>
            </w:r>
            <w:r>
              <w:rPr>
                <w:rFonts w:hint="eastAsia" w:asci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 环境保护图形标志的形状及颜色表</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2148"/>
              <w:gridCol w:w="2146"/>
              <w:gridCol w:w="2150"/>
            </w:tblGrid>
            <w:tr w14:paraId="43B7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blHeader/>
                <w:jc w:val="center"/>
              </w:trPr>
              <w:tc>
                <w:tcPr>
                  <w:tcW w:w="1248" w:type="pct"/>
                  <w:tcBorders>
                    <w:tl2br w:val="nil"/>
                    <w:tr2bl w:val="nil"/>
                  </w:tcBorders>
                  <w:noWrap w:val="0"/>
                  <w:vAlign w:val="center"/>
                </w:tcPr>
                <w:p w14:paraId="656CD02B">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标准名称</w:t>
                  </w:r>
                </w:p>
              </w:tc>
              <w:tc>
                <w:tcPr>
                  <w:tcW w:w="1250" w:type="pct"/>
                  <w:tcBorders>
                    <w:tl2br w:val="nil"/>
                    <w:tr2bl w:val="nil"/>
                  </w:tcBorders>
                  <w:noWrap w:val="0"/>
                  <w:vAlign w:val="center"/>
                </w:tcPr>
                <w:p w14:paraId="1D33087F">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形状</w:t>
                  </w:r>
                </w:p>
              </w:tc>
              <w:tc>
                <w:tcPr>
                  <w:tcW w:w="1249" w:type="pct"/>
                  <w:tcBorders>
                    <w:tl2br w:val="nil"/>
                    <w:tr2bl w:val="nil"/>
                  </w:tcBorders>
                  <w:noWrap w:val="0"/>
                  <w:vAlign w:val="center"/>
                </w:tcPr>
                <w:p w14:paraId="282487D0">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背景颜色</w:t>
                  </w:r>
                </w:p>
              </w:tc>
              <w:tc>
                <w:tcPr>
                  <w:tcW w:w="1251" w:type="pct"/>
                  <w:tcBorders>
                    <w:tl2br w:val="nil"/>
                    <w:tr2bl w:val="nil"/>
                  </w:tcBorders>
                  <w:noWrap w:val="0"/>
                  <w:vAlign w:val="center"/>
                </w:tcPr>
                <w:p w14:paraId="28243AA9">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图形颜色</w:t>
                  </w:r>
                </w:p>
              </w:tc>
            </w:tr>
            <w:tr w14:paraId="29B7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blHeader/>
                <w:jc w:val="center"/>
              </w:trPr>
              <w:tc>
                <w:tcPr>
                  <w:tcW w:w="1248" w:type="pct"/>
                  <w:tcBorders>
                    <w:tl2br w:val="nil"/>
                    <w:tr2bl w:val="nil"/>
                  </w:tcBorders>
                  <w:noWrap w:val="0"/>
                  <w:vAlign w:val="center"/>
                </w:tcPr>
                <w:p w14:paraId="3271D8D7">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警告标志</w:t>
                  </w:r>
                </w:p>
              </w:tc>
              <w:tc>
                <w:tcPr>
                  <w:tcW w:w="1250" w:type="pct"/>
                  <w:tcBorders>
                    <w:tl2br w:val="nil"/>
                    <w:tr2bl w:val="nil"/>
                  </w:tcBorders>
                  <w:noWrap w:val="0"/>
                  <w:vAlign w:val="center"/>
                </w:tcPr>
                <w:p w14:paraId="0F3D5C52">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三角形边框</w:t>
                  </w:r>
                </w:p>
              </w:tc>
              <w:tc>
                <w:tcPr>
                  <w:tcW w:w="1249" w:type="pct"/>
                  <w:tcBorders>
                    <w:tl2br w:val="nil"/>
                    <w:tr2bl w:val="nil"/>
                  </w:tcBorders>
                  <w:noWrap w:val="0"/>
                  <w:vAlign w:val="center"/>
                </w:tcPr>
                <w:p w14:paraId="5332CE5E">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黄色</w:t>
                  </w:r>
                </w:p>
              </w:tc>
              <w:tc>
                <w:tcPr>
                  <w:tcW w:w="1251" w:type="pct"/>
                  <w:tcBorders>
                    <w:tl2br w:val="nil"/>
                    <w:tr2bl w:val="nil"/>
                  </w:tcBorders>
                  <w:noWrap w:val="0"/>
                  <w:vAlign w:val="center"/>
                </w:tcPr>
                <w:p w14:paraId="6BF89A9E">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黑色</w:t>
                  </w:r>
                </w:p>
              </w:tc>
            </w:tr>
            <w:tr w14:paraId="392D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jc w:val="center"/>
              </w:trPr>
              <w:tc>
                <w:tcPr>
                  <w:tcW w:w="1248" w:type="pct"/>
                  <w:tcBorders>
                    <w:tl2br w:val="nil"/>
                    <w:tr2bl w:val="nil"/>
                  </w:tcBorders>
                  <w:noWrap w:val="0"/>
                  <w:vAlign w:val="center"/>
                </w:tcPr>
                <w:p w14:paraId="5C4EA9CC">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提示标志</w:t>
                  </w:r>
                </w:p>
              </w:tc>
              <w:tc>
                <w:tcPr>
                  <w:tcW w:w="1250" w:type="pct"/>
                  <w:tcBorders>
                    <w:tl2br w:val="nil"/>
                    <w:tr2bl w:val="nil"/>
                  </w:tcBorders>
                  <w:noWrap w:val="0"/>
                  <w:vAlign w:val="center"/>
                </w:tcPr>
                <w:p w14:paraId="6B4DCCC8">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正方形边框</w:t>
                  </w:r>
                </w:p>
              </w:tc>
              <w:tc>
                <w:tcPr>
                  <w:tcW w:w="1249" w:type="pct"/>
                  <w:tcBorders>
                    <w:tl2br w:val="nil"/>
                    <w:tr2bl w:val="nil"/>
                  </w:tcBorders>
                  <w:noWrap w:val="0"/>
                  <w:vAlign w:val="center"/>
                </w:tcPr>
                <w:p w14:paraId="5AEAC2C9">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绿色</w:t>
                  </w:r>
                </w:p>
              </w:tc>
              <w:tc>
                <w:tcPr>
                  <w:tcW w:w="1251" w:type="pct"/>
                  <w:tcBorders>
                    <w:tl2br w:val="nil"/>
                    <w:tr2bl w:val="nil"/>
                  </w:tcBorders>
                  <w:noWrap w:val="0"/>
                  <w:vAlign w:val="center"/>
                </w:tcPr>
                <w:p w14:paraId="2D47D6BA">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白色</w:t>
                  </w:r>
                </w:p>
              </w:tc>
            </w:tr>
          </w:tbl>
          <w:p w14:paraId="638C0A6F">
            <w:pPr>
              <w:pStyle w:val="132"/>
              <w:keepNext w:val="0"/>
              <w:keepLines w:val="0"/>
              <w:widowControl w:val="0"/>
              <w:suppressLineNumbers w:val="0"/>
              <w:snapToGrid/>
              <w:spacing w:before="0" w:beforeAutospacing="0" w:afterAutospacing="0" w:line="240" w:lineRule="auto"/>
              <w:ind w:left="0" w:right="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w:t>
            </w:r>
            <w:r>
              <w:rPr>
                <w:rFonts w:hint="eastAsia" w:asci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rPr>
              <w:t xml:space="preserve">   环境保护图形符号一览表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894"/>
              <w:gridCol w:w="1894"/>
              <w:gridCol w:w="1894"/>
              <w:gridCol w:w="1894"/>
            </w:tblGrid>
            <w:tr w14:paraId="29B0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blHeader/>
                <w:jc w:val="center"/>
              </w:trPr>
              <w:tc>
                <w:tcPr>
                  <w:tcW w:w="588" w:type="pct"/>
                  <w:tcBorders>
                    <w:tl2br w:val="nil"/>
                    <w:tr2bl w:val="nil"/>
                  </w:tcBorders>
                  <w:noWrap w:val="0"/>
                  <w:vAlign w:val="center"/>
                </w:tcPr>
                <w:p w14:paraId="741C9515">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1102" w:type="pct"/>
                  <w:tcBorders>
                    <w:tl2br w:val="nil"/>
                    <w:tr2bl w:val="nil"/>
                  </w:tcBorders>
                  <w:noWrap w:val="0"/>
                  <w:vAlign w:val="center"/>
                </w:tcPr>
                <w:p w14:paraId="68370D5B">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提示图形符号</w:t>
                  </w:r>
                </w:p>
              </w:tc>
              <w:tc>
                <w:tcPr>
                  <w:tcW w:w="1102" w:type="pct"/>
                  <w:tcBorders>
                    <w:tl2br w:val="nil"/>
                    <w:tr2bl w:val="nil"/>
                  </w:tcBorders>
                  <w:noWrap w:val="0"/>
                  <w:vAlign w:val="center"/>
                </w:tcPr>
                <w:p w14:paraId="40DB6383">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警告图形符号</w:t>
                  </w:r>
                </w:p>
              </w:tc>
              <w:tc>
                <w:tcPr>
                  <w:tcW w:w="1102" w:type="pct"/>
                  <w:tcBorders>
                    <w:tl2br w:val="nil"/>
                    <w:tr2bl w:val="nil"/>
                  </w:tcBorders>
                  <w:noWrap w:val="0"/>
                  <w:vAlign w:val="center"/>
                </w:tcPr>
                <w:p w14:paraId="18AEBA43">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名称</w:t>
                  </w:r>
                </w:p>
              </w:tc>
              <w:tc>
                <w:tcPr>
                  <w:tcW w:w="1102" w:type="pct"/>
                  <w:tcBorders>
                    <w:tl2br w:val="nil"/>
                    <w:tr2bl w:val="nil"/>
                  </w:tcBorders>
                  <w:noWrap w:val="0"/>
                  <w:vAlign w:val="center"/>
                </w:tcPr>
                <w:p w14:paraId="1881AD82">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功能</w:t>
                  </w:r>
                </w:p>
              </w:tc>
            </w:tr>
            <w:tr w14:paraId="5FCC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blHeader/>
                <w:jc w:val="center"/>
              </w:trPr>
              <w:tc>
                <w:tcPr>
                  <w:tcW w:w="1074" w:type="dxa"/>
                  <w:tcBorders>
                    <w:tl2br w:val="nil"/>
                    <w:tr2bl w:val="nil"/>
                  </w:tcBorders>
                  <w:noWrap w:val="0"/>
                  <w:vAlign w:val="center"/>
                </w:tcPr>
                <w:p w14:paraId="32927254">
                  <w:pPr>
                    <w:keepNext w:val="0"/>
                    <w:keepLines w:val="0"/>
                    <w:suppressLineNumbers w:val="0"/>
                    <w:shd w:val="clear" w:color="auto" w:fill="auto"/>
                    <w:spacing w:before="0" w:beforeAutospacing="0" w:after="0" w:afterAutospacing="0"/>
                    <w:ind w:left="51" w:leftChars="0" w:right="51"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w:t>
                  </w:r>
                </w:p>
              </w:tc>
              <w:tc>
                <w:tcPr>
                  <w:tcW w:w="2012" w:type="dxa"/>
                  <w:tcBorders>
                    <w:tl2br w:val="nil"/>
                    <w:tr2bl w:val="nil"/>
                  </w:tcBorders>
                  <w:noWrap w:val="0"/>
                  <w:vAlign w:val="center"/>
                </w:tcPr>
                <w:p w14:paraId="3E662C5B">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82015" cy="899160"/>
                        <wp:effectExtent l="0" t="0" r="13335" b="1524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7"/>
                                <a:stretch>
                                  <a:fillRect/>
                                </a:stretch>
                              </pic:blipFill>
                              <pic:spPr>
                                <a:xfrm>
                                  <a:off x="0" y="0"/>
                                  <a:ext cx="882015" cy="899160"/>
                                </a:xfrm>
                                <a:prstGeom prst="rect">
                                  <a:avLst/>
                                </a:prstGeom>
                                <a:noFill/>
                                <a:ln>
                                  <a:noFill/>
                                </a:ln>
                              </pic:spPr>
                            </pic:pic>
                          </a:graphicData>
                        </a:graphic>
                      </wp:inline>
                    </w:drawing>
                  </w:r>
                </w:p>
              </w:tc>
              <w:tc>
                <w:tcPr>
                  <w:tcW w:w="2012" w:type="dxa"/>
                  <w:tcBorders>
                    <w:tl2br w:val="nil"/>
                    <w:tr2bl w:val="nil"/>
                  </w:tcBorders>
                  <w:noWrap w:val="0"/>
                  <w:vAlign w:val="center"/>
                </w:tcPr>
                <w:p w14:paraId="186195EA">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900430" cy="900430"/>
                        <wp:effectExtent l="0" t="0" r="13970" b="1397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pic:cNvPicPr>
                              </pic:nvPicPr>
                              <pic:blipFill>
                                <a:blip r:embed="rId38"/>
                                <a:stretch>
                                  <a:fillRect/>
                                </a:stretch>
                              </pic:blipFill>
                              <pic:spPr>
                                <a:xfrm>
                                  <a:off x="0" y="0"/>
                                  <a:ext cx="900430" cy="900430"/>
                                </a:xfrm>
                                <a:prstGeom prst="rect">
                                  <a:avLst/>
                                </a:prstGeom>
                                <a:noFill/>
                                <a:ln>
                                  <a:noFill/>
                                </a:ln>
                              </pic:spPr>
                            </pic:pic>
                          </a:graphicData>
                        </a:graphic>
                      </wp:inline>
                    </w:drawing>
                  </w:r>
                </w:p>
              </w:tc>
              <w:tc>
                <w:tcPr>
                  <w:tcW w:w="2012" w:type="dxa"/>
                  <w:tcBorders>
                    <w:tl2br w:val="nil"/>
                    <w:tr2bl w:val="nil"/>
                  </w:tcBorders>
                  <w:noWrap w:val="0"/>
                  <w:vAlign w:val="center"/>
                </w:tcPr>
                <w:p w14:paraId="6284C215">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废气排放口</w:t>
                  </w:r>
                </w:p>
              </w:tc>
              <w:tc>
                <w:tcPr>
                  <w:tcW w:w="2012" w:type="dxa"/>
                  <w:tcBorders>
                    <w:tl2br w:val="nil"/>
                    <w:tr2bl w:val="nil"/>
                  </w:tcBorders>
                  <w:noWrap w:val="0"/>
                  <w:vAlign w:val="center"/>
                </w:tcPr>
                <w:p w14:paraId="20AB538A">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表示废气向大气环境排放</w:t>
                  </w:r>
                </w:p>
              </w:tc>
            </w:tr>
            <w:tr w14:paraId="52DA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blHeader/>
                <w:jc w:val="center"/>
              </w:trPr>
              <w:tc>
                <w:tcPr>
                  <w:tcW w:w="588" w:type="pct"/>
                  <w:tcBorders>
                    <w:tl2br w:val="nil"/>
                    <w:tr2bl w:val="nil"/>
                  </w:tcBorders>
                  <w:noWrap w:val="0"/>
                  <w:vAlign w:val="center"/>
                </w:tcPr>
                <w:p w14:paraId="32449E66">
                  <w:pPr>
                    <w:keepNext w:val="0"/>
                    <w:keepLines w:val="0"/>
                    <w:suppressLineNumbers w:val="0"/>
                    <w:shd w:val="clear" w:color="auto" w:fill="auto"/>
                    <w:spacing w:before="0" w:beforeAutospacing="0" w:after="0" w:afterAutospacing="0"/>
                    <w:ind w:left="51" w:leftChars="0" w:right="51"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2</w:t>
                  </w:r>
                </w:p>
              </w:tc>
              <w:tc>
                <w:tcPr>
                  <w:tcW w:w="1102" w:type="pct"/>
                  <w:tcBorders>
                    <w:tl2br w:val="nil"/>
                    <w:tr2bl w:val="nil"/>
                  </w:tcBorders>
                  <w:noWrap w:val="0"/>
                  <w:vAlign w:val="center"/>
                </w:tcPr>
                <w:p w14:paraId="2FF22EC3">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99160" cy="918210"/>
                        <wp:effectExtent l="0" t="0" r="15240" b="152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9"/>
                                <a:stretch>
                                  <a:fillRect/>
                                </a:stretch>
                              </pic:blipFill>
                              <pic:spPr>
                                <a:xfrm>
                                  <a:off x="0" y="0"/>
                                  <a:ext cx="899160" cy="918210"/>
                                </a:xfrm>
                                <a:prstGeom prst="rect">
                                  <a:avLst/>
                                </a:prstGeom>
                                <a:noFill/>
                                <a:ln>
                                  <a:noFill/>
                                </a:ln>
                              </pic:spPr>
                            </pic:pic>
                          </a:graphicData>
                        </a:graphic>
                      </wp:inline>
                    </w:drawing>
                  </w:r>
                </w:p>
              </w:tc>
              <w:tc>
                <w:tcPr>
                  <w:tcW w:w="1102" w:type="pct"/>
                  <w:tcBorders>
                    <w:tl2br w:val="nil"/>
                    <w:tr2bl w:val="nil"/>
                  </w:tcBorders>
                  <w:noWrap w:val="0"/>
                  <w:vAlign w:val="center"/>
                </w:tcPr>
                <w:p w14:paraId="618F6B9C">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99160" cy="899160"/>
                        <wp:effectExtent l="0" t="0" r="15240" b="1524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pic:cNvPicPr>
                                  <a:picLocks noChangeAspect="1"/>
                                </pic:cNvPicPr>
                              </pic:nvPicPr>
                              <pic:blipFill>
                                <a:blip r:embed="rId40"/>
                                <a:stretch>
                                  <a:fillRect/>
                                </a:stretch>
                              </pic:blipFill>
                              <pic:spPr>
                                <a:xfrm>
                                  <a:off x="0" y="0"/>
                                  <a:ext cx="899160" cy="899160"/>
                                </a:xfrm>
                                <a:prstGeom prst="rect">
                                  <a:avLst/>
                                </a:prstGeom>
                                <a:noFill/>
                                <a:ln>
                                  <a:noFill/>
                                </a:ln>
                              </pic:spPr>
                            </pic:pic>
                          </a:graphicData>
                        </a:graphic>
                      </wp:inline>
                    </w:drawing>
                  </w:r>
                </w:p>
              </w:tc>
              <w:tc>
                <w:tcPr>
                  <w:tcW w:w="1102" w:type="pct"/>
                  <w:tcBorders>
                    <w:tl2br w:val="nil"/>
                    <w:tr2bl w:val="nil"/>
                  </w:tcBorders>
                  <w:noWrap w:val="0"/>
                  <w:vAlign w:val="center"/>
                </w:tcPr>
                <w:p w14:paraId="79B163DC">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废水排放口</w:t>
                  </w:r>
                </w:p>
              </w:tc>
              <w:tc>
                <w:tcPr>
                  <w:tcW w:w="1102" w:type="pct"/>
                  <w:tcBorders>
                    <w:tl2br w:val="nil"/>
                    <w:tr2bl w:val="nil"/>
                  </w:tcBorders>
                  <w:noWrap w:val="0"/>
                  <w:vAlign w:val="center"/>
                </w:tcPr>
                <w:p w14:paraId="7DE97BC5">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表示废水向水体排放</w:t>
                  </w:r>
                </w:p>
              </w:tc>
            </w:tr>
            <w:tr w14:paraId="2622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blHeader/>
                <w:jc w:val="center"/>
              </w:trPr>
              <w:tc>
                <w:tcPr>
                  <w:tcW w:w="588" w:type="pct"/>
                  <w:tcBorders>
                    <w:tl2br w:val="nil"/>
                    <w:tr2bl w:val="nil"/>
                  </w:tcBorders>
                  <w:noWrap w:val="0"/>
                  <w:vAlign w:val="center"/>
                </w:tcPr>
                <w:p w14:paraId="297C95DC">
                  <w:pPr>
                    <w:keepNext w:val="0"/>
                    <w:keepLines w:val="0"/>
                    <w:suppressLineNumbers w:val="0"/>
                    <w:shd w:val="clear" w:color="auto" w:fill="auto"/>
                    <w:spacing w:before="0" w:beforeAutospacing="0" w:after="0" w:afterAutospacing="0"/>
                    <w:ind w:left="51" w:leftChars="0" w:right="51"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3</w:t>
                  </w:r>
                </w:p>
              </w:tc>
              <w:tc>
                <w:tcPr>
                  <w:tcW w:w="1102" w:type="pct"/>
                  <w:tcBorders>
                    <w:tl2br w:val="nil"/>
                    <w:tr2bl w:val="nil"/>
                  </w:tcBorders>
                  <w:noWrap w:val="0"/>
                  <w:vAlign w:val="center"/>
                </w:tcPr>
                <w:p w14:paraId="389E35BF">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99160" cy="899160"/>
                        <wp:effectExtent l="0" t="0" r="15240" b="15240"/>
                        <wp:docPr id="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pic:cNvPicPr>
                                  <a:picLocks noChangeAspect="1"/>
                                </pic:cNvPicPr>
                              </pic:nvPicPr>
                              <pic:blipFill>
                                <a:blip r:embed="rId41"/>
                                <a:stretch>
                                  <a:fillRect/>
                                </a:stretch>
                              </pic:blipFill>
                              <pic:spPr>
                                <a:xfrm>
                                  <a:off x="0" y="0"/>
                                  <a:ext cx="899160" cy="899160"/>
                                </a:xfrm>
                                <a:prstGeom prst="rect">
                                  <a:avLst/>
                                </a:prstGeom>
                                <a:noFill/>
                                <a:ln>
                                  <a:noFill/>
                                </a:ln>
                              </pic:spPr>
                            </pic:pic>
                          </a:graphicData>
                        </a:graphic>
                      </wp:inline>
                    </w:drawing>
                  </w:r>
                </w:p>
              </w:tc>
              <w:tc>
                <w:tcPr>
                  <w:tcW w:w="1102" w:type="pct"/>
                  <w:tcBorders>
                    <w:tl2br w:val="nil"/>
                    <w:tr2bl w:val="nil"/>
                  </w:tcBorders>
                  <w:noWrap w:val="0"/>
                  <w:vAlign w:val="center"/>
                </w:tcPr>
                <w:p w14:paraId="5AF7DB87">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99160" cy="899795"/>
                        <wp:effectExtent l="0" t="0" r="15240" b="14605"/>
                        <wp:docPr id="5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6"/>
                                <pic:cNvPicPr>
                                  <a:picLocks noChangeAspect="1"/>
                                </pic:cNvPicPr>
                              </pic:nvPicPr>
                              <pic:blipFill>
                                <a:blip r:embed="rId42"/>
                                <a:stretch>
                                  <a:fillRect/>
                                </a:stretch>
                              </pic:blipFill>
                              <pic:spPr>
                                <a:xfrm>
                                  <a:off x="0" y="0"/>
                                  <a:ext cx="899160" cy="899795"/>
                                </a:xfrm>
                                <a:prstGeom prst="rect">
                                  <a:avLst/>
                                </a:prstGeom>
                                <a:noFill/>
                                <a:ln>
                                  <a:noFill/>
                                </a:ln>
                              </pic:spPr>
                            </pic:pic>
                          </a:graphicData>
                        </a:graphic>
                      </wp:inline>
                    </w:drawing>
                  </w:r>
                </w:p>
              </w:tc>
              <w:tc>
                <w:tcPr>
                  <w:tcW w:w="1102" w:type="pct"/>
                  <w:tcBorders>
                    <w:tl2br w:val="nil"/>
                    <w:tr2bl w:val="nil"/>
                  </w:tcBorders>
                  <w:noWrap w:val="0"/>
                  <w:vAlign w:val="center"/>
                </w:tcPr>
                <w:p w14:paraId="5DDABCA6">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一般固体废物</w:t>
                  </w:r>
                </w:p>
              </w:tc>
              <w:tc>
                <w:tcPr>
                  <w:tcW w:w="1102" w:type="pct"/>
                  <w:tcBorders>
                    <w:tl2br w:val="nil"/>
                    <w:tr2bl w:val="nil"/>
                  </w:tcBorders>
                  <w:noWrap w:val="0"/>
                  <w:vAlign w:val="center"/>
                </w:tcPr>
                <w:p w14:paraId="186A8C48">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表示一般固体废物贮存、处置场</w:t>
                  </w:r>
                </w:p>
              </w:tc>
            </w:tr>
            <w:tr w14:paraId="064D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blHeader/>
                <w:jc w:val="center"/>
              </w:trPr>
              <w:tc>
                <w:tcPr>
                  <w:tcW w:w="588" w:type="pct"/>
                  <w:tcBorders>
                    <w:tl2br w:val="nil"/>
                    <w:tr2bl w:val="nil"/>
                  </w:tcBorders>
                  <w:noWrap w:val="0"/>
                  <w:vAlign w:val="center"/>
                </w:tcPr>
                <w:p w14:paraId="65F628EE">
                  <w:pPr>
                    <w:keepNext w:val="0"/>
                    <w:keepLines w:val="0"/>
                    <w:suppressLineNumbers w:val="0"/>
                    <w:shd w:val="clear" w:color="auto" w:fill="auto"/>
                    <w:spacing w:before="0" w:beforeAutospacing="0" w:after="0" w:afterAutospacing="0"/>
                    <w:ind w:left="51" w:leftChars="0" w:right="51"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4</w:t>
                  </w:r>
                </w:p>
              </w:tc>
              <w:tc>
                <w:tcPr>
                  <w:tcW w:w="1102" w:type="pct"/>
                  <w:tcBorders>
                    <w:tl2br w:val="nil"/>
                    <w:tr2bl w:val="nil"/>
                  </w:tcBorders>
                  <w:noWrap w:val="0"/>
                  <w:vAlign w:val="center"/>
                </w:tcPr>
                <w:p w14:paraId="0C1D437D">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899160" cy="899160"/>
                        <wp:effectExtent l="0" t="0" r="15240" b="15240"/>
                        <wp:docPr id="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7"/>
                                <pic:cNvPicPr>
                                  <a:picLocks noChangeAspect="1"/>
                                </pic:cNvPicPr>
                              </pic:nvPicPr>
                              <pic:blipFill>
                                <a:blip r:embed="rId43"/>
                                <a:stretch>
                                  <a:fillRect/>
                                </a:stretch>
                              </pic:blipFill>
                              <pic:spPr>
                                <a:xfrm>
                                  <a:off x="0" y="0"/>
                                  <a:ext cx="899160" cy="899160"/>
                                </a:xfrm>
                                <a:prstGeom prst="rect">
                                  <a:avLst/>
                                </a:prstGeom>
                                <a:noFill/>
                                <a:ln>
                                  <a:noFill/>
                                </a:ln>
                              </pic:spPr>
                            </pic:pic>
                          </a:graphicData>
                        </a:graphic>
                      </wp:inline>
                    </w:drawing>
                  </w:r>
                </w:p>
              </w:tc>
              <w:tc>
                <w:tcPr>
                  <w:tcW w:w="1102" w:type="pct"/>
                  <w:tcBorders>
                    <w:tl2br w:val="nil"/>
                    <w:tr2bl w:val="nil"/>
                  </w:tcBorders>
                  <w:noWrap w:val="0"/>
                  <w:vAlign w:val="center"/>
                </w:tcPr>
                <w:p w14:paraId="410A1ED5">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900430" cy="899795"/>
                        <wp:effectExtent l="0" t="0" r="13970" b="14605"/>
                        <wp:docPr id="5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8"/>
                                <pic:cNvPicPr>
                                  <a:picLocks noChangeAspect="1"/>
                                </pic:cNvPicPr>
                              </pic:nvPicPr>
                              <pic:blipFill>
                                <a:blip r:embed="rId44"/>
                                <a:stretch>
                                  <a:fillRect/>
                                </a:stretch>
                              </pic:blipFill>
                              <pic:spPr>
                                <a:xfrm>
                                  <a:off x="0" y="0"/>
                                  <a:ext cx="900430" cy="899795"/>
                                </a:xfrm>
                                <a:prstGeom prst="rect">
                                  <a:avLst/>
                                </a:prstGeom>
                                <a:noFill/>
                                <a:ln>
                                  <a:noFill/>
                                </a:ln>
                              </pic:spPr>
                            </pic:pic>
                          </a:graphicData>
                        </a:graphic>
                      </wp:inline>
                    </w:drawing>
                  </w:r>
                </w:p>
              </w:tc>
              <w:tc>
                <w:tcPr>
                  <w:tcW w:w="1102" w:type="pct"/>
                  <w:tcBorders>
                    <w:tl2br w:val="nil"/>
                    <w:tr2bl w:val="nil"/>
                  </w:tcBorders>
                  <w:noWrap w:val="0"/>
                  <w:vAlign w:val="center"/>
                </w:tcPr>
                <w:p w14:paraId="4CEE1CBA">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噪声排放源</w:t>
                  </w:r>
                </w:p>
              </w:tc>
              <w:tc>
                <w:tcPr>
                  <w:tcW w:w="1102" w:type="pct"/>
                  <w:tcBorders>
                    <w:tl2br w:val="nil"/>
                    <w:tr2bl w:val="nil"/>
                  </w:tcBorders>
                  <w:noWrap w:val="0"/>
                  <w:vAlign w:val="center"/>
                </w:tcPr>
                <w:p w14:paraId="72400C67">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表示噪声向外环境排放</w:t>
                  </w:r>
                </w:p>
              </w:tc>
            </w:tr>
            <w:tr w14:paraId="3107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blHeader/>
                <w:jc w:val="center"/>
              </w:trPr>
              <w:tc>
                <w:tcPr>
                  <w:tcW w:w="588" w:type="pct"/>
                  <w:tcBorders>
                    <w:tl2br w:val="nil"/>
                    <w:tr2bl w:val="nil"/>
                  </w:tcBorders>
                  <w:noWrap w:val="0"/>
                  <w:vAlign w:val="center"/>
                </w:tcPr>
                <w:p w14:paraId="34DCFEF8">
                  <w:pPr>
                    <w:keepNext w:val="0"/>
                    <w:keepLines w:val="0"/>
                    <w:suppressLineNumbers w:val="0"/>
                    <w:shd w:val="clear" w:color="auto" w:fill="auto"/>
                    <w:spacing w:before="0" w:beforeAutospacing="0" w:after="0" w:afterAutospacing="0"/>
                    <w:ind w:left="51" w:right="51"/>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w:t>
                  </w:r>
                </w:p>
              </w:tc>
              <w:tc>
                <w:tcPr>
                  <w:tcW w:w="1102" w:type="pct"/>
                  <w:tcBorders>
                    <w:tl2br w:val="nil"/>
                    <w:tr2bl w:val="nil"/>
                  </w:tcBorders>
                  <w:noWrap w:val="0"/>
                  <w:vAlign w:val="center"/>
                </w:tcPr>
                <w:p w14:paraId="7E2B207E">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p>
              </w:tc>
              <w:tc>
                <w:tcPr>
                  <w:tcW w:w="1102" w:type="pct"/>
                  <w:tcBorders>
                    <w:tl2br w:val="nil"/>
                    <w:tr2bl w:val="nil"/>
                  </w:tcBorders>
                  <w:noWrap w:val="0"/>
                  <w:vAlign w:val="center"/>
                </w:tcPr>
                <w:p w14:paraId="50860162">
                  <w:pPr>
                    <w:keepNext w:val="0"/>
                    <w:keepLines w:val="0"/>
                    <w:widowControl/>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color w:val="auto"/>
                    </w:rPr>
                    <w:drawing>
                      <wp:inline distT="0" distB="0" distL="114300" distR="114300">
                        <wp:extent cx="885190" cy="1038225"/>
                        <wp:effectExtent l="0" t="0" r="10160" b="952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45"/>
                                <a:stretch>
                                  <a:fillRect/>
                                </a:stretch>
                              </pic:blipFill>
                              <pic:spPr>
                                <a:xfrm>
                                  <a:off x="0" y="0"/>
                                  <a:ext cx="885190" cy="1038225"/>
                                </a:xfrm>
                                <a:prstGeom prst="rect">
                                  <a:avLst/>
                                </a:prstGeom>
                                <a:noFill/>
                                <a:ln>
                                  <a:noFill/>
                                </a:ln>
                              </pic:spPr>
                            </pic:pic>
                          </a:graphicData>
                        </a:graphic>
                      </wp:inline>
                    </w:drawing>
                  </w:r>
                </w:p>
              </w:tc>
              <w:tc>
                <w:tcPr>
                  <w:tcW w:w="1102" w:type="pct"/>
                  <w:tcBorders>
                    <w:tl2br w:val="nil"/>
                    <w:tr2bl w:val="nil"/>
                  </w:tcBorders>
                  <w:noWrap w:val="0"/>
                  <w:vAlign w:val="center"/>
                </w:tcPr>
                <w:p w14:paraId="5337F5D7">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w:t>
                  </w:r>
                </w:p>
              </w:tc>
              <w:tc>
                <w:tcPr>
                  <w:tcW w:w="1102" w:type="pct"/>
                  <w:tcBorders>
                    <w:tl2br w:val="nil"/>
                    <w:tr2bl w:val="nil"/>
                  </w:tcBorders>
                  <w:noWrap w:val="0"/>
                  <w:vAlign w:val="center"/>
                </w:tcPr>
                <w:p w14:paraId="6B43F787">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表示危险废物贮存、处置场</w:t>
                  </w:r>
                </w:p>
              </w:tc>
            </w:tr>
          </w:tbl>
          <w:p w14:paraId="17A732BB">
            <w:pPr>
              <w:pStyle w:val="131"/>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lang w:val="en-US" w:eastAsia="zh-CN"/>
              </w:rPr>
              <w:t>八、</w:t>
            </w:r>
            <w:r>
              <w:rPr>
                <w:rFonts w:hint="default" w:ascii="Times New Roman" w:hAnsi="Times New Roman" w:eastAsia="宋体" w:cs="Times New Roman"/>
                <w:bCs/>
                <w:color w:val="auto"/>
                <w:highlight w:val="none"/>
              </w:rPr>
              <w:t>环保投资</w:t>
            </w:r>
          </w:p>
          <w:p w14:paraId="173307B3">
            <w:pPr>
              <w:keepNext w:val="0"/>
              <w:keepLines w:val="0"/>
              <w:suppressLineNumbers w:val="0"/>
              <w:shd w:val="clear" w:color="auto" w:fill="auto"/>
              <w:spacing w:before="0" w:beforeAutospacing="0" w:after="0" w:afterAutospacing="0" w:line="360" w:lineRule="auto"/>
              <w:ind w:left="0" w:right="0" w:firstLine="480" w:firstLineChars="200"/>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 w:val="24"/>
                <w:highlight w:val="none"/>
              </w:rPr>
              <w:t>项目环保投资内容见表4-</w:t>
            </w:r>
            <w:r>
              <w:rPr>
                <w:rFonts w:hint="eastAsia" w:cs="Times New Roman"/>
                <w:color w:val="auto"/>
                <w:sz w:val="24"/>
                <w:highlight w:val="none"/>
                <w:lang w:val="en-US" w:eastAsia="zh-CN"/>
              </w:rPr>
              <w:t>13</w:t>
            </w:r>
            <w:r>
              <w:rPr>
                <w:rFonts w:hint="default" w:ascii="Times New Roman" w:hAnsi="Times New Roman" w:eastAsia="宋体" w:cs="Times New Roman"/>
                <w:color w:val="auto"/>
                <w:sz w:val="24"/>
                <w:highlight w:val="none"/>
              </w:rPr>
              <w:t>。</w:t>
            </w:r>
          </w:p>
          <w:p w14:paraId="796A6B05">
            <w:pPr>
              <w:pStyle w:val="132"/>
              <w:keepNext w:val="0"/>
              <w:keepLines w:val="0"/>
              <w:widowControl w:val="0"/>
              <w:suppressLineNumbers w:val="0"/>
              <w:snapToGrid/>
              <w:spacing w:before="0" w:beforeAutospacing="0" w:afterAutospacing="0" w:line="240" w:lineRule="auto"/>
              <w:ind w:left="0" w:right="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w:t>
            </w:r>
            <w:r>
              <w:rPr>
                <w:rFonts w:hint="eastAsia" w:ascii="Times New Roman" w:eastAsia="宋体" w:cs="Times New Roman"/>
                <w:color w:val="auto"/>
                <w:sz w:val="24"/>
                <w:szCs w:val="24"/>
                <w:highlight w:val="none"/>
                <w:lang w:val="en-US" w:eastAsia="zh-CN"/>
              </w:rPr>
              <w:t>13</w:t>
            </w:r>
            <w:r>
              <w:rPr>
                <w:rFonts w:hint="default" w:ascii="Times New Roman" w:hAnsi="Times New Roman" w:eastAsia="宋体" w:cs="Times New Roman"/>
                <w:color w:val="auto"/>
                <w:sz w:val="24"/>
                <w:szCs w:val="24"/>
                <w:highlight w:val="none"/>
              </w:rPr>
              <w:t xml:space="preserve">    项目环保投资一览表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977"/>
              <w:gridCol w:w="3788"/>
              <w:gridCol w:w="2541"/>
            </w:tblGrid>
            <w:tr w14:paraId="3A98D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52" w:type="pct"/>
                  <w:tcBorders>
                    <w:top w:val="single" w:color="auto" w:sz="4" w:space="0"/>
                    <w:left w:val="single" w:color="auto" w:sz="0" w:space="0"/>
                  </w:tcBorders>
                  <w:noWrap w:val="0"/>
                  <w:vAlign w:val="center"/>
                </w:tcPr>
                <w:p w14:paraId="2CF18A0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项目</w:t>
                  </w:r>
                </w:p>
              </w:tc>
              <w:tc>
                <w:tcPr>
                  <w:tcW w:w="2770" w:type="pct"/>
                  <w:gridSpan w:val="2"/>
                  <w:tcBorders>
                    <w:top w:val="single" w:color="auto" w:sz="4" w:space="0"/>
                  </w:tcBorders>
                  <w:noWrap w:val="0"/>
                  <w:vAlign w:val="center"/>
                </w:tcPr>
                <w:p w14:paraId="7127616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环保设施</w:t>
                  </w:r>
                </w:p>
              </w:tc>
              <w:tc>
                <w:tcPr>
                  <w:tcW w:w="1477" w:type="pct"/>
                  <w:tcBorders>
                    <w:top w:val="single" w:color="auto" w:sz="4" w:space="0"/>
                    <w:right w:val="single" w:color="auto" w:sz="4" w:space="0"/>
                  </w:tcBorders>
                  <w:noWrap w:val="0"/>
                  <w:vAlign w:val="center"/>
                </w:tcPr>
                <w:p w14:paraId="6FB25F8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环保投资（万元）</w:t>
                  </w:r>
                </w:p>
              </w:tc>
            </w:tr>
            <w:tr w14:paraId="21ED3B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52" w:type="pct"/>
                  <w:tcBorders>
                    <w:left w:val="single" w:color="auto" w:sz="4" w:space="0"/>
                  </w:tcBorders>
                  <w:noWrap w:val="0"/>
                  <w:vAlign w:val="center"/>
                </w:tcPr>
                <w:p w14:paraId="594B8B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568" w:type="pct"/>
                  <w:noWrap w:val="0"/>
                  <w:vAlign w:val="center"/>
                </w:tcPr>
                <w:p w14:paraId="7E146B2F">
                  <w:pPr>
                    <w:pStyle w:val="7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lang w:val="en-US"/>
                    </w:rPr>
                  </w:pPr>
                  <w:r>
                    <w:rPr>
                      <w:rFonts w:hint="default" w:ascii="Times New Roman" w:hAnsi="Times New Roman" w:cs="Times New Roman"/>
                      <w:color w:val="auto"/>
                      <w:sz w:val="21"/>
                      <w:szCs w:val="21"/>
                      <w:lang w:val="en-US" w:eastAsia="zh-CN"/>
                    </w:rPr>
                    <w:t>喷漆、刷漆废气</w:t>
                  </w:r>
                </w:p>
              </w:tc>
              <w:tc>
                <w:tcPr>
                  <w:tcW w:w="2202" w:type="pct"/>
                  <w:noWrap w:val="0"/>
                  <w:vAlign w:val="center"/>
                </w:tcPr>
                <w:p w14:paraId="024445FE">
                  <w:pPr>
                    <w:pStyle w:val="7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rPr>
                  </w:pPr>
                  <w:r>
                    <w:rPr>
                      <w:rFonts w:hint="default" w:ascii="Times New Roman" w:hAnsi="Times New Roman" w:cs="Times New Roman" w:eastAsiaTheme="minorEastAsia"/>
                      <w:color w:val="auto"/>
                      <w:sz w:val="21"/>
                      <w:szCs w:val="21"/>
                      <w:highlight w:val="none"/>
                      <w:lang w:val="en-US" w:eastAsia="zh-CN"/>
                    </w:rPr>
                    <w:t>本项目喷漆、刷漆废气通过负压收集+漆雾过滤（纸箱式漆雾过滤器+F6中效过滤袋+F8中效过滤袋）+活性炭吸附脱附+CO催化燃烧装置处理工艺处理</w:t>
                  </w:r>
                </w:p>
              </w:tc>
              <w:tc>
                <w:tcPr>
                  <w:tcW w:w="1477" w:type="pct"/>
                  <w:tcBorders>
                    <w:right w:val="single" w:color="auto" w:sz="4" w:space="0"/>
                  </w:tcBorders>
                  <w:noWrap w:val="0"/>
                  <w:vAlign w:val="center"/>
                </w:tcPr>
                <w:p w14:paraId="05AAEE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17</w:t>
                  </w:r>
                </w:p>
              </w:tc>
            </w:tr>
            <w:tr w14:paraId="5A28E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restart"/>
                  <w:tcBorders>
                    <w:left w:val="single" w:color="auto" w:sz="4" w:space="0"/>
                  </w:tcBorders>
                  <w:noWrap w:val="0"/>
                  <w:vAlign w:val="center"/>
                </w:tcPr>
                <w:p w14:paraId="61ACC5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w:t>
                  </w:r>
                </w:p>
              </w:tc>
              <w:tc>
                <w:tcPr>
                  <w:tcW w:w="568" w:type="pct"/>
                  <w:noWrap w:val="0"/>
                  <w:vAlign w:val="center"/>
                </w:tcPr>
                <w:p w14:paraId="2492B5D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w:t>
                  </w:r>
                </w:p>
              </w:tc>
              <w:tc>
                <w:tcPr>
                  <w:tcW w:w="2202" w:type="pct"/>
                  <w:noWrap w:val="0"/>
                  <w:vAlign w:val="center"/>
                </w:tcPr>
                <w:p w14:paraId="5BB1129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本项目不新增劳动定员，无生活垃圾产生</w:t>
                  </w:r>
                </w:p>
              </w:tc>
              <w:tc>
                <w:tcPr>
                  <w:tcW w:w="1477" w:type="pct"/>
                  <w:tcBorders>
                    <w:right w:val="single" w:color="auto" w:sz="4" w:space="0"/>
                  </w:tcBorders>
                  <w:noWrap w:val="0"/>
                  <w:vAlign w:val="center"/>
                </w:tcPr>
                <w:p w14:paraId="5253B8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1428A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2B721F9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5E196B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S1废水性漆</w:t>
                  </w:r>
                </w:p>
              </w:tc>
              <w:tc>
                <w:tcPr>
                  <w:tcW w:w="2202" w:type="pct"/>
                  <w:vMerge w:val="restart"/>
                  <w:noWrap w:val="0"/>
                  <w:vAlign w:val="center"/>
                </w:tcPr>
                <w:p w14:paraId="38DC3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刷漆、喷漆过程中会产生废漆桶及废水性漆，暂存于布尔台煤矿厂区危废暂存库，定期委托有资质单位处置。</w:t>
                  </w:r>
                </w:p>
              </w:tc>
              <w:tc>
                <w:tcPr>
                  <w:tcW w:w="1477" w:type="pct"/>
                  <w:vMerge w:val="restart"/>
                  <w:tcBorders>
                    <w:right w:val="single" w:color="auto" w:sz="4" w:space="0"/>
                  </w:tcBorders>
                  <w:noWrap w:val="0"/>
                  <w:vAlign w:val="center"/>
                </w:tcPr>
                <w:p w14:paraId="7C9292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r>
            <w:tr w14:paraId="69777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74F9596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2F5EE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S2</w:t>
                  </w:r>
                  <w:r>
                    <w:rPr>
                      <w:rFonts w:hint="default" w:ascii="Times New Roman" w:hAnsi="Times New Roman" w:eastAsia="宋体" w:cs="Times New Roman"/>
                      <w:b w:val="0"/>
                      <w:bCs w:val="0"/>
                      <w:color w:val="auto"/>
                      <w:sz w:val="21"/>
                      <w:szCs w:val="21"/>
                      <w:lang w:val="en-US" w:eastAsia="zh-CN"/>
                    </w:rPr>
                    <w:t>水性漆桶</w:t>
                  </w:r>
                </w:p>
              </w:tc>
              <w:tc>
                <w:tcPr>
                  <w:tcW w:w="2202" w:type="pct"/>
                  <w:vMerge w:val="continue"/>
                  <w:noWrap w:val="0"/>
                  <w:vAlign w:val="center"/>
                </w:tcPr>
                <w:p w14:paraId="7CBD60C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477" w:type="pct"/>
                  <w:vMerge w:val="continue"/>
                  <w:tcBorders>
                    <w:right w:val="single" w:color="auto" w:sz="4" w:space="0"/>
                  </w:tcBorders>
                  <w:noWrap w:val="0"/>
                  <w:vAlign w:val="center"/>
                </w:tcPr>
                <w:p w14:paraId="1F44E8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3FBEA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569F43A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12C977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S3废漆渣</w:t>
                  </w:r>
                </w:p>
              </w:tc>
              <w:tc>
                <w:tcPr>
                  <w:tcW w:w="2202" w:type="pct"/>
                  <w:vMerge w:val="restart"/>
                  <w:noWrap w:val="0"/>
                  <w:vAlign w:val="center"/>
                </w:tcPr>
                <w:p w14:paraId="439788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漆雾过滤系统会产生废漆渣、</w:t>
                  </w:r>
                  <w:r>
                    <w:rPr>
                      <w:rStyle w:val="128"/>
                      <w:rFonts w:hint="default" w:ascii="Times New Roman" w:hAnsi="Times New Roman" w:cs="Times New Roman"/>
                      <w:color w:val="auto"/>
                      <w:sz w:val="21"/>
                      <w:szCs w:val="21"/>
                      <w:lang w:val="en-US" w:eastAsia="zh-CN" w:bidi="ar"/>
                    </w:rPr>
                    <w:t>废纸壳</w:t>
                  </w:r>
                  <w:r>
                    <w:rPr>
                      <w:rFonts w:hint="default" w:ascii="Times New Roman" w:hAnsi="Times New Roman" w:eastAsia="宋体" w:cs="Times New Roman"/>
                      <w:color w:val="auto"/>
                      <w:sz w:val="21"/>
                      <w:szCs w:val="21"/>
                      <w:lang w:val="en-US" w:eastAsia="zh-CN"/>
                    </w:rPr>
                    <w:t>，暂存于布尔台煤矿厂区危废暂存库，定期委托有资质单位处置。</w:t>
                  </w:r>
                </w:p>
              </w:tc>
              <w:tc>
                <w:tcPr>
                  <w:tcW w:w="1477" w:type="pct"/>
                  <w:vMerge w:val="continue"/>
                  <w:tcBorders>
                    <w:right w:val="single" w:color="auto" w:sz="4" w:space="0"/>
                  </w:tcBorders>
                  <w:noWrap w:val="0"/>
                  <w:vAlign w:val="center"/>
                </w:tcPr>
                <w:p w14:paraId="2B55394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21C7C6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18D21AB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5E15E3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S4废纸壳</w:t>
                  </w:r>
                </w:p>
              </w:tc>
              <w:tc>
                <w:tcPr>
                  <w:tcW w:w="2202" w:type="pct"/>
                  <w:vMerge w:val="continue"/>
                  <w:noWrap w:val="0"/>
                  <w:vAlign w:val="center"/>
                </w:tcPr>
                <w:p w14:paraId="002B5CA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477" w:type="pct"/>
                  <w:vMerge w:val="continue"/>
                  <w:tcBorders>
                    <w:right w:val="single" w:color="auto" w:sz="4" w:space="0"/>
                  </w:tcBorders>
                  <w:noWrap w:val="0"/>
                  <w:vAlign w:val="center"/>
                </w:tcPr>
                <w:p w14:paraId="628DABE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1802E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3E4AA08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4CE38C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S5废过滤棉</w:t>
                  </w:r>
                </w:p>
              </w:tc>
              <w:tc>
                <w:tcPr>
                  <w:tcW w:w="2202" w:type="pct"/>
                  <w:noWrap w:val="0"/>
                  <w:vAlign w:val="center"/>
                </w:tcPr>
                <w:p w14:paraId="7B9008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本项目漆雾过滤系统会产生废过滤棉，产生废过滤棉暂存于布尔台煤矿厂区危废暂存库，定期委托有资质单位处置。</w:t>
                  </w:r>
                </w:p>
              </w:tc>
              <w:tc>
                <w:tcPr>
                  <w:tcW w:w="1477" w:type="pct"/>
                  <w:vMerge w:val="continue"/>
                  <w:tcBorders>
                    <w:right w:val="single" w:color="auto" w:sz="4" w:space="0"/>
                  </w:tcBorders>
                  <w:noWrap w:val="0"/>
                  <w:vAlign w:val="center"/>
                </w:tcPr>
                <w:p w14:paraId="0305136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649BC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5560976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51EEBA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S6废过滤袋</w:t>
                  </w:r>
                </w:p>
              </w:tc>
              <w:tc>
                <w:tcPr>
                  <w:tcW w:w="2202" w:type="pct"/>
                  <w:noWrap w:val="0"/>
                  <w:vAlign w:val="center"/>
                </w:tcPr>
                <w:p w14:paraId="2F427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本项目漆雾过滤系统会产生废过滤袋，产生废过滤袋暂存于布尔台煤矿厂区危废暂存库，定期委托有资质单位处置。</w:t>
                  </w:r>
                </w:p>
              </w:tc>
              <w:tc>
                <w:tcPr>
                  <w:tcW w:w="1477" w:type="pct"/>
                  <w:vMerge w:val="continue"/>
                  <w:tcBorders>
                    <w:right w:val="single" w:color="auto" w:sz="4" w:space="0"/>
                  </w:tcBorders>
                  <w:noWrap w:val="0"/>
                  <w:vAlign w:val="center"/>
                </w:tcPr>
                <w:p w14:paraId="7B4F887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66642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vMerge w:val="continue"/>
                  <w:tcBorders>
                    <w:left w:val="single" w:color="auto" w:sz="4" w:space="0"/>
                  </w:tcBorders>
                  <w:noWrap w:val="0"/>
                  <w:vAlign w:val="center"/>
                </w:tcPr>
                <w:p w14:paraId="068C506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712AFE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Style w:val="128"/>
                      <w:rFonts w:hint="default" w:ascii="Times New Roman" w:hAnsi="Times New Roman" w:cs="Times New Roman"/>
                      <w:color w:val="auto"/>
                      <w:sz w:val="21"/>
                      <w:szCs w:val="21"/>
                      <w:lang w:val="en-US" w:eastAsia="zh-CN" w:bidi="ar"/>
                    </w:rPr>
                    <w:t>S7</w:t>
                  </w:r>
                  <w:r>
                    <w:rPr>
                      <w:rFonts w:hint="default" w:ascii="Times New Roman" w:hAnsi="Times New Roman" w:eastAsia="宋体" w:cs="Times New Roman"/>
                      <w:b w:val="0"/>
                      <w:bCs w:val="0"/>
                      <w:color w:val="auto"/>
                      <w:sz w:val="21"/>
                      <w:szCs w:val="21"/>
                      <w:lang w:val="en-US" w:eastAsia="zh-CN"/>
                    </w:rPr>
                    <w:t>废活性炭</w:t>
                  </w:r>
                </w:p>
              </w:tc>
              <w:tc>
                <w:tcPr>
                  <w:tcW w:w="2202" w:type="pct"/>
                  <w:noWrap w:val="0"/>
                  <w:vAlign w:val="center"/>
                </w:tcPr>
                <w:p w14:paraId="514481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本项目废气处理系统产生的废活性炭，暂存于布尔台煤矿厂区危废暂存库，定期委托有资质单位处置。</w:t>
                  </w:r>
                </w:p>
              </w:tc>
              <w:tc>
                <w:tcPr>
                  <w:tcW w:w="1477" w:type="pct"/>
                  <w:vMerge w:val="continue"/>
                  <w:tcBorders>
                    <w:right w:val="single" w:color="auto" w:sz="4" w:space="0"/>
                  </w:tcBorders>
                  <w:noWrap w:val="0"/>
                  <w:vAlign w:val="center"/>
                </w:tcPr>
                <w:p w14:paraId="0B9C24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2E2C3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52" w:type="pct"/>
                  <w:vMerge w:val="continue"/>
                  <w:tcBorders>
                    <w:left w:val="single" w:color="auto" w:sz="4" w:space="0"/>
                  </w:tcBorders>
                  <w:noWrap w:val="0"/>
                  <w:vAlign w:val="center"/>
                </w:tcPr>
                <w:p w14:paraId="4793EA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8" w:type="pct"/>
                  <w:noWrap w:val="0"/>
                  <w:vAlign w:val="center"/>
                </w:tcPr>
                <w:p w14:paraId="2087A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S8废催化剂</w:t>
                  </w:r>
                </w:p>
              </w:tc>
              <w:tc>
                <w:tcPr>
                  <w:tcW w:w="2202" w:type="pct"/>
                  <w:noWrap w:val="0"/>
                  <w:vAlign w:val="center"/>
                </w:tcPr>
                <w:p w14:paraId="5B05573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催化燃烧废气处理系统会产生废催化剂（催化剂为陶瓷基载体的Pt、Pd贵金属型催化剂），按一般固废处置，该催化剂定期由厂家更换处置回收，不进行暂存。</w:t>
                  </w:r>
                </w:p>
              </w:tc>
              <w:tc>
                <w:tcPr>
                  <w:tcW w:w="1477" w:type="pct"/>
                  <w:vMerge w:val="continue"/>
                  <w:tcBorders>
                    <w:right w:val="single" w:color="auto" w:sz="4" w:space="0"/>
                  </w:tcBorders>
                  <w:noWrap w:val="0"/>
                  <w:vAlign w:val="center"/>
                </w:tcPr>
                <w:p w14:paraId="7C6133F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14:paraId="27869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tcBorders>
                    <w:left w:val="single" w:color="auto" w:sz="4" w:space="0"/>
                  </w:tcBorders>
                  <w:noWrap w:val="0"/>
                  <w:vAlign w:val="center"/>
                </w:tcPr>
                <w:p w14:paraId="301197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噪声</w:t>
                  </w:r>
                </w:p>
              </w:tc>
              <w:tc>
                <w:tcPr>
                  <w:tcW w:w="2770" w:type="pct"/>
                  <w:gridSpan w:val="2"/>
                  <w:noWrap w:val="0"/>
                  <w:vAlign w:val="center"/>
                </w:tcPr>
                <w:p w14:paraId="015191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采用低噪设备、</w:t>
                  </w:r>
                  <w:r>
                    <w:rPr>
                      <w:rFonts w:hint="default"/>
                      <w:color w:val="auto"/>
                      <w:spacing w:val="4"/>
                      <w:sz w:val="21"/>
                      <w:szCs w:val="21"/>
                    </w:rPr>
                    <w:t>减振基础、</w:t>
                  </w:r>
                  <w:r>
                    <w:rPr>
                      <w:rFonts w:hint="eastAsia"/>
                      <w:color w:val="auto"/>
                      <w:spacing w:val="4"/>
                      <w:sz w:val="21"/>
                      <w:szCs w:val="21"/>
                      <w:lang w:val="en-US" w:eastAsia="zh-CN"/>
                    </w:rPr>
                    <w:t>厂房</w:t>
                  </w:r>
                  <w:r>
                    <w:rPr>
                      <w:rFonts w:hint="default"/>
                      <w:color w:val="auto"/>
                      <w:spacing w:val="4"/>
                      <w:sz w:val="21"/>
                      <w:szCs w:val="21"/>
                    </w:rPr>
                    <w:t>隔声</w:t>
                  </w:r>
                </w:p>
              </w:tc>
              <w:tc>
                <w:tcPr>
                  <w:tcW w:w="1477" w:type="pct"/>
                  <w:tcBorders>
                    <w:right w:val="single" w:color="auto" w:sz="4" w:space="0"/>
                  </w:tcBorders>
                  <w:noWrap w:val="0"/>
                  <w:vAlign w:val="center"/>
                </w:tcPr>
                <w:p w14:paraId="122143E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p>
              </w:tc>
            </w:tr>
            <w:tr w14:paraId="4E343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52" w:type="pct"/>
                  <w:tcBorders>
                    <w:left w:val="single" w:color="auto" w:sz="4" w:space="0"/>
                  </w:tcBorders>
                  <w:noWrap w:val="0"/>
                  <w:vAlign w:val="center"/>
                </w:tcPr>
                <w:p w14:paraId="0A17612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防渗</w:t>
                  </w:r>
                </w:p>
              </w:tc>
              <w:tc>
                <w:tcPr>
                  <w:tcW w:w="2770" w:type="pct"/>
                  <w:gridSpan w:val="2"/>
                  <w:noWrap w:val="0"/>
                  <w:vAlign w:val="center"/>
                </w:tcPr>
                <w:p w14:paraId="1DC65C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车间地面均采取</w:t>
                  </w:r>
                  <w:r>
                    <w:rPr>
                      <w:rFonts w:hint="eastAsia" w:cs="Times New Roman"/>
                      <w:color w:val="auto"/>
                      <w:sz w:val="21"/>
                      <w:szCs w:val="21"/>
                      <w:lang w:val="en-US" w:eastAsia="zh-CN"/>
                    </w:rPr>
                    <w:t>混凝</w:t>
                  </w:r>
                  <w:r>
                    <w:rPr>
                      <w:rFonts w:hint="default" w:ascii="Times New Roman" w:hAnsi="Times New Roman" w:cs="Times New Roman"/>
                      <w:color w:val="auto"/>
                      <w:sz w:val="21"/>
                      <w:szCs w:val="21"/>
                    </w:rPr>
                    <w:t>土硬化</w:t>
                  </w:r>
                  <w:r>
                    <w:rPr>
                      <w:rFonts w:hint="default" w:ascii="Times New Roman" w:hAnsi="Times New Roman" w:cs="Times New Roman"/>
                      <w:color w:val="auto"/>
                      <w:sz w:val="21"/>
                      <w:szCs w:val="21"/>
                      <w:lang w:val="en-US" w:eastAsia="zh-CN"/>
                    </w:rPr>
                    <w:t>+HDPE膜</w:t>
                  </w:r>
                  <w:r>
                    <w:rPr>
                      <w:rFonts w:hint="default" w:ascii="Times New Roman" w:hAnsi="Times New Roman" w:cs="Times New Roman"/>
                      <w:color w:val="auto"/>
                      <w:sz w:val="21"/>
                      <w:szCs w:val="21"/>
                    </w:rPr>
                    <w:t>防渗措施</w:t>
                  </w:r>
                  <w:r>
                    <w:rPr>
                      <w:rFonts w:hint="default" w:ascii="Times New Roman" w:hAnsi="Times New Roman" w:eastAsia="宋体" w:cs="Times New Roman"/>
                      <w:color w:val="auto"/>
                      <w:sz w:val="21"/>
                      <w:szCs w:val="21"/>
                      <w:lang w:val="en-US" w:eastAsia="zh-CN"/>
                    </w:rPr>
                    <w:t>，防渗性能均满足一般防渗要求（等效黏土防渗层Mb≥1.5m，渗透系数≤1.0×10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w:t>
                  </w:r>
                </w:p>
              </w:tc>
              <w:tc>
                <w:tcPr>
                  <w:tcW w:w="1477" w:type="pct"/>
                  <w:tcBorders>
                    <w:right w:val="single" w:color="auto" w:sz="4" w:space="0"/>
                  </w:tcBorders>
                  <w:noWrap w:val="0"/>
                  <w:vAlign w:val="center"/>
                </w:tcPr>
                <w:p w14:paraId="32CDF75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r>
            <w:tr w14:paraId="20B40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522" w:type="pct"/>
                  <w:gridSpan w:val="3"/>
                  <w:tcBorders>
                    <w:left w:val="single" w:color="auto" w:sz="4" w:space="0"/>
                    <w:bottom w:val="single" w:color="auto" w:sz="4" w:space="0"/>
                  </w:tcBorders>
                  <w:noWrap w:val="0"/>
                  <w:vAlign w:val="center"/>
                </w:tcPr>
                <w:p w14:paraId="13CA04CD">
                  <w:pPr>
                    <w:keepNext w:val="0"/>
                    <w:keepLines w:val="0"/>
                    <w:suppressLineNumbers w:val="0"/>
                    <w:adjustRightInd w:val="0"/>
                    <w:snapToGrid w:val="0"/>
                    <w:spacing w:before="0" w:beforeAutospacing="0" w:after="0" w:afterAutospacing="0"/>
                    <w:ind w:left="0" w:right="0" w:firstLine="420" w:firstLineChars="20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1477" w:type="pct"/>
                  <w:tcBorders>
                    <w:bottom w:val="single" w:color="auto" w:sz="4" w:space="0"/>
                    <w:right w:val="single" w:color="auto" w:sz="4" w:space="0"/>
                  </w:tcBorders>
                  <w:noWrap w:val="0"/>
                  <w:vAlign w:val="center"/>
                </w:tcPr>
                <w:p w14:paraId="29A73C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24</w:t>
                  </w:r>
                </w:p>
              </w:tc>
            </w:tr>
          </w:tbl>
          <w:p w14:paraId="36ACE0E7">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307F756F">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7BF1D312">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6CF4F9B3">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3CC92D67">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2D17D4E7">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224B1F05">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5B4ED770">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23B04FD1">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44231378">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5142459F">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3B8FCEA2">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33779B77">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45533F6D">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52E19351">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11CDD71C">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608C7203">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5FDC88A8">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3B00E857">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118615E1">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288D95AF">
            <w:pPr>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14:paraId="1CD1DAA4">
            <w:pPr>
              <w:pStyle w:val="2"/>
              <w:keepNext w:val="0"/>
              <w:keepLines w:val="0"/>
              <w:suppressLineNumbers w:val="0"/>
              <w:spacing w:before="0" w:beforeAutospacing="0" w:afterAutospacing="0"/>
              <w:ind w:right="0"/>
              <w:rPr>
                <w:rFonts w:hint="default" w:ascii="Times New Roman" w:hAnsi="Times New Roman" w:eastAsia="宋体" w:cs="Times New Roman"/>
                <w:color w:val="auto"/>
                <w:highlight w:val="none"/>
              </w:rPr>
            </w:pPr>
          </w:p>
          <w:p w14:paraId="2F7A094F">
            <w:pPr>
              <w:keepNext w:val="0"/>
              <w:keepLines w:val="0"/>
              <w:suppressLineNumbers w:val="0"/>
              <w:spacing w:before="0" w:beforeAutospacing="0" w:after="0" w:afterAutospacing="0"/>
              <w:ind w:left="0" w:right="0"/>
              <w:rPr>
                <w:rFonts w:hint="default"/>
                <w:color w:val="auto"/>
              </w:rPr>
            </w:pPr>
          </w:p>
        </w:tc>
      </w:tr>
    </w:tbl>
    <w:p w14:paraId="643E5B47">
      <w:pPr>
        <w:tabs>
          <w:tab w:val="left" w:pos="0"/>
        </w:tabs>
        <w:snapToGrid w:val="0"/>
        <w:outlineLvl w:val="0"/>
        <w:rPr>
          <w:rFonts w:hint="default" w:ascii="Times New Roman" w:hAnsi="Times New Roman" w:eastAsia="宋体" w:cs="Times New Roman"/>
          <w:b/>
          <w:color w:val="auto"/>
          <w:sz w:val="32"/>
          <w:highlight w:val="none"/>
        </w:rPr>
        <w:sectPr>
          <w:headerReference r:id="rId11" w:type="default"/>
          <w:footerReference r:id="rId12"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1062D3D">
      <w:pPr>
        <w:numPr>
          <w:ilvl w:val="0"/>
          <w:numId w:val="2"/>
        </w:numPr>
        <w:tabs>
          <w:tab w:val="left" w:pos="0"/>
        </w:tabs>
        <w:snapToGrid w:val="0"/>
        <w:jc w:val="center"/>
        <w:outlineLvl w:val="0"/>
        <w:rPr>
          <w:rFonts w:hint="default" w:ascii="Times New Roman" w:hAnsi="Times New Roman" w:eastAsia="宋体" w:cs="Times New Roman"/>
          <w:b/>
          <w:color w:val="auto"/>
          <w:sz w:val="32"/>
          <w:highlight w:val="none"/>
        </w:rPr>
      </w:pPr>
      <w:bookmarkStart w:id="18" w:name="_Hlk54167917"/>
      <w:r>
        <w:rPr>
          <w:rFonts w:hint="default" w:ascii="Times New Roman" w:hAnsi="Times New Roman" w:eastAsia="宋体" w:cs="Times New Roman"/>
          <w:b/>
          <w:color w:val="auto"/>
          <w:sz w:val="32"/>
          <w:highlight w:val="none"/>
        </w:rPr>
        <w:t>环境保护措施监督检查清单</w:t>
      </w:r>
      <w:bookmarkEnd w:id="18"/>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702"/>
        <w:gridCol w:w="1062"/>
        <w:gridCol w:w="1121"/>
        <w:gridCol w:w="2636"/>
        <w:gridCol w:w="1917"/>
      </w:tblGrid>
      <w:tr w14:paraId="4D78A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Borders>
              <w:tl2br w:val="single" w:color="auto" w:sz="4" w:space="0"/>
            </w:tcBorders>
            <w:noWrap w:val="0"/>
            <w:vAlign w:val="top"/>
          </w:tcPr>
          <w:p w14:paraId="684531BA">
            <w:pPr>
              <w:keepNext w:val="0"/>
              <w:keepLines w:val="0"/>
              <w:suppressLineNumbers w:val="0"/>
              <w:adjustRightInd w:val="0"/>
              <w:snapToGrid w:val="0"/>
              <w:spacing w:before="120" w:beforeLines="50" w:beforeAutospacing="0" w:after="0" w:afterAutospacing="0" w:line="24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内容</w:t>
            </w:r>
          </w:p>
          <w:p w14:paraId="7FEE486F">
            <w:pPr>
              <w:keepNext w:val="0"/>
              <w:keepLines w:val="0"/>
              <w:suppressLineNumbers w:val="0"/>
              <w:adjustRightInd w:val="0"/>
              <w:snapToGrid w:val="0"/>
              <w:spacing w:before="120" w:beforeLines="50" w:beforeAutospacing="0" w:after="0" w:afterAutospacing="0" w:line="240" w:lineRule="auto"/>
              <w:ind w:left="0" w:right="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要素</w:t>
            </w:r>
          </w:p>
        </w:tc>
        <w:tc>
          <w:tcPr>
            <w:tcW w:w="1764" w:type="dxa"/>
            <w:gridSpan w:val="2"/>
            <w:noWrap w:val="0"/>
            <w:vAlign w:val="center"/>
          </w:tcPr>
          <w:p w14:paraId="1E7D1441">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排放口(编号、</w:t>
            </w:r>
          </w:p>
          <w:p w14:paraId="1A680FE4">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名称)/污染源</w:t>
            </w:r>
          </w:p>
        </w:tc>
        <w:tc>
          <w:tcPr>
            <w:tcW w:w="1121" w:type="dxa"/>
            <w:noWrap w:val="0"/>
            <w:vAlign w:val="center"/>
          </w:tcPr>
          <w:p w14:paraId="47DF4671">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污染物项目</w:t>
            </w:r>
          </w:p>
        </w:tc>
        <w:tc>
          <w:tcPr>
            <w:tcW w:w="2636" w:type="dxa"/>
            <w:noWrap w:val="0"/>
            <w:vAlign w:val="center"/>
          </w:tcPr>
          <w:p w14:paraId="5740E41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环境保护措施</w:t>
            </w:r>
          </w:p>
        </w:tc>
        <w:tc>
          <w:tcPr>
            <w:tcW w:w="1917" w:type="dxa"/>
            <w:noWrap w:val="0"/>
            <w:vAlign w:val="center"/>
          </w:tcPr>
          <w:p w14:paraId="6AD61D2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执行标准</w:t>
            </w:r>
          </w:p>
        </w:tc>
      </w:tr>
      <w:tr w14:paraId="090B11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395" w:type="dxa"/>
            <w:vMerge w:val="restart"/>
            <w:noWrap w:val="0"/>
            <w:vAlign w:val="center"/>
          </w:tcPr>
          <w:p w14:paraId="7F41FF44">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大气环境</w:t>
            </w:r>
          </w:p>
        </w:tc>
        <w:tc>
          <w:tcPr>
            <w:tcW w:w="702" w:type="dxa"/>
            <w:vMerge w:val="restart"/>
            <w:noWrap w:val="0"/>
            <w:vAlign w:val="center"/>
          </w:tcPr>
          <w:p w14:paraId="77ADA878">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喷漆及刷漆废气</w:t>
            </w:r>
          </w:p>
        </w:tc>
        <w:tc>
          <w:tcPr>
            <w:tcW w:w="1062" w:type="dxa"/>
            <w:noWrap w:val="0"/>
            <w:vAlign w:val="center"/>
          </w:tcPr>
          <w:p w14:paraId="3B06C8E2">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DA001</w:t>
            </w:r>
          </w:p>
        </w:tc>
        <w:tc>
          <w:tcPr>
            <w:tcW w:w="1121" w:type="dxa"/>
            <w:vMerge w:val="restart"/>
            <w:noWrap w:val="0"/>
            <w:vAlign w:val="center"/>
          </w:tcPr>
          <w:p w14:paraId="21403565">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TSP、苯系物（苯、甲苯、二甲苯）、非甲烷总烃</w:t>
            </w:r>
          </w:p>
        </w:tc>
        <w:tc>
          <w:tcPr>
            <w:tcW w:w="2636" w:type="dxa"/>
            <w:noWrap w:val="0"/>
            <w:vAlign w:val="center"/>
          </w:tcPr>
          <w:p w14:paraId="29125E79">
            <w:pPr>
              <w:pStyle w:val="7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szCs w:val="24"/>
                <w:lang w:val="en-US" w:eastAsia="zh-CN"/>
              </w:rPr>
            </w:pPr>
            <w:r>
              <w:rPr>
                <w:rFonts w:hint="default" w:ascii="Times New Roman" w:hAnsi="Times New Roman" w:cs="Times New Roman" w:eastAsiaTheme="minorEastAsia"/>
                <w:color w:val="auto"/>
                <w:sz w:val="24"/>
                <w:szCs w:val="24"/>
                <w:highlight w:val="none"/>
                <w:lang w:val="en-US" w:eastAsia="zh-CN"/>
              </w:rPr>
              <w:t>本项目喷漆、刷漆废气通过负压收集+漆雾过滤（纸箱式漆雾过滤器+F6中效过滤袋+F8中效过滤袋）+活性炭吸附脱附+CO催化燃烧装置处理工艺处理</w:t>
            </w:r>
          </w:p>
        </w:tc>
        <w:tc>
          <w:tcPr>
            <w:tcW w:w="1917" w:type="dxa"/>
            <w:vMerge w:val="restart"/>
            <w:noWrap w:val="0"/>
            <w:vAlign w:val="center"/>
          </w:tcPr>
          <w:p w14:paraId="73370045">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《大气污染物综合排放标准》（GB16297-1996）表2标准限值</w:t>
            </w:r>
          </w:p>
        </w:tc>
      </w:tr>
      <w:tr w14:paraId="4B804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395" w:type="dxa"/>
            <w:vMerge w:val="continue"/>
            <w:noWrap w:val="0"/>
            <w:vAlign w:val="center"/>
          </w:tcPr>
          <w:p w14:paraId="6F4C0D25">
            <w:pPr>
              <w:keepNext w:val="0"/>
              <w:keepLines w:val="0"/>
              <w:suppressLineNumbers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p>
        </w:tc>
        <w:tc>
          <w:tcPr>
            <w:tcW w:w="702" w:type="dxa"/>
            <w:vMerge w:val="continue"/>
            <w:noWrap w:val="0"/>
            <w:vAlign w:val="center"/>
          </w:tcPr>
          <w:p w14:paraId="478D5403">
            <w:pPr>
              <w:keepNext w:val="0"/>
              <w:keepLines w:val="0"/>
              <w:suppressLineNumbers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p>
        </w:tc>
        <w:tc>
          <w:tcPr>
            <w:tcW w:w="1062" w:type="dxa"/>
            <w:noWrap w:val="0"/>
            <w:vAlign w:val="center"/>
          </w:tcPr>
          <w:p w14:paraId="246360F9">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无组织</w:t>
            </w:r>
          </w:p>
        </w:tc>
        <w:tc>
          <w:tcPr>
            <w:tcW w:w="1121" w:type="dxa"/>
            <w:vMerge w:val="continue"/>
            <w:noWrap w:val="0"/>
            <w:vAlign w:val="center"/>
          </w:tcPr>
          <w:p w14:paraId="1160421F">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2636" w:type="dxa"/>
            <w:noWrap w:val="0"/>
            <w:vAlign w:val="center"/>
          </w:tcPr>
          <w:p w14:paraId="3B5305C8">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封闭厂房</w:t>
            </w:r>
          </w:p>
        </w:tc>
        <w:tc>
          <w:tcPr>
            <w:tcW w:w="1917" w:type="dxa"/>
            <w:vMerge w:val="continue"/>
            <w:noWrap w:val="0"/>
            <w:vAlign w:val="center"/>
          </w:tcPr>
          <w:p w14:paraId="596E64FF">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41E53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1F27D535">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地表水环境</w:t>
            </w:r>
          </w:p>
        </w:tc>
        <w:tc>
          <w:tcPr>
            <w:tcW w:w="1764" w:type="dxa"/>
            <w:gridSpan w:val="2"/>
            <w:noWrap w:val="0"/>
            <w:vAlign w:val="center"/>
          </w:tcPr>
          <w:p w14:paraId="389C4FA2">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1121" w:type="dxa"/>
            <w:noWrap w:val="0"/>
            <w:vAlign w:val="center"/>
          </w:tcPr>
          <w:p w14:paraId="7982ADD3">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2636" w:type="dxa"/>
            <w:noWrap w:val="0"/>
            <w:vAlign w:val="center"/>
          </w:tcPr>
          <w:p w14:paraId="2AE55065">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1917" w:type="dxa"/>
            <w:noWrap w:val="0"/>
            <w:vAlign w:val="center"/>
          </w:tcPr>
          <w:p w14:paraId="2476341F">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1066B9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restart"/>
            <w:noWrap w:val="0"/>
            <w:vAlign w:val="center"/>
          </w:tcPr>
          <w:p w14:paraId="72110E31">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废水</w:t>
            </w:r>
          </w:p>
        </w:tc>
        <w:tc>
          <w:tcPr>
            <w:tcW w:w="1764" w:type="dxa"/>
            <w:gridSpan w:val="2"/>
            <w:noWrap w:val="0"/>
            <w:vAlign w:val="center"/>
          </w:tcPr>
          <w:p w14:paraId="74583A5A">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1121" w:type="dxa"/>
            <w:noWrap w:val="0"/>
            <w:vAlign w:val="center"/>
          </w:tcPr>
          <w:p w14:paraId="0776C34C">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2636" w:type="dxa"/>
            <w:noWrap w:val="0"/>
            <w:vAlign w:val="center"/>
          </w:tcPr>
          <w:p w14:paraId="541AF482">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本项目无生产废水产生</w:t>
            </w:r>
          </w:p>
        </w:tc>
        <w:tc>
          <w:tcPr>
            <w:tcW w:w="1917" w:type="dxa"/>
            <w:noWrap w:val="0"/>
            <w:vAlign w:val="center"/>
          </w:tcPr>
          <w:p w14:paraId="623A8940">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无生产废水外排</w:t>
            </w:r>
          </w:p>
        </w:tc>
      </w:tr>
      <w:tr w14:paraId="5A63C1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32D2B612">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noWrap w:val="0"/>
            <w:vAlign w:val="center"/>
          </w:tcPr>
          <w:p w14:paraId="03AA2906">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1121" w:type="dxa"/>
            <w:noWrap w:val="0"/>
            <w:vAlign w:val="center"/>
          </w:tcPr>
          <w:p w14:paraId="7EFE6CB9">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2636" w:type="dxa"/>
            <w:noWrap w:val="0"/>
            <w:vAlign w:val="center"/>
          </w:tcPr>
          <w:p w14:paraId="3225BC5B">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本项目依托布尔台煤矿机修车间现有劳动定员，不新增劳动定员，故无新增</w:t>
            </w:r>
            <w:r>
              <w:rPr>
                <w:rFonts w:hint="eastAsia" w:cs="Times New Roman"/>
                <w:color w:val="auto"/>
                <w:sz w:val="24"/>
                <w:szCs w:val="24"/>
                <w:lang w:val="en-US" w:eastAsia="zh-CN"/>
              </w:rPr>
              <w:t>生活污水</w:t>
            </w:r>
            <w:r>
              <w:rPr>
                <w:rFonts w:hint="default" w:ascii="Times New Roman" w:hAnsi="Times New Roman" w:eastAsia="宋体" w:cs="Times New Roman"/>
                <w:color w:val="auto"/>
                <w:sz w:val="24"/>
                <w:szCs w:val="24"/>
                <w:lang w:val="en-US" w:eastAsia="zh-CN"/>
              </w:rPr>
              <w:t>排放。</w:t>
            </w:r>
          </w:p>
        </w:tc>
        <w:tc>
          <w:tcPr>
            <w:tcW w:w="1917" w:type="dxa"/>
            <w:noWrap w:val="0"/>
            <w:vAlign w:val="center"/>
          </w:tcPr>
          <w:p w14:paraId="04A1CA39">
            <w:pPr>
              <w:keepNext w:val="0"/>
              <w:keepLines w:val="0"/>
              <w:suppressLineNumbers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无新增</w:t>
            </w:r>
            <w:r>
              <w:rPr>
                <w:rFonts w:hint="eastAsia" w:cs="Times New Roman"/>
                <w:color w:val="auto"/>
                <w:sz w:val="24"/>
                <w:szCs w:val="24"/>
                <w:lang w:val="en-US" w:eastAsia="zh-CN"/>
              </w:rPr>
              <w:t>生活污水</w:t>
            </w:r>
            <w:r>
              <w:rPr>
                <w:rFonts w:hint="default" w:ascii="Times New Roman" w:hAnsi="Times New Roman" w:eastAsia="宋体" w:cs="Times New Roman"/>
                <w:color w:val="auto"/>
                <w:sz w:val="24"/>
                <w:szCs w:val="24"/>
                <w:lang w:val="en-US" w:eastAsia="zh-CN"/>
              </w:rPr>
              <w:t>外排</w:t>
            </w:r>
          </w:p>
        </w:tc>
      </w:tr>
      <w:tr w14:paraId="41C9B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7BED04B2">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声环境</w:t>
            </w:r>
          </w:p>
        </w:tc>
        <w:tc>
          <w:tcPr>
            <w:tcW w:w="1764" w:type="dxa"/>
            <w:gridSpan w:val="2"/>
            <w:noWrap w:val="0"/>
            <w:vAlign w:val="center"/>
          </w:tcPr>
          <w:p w14:paraId="5E476C27">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设备噪声</w:t>
            </w:r>
          </w:p>
        </w:tc>
        <w:tc>
          <w:tcPr>
            <w:tcW w:w="1121" w:type="dxa"/>
            <w:noWrap w:val="0"/>
            <w:vAlign w:val="center"/>
          </w:tcPr>
          <w:p w14:paraId="30CB1399">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等效连续A声级</w:t>
            </w:r>
          </w:p>
        </w:tc>
        <w:tc>
          <w:tcPr>
            <w:tcW w:w="2636" w:type="dxa"/>
            <w:noWrap w:val="0"/>
            <w:vAlign w:val="center"/>
          </w:tcPr>
          <w:p w14:paraId="0DD5A7ED">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采用低噪设备、</w:t>
            </w:r>
            <w:r>
              <w:rPr>
                <w:rFonts w:hint="default" w:ascii="Times New Roman" w:hAnsi="Times New Roman" w:cs="Times New Roman"/>
                <w:color w:val="auto"/>
                <w:spacing w:val="4"/>
                <w:sz w:val="24"/>
                <w:szCs w:val="24"/>
              </w:rPr>
              <w:t>减振基础、</w:t>
            </w:r>
            <w:r>
              <w:rPr>
                <w:rFonts w:hint="default" w:ascii="Times New Roman" w:hAnsi="Times New Roman" w:cs="Times New Roman"/>
                <w:color w:val="auto"/>
                <w:spacing w:val="4"/>
                <w:sz w:val="24"/>
                <w:szCs w:val="24"/>
                <w:lang w:val="en-US" w:eastAsia="zh-CN"/>
              </w:rPr>
              <w:t>厂房</w:t>
            </w:r>
            <w:r>
              <w:rPr>
                <w:rFonts w:hint="default" w:ascii="Times New Roman" w:hAnsi="Times New Roman" w:cs="Times New Roman"/>
                <w:color w:val="auto"/>
                <w:spacing w:val="4"/>
                <w:sz w:val="24"/>
                <w:szCs w:val="24"/>
              </w:rPr>
              <w:t>隔声</w:t>
            </w:r>
          </w:p>
        </w:tc>
        <w:tc>
          <w:tcPr>
            <w:tcW w:w="1917" w:type="dxa"/>
            <w:noWrap w:val="0"/>
            <w:vAlign w:val="center"/>
          </w:tcPr>
          <w:p w14:paraId="5E3ED110">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《工业企业厂界环境噪声排放标准》（GB12348-2008）</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类标准</w:t>
            </w:r>
          </w:p>
        </w:tc>
      </w:tr>
      <w:tr w14:paraId="2BBE1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578DBF4A">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电磁辐射</w:t>
            </w:r>
          </w:p>
        </w:tc>
        <w:tc>
          <w:tcPr>
            <w:tcW w:w="1764" w:type="dxa"/>
            <w:gridSpan w:val="2"/>
            <w:noWrap w:val="0"/>
            <w:vAlign w:val="center"/>
          </w:tcPr>
          <w:p w14:paraId="5795B926">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121" w:type="dxa"/>
            <w:noWrap w:val="0"/>
            <w:vAlign w:val="center"/>
          </w:tcPr>
          <w:p w14:paraId="4977BAE7">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636" w:type="dxa"/>
            <w:noWrap w:val="0"/>
            <w:vAlign w:val="center"/>
          </w:tcPr>
          <w:p w14:paraId="61ADD2BD">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917" w:type="dxa"/>
            <w:noWrap w:val="0"/>
            <w:vAlign w:val="center"/>
          </w:tcPr>
          <w:p w14:paraId="6237079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r>
      <w:tr w14:paraId="6F8AC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restart"/>
            <w:noWrap w:val="0"/>
            <w:vAlign w:val="center"/>
          </w:tcPr>
          <w:p w14:paraId="349B81D4">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固体废物</w:t>
            </w:r>
          </w:p>
        </w:tc>
        <w:tc>
          <w:tcPr>
            <w:tcW w:w="1764" w:type="dxa"/>
            <w:gridSpan w:val="2"/>
            <w:vMerge w:val="restart"/>
            <w:noWrap w:val="0"/>
            <w:vAlign w:val="center"/>
          </w:tcPr>
          <w:p w14:paraId="7F75080B">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喷漆刷漆过程</w:t>
            </w:r>
          </w:p>
        </w:tc>
        <w:tc>
          <w:tcPr>
            <w:tcW w:w="1121" w:type="dxa"/>
            <w:noWrap w:val="0"/>
            <w:vAlign w:val="center"/>
          </w:tcPr>
          <w:p w14:paraId="6F3F83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val="0"/>
                <w:bCs w:val="0"/>
                <w:color w:val="auto"/>
                <w:sz w:val="24"/>
                <w:szCs w:val="24"/>
                <w:lang w:val="en-US" w:eastAsia="zh-CN"/>
              </w:rPr>
              <w:t>S1废水性漆</w:t>
            </w:r>
          </w:p>
        </w:tc>
        <w:tc>
          <w:tcPr>
            <w:tcW w:w="2636" w:type="dxa"/>
            <w:vMerge w:val="restart"/>
            <w:noWrap w:val="0"/>
            <w:vAlign w:val="center"/>
          </w:tcPr>
          <w:p w14:paraId="7569F7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刷漆、喷漆过程中会产生废漆桶及废水性漆，暂存于布尔台煤矿厂区危废暂存库，定期委托有资质单位处置。</w:t>
            </w:r>
          </w:p>
        </w:tc>
        <w:tc>
          <w:tcPr>
            <w:tcW w:w="1917" w:type="dxa"/>
            <w:vMerge w:val="restart"/>
            <w:noWrap w:val="0"/>
            <w:vAlign w:val="center"/>
          </w:tcPr>
          <w:p w14:paraId="17BC5383">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危险废物的暂存执行《危险废物贮存污染控制标准》（GB18597-2023）</w:t>
            </w:r>
          </w:p>
        </w:tc>
      </w:tr>
      <w:tr w14:paraId="49B2A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01431C95">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continue"/>
            <w:noWrap w:val="0"/>
            <w:vAlign w:val="center"/>
          </w:tcPr>
          <w:p w14:paraId="05F8C033">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121" w:type="dxa"/>
            <w:noWrap w:val="0"/>
            <w:vAlign w:val="center"/>
          </w:tcPr>
          <w:p w14:paraId="02206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rPr>
            </w:pPr>
            <w:r>
              <w:rPr>
                <w:rStyle w:val="128"/>
                <w:rFonts w:hint="default" w:ascii="Times New Roman" w:hAnsi="Times New Roman" w:cs="Times New Roman"/>
                <w:color w:val="auto"/>
                <w:sz w:val="24"/>
                <w:szCs w:val="24"/>
                <w:lang w:val="en-US" w:eastAsia="zh-CN" w:bidi="ar"/>
              </w:rPr>
              <w:t>S2</w:t>
            </w:r>
            <w:r>
              <w:rPr>
                <w:rFonts w:hint="default" w:ascii="Times New Roman" w:hAnsi="Times New Roman" w:eastAsia="宋体" w:cs="Times New Roman"/>
                <w:b w:val="0"/>
                <w:bCs w:val="0"/>
                <w:color w:val="auto"/>
                <w:sz w:val="24"/>
                <w:szCs w:val="24"/>
                <w:lang w:val="en-US" w:eastAsia="zh-CN"/>
              </w:rPr>
              <w:t>水性漆桶</w:t>
            </w:r>
          </w:p>
        </w:tc>
        <w:tc>
          <w:tcPr>
            <w:tcW w:w="2636" w:type="dxa"/>
            <w:vMerge w:val="continue"/>
            <w:noWrap w:val="0"/>
            <w:vAlign w:val="center"/>
          </w:tcPr>
          <w:p w14:paraId="7C2B1F60">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917" w:type="dxa"/>
            <w:vMerge w:val="continue"/>
            <w:noWrap w:val="0"/>
            <w:vAlign w:val="center"/>
          </w:tcPr>
          <w:p w14:paraId="4FB290CB">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7BB36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3957DB52">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restart"/>
            <w:noWrap w:val="0"/>
            <w:vAlign w:val="center"/>
          </w:tcPr>
          <w:p w14:paraId="433D98D8">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漆雾过滤</w:t>
            </w:r>
          </w:p>
        </w:tc>
        <w:tc>
          <w:tcPr>
            <w:tcW w:w="1121" w:type="dxa"/>
            <w:noWrap w:val="0"/>
            <w:vAlign w:val="center"/>
          </w:tcPr>
          <w:p w14:paraId="1DB25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Style w:val="128"/>
                <w:rFonts w:hint="default" w:ascii="Times New Roman" w:hAnsi="Times New Roman" w:cs="Times New Roman"/>
                <w:color w:val="auto"/>
                <w:sz w:val="24"/>
                <w:szCs w:val="24"/>
                <w:lang w:val="en-US" w:eastAsia="zh-CN" w:bidi="ar"/>
              </w:rPr>
              <w:t>S3废漆渣</w:t>
            </w:r>
          </w:p>
        </w:tc>
        <w:tc>
          <w:tcPr>
            <w:tcW w:w="2636" w:type="dxa"/>
            <w:vMerge w:val="restart"/>
            <w:noWrap w:val="0"/>
            <w:vAlign w:val="center"/>
          </w:tcPr>
          <w:p w14:paraId="57ADBA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漆雾过滤系统会产生废漆渣、</w:t>
            </w:r>
            <w:r>
              <w:rPr>
                <w:rStyle w:val="128"/>
                <w:rFonts w:hint="default" w:ascii="Times New Roman" w:hAnsi="Times New Roman" w:cs="Times New Roman"/>
                <w:color w:val="auto"/>
                <w:sz w:val="24"/>
                <w:szCs w:val="24"/>
                <w:lang w:val="en-US" w:eastAsia="zh-CN" w:bidi="ar"/>
              </w:rPr>
              <w:t>废纸壳</w:t>
            </w:r>
            <w:r>
              <w:rPr>
                <w:rFonts w:hint="default" w:ascii="Times New Roman" w:hAnsi="Times New Roman" w:eastAsia="宋体" w:cs="Times New Roman"/>
                <w:color w:val="auto"/>
                <w:sz w:val="24"/>
                <w:szCs w:val="24"/>
                <w:lang w:val="en-US" w:eastAsia="zh-CN"/>
              </w:rPr>
              <w:t>，暂存于布尔台煤矿厂区危废暂存库，定期委托有资质单位处置。</w:t>
            </w:r>
          </w:p>
        </w:tc>
        <w:tc>
          <w:tcPr>
            <w:tcW w:w="1917" w:type="dxa"/>
            <w:vMerge w:val="continue"/>
            <w:noWrap w:val="0"/>
            <w:vAlign w:val="center"/>
          </w:tcPr>
          <w:p w14:paraId="081B3FC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3C014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440271BB">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continue"/>
            <w:noWrap w:val="0"/>
            <w:vAlign w:val="center"/>
          </w:tcPr>
          <w:p w14:paraId="3C20E3C3">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121" w:type="dxa"/>
            <w:noWrap w:val="0"/>
            <w:vAlign w:val="center"/>
          </w:tcPr>
          <w:p w14:paraId="7E18B6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Style w:val="128"/>
                <w:rFonts w:hint="default" w:ascii="Times New Roman" w:hAnsi="Times New Roman" w:cs="Times New Roman"/>
                <w:color w:val="auto"/>
                <w:sz w:val="24"/>
                <w:szCs w:val="24"/>
                <w:lang w:val="en-US" w:eastAsia="zh-CN" w:bidi="ar"/>
              </w:rPr>
              <w:t>S4废纸壳</w:t>
            </w:r>
          </w:p>
        </w:tc>
        <w:tc>
          <w:tcPr>
            <w:tcW w:w="2636" w:type="dxa"/>
            <w:vMerge w:val="continue"/>
            <w:noWrap w:val="0"/>
            <w:vAlign w:val="center"/>
          </w:tcPr>
          <w:p w14:paraId="0963CB6B">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917" w:type="dxa"/>
            <w:vMerge w:val="continue"/>
            <w:noWrap w:val="0"/>
            <w:vAlign w:val="center"/>
          </w:tcPr>
          <w:p w14:paraId="42850DE5">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7F7CD2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475F68AA">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continue"/>
            <w:noWrap w:val="0"/>
            <w:vAlign w:val="center"/>
          </w:tcPr>
          <w:p w14:paraId="006B9A17">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121" w:type="dxa"/>
            <w:noWrap w:val="0"/>
            <w:vAlign w:val="center"/>
          </w:tcPr>
          <w:p w14:paraId="13AFF5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Style w:val="128"/>
                <w:rFonts w:hint="default" w:ascii="Times New Roman" w:hAnsi="Times New Roman" w:cs="Times New Roman"/>
                <w:color w:val="auto"/>
                <w:sz w:val="24"/>
                <w:szCs w:val="24"/>
                <w:lang w:val="en-US" w:eastAsia="zh-CN" w:bidi="ar"/>
              </w:rPr>
              <w:t>S5废过滤棉</w:t>
            </w:r>
          </w:p>
        </w:tc>
        <w:tc>
          <w:tcPr>
            <w:tcW w:w="2636" w:type="dxa"/>
            <w:noWrap w:val="0"/>
            <w:vAlign w:val="center"/>
          </w:tcPr>
          <w:p w14:paraId="686BAC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本项目漆雾过滤系统会产生废过滤棉，产生废过滤棉暂存于布尔台煤矿厂区危废暂存库，定期委托有资质单位处置。</w:t>
            </w:r>
          </w:p>
        </w:tc>
        <w:tc>
          <w:tcPr>
            <w:tcW w:w="1917" w:type="dxa"/>
            <w:vMerge w:val="continue"/>
            <w:noWrap w:val="0"/>
            <w:vAlign w:val="center"/>
          </w:tcPr>
          <w:p w14:paraId="1C228D2E">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73014D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142A5A1D">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continue"/>
            <w:noWrap w:val="0"/>
            <w:vAlign w:val="center"/>
          </w:tcPr>
          <w:p w14:paraId="6AD95766">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121" w:type="dxa"/>
            <w:noWrap w:val="0"/>
            <w:vAlign w:val="center"/>
          </w:tcPr>
          <w:p w14:paraId="55A6FB0A">
            <w:pPr>
              <w:keepNext w:val="0"/>
              <w:keepLines w:val="0"/>
              <w:widowControl/>
              <w:suppressLineNumbers w:val="0"/>
              <w:spacing w:before="0" w:beforeAutospacing="0" w:after="0" w:afterAutospacing="0"/>
              <w:ind w:left="0" w:leftChars="0" w:right="0" w:rightChars="0"/>
              <w:jc w:val="center"/>
              <w:textAlignment w:val="center"/>
              <w:rPr>
                <w:rStyle w:val="128"/>
                <w:rFonts w:hint="default" w:ascii="Times New Roman" w:hAnsi="Times New Roman" w:cs="Times New Roman"/>
                <w:color w:val="auto"/>
                <w:sz w:val="24"/>
                <w:szCs w:val="24"/>
                <w:lang w:val="en-US" w:eastAsia="zh-CN" w:bidi="ar"/>
              </w:rPr>
            </w:pPr>
            <w:r>
              <w:rPr>
                <w:rStyle w:val="128"/>
                <w:rFonts w:hint="default" w:ascii="Times New Roman" w:hAnsi="Times New Roman" w:cs="Times New Roman"/>
                <w:color w:val="auto"/>
                <w:sz w:val="24"/>
                <w:szCs w:val="24"/>
                <w:lang w:val="en-US" w:eastAsia="zh-CN" w:bidi="ar"/>
              </w:rPr>
              <w:t>S6废过滤袋</w:t>
            </w:r>
          </w:p>
        </w:tc>
        <w:tc>
          <w:tcPr>
            <w:tcW w:w="2636" w:type="dxa"/>
            <w:noWrap w:val="0"/>
            <w:vAlign w:val="center"/>
          </w:tcPr>
          <w:p w14:paraId="307C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本项目漆雾过滤系统会产生废过滤袋，产生废过滤袋暂存于布尔台煤矿厂区危废暂存库，定期委托有资质单位处置。</w:t>
            </w:r>
          </w:p>
        </w:tc>
        <w:tc>
          <w:tcPr>
            <w:tcW w:w="1917" w:type="dxa"/>
            <w:vMerge w:val="continue"/>
            <w:noWrap w:val="0"/>
            <w:vAlign w:val="center"/>
          </w:tcPr>
          <w:p w14:paraId="31D921C0">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7FCAF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7B64DA65">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restart"/>
            <w:noWrap w:val="0"/>
            <w:vAlign w:val="center"/>
          </w:tcPr>
          <w:p w14:paraId="68FB6B9A">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活性炭+CO催化燃烧装置</w:t>
            </w:r>
          </w:p>
        </w:tc>
        <w:tc>
          <w:tcPr>
            <w:tcW w:w="1121" w:type="dxa"/>
            <w:noWrap w:val="0"/>
            <w:vAlign w:val="center"/>
          </w:tcPr>
          <w:p w14:paraId="7B9988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Style w:val="128"/>
                <w:rFonts w:hint="default" w:ascii="Times New Roman" w:hAnsi="Times New Roman" w:cs="Times New Roman"/>
                <w:color w:val="auto"/>
                <w:sz w:val="24"/>
                <w:szCs w:val="24"/>
                <w:lang w:val="en-US" w:eastAsia="zh-CN" w:bidi="ar"/>
              </w:rPr>
              <w:t>S7</w:t>
            </w:r>
            <w:r>
              <w:rPr>
                <w:rFonts w:hint="default" w:ascii="Times New Roman" w:hAnsi="Times New Roman" w:eastAsia="宋体" w:cs="Times New Roman"/>
                <w:b w:val="0"/>
                <w:bCs w:val="0"/>
                <w:color w:val="auto"/>
                <w:sz w:val="24"/>
                <w:szCs w:val="24"/>
                <w:lang w:val="en-US" w:eastAsia="zh-CN"/>
              </w:rPr>
              <w:t>废活性炭</w:t>
            </w:r>
          </w:p>
        </w:tc>
        <w:tc>
          <w:tcPr>
            <w:tcW w:w="2636" w:type="dxa"/>
            <w:noWrap w:val="0"/>
            <w:vAlign w:val="center"/>
          </w:tcPr>
          <w:p w14:paraId="04364A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本项目废气处理系统产生的废活性炭，暂存于布尔台煤矿厂区危废暂存库，定期委托有资质单位处置。</w:t>
            </w:r>
          </w:p>
        </w:tc>
        <w:tc>
          <w:tcPr>
            <w:tcW w:w="1917" w:type="dxa"/>
            <w:vMerge w:val="continue"/>
            <w:noWrap w:val="0"/>
            <w:vAlign w:val="center"/>
          </w:tcPr>
          <w:p w14:paraId="3A40EC52">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r>
      <w:tr w14:paraId="19EFC0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vMerge w:val="continue"/>
            <w:noWrap w:val="0"/>
            <w:vAlign w:val="center"/>
          </w:tcPr>
          <w:p w14:paraId="141B0584">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p>
        </w:tc>
        <w:tc>
          <w:tcPr>
            <w:tcW w:w="1764" w:type="dxa"/>
            <w:gridSpan w:val="2"/>
            <w:vMerge w:val="continue"/>
            <w:noWrap w:val="0"/>
            <w:vAlign w:val="center"/>
          </w:tcPr>
          <w:p w14:paraId="57913E3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p>
        </w:tc>
        <w:tc>
          <w:tcPr>
            <w:tcW w:w="1121" w:type="dxa"/>
            <w:noWrap w:val="0"/>
            <w:vAlign w:val="center"/>
          </w:tcPr>
          <w:p w14:paraId="40C23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lang w:val="en-US" w:eastAsia="zh-CN"/>
              </w:rPr>
              <w:t>S8废催化剂</w:t>
            </w:r>
          </w:p>
        </w:tc>
        <w:tc>
          <w:tcPr>
            <w:tcW w:w="2636" w:type="dxa"/>
            <w:noWrap w:val="0"/>
            <w:vAlign w:val="center"/>
          </w:tcPr>
          <w:p w14:paraId="19496C9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催化燃烧废气处理系统会产生废催化剂（催化剂为陶瓷基载体的Pt、Pd贵金属型催化剂），按一般固废处置，该催化剂定期由厂家更换处置回收，不进行暂存。</w:t>
            </w:r>
          </w:p>
        </w:tc>
        <w:tc>
          <w:tcPr>
            <w:tcW w:w="1917" w:type="dxa"/>
            <w:noWrap w:val="0"/>
            <w:vAlign w:val="center"/>
          </w:tcPr>
          <w:p w14:paraId="7BDE88CE">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一般工业固体废物执行《一般工业固体废物贮存和填埋污染控制标准》(GB18599-2020)</w:t>
            </w:r>
          </w:p>
        </w:tc>
      </w:tr>
      <w:tr w14:paraId="6BB9A0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4CBBF1D7">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土壤及地下水污染防治措施</w:t>
            </w:r>
          </w:p>
        </w:tc>
        <w:tc>
          <w:tcPr>
            <w:tcW w:w="7438" w:type="dxa"/>
            <w:gridSpan w:val="5"/>
            <w:noWrap w:val="0"/>
            <w:vAlign w:val="center"/>
          </w:tcPr>
          <w:p w14:paraId="7DDD6ECE">
            <w:pPr>
              <w:keepNext w:val="0"/>
              <w:keepLines w:val="0"/>
              <w:pageBreakBefore w:val="0"/>
              <w:widowControl/>
              <w:suppressLineNumbers w:val="0"/>
              <w:kinsoku/>
              <w:wordWrap/>
              <w:topLinePunct w:val="0"/>
              <w:autoSpaceDE/>
              <w:autoSpaceDN/>
              <w:bidi w:val="0"/>
              <w:adjustRightInd/>
              <w:spacing w:before="0" w:beforeAutospacing="0" w:after="0" w:afterAutospacing="0" w:line="240" w:lineRule="auto"/>
              <w:ind w:left="0" w:right="0" w:firstLine="480" w:firstLineChars="200"/>
              <w:jc w:val="both"/>
              <w:textAlignment w:val="auto"/>
              <w:rPr>
                <w:rFonts w:hint="default" w:ascii="Times New Roman" w:hAnsi="Times New Roman" w:cs="Times New Roman"/>
                <w:color w:val="auto"/>
                <w:sz w:val="24"/>
                <w:szCs w:val="24"/>
              </w:rPr>
            </w:pPr>
            <w:r>
              <w:rPr>
                <w:rFonts w:hint="default" w:ascii="Times New Roman" w:hAnsi="Times New Roman" w:eastAsia="宋体" w:cs="Times New Roman"/>
                <w:b w:val="0"/>
                <w:bCs w:val="0"/>
                <w:color w:val="auto"/>
                <w:sz w:val="24"/>
                <w:szCs w:val="24"/>
                <w:lang w:val="en-US" w:eastAsia="zh-CN"/>
              </w:rPr>
              <w:t>本项目范围内均已</w:t>
            </w:r>
            <w:r>
              <w:rPr>
                <w:rFonts w:hint="default" w:ascii="Times New Roman" w:hAnsi="Times New Roman" w:eastAsia="宋体" w:cs="Times New Roman"/>
                <w:color w:val="auto"/>
                <w:sz w:val="24"/>
                <w:szCs w:val="24"/>
                <w:lang w:val="en-US" w:eastAsia="zh-CN"/>
              </w:rPr>
              <w:t>采取</w:t>
            </w:r>
            <w:r>
              <w:rPr>
                <w:rFonts w:hint="default" w:ascii="Times New Roman" w:hAnsi="Times New Roman" w:cs="Times New Roman"/>
                <w:color w:val="auto"/>
                <w:sz w:val="24"/>
                <w:szCs w:val="24"/>
              </w:rPr>
              <w:t>混凝土硬化</w:t>
            </w:r>
            <w:r>
              <w:rPr>
                <w:rFonts w:hint="default" w:ascii="Times New Roman" w:hAnsi="Times New Roman" w:cs="Times New Roman"/>
                <w:color w:val="auto"/>
                <w:sz w:val="24"/>
                <w:szCs w:val="24"/>
                <w:lang w:val="en-US" w:eastAsia="zh-CN"/>
              </w:rPr>
              <w:t>+HDPE膜</w:t>
            </w:r>
            <w:r>
              <w:rPr>
                <w:rFonts w:hint="default" w:ascii="Times New Roman" w:hAnsi="Times New Roman" w:cs="Times New Roman"/>
                <w:color w:val="auto"/>
                <w:sz w:val="24"/>
                <w:szCs w:val="24"/>
              </w:rPr>
              <w:t>防渗措施</w:t>
            </w:r>
            <w:r>
              <w:rPr>
                <w:rFonts w:hint="default" w:ascii="Times New Roman" w:hAnsi="Times New Roman" w:eastAsia="宋体" w:cs="Times New Roman"/>
                <w:b w:val="0"/>
                <w:bCs w:val="0"/>
                <w:color w:val="auto"/>
                <w:sz w:val="24"/>
                <w:szCs w:val="24"/>
                <w:lang w:val="en-US" w:eastAsia="zh-CN"/>
              </w:rPr>
              <w:t>，防渗性能均满足一般防渗要求（等效黏土防渗层Mb≥1.5m，渗透系数≤1.0×10</w:t>
            </w:r>
            <w:r>
              <w:rPr>
                <w:rFonts w:hint="default" w:ascii="Times New Roman" w:hAnsi="Times New Roman" w:eastAsia="宋体" w:cs="Times New Roman"/>
                <w:b w:val="0"/>
                <w:bCs w:val="0"/>
                <w:color w:val="auto"/>
                <w:sz w:val="24"/>
                <w:szCs w:val="24"/>
                <w:vertAlign w:val="superscript"/>
                <w:lang w:val="en-US" w:eastAsia="zh-CN"/>
              </w:rPr>
              <w:t>-7</w:t>
            </w:r>
            <w:r>
              <w:rPr>
                <w:rFonts w:hint="default" w:ascii="Times New Roman" w:hAnsi="Times New Roman" w:eastAsia="宋体" w:cs="Times New Roman"/>
                <w:b w:val="0"/>
                <w:bCs w:val="0"/>
                <w:color w:val="auto"/>
                <w:sz w:val="24"/>
                <w:szCs w:val="24"/>
                <w:lang w:val="en-US" w:eastAsia="zh-CN"/>
              </w:rPr>
              <w:t>cm/s），且项目不产生废水，同时水性漆等液体原料现用现买，不进行贮存，使用完产生废漆液等均暂存于布尔台煤矿危废暂存库，定期委托有资质单位处置。</w:t>
            </w:r>
          </w:p>
        </w:tc>
      </w:tr>
      <w:tr w14:paraId="479F6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4724689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生态保护措施</w:t>
            </w:r>
          </w:p>
        </w:tc>
        <w:tc>
          <w:tcPr>
            <w:tcW w:w="7438" w:type="dxa"/>
            <w:gridSpan w:val="5"/>
            <w:noWrap w:val="0"/>
            <w:vAlign w:val="center"/>
          </w:tcPr>
          <w:p w14:paraId="0D136C69">
            <w:pPr>
              <w:pStyle w:val="43"/>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r>
      <w:tr w14:paraId="477E9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12C0E24A">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环境风险</w:t>
            </w:r>
          </w:p>
          <w:p w14:paraId="310D67D6">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防范措施</w:t>
            </w:r>
          </w:p>
        </w:tc>
        <w:tc>
          <w:tcPr>
            <w:tcW w:w="7438" w:type="dxa"/>
            <w:gridSpan w:val="5"/>
            <w:noWrap w:val="0"/>
            <w:vAlign w:val="center"/>
          </w:tcPr>
          <w:p w14:paraId="5D7DCA0A">
            <w:pPr>
              <w:keepNext w:val="0"/>
              <w:keepLines w:val="0"/>
              <w:suppressLineNumbers w:val="0"/>
              <w:adjustRightInd w:val="0"/>
              <w:snapToGrid w:val="0"/>
              <w:spacing w:before="120" w:beforeLines="50" w:beforeAutospacing="0" w:after="0" w:afterAutospacing="0" w:line="240" w:lineRule="auto"/>
              <w:ind w:left="0" w:right="0"/>
              <w:jc w:val="left"/>
              <w:rPr>
                <w:rFonts w:hint="default" w:ascii="Times New Roman" w:hAnsi="Times New Roman" w:cs="Times New Roman"/>
                <w:color w:val="auto"/>
                <w:sz w:val="24"/>
                <w:szCs w:val="24"/>
              </w:rPr>
            </w:pPr>
            <w:r>
              <w:rPr>
                <w:rFonts w:hint="default" w:ascii="Times New Roman" w:hAnsi="Times New Roman" w:eastAsia="宋体" w:cs="Times New Roman"/>
                <w:b w:val="0"/>
                <w:bCs w:val="0"/>
                <w:color w:val="auto"/>
                <w:sz w:val="24"/>
                <w:szCs w:val="24"/>
                <w:highlight w:val="none"/>
                <w:lang w:eastAsia="zh-CN"/>
              </w:rPr>
              <w:t>本次项目实施后，企业应强化风险管理意识，加强生产过程、运输过程、贮存过程、末端处置过程风险防范，依照相应要求完善应急物资储备并定期组织应急演练。</w:t>
            </w:r>
          </w:p>
        </w:tc>
      </w:tr>
      <w:tr w14:paraId="2A30D9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noWrap w:val="0"/>
            <w:vAlign w:val="center"/>
          </w:tcPr>
          <w:p w14:paraId="40E093C1">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其他环境</w:t>
            </w:r>
          </w:p>
          <w:p w14:paraId="63A2B04C">
            <w:pPr>
              <w:keepNext w:val="0"/>
              <w:keepLines w:val="0"/>
              <w:suppressLineNumbers w:val="0"/>
              <w:adjustRightInd w:val="0"/>
              <w:snapToGrid w:val="0"/>
              <w:spacing w:before="120" w:beforeLines="50" w:beforeAutospacing="0" w:after="0" w:afterAutospacing="0" w:line="24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管理要求</w:t>
            </w:r>
          </w:p>
        </w:tc>
        <w:tc>
          <w:tcPr>
            <w:tcW w:w="7438" w:type="dxa"/>
            <w:gridSpan w:val="5"/>
            <w:noWrap w:val="0"/>
            <w:vAlign w:val="center"/>
          </w:tcPr>
          <w:p w14:paraId="3B579321">
            <w:pPr>
              <w:keepNext w:val="0"/>
              <w:keepLines w:val="0"/>
              <w:suppressLineNumbers w:val="0"/>
              <w:adjustRightInd w:val="0"/>
              <w:snapToGrid w:val="0"/>
              <w:spacing w:before="120" w:beforeLines="50" w:beforeAutospacing="0" w:after="0" w:afterAutospacing="0" w:line="240" w:lineRule="auto"/>
              <w:ind w:left="0" w:right="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建设单位建立健全的环境保护管理规章制度，加强环境管理，配备专职环保人员，建立设施运行、维护台账。</w:t>
            </w:r>
          </w:p>
        </w:tc>
      </w:tr>
    </w:tbl>
    <w:p w14:paraId="7E5E90F3">
      <w:pPr>
        <w:pStyle w:val="23"/>
        <w:widowControl w:val="0"/>
        <w:numPr>
          <w:ilvl w:val="0"/>
          <w:numId w:val="0"/>
        </w:numPr>
        <w:jc w:val="both"/>
        <w:rPr>
          <w:rFonts w:hint="default"/>
          <w:color w:val="auto"/>
        </w:rPr>
      </w:pPr>
    </w:p>
    <w:p w14:paraId="5E61F63C">
      <w:pPr>
        <w:rPr>
          <w:rFonts w:hint="default"/>
          <w:color w:val="auto"/>
        </w:rPr>
      </w:pPr>
    </w:p>
    <w:p w14:paraId="6D0D39FE">
      <w:pPr>
        <w:rPr>
          <w:rFonts w:hint="default"/>
          <w:color w:val="auto"/>
        </w:rPr>
      </w:pPr>
    </w:p>
    <w:p w14:paraId="32C68041">
      <w:pPr>
        <w:pStyle w:val="23"/>
        <w:rPr>
          <w:rFonts w:hint="default"/>
          <w:color w:val="auto"/>
        </w:rPr>
      </w:pPr>
    </w:p>
    <w:p w14:paraId="10869BBF">
      <w:pPr>
        <w:rPr>
          <w:rFonts w:hint="default"/>
          <w:color w:val="auto"/>
        </w:rPr>
      </w:pPr>
    </w:p>
    <w:p w14:paraId="7F68AE51">
      <w:pPr>
        <w:pStyle w:val="23"/>
        <w:rPr>
          <w:rFonts w:hint="default"/>
          <w:color w:val="auto"/>
        </w:rPr>
      </w:pPr>
    </w:p>
    <w:p w14:paraId="29EDFC57">
      <w:pPr>
        <w:rPr>
          <w:rFonts w:hint="default"/>
          <w:color w:val="auto"/>
        </w:rPr>
      </w:pPr>
    </w:p>
    <w:p w14:paraId="13391280">
      <w:pPr>
        <w:pStyle w:val="23"/>
        <w:rPr>
          <w:rFonts w:hint="default"/>
          <w:color w:val="auto"/>
        </w:rPr>
      </w:pPr>
    </w:p>
    <w:p w14:paraId="344E4869">
      <w:pPr>
        <w:rPr>
          <w:rFonts w:hint="default"/>
          <w:color w:val="auto"/>
        </w:rPr>
      </w:pPr>
    </w:p>
    <w:p w14:paraId="7D76F112">
      <w:pPr>
        <w:pStyle w:val="23"/>
        <w:rPr>
          <w:rFonts w:hint="default"/>
          <w:color w:val="auto"/>
        </w:rPr>
      </w:pPr>
    </w:p>
    <w:p w14:paraId="6F29930C">
      <w:pPr>
        <w:rPr>
          <w:rFonts w:hint="default"/>
          <w:color w:val="auto"/>
        </w:rPr>
      </w:pPr>
    </w:p>
    <w:p w14:paraId="613522FD">
      <w:pPr>
        <w:pStyle w:val="23"/>
        <w:rPr>
          <w:rFonts w:hint="default"/>
          <w:color w:val="auto"/>
        </w:rPr>
      </w:pPr>
    </w:p>
    <w:p w14:paraId="67F9BDB4">
      <w:pPr>
        <w:rPr>
          <w:rFonts w:hint="default"/>
          <w:color w:val="auto"/>
        </w:rPr>
      </w:pPr>
    </w:p>
    <w:p w14:paraId="2E3FD820">
      <w:pPr>
        <w:pStyle w:val="23"/>
        <w:rPr>
          <w:rFonts w:hint="default"/>
          <w:color w:val="auto"/>
        </w:rPr>
      </w:pPr>
    </w:p>
    <w:p w14:paraId="4C1C19BB">
      <w:pPr>
        <w:rPr>
          <w:rFonts w:hint="default"/>
          <w:color w:val="auto"/>
        </w:rPr>
      </w:pPr>
    </w:p>
    <w:p w14:paraId="44668E41">
      <w:pPr>
        <w:pStyle w:val="23"/>
        <w:rPr>
          <w:rFonts w:hint="default"/>
          <w:color w:val="auto"/>
        </w:rPr>
      </w:pPr>
    </w:p>
    <w:p w14:paraId="4AD61D84">
      <w:pPr>
        <w:pStyle w:val="7"/>
        <w:rPr>
          <w:rFonts w:hint="default" w:ascii="Times New Roman" w:hAnsi="Times New Roman" w:eastAsia="宋体" w:cs="Times New Roman"/>
          <w:color w:val="auto"/>
        </w:rPr>
        <w:sectPr>
          <w:footerReference r:id="rId14" w:type="first"/>
          <w:footerReference r:id="rId13" w:type="default"/>
          <w:pgSz w:w="11907" w:h="16840"/>
          <w:pgMar w:top="1418" w:right="1418" w:bottom="1418" w:left="1418" w:header="850" w:footer="992" w:gutter="0"/>
          <w:pgBorders>
            <w:top w:val="none" w:sz="0" w:space="0"/>
            <w:left w:val="none" w:sz="0" w:space="0"/>
            <w:bottom w:val="none" w:sz="0" w:space="0"/>
            <w:right w:val="none" w:sz="0" w:space="0"/>
          </w:pgBorders>
          <w:pgNumType w:fmt="decimal"/>
          <w:cols w:space="720" w:num="1"/>
          <w:titlePg/>
          <w:docGrid w:linePitch="312" w:charSpace="0"/>
        </w:sectPr>
      </w:pPr>
    </w:p>
    <w:p w14:paraId="04862CF6">
      <w:pPr>
        <w:tabs>
          <w:tab w:val="left" w:pos="0"/>
        </w:tabs>
        <w:snapToGrid w:val="0"/>
        <w:jc w:val="center"/>
        <w:outlineLvl w:val="0"/>
        <w:rPr>
          <w:rFonts w:hint="default" w:ascii="Times New Roman" w:hAnsi="Times New Roman" w:eastAsia="宋体" w:cs="Times New Roman"/>
          <w:b/>
          <w:color w:val="auto"/>
          <w:sz w:val="32"/>
          <w:highlight w:val="none"/>
          <w:vertAlign w:val="baseline"/>
        </w:rPr>
      </w:pPr>
      <w:r>
        <w:rPr>
          <w:rFonts w:hint="default" w:ascii="Times New Roman" w:hAnsi="Times New Roman" w:eastAsia="宋体" w:cs="Times New Roman"/>
          <w:b/>
          <w:color w:val="auto"/>
          <w:sz w:val="32"/>
          <w:highlight w:val="none"/>
          <w:lang w:val="en-US" w:eastAsia="zh-CN"/>
        </w:rPr>
        <w:t>六、</w:t>
      </w:r>
      <w:r>
        <w:rPr>
          <w:rFonts w:hint="default" w:ascii="Times New Roman" w:hAnsi="Times New Roman" w:eastAsia="宋体" w:cs="Times New Roman"/>
          <w:b/>
          <w:color w:val="auto"/>
          <w:sz w:val="32"/>
          <w:highlight w:val="none"/>
        </w:rPr>
        <w:t>结论</w:t>
      </w:r>
    </w:p>
    <w:tbl>
      <w:tblPr>
        <w:tblStyle w:val="31"/>
        <w:tblW w:w="9531" w:type="dxa"/>
        <w:tblInd w:w="-13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531"/>
      </w:tblGrid>
      <w:tr w14:paraId="47E62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31" w:type="dxa"/>
          </w:tcPr>
          <w:p w14:paraId="16BD02F3">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default"/>
                <w:color w:val="auto"/>
                <w:sz w:val="24"/>
              </w:rPr>
              <w:t>本项目建设符合国家的产业政策及相关规划要求。在认真落实本报告中提出的各项污染防治措施及建议的前提下，加强环境管理，其废水、噪声、固体废弃物等对周围环境的影响控制在可接受范围内，从环境保护角度分析，该建设项目可行。</w:t>
            </w:r>
          </w:p>
          <w:p w14:paraId="207E08CB">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394F7349">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17E4D225">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02394E54">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1E098DC7">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332687CF">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40440A3B">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66C48651">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5B2607FE">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0BEDAD71">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11B122A9">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20666127">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6665C0AE">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2D196F71">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639D412C">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1BBD8006">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37BD4CB5">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4633EE1A">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30783EC8">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7EFF5B12">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6CEB7ED8">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254085B8">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19BAFB3A">
            <w:pPr>
              <w:pStyle w:val="3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5DEE8E94">
            <w:pPr>
              <w:keepNext w:val="0"/>
              <w:keepLines w:val="0"/>
              <w:suppressLineNumbers w:val="0"/>
              <w:tabs>
                <w:tab w:val="left" w:pos="0"/>
              </w:tabs>
              <w:snapToGrid w:val="0"/>
              <w:spacing w:before="0" w:beforeAutospacing="0" w:after="0" w:afterAutospacing="0"/>
              <w:ind w:left="0" w:right="0"/>
              <w:outlineLvl w:val="0"/>
              <w:rPr>
                <w:rFonts w:hint="default" w:ascii="Times New Roman" w:hAnsi="Times New Roman" w:eastAsia="宋体" w:cs="Times New Roman"/>
                <w:b/>
                <w:color w:val="auto"/>
                <w:sz w:val="32"/>
                <w:highlight w:val="none"/>
                <w:vertAlign w:val="baseline"/>
              </w:rPr>
            </w:pPr>
          </w:p>
        </w:tc>
      </w:tr>
    </w:tbl>
    <w:p w14:paraId="19C320AE">
      <w:pPr>
        <w:pStyle w:val="2"/>
        <w:ind w:left="0" w:leftChars="0" w:firstLine="0" w:firstLineChars="0"/>
        <w:rPr>
          <w:rFonts w:hint="default" w:ascii="Times New Roman" w:hAnsi="Times New Roman" w:eastAsia="宋体" w:cs="Times New Roman"/>
          <w:color w:val="auto"/>
          <w:highlight w:val="none"/>
        </w:rPr>
        <w:sectPr>
          <w:footerReference r:id="rId15"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BCC5C87">
      <w:pPr>
        <w:tabs>
          <w:tab w:val="left" w:pos="0"/>
        </w:tabs>
        <w:snapToGrid w:val="0"/>
        <w:outlineLvl w:val="0"/>
        <w:rPr>
          <w:rFonts w:hint="default" w:ascii="Times New Roman" w:hAnsi="Times New Roman" w:eastAsia="宋体" w:cs="Times New Roman"/>
          <w:b/>
          <w:color w:val="auto"/>
          <w:sz w:val="32"/>
          <w:highlight w:val="none"/>
        </w:rPr>
      </w:pPr>
      <w:r>
        <w:rPr>
          <w:rFonts w:hint="default" w:ascii="Times New Roman" w:hAnsi="Times New Roman" w:eastAsia="宋体" w:cs="Times New Roman"/>
          <w:b/>
          <w:color w:val="auto"/>
          <w:sz w:val="32"/>
          <w:highlight w:val="none"/>
          <w:lang w:val="en-US" w:eastAsia="zh-CN"/>
        </w:rPr>
        <w:t>七、</w:t>
      </w:r>
      <w:r>
        <w:rPr>
          <w:rFonts w:hint="default" w:ascii="Times New Roman" w:hAnsi="Times New Roman" w:eastAsia="宋体" w:cs="Times New Roman"/>
          <w:b/>
          <w:color w:val="auto"/>
          <w:sz w:val="32"/>
          <w:highlight w:val="none"/>
        </w:rPr>
        <w:t>附表</w:t>
      </w:r>
    </w:p>
    <w:p w14:paraId="02929F5D">
      <w:pPr>
        <w:bidi w:val="0"/>
        <w:jc w:val="center"/>
        <w:rPr>
          <w:rFonts w:hint="default" w:ascii="Times New Roman" w:hAnsi="Times New Roman" w:eastAsia="宋体" w:cs="Times New Roman"/>
          <w:b/>
          <w:bCs/>
          <w:color w:val="auto"/>
          <w:sz w:val="28"/>
          <w:szCs w:val="36"/>
          <w:highlight w:val="none"/>
        </w:rPr>
      </w:pPr>
      <w:r>
        <w:rPr>
          <w:rFonts w:hint="default" w:ascii="Times New Roman" w:hAnsi="Times New Roman" w:eastAsia="宋体" w:cs="Times New Roman"/>
          <w:b/>
          <w:bCs/>
          <w:color w:val="auto"/>
          <w:sz w:val="28"/>
          <w:szCs w:val="36"/>
          <w:highlight w:val="none"/>
        </w:rPr>
        <w:t>建设项目污染物排放量汇总表</w:t>
      </w:r>
    </w:p>
    <w:tbl>
      <w:tblPr>
        <w:tblStyle w:val="3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1971"/>
        <w:gridCol w:w="1347"/>
        <w:gridCol w:w="1276"/>
        <w:gridCol w:w="1701"/>
        <w:gridCol w:w="1559"/>
        <w:gridCol w:w="1529"/>
        <w:gridCol w:w="1566"/>
        <w:gridCol w:w="1451"/>
      </w:tblGrid>
      <w:tr w14:paraId="6E1629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8" w:type="dxa"/>
            <w:tcBorders>
              <w:tl2br w:val="single" w:color="auto" w:sz="4" w:space="0"/>
            </w:tcBorders>
            <w:noWrap w:val="0"/>
            <w:tcMar>
              <w:left w:w="28" w:type="dxa"/>
              <w:right w:w="28" w:type="dxa"/>
            </w:tcMar>
            <w:vAlign w:val="center"/>
          </w:tcPr>
          <w:p w14:paraId="65688AE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项目</w:t>
            </w:r>
          </w:p>
          <w:p w14:paraId="7E54338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分类</w:t>
            </w:r>
          </w:p>
        </w:tc>
        <w:tc>
          <w:tcPr>
            <w:tcW w:w="1971" w:type="dxa"/>
            <w:noWrap w:val="0"/>
            <w:tcMar>
              <w:left w:w="28" w:type="dxa"/>
              <w:right w:w="28" w:type="dxa"/>
            </w:tcMar>
            <w:vAlign w:val="center"/>
          </w:tcPr>
          <w:p w14:paraId="5D80885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污染物名称</w:t>
            </w:r>
          </w:p>
        </w:tc>
        <w:tc>
          <w:tcPr>
            <w:tcW w:w="1347" w:type="dxa"/>
            <w:noWrap w:val="0"/>
            <w:tcMar>
              <w:left w:w="28" w:type="dxa"/>
              <w:right w:w="28" w:type="dxa"/>
            </w:tcMar>
            <w:vAlign w:val="center"/>
          </w:tcPr>
          <w:p w14:paraId="34DC151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现有工程</w:t>
            </w:r>
          </w:p>
          <w:p w14:paraId="191D5DC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排放量（固体废物产生量）</w:t>
            </w: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①</w:t>
            </w:r>
            <w:r>
              <w:rPr>
                <w:rFonts w:hint="default" w:ascii="Times New Roman" w:hAnsi="Times New Roman" w:eastAsia="宋体" w:cs="Times New Roman"/>
                <w:snapToGrid w:val="0"/>
                <w:color w:val="auto"/>
                <w:spacing w:val="-6"/>
                <w:kern w:val="21"/>
                <w:sz w:val="21"/>
                <w:szCs w:val="21"/>
                <w:highlight w:val="none"/>
              </w:rPr>
              <w:fldChar w:fldCharType="end"/>
            </w:r>
          </w:p>
        </w:tc>
        <w:tc>
          <w:tcPr>
            <w:tcW w:w="1276" w:type="dxa"/>
            <w:noWrap w:val="0"/>
            <w:tcMar>
              <w:left w:w="28" w:type="dxa"/>
              <w:right w:w="28" w:type="dxa"/>
            </w:tcMar>
            <w:vAlign w:val="center"/>
          </w:tcPr>
          <w:p w14:paraId="7B1234A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现有工程</w:t>
            </w:r>
          </w:p>
          <w:p w14:paraId="5B843104">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许可排放量</w:t>
            </w:r>
          </w:p>
          <w:p w14:paraId="4F659364">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2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②</w:t>
            </w:r>
            <w:r>
              <w:rPr>
                <w:rFonts w:hint="default" w:ascii="Times New Roman" w:hAnsi="Times New Roman" w:eastAsia="宋体" w:cs="Times New Roman"/>
                <w:snapToGrid w:val="0"/>
                <w:color w:val="auto"/>
                <w:spacing w:val="-6"/>
                <w:kern w:val="21"/>
                <w:sz w:val="21"/>
                <w:szCs w:val="21"/>
                <w:highlight w:val="none"/>
              </w:rPr>
              <w:fldChar w:fldCharType="end"/>
            </w:r>
          </w:p>
        </w:tc>
        <w:tc>
          <w:tcPr>
            <w:tcW w:w="1701" w:type="dxa"/>
            <w:noWrap w:val="0"/>
            <w:tcMar>
              <w:left w:w="28" w:type="dxa"/>
              <w:right w:w="28" w:type="dxa"/>
            </w:tcMar>
            <w:vAlign w:val="center"/>
          </w:tcPr>
          <w:p w14:paraId="0FA5614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在建工程</w:t>
            </w:r>
          </w:p>
          <w:p w14:paraId="25AF6AA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排放量（固体废物产生量）</w:t>
            </w: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③</w:t>
            </w:r>
            <w:r>
              <w:rPr>
                <w:rFonts w:hint="default" w:ascii="Times New Roman" w:hAnsi="Times New Roman" w:eastAsia="宋体" w:cs="Times New Roman"/>
                <w:snapToGrid w:val="0"/>
                <w:color w:val="auto"/>
                <w:spacing w:val="-6"/>
                <w:kern w:val="21"/>
                <w:sz w:val="21"/>
                <w:szCs w:val="21"/>
                <w:highlight w:val="none"/>
              </w:rPr>
              <w:fldChar w:fldCharType="end"/>
            </w:r>
          </w:p>
        </w:tc>
        <w:tc>
          <w:tcPr>
            <w:tcW w:w="1559" w:type="dxa"/>
            <w:noWrap w:val="0"/>
            <w:tcMar>
              <w:left w:w="28" w:type="dxa"/>
              <w:right w:w="28" w:type="dxa"/>
            </w:tcMar>
            <w:vAlign w:val="center"/>
          </w:tcPr>
          <w:p w14:paraId="0E45874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本项目</w:t>
            </w:r>
          </w:p>
          <w:p w14:paraId="146A561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排放量（固体废物产生量）</w:t>
            </w: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④</w:t>
            </w:r>
            <w:r>
              <w:rPr>
                <w:rFonts w:hint="default" w:ascii="Times New Roman" w:hAnsi="Times New Roman" w:eastAsia="宋体" w:cs="Times New Roman"/>
                <w:snapToGrid w:val="0"/>
                <w:color w:val="auto"/>
                <w:spacing w:val="-6"/>
                <w:kern w:val="21"/>
                <w:sz w:val="21"/>
                <w:szCs w:val="21"/>
                <w:highlight w:val="none"/>
              </w:rPr>
              <w:fldChar w:fldCharType="end"/>
            </w:r>
          </w:p>
        </w:tc>
        <w:tc>
          <w:tcPr>
            <w:tcW w:w="1529" w:type="dxa"/>
            <w:noWrap w:val="0"/>
            <w:tcMar>
              <w:left w:w="28" w:type="dxa"/>
              <w:right w:w="28" w:type="dxa"/>
            </w:tcMar>
            <w:vAlign w:val="center"/>
          </w:tcPr>
          <w:p w14:paraId="78A280B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以新带老削减量</w:t>
            </w:r>
          </w:p>
          <w:p w14:paraId="0B42247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（新建项目不填）</w:t>
            </w: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5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⑤</w:t>
            </w:r>
            <w:r>
              <w:rPr>
                <w:rFonts w:hint="default" w:ascii="Times New Roman" w:hAnsi="Times New Roman" w:eastAsia="宋体" w:cs="Times New Roman"/>
                <w:snapToGrid w:val="0"/>
                <w:color w:val="auto"/>
                <w:spacing w:val="-6"/>
                <w:kern w:val="21"/>
                <w:sz w:val="21"/>
                <w:szCs w:val="21"/>
                <w:highlight w:val="none"/>
              </w:rPr>
              <w:fldChar w:fldCharType="end"/>
            </w:r>
          </w:p>
        </w:tc>
        <w:tc>
          <w:tcPr>
            <w:tcW w:w="1566" w:type="dxa"/>
            <w:noWrap w:val="0"/>
            <w:tcMar>
              <w:left w:w="28" w:type="dxa"/>
              <w:right w:w="28" w:type="dxa"/>
            </w:tcMar>
            <w:vAlign w:val="center"/>
          </w:tcPr>
          <w:p w14:paraId="070A6C5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本项目建成后</w:t>
            </w:r>
          </w:p>
          <w:p w14:paraId="2B8C085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全厂排放量（固体废物产生量）</w:t>
            </w: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6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⑥</w:t>
            </w:r>
            <w:r>
              <w:rPr>
                <w:rFonts w:hint="default" w:ascii="Times New Roman" w:hAnsi="Times New Roman" w:eastAsia="宋体" w:cs="Times New Roman"/>
                <w:snapToGrid w:val="0"/>
                <w:color w:val="auto"/>
                <w:spacing w:val="-6"/>
                <w:kern w:val="21"/>
                <w:sz w:val="21"/>
                <w:szCs w:val="21"/>
                <w:highlight w:val="none"/>
              </w:rPr>
              <w:fldChar w:fldCharType="end"/>
            </w:r>
          </w:p>
        </w:tc>
        <w:tc>
          <w:tcPr>
            <w:tcW w:w="1451" w:type="dxa"/>
            <w:noWrap w:val="0"/>
            <w:tcMar>
              <w:left w:w="28" w:type="dxa"/>
              <w:right w:w="28" w:type="dxa"/>
            </w:tcMar>
            <w:vAlign w:val="center"/>
          </w:tcPr>
          <w:p w14:paraId="06D265D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变化量</w:t>
            </w:r>
          </w:p>
          <w:p w14:paraId="60C38E4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fldChar w:fldCharType="begin"/>
            </w:r>
            <w:r>
              <w:rPr>
                <w:rFonts w:hint="default" w:ascii="Times New Roman" w:hAnsi="Times New Roman" w:eastAsia="宋体" w:cs="Times New Roman"/>
                <w:snapToGrid w:val="0"/>
                <w:color w:val="auto"/>
                <w:spacing w:val="-6"/>
                <w:kern w:val="21"/>
                <w:sz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 w:val="21"/>
                <w:szCs w:val="21"/>
                <w:highlight w:val="none"/>
              </w:rPr>
              <w:fldChar w:fldCharType="separate"/>
            </w:r>
            <w:r>
              <w:rPr>
                <w:rFonts w:hint="default" w:ascii="Times New Roman" w:hAnsi="Times New Roman" w:eastAsia="宋体" w:cs="Times New Roman"/>
                <w:snapToGrid w:val="0"/>
                <w:color w:val="auto"/>
                <w:spacing w:val="-6"/>
                <w:kern w:val="21"/>
                <w:sz w:val="21"/>
                <w:szCs w:val="21"/>
                <w:highlight w:val="none"/>
              </w:rPr>
              <w:t>⑦</w:t>
            </w:r>
            <w:r>
              <w:rPr>
                <w:rFonts w:hint="default" w:ascii="Times New Roman" w:hAnsi="Times New Roman" w:eastAsia="宋体" w:cs="Times New Roman"/>
                <w:snapToGrid w:val="0"/>
                <w:color w:val="auto"/>
                <w:spacing w:val="-6"/>
                <w:kern w:val="21"/>
                <w:sz w:val="21"/>
                <w:szCs w:val="21"/>
                <w:highlight w:val="none"/>
              </w:rPr>
              <w:fldChar w:fldCharType="end"/>
            </w:r>
          </w:p>
        </w:tc>
      </w:tr>
      <w:tr w14:paraId="276EF8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restart"/>
            <w:noWrap w:val="0"/>
            <w:vAlign w:val="center"/>
          </w:tcPr>
          <w:p w14:paraId="5B94875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废气</w:t>
            </w:r>
          </w:p>
        </w:tc>
        <w:tc>
          <w:tcPr>
            <w:tcW w:w="1971" w:type="dxa"/>
            <w:noWrap w:val="0"/>
            <w:vAlign w:val="center"/>
          </w:tcPr>
          <w:p w14:paraId="42E37D9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TSP</w:t>
            </w:r>
          </w:p>
        </w:tc>
        <w:tc>
          <w:tcPr>
            <w:tcW w:w="1347" w:type="dxa"/>
            <w:noWrap w:val="0"/>
            <w:vAlign w:val="center"/>
          </w:tcPr>
          <w:p w14:paraId="5A4E78C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5C492F5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7EEE02F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320FC29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0.099</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2792798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266C274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0.099</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2D1409A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+0.099</w:t>
            </w:r>
            <w:r>
              <w:rPr>
                <w:rFonts w:hint="default" w:ascii="Times New Roman" w:hAnsi="Times New Roman" w:eastAsia="宋体" w:cs="Times New Roman"/>
                <w:snapToGrid w:val="0"/>
                <w:color w:val="auto"/>
                <w:spacing w:val="-6"/>
                <w:kern w:val="21"/>
                <w:sz w:val="21"/>
                <w:szCs w:val="21"/>
                <w:highlight w:val="none"/>
                <w:lang w:val="en-US" w:eastAsia="zh-CN"/>
              </w:rPr>
              <w:t>t/a</w:t>
            </w:r>
          </w:p>
        </w:tc>
      </w:tr>
      <w:tr w14:paraId="4C82C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4477F16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25CEA69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非甲烷总烃</w:t>
            </w:r>
          </w:p>
        </w:tc>
        <w:tc>
          <w:tcPr>
            <w:tcW w:w="1347" w:type="dxa"/>
            <w:noWrap w:val="0"/>
            <w:vAlign w:val="center"/>
          </w:tcPr>
          <w:p w14:paraId="26D63C1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4D0F7E3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7BC5423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57BA9EE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0.0493</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27A69E7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6C3D9FC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0.0493</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5CB671A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+0.0493</w:t>
            </w:r>
            <w:r>
              <w:rPr>
                <w:rFonts w:hint="default" w:ascii="Times New Roman" w:hAnsi="Times New Roman" w:eastAsia="宋体" w:cs="Times New Roman"/>
                <w:snapToGrid w:val="0"/>
                <w:color w:val="auto"/>
                <w:spacing w:val="-6"/>
                <w:kern w:val="21"/>
                <w:sz w:val="21"/>
                <w:szCs w:val="21"/>
                <w:highlight w:val="none"/>
                <w:lang w:val="en-US" w:eastAsia="zh-CN"/>
              </w:rPr>
              <w:t>t/a</w:t>
            </w:r>
          </w:p>
        </w:tc>
      </w:tr>
      <w:tr w14:paraId="4EC31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7878918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0387904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苯系物（苯、甲苯、二甲苯）</w:t>
            </w:r>
          </w:p>
        </w:tc>
        <w:tc>
          <w:tcPr>
            <w:tcW w:w="1347" w:type="dxa"/>
            <w:noWrap w:val="0"/>
            <w:vAlign w:val="center"/>
          </w:tcPr>
          <w:p w14:paraId="6B1B240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790C63E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35DC653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12C0156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0.0176</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257B62E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171C1CF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0.0176</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4B09B91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+0.0176</w:t>
            </w:r>
            <w:r>
              <w:rPr>
                <w:rFonts w:hint="default" w:ascii="Times New Roman" w:hAnsi="Times New Roman" w:eastAsia="宋体" w:cs="Times New Roman"/>
                <w:snapToGrid w:val="0"/>
                <w:color w:val="auto"/>
                <w:spacing w:val="-6"/>
                <w:kern w:val="21"/>
                <w:sz w:val="21"/>
                <w:szCs w:val="21"/>
                <w:highlight w:val="none"/>
                <w:lang w:val="en-US" w:eastAsia="zh-CN"/>
              </w:rPr>
              <w:t>t/a</w:t>
            </w:r>
          </w:p>
        </w:tc>
      </w:tr>
      <w:tr w14:paraId="057B4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noWrap w:val="0"/>
            <w:vAlign w:val="center"/>
          </w:tcPr>
          <w:p w14:paraId="46ABAC6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废水</w:t>
            </w:r>
          </w:p>
        </w:tc>
        <w:tc>
          <w:tcPr>
            <w:tcW w:w="1971" w:type="dxa"/>
            <w:noWrap w:val="0"/>
            <w:vAlign w:val="center"/>
          </w:tcPr>
          <w:p w14:paraId="1FD4B4F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347" w:type="dxa"/>
            <w:noWrap w:val="0"/>
            <w:vAlign w:val="center"/>
          </w:tcPr>
          <w:p w14:paraId="4D0860E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276" w:type="dxa"/>
            <w:noWrap w:val="0"/>
            <w:vAlign w:val="center"/>
          </w:tcPr>
          <w:p w14:paraId="04DC4B9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701" w:type="dxa"/>
            <w:noWrap w:val="0"/>
            <w:vAlign w:val="center"/>
          </w:tcPr>
          <w:p w14:paraId="15A6C6E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559" w:type="dxa"/>
            <w:noWrap w:val="0"/>
            <w:vAlign w:val="center"/>
          </w:tcPr>
          <w:p w14:paraId="46A9FBF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529" w:type="dxa"/>
            <w:noWrap w:val="0"/>
            <w:vAlign w:val="center"/>
          </w:tcPr>
          <w:p w14:paraId="3FB202F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566" w:type="dxa"/>
            <w:noWrap w:val="0"/>
            <w:vAlign w:val="center"/>
          </w:tcPr>
          <w:p w14:paraId="3F9931E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451" w:type="dxa"/>
            <w:noWrap w:val="0"/>
            <w:vAlign w:val="center"/>
          </w:tcPr>
          <w:p w14:paraId="10B651B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r>
      <w:tr w14:paraId="11712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noWrap w:val="0"/>
            <w:vAlign w:val="center"/>
          </w:tcPr>
          <w:p w14:paraId="70D8E3F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一般工业</w:t>
            </w:r>
          </w:p>
          <w:p w14:paraId="2DF7F55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固体废物</w:t>
            </w:r>
          </w:p>
        </w:tc>
        <w:tc>
          <w:tcPr>
            <w:tcW w:w="1971" w:type="dxa"/>
            <w:noWrap w:val="0"/>
            <w:vAlign w:val="center"/>
          </w:tcPr>
          <w:p w14:paraId="18B5F71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废催化剂</w:t>
            </w:r>
          </w:p>
        </w:tc>
        <w:tc>
          <w:tcPr>
            <w:tcW w:w="1347" w:type="dxa"/>
            <w:noWrap w:val="0"/>
            <w:vAlign w:val="center"/>
          </w:tcPr>
          <w:p w14:paraId="302CDD7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276" w:type="dxa"/>
            <w:noWrap w:val="0"/>
            <w:vAlign w:val="center"/>
          </w:tcPr>
          <w:p w14:paraId="7EA9A6D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701" w:type="dxa"/>
            <w:noWrap w:val="0"/>
            <w:vAlign w:val="center"/>
          </w:tcPr>
          <w:p w14:paraId="2766EC2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p>
        </w:tc>
        <w:tc>
          <w:tcPr>
            <w:tcW w:w="1559" w:type="dxa"/>
            <w:noWrap w:val="0"/>
            <w:vAlign w:val="center"/>
          </w:tcPr>
          <w:p w14:paraId="62CCD8D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0.2t/3a</w:t>
            </w:r>
          </w:p>
        </w:tc>
        <w:tc>
          <w:tcPr>
            <w:tcW w:w="1529" w:type="dxa"/>
            <w:noWrap w:val="0"/>
            <w:vAlign w:val="center"/>
          </w:tcPr>
          <w:p w14:paraId="43B6A73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55085FD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0.2t/3a</w:t>
            </w:r>
          </w:p>
        </w:tc>
        <w:tc>
          <w:tcPr>
            <w:tcW w:w="1451" w:type="dxa"/>
            <w:noWrap w:val="0"/>
            <w:vAlign w:val="center"/>
          </w:tcPr>
          <w:p w14:paraId="5938B44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+0.2t/3a</w:t>
            </w:r>
          </w:p>
        </w:tc>
      </w:tr>
      <w:tr w14:paraId="1B47A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388" w:type="dxa"/>
            <w:vMerge w:val="restart"/>
            <w:noWrap w:val="0"/>
            <w:vAlign w:val="center"/>
          </w:tcPr>
          <w:p w14:paraId="197DB7B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r>
              <w:rPr>
                <w:rFonts w:hint="default" w:ascii="Times New Roman" w:hAnsi="Times New Roman" w:eastAsia="宋体" w:cs="Times New Roman"/>
                <w:snapToGrid w:val="0"/>
                <w:color w:val="auto"/>
                <w:spacing w:val="-6"/>
                <w:kern w:val="21"/>
                <w:sz w:val="21"/>
                <w:szCs w:val="21"/>
                <w:highlight w:val="none"/>
              </w:rPr>
              <w:t>危险废物</w:t>
            </w:r>
          </w:p>
        </w:tc>
        <w:tc>
          <w:tcPr>
            <w:tcW w:w="1971" w:type="dxa"/>
            <w:noWrap w:val="0"/>
            <w:vAlign w:val="center"/>
          </w:tcPr>
          <w:p w14:paraId="179E6F2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废水性漆</w:t>
            </w:r>
          </w:p>
        </w:tc>
        <w:tc>
          <w:tcPr>
            <w:tcW w:w="1347" w:type="dxa"/>
            <w:noWrap w:val="0"/>
            <w:vAlign w:val="center"/>
          </w:tcPr>
          <w:p w14:paraId="22B345C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409228E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4DD5BB9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04E76D8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7A68D26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3F1934B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0C31063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w:t>
            </w:r>
            <w:r>
              <w:rPr>
                <w:rFonts w:hint="eastAsia" w:ascii="Times New Roman" w:hAnsi="Times New Roman" w:eastAsia="宋体" w:cs="Times New Roman"/>
                <w:snapToGrid w:val="0"/>
                <w:color w:val="auto"/>
                <w:spacing w:val="-6"/>
                <w:kern w:val="21"/>
                <w:sz w:val="21"/>
                <w:szCs w:val="21"/>
                <w:highlight w:val="none"/>
                <w:lang w:val="en-US" w:eastAsia="zh-CN"/>
              </w:rPr>
              <w:t>0.2</w:t>
            </w:r>
            <w:r>
              <w:rPr>
                <w:rFonts w:hint="default" w:ascii="Times New Roman" w:hAnsi="Times New Roman" w:eastAsia="宋体" w:cs="Times New Roman"/>
                <w:snapToGrid w:val="0"/>
                <w:color w:val="auto"/>
                <w:spacing w:val="-6"/>
                <w:kern w:val="21"/>
                <w:sz w:val="21"/>
                <w:szCs w:val="21"/>
                <w:highlight w:val="none"/>
                <w:lang w:val="en-US" w:eastAsia="zh-CN"/>
              </w:rPr>
              <w:t>t/a</w:t>
            </w:r>
          </w:p>
        </w:tc>
      </w:tr>
      <w:tr w14:paraId="169BDB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388" w:type="dxa"/>
            <w:vMerge w:val="continue"/>
            <w:noWrap w:val="0"/>
            <w:vAlign w:val="center"/>
          </w:tcPr>
          <w:p w14:paraId="5029C06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06D5566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废水性漆桶</w:t>
            </w:r>
          </w:p>
        </w:tc>
        <w:tc>
          <w:tcPr>
            <w:tcW w:w="1347" w:type="dxa"/>
            <w:noWrap w:val="0"/>
            <w:vAlign w:val="center"/>
          </w:tcPr>
          <w:p w14:paraId="5C5D22A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04FBE1A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72F0CAE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3563DBC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0.192</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69FB338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6245C4E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0.192</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3FBCB88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+0.192</w:t>
            </w:r>
            <w:r>
              <w:rPr>
                <w:rFonts w:hint="default" w:ascii="Times New Roman" w:hAnsi="Times New Roman" w:eastAsia="宋体" w:cs="Times New Roman"/>
                <w:snapToGrid w:val="0"/>
                <w:color w:val="auto"/>
                <w:spacing w:val="-6"/>
                <w:kern w:val="21"/>
                <w:sz w:val="21"/>
                <w:szCs w:val="21"/>
                <w:highlight w:val="none"/>
                <w:lang w:val="en-US" w:eastAsia="zh-CN"/>
              </w:rPr>
              <w:t>t/a</w:t>
            </w:r>
          </w:p>
        </w:tc>
      </w:tr>
      <w:tr w14:paraId="0C7CEA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70EEF39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254F7EA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废漆渣及废纸壳</w:t>
            </w:r>
          </w:p>
        </w:tc>
        <w:tc>
          <w:tcPr>
            <w:tcW w:w="1347" w:type="dxa"/>
            <w:noWrap w:val="0"/>
            <w:vAlign w:val="center"/>
          </w:tcPr>
          <w:p w14:paraId="1425AC87">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7BDD997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6BD2B19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000F219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2.148t/a</w:t>
            </w:r>
          </w:p>
        </w:tc>
        <w:tc>
          <w:tcPr>
            <w:tcW w:w="1529" w:type="dxa"/>
            <w:noWrap w:val="0"/>
            <w:vAlign w:val="center"/>
          </w:tcPr>
          <w:p w14:paraId="1214963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7E27D3F4">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2.148t/a</w:t>
            </w:r>
          </w:p>
        </w:tc>
        <w:tc>
          <w:tcPr>
            <w:tcW w:w="1451" w:type="dxa"/>
            <w:noWrap w:val="0"/>
            <w:vAlign w:val="center"/>
          </w:tcPr>
          <w:p w14:paraId="7AB33DF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w:t>
            </w:r>
            <w:r>
              <w:rPr>
                <w:rFonts w:hint="default" w:ascii="Times New Roman" w:hAnsi="Times New Roman" w:eastAsia="宋体" w:cs="Times New Roman"/>
                <w:snapToGrid w:val="0"/>
                <w:color w:val="auto"/>
                <w:spacing w:val="-6"/>
                <w:kern w:val="21"/>
                <w:sz w:val="21"/>
                <w:szCs w:val="21"/>
                <w:highlight w:val="none"/>
                <w:lang w:val="en-US" w:eastAsia="zh-CN"/>
              </w:rPr>
              <w:t>2.148t/a</w:t>
            </w:r>
          </w:p>
        </w:tc>
      </w:tr>
      <w:tr w14:paraId="2A9D5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2BC0B47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613B1BE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废过滤棉</w:t>
            </w:r>
          </w:p>
        </w:tc>
        <w:tc>
          <w:tcPr>
            <w:tcW w:w="1347" w:type="dxa"/>
            <w:noWrap w:val="0"/>
            <w:vAlign w:val="center"/>
          </w:tcPr>
          <w:p w14:paraId="1A581A3F">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13AC26E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4BF4A61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0BC43179">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0.1t/a</w:t>
            </w:r>
          </w:p>
        </w:tc>
        <w:tc>
          <w:tcPr>
            <w:tcW w:w="1529" w:type="dxa"/>
            <w:noWrap w:val="0"/>
            <w:vAlign w:val="center"/>
          </w:tcPr>
          <w:p w14:paraId="57E95E66">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56BCB02B">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0.1t/a</w:t>
            </w:r>
          </w:p>
        </w:tc>
        <w:tc>
          <w:tcPr>
            <w:tcW w:w="1451" w:type="dxa"/>
            <w:noWrap w:val="0"/>
            <w:vAlign w:val="center"/>
          </w:tcPr>
          <w:p w14:paraId="45CBC4C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+0.1t/a</w:t>
            </w:r>
          </w:p>
        </w:tc>
      </w:tr>
      <w:tr w14:paraId="617B1E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46FDC7A1">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2E1DB032">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废过滤袋</w:t>
            </w:r>
          </w:p>
        </w:tc>
        <w:tc>
          <w:tcPr>
            <w:tcW w:w="1347" w:type="dxa"/>
            <w:noWrap w:val="0"/>
            <w:vAlign w:val="center"/>
          </w:tcPr>
          <w:p w14:paraId="52EDE4B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55F8AFD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07F35635">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67504094">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0.2t/a</w:t>
            </w:r>
          </w:p>
        </w:tc>
        <w:tc>
          <w:tcPr>
            <w:tcW w:w="1529" w:type="dxa"/>
            <w:noWrap w:val="0"/>
            <w:vAlign w:val="center"/>
          </w:tcPr>
          <w:p w14:paraId="6CEC153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7C054E10">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0.2t/a</w:t>
            </w:r>
          </w:p>
        </w:tc>
        <w:tc>
          <w:tcPr>
            <w:tcW w:w="1451" w:type="dxa"/>
            <w:noWrap w:val="0"/>
            <w:vAlign w:val="center"/>
          </w:tcPr>
          <w:p w14:paraId="6CAB6BC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0.2t/a</w:t>
            </w:r>
          </w:p>
        </w:tc>
      </w:tr>
      <w:tr w14:paraId="004E6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88" w:type="dxa"/>
            <w:vMerge w:val="continue"/>
            <w:noWrap w:val="0"/>
            <w:vAlign w:val="center"/>
          </w:tcPr>
          <w:p w14:paraId="42CB8CE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rPr>
            </w:pPr>
          </w:p>
        </w:tc>
        <w:tc>
          <w:tcPr>
            <w:tcW w:w="1971" w:type="dxa"/>
            <w:noWrap w:val="0"/>
            <w:vAlign w:val="center"/>
          </w:tcPr>
          <w:p w14:paraId="43F38C6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废活性炭</w:t>
            </w:r>
          </w:p>
        </w:tc>
        <w:tc>
          <w:tcPr>
            <w:tcW w:w="1347" w:type="dxa"/>
            <w:noWrap w:val="0"/>
            <w:vAlign w:val="center"/>
          </w:tcPr>
          <w:p w14:paraId="6195BF03">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276" w:type="dxa"/>
            <w:noWrap w:val="0"/>
            <w:vAlign w:val="center"/>
          </w:tcPr>
          <w:p w14:paraId="1E34F69A">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701" w:type="dxa"/>
            <w:noWrap w:val="0"/>
            <w:vAlign w:val="center"/>
          </w:tcPr>
          <w:p w14:paraId="29F989BC">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59" w:type="dxa"/>
            <w:noWrap w:val="0"/>
            <w:vAlign w:val="center"/>
          </w:tcPr>
          <w:p w14:paraId="390EE24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3.84</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529" w:type="dxa"/>
            <w:noWrap w:val="0"/>
            <w:vAlign w:val="center"/>
          </w:tcPr>
          <w:p w14:paraId="719666BE">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default" w:ascii="Times New Roman" w:hAnsi="Times New Roman" w:eastAsia="宋体" w:cs="Times New Roman"/>
                <w:snapToGrid w:val="0"/>
                <w:color w:val="auto"/>
                <w:spacing w:val="-6"/>
                <w:kern w:val="21"/>
                <w:sz w:val="21"/>
                <w:szCs w:val="21"/>
                <w:highlight w:val="none"/>
                <w:lang w:val="en-US" w:eastAsia="zh-CN"/>
              </w:rPr>
              <w:t>0</w:t>
            </w:r>
          </w:p>
        </w:tc>
        <w:tc>
          <w:tcPr>
            <w:tcW w:w="1566" w:type="dxa"/>
            <w:noWrap w:val="0"/>
            <w:vAlign w:val="center"/>
          </w:tcPr>
          <w:p w14:paraId="431F497D">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3.84</w:t>
            </w:r>
            <w:r>
              <w:rPr>
                <w:rFonts w:hint="default" w:ascii="Times New Roman" w:hAnsi="Times New Roman" w:eastAsia="宋体" w:cs="Times New Roman"/>
                <w:snapToGrid w:val="0"/>
                <w:color w:val="auto"/>
                <w:spacing w:val="-6"/>
                <w:kern w:val="21"/>
                <w:sz w:val="21"/>
                <w:szCs w:val="21"/>
                <w:highlight w:val="none"/>
                <w:lang w:val="en-US" w:eastAsia="zh-CN"/>
              </w:rPr>
              <w:t>t/a</w:t>
            </w:r>
          </w:p>
        </w:tc>
        <w:tc>
          <w:tcPr>
            <w:tcW w:w="1451" w:type="dxa"/>
            <w:noWrap w:val="0"/>
            <w:vAlign w:val="center"/>
          </w:tcPr>
          <w:p w14:paraId="4E7BF358">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snapToGrid w:val="0"/>
                <w:color w:val="auto"/>
                <w:spacing w:val="-6"/>
                <w:kern w:val="21"/>
                <w:sz w:val="21"/>
                <w:szCs w:val="21"/>
                <w:highlight w:val="none"/>
                <w:lang w:val="en-US" w:eastAsia="zh-CN"/>
              </w:rPr>
            </w:pPr>
            <w:r>
              <w:rPr>
                <w:rFonts w:hint="eastAsia" w:ascii="Times New Roman" w:hAnsi="Times New Roman" w:eastAsia="宋体" w:cs="Times New Roman"/>
                <w:snapToGrid w:val="0"/>
                <w:color w:val="auto"/>
                <w:spacing w:val="-6"/>
                <w:kern w:val="21"/>
                <w:sz w:val="21"/>
                <w:szCs w:val="21"/>
                <w:highlight w:val="none"/>
                <w:lang w:val="en-US" w:eastAsia="zh-CN"/>
              </w:rPr>
              <w:t>+3.84</w:t>
            </w:r>
            <w:r>
              <w:rPr>
                <w:rFonts w:hint="default" w:ascii="Times New Roman" w:hAnsi="Times New Roman" w:eastAsia="宋体" w:cs="Times New Roman"/>
                <w:snapToGrid w:val="0"/>
                <w:color w:val="auto"/>
                <w:spacing w:val="-6"/>
                <w:kern w:val="21"/>
                <w:sz w:val="21"/>
                <w:szCs w:val="21"/>
                <w:highlight w:val="none"/>
                <w:lang w:val="en-US" w:eastAsia="zh-CN"/>
              </w:rPr>
              <w:t>t/a</w:t>
            </w:r>
          </w:p>
        </w:tc>
      </w:tr>
    </w:tbl>
    <w:p w14:paraId="34D7652E">
      <w:pPr>
        <w:pStyle w:val="45"/>
        <w:keepNext w:val="0"/>
        <w:keepLines w:val="0"/>
        <w:pageBreakBefore w:val="0"/>
        <w:widowControl w:val="0"/>
        <w:kinsoku/>
        <w:wordWrap/>
        <w:overflowPunct/>
        <w:topLinePunct w:val="0"/>
        <w:autoSpaceDE/>
        <w:autoSpaceDN/>
        <w:bidi w:val="0"/>
        <w:adjustRightInd/>
        <w:snapToGrid/>
        <w:spacing w:after="24"/>
        <w:jc w:val="left"/>
        <w:textAlignment w:val="auto"/>
        <w:rPr>
          <w:rFonts w:hint="default" w:ascii="Times New Roman" w:hAnsi="Times New Roman" w:eastAsia="宋体" w:cs="Times New Roman"/>
          <w:color w:val="auto"/>
          <w:highlight w:val="none"/>
        </w:rPr>
        <w:sectPr>
          <w:footerReference r:id="rId16" w:type="default"/>
          <w:pgSz w:w="16838" w:h="11906" w:orient="landscape"/>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snapToGrid w:val="0"/>
          <w:color w:val="auto"/>
          <w:kern w:val="21"/>
          <w:sz w:val="22"/>
          <w:szCs w:val="20"/>
          <w:highlight w:val="none"/>
        </w:rPr>
        <w:t>注：</w:t>
      </w:r>
      <w:r>
        <w:rPr>
          <w:rFonts w:hint="default" w:ascii="Times New Roman" w:hAnsi="Times New Roman" w:eastAsia="宋体" w:cs="Times New Roman"/>
          <w:snapToGrid w:val="0"/>
          <w:color w:val="auto"/>
          <w:spacing w:val="-16"/>
          <w:kern w:val="21"/>
          <w:sz w:val="22"/>
          <w:szCs w:val="20"/>
          <w:highlight w:val="none"/>
        </w:rPr>
        <w:fldChar w:fldCharType="begin"/>
      </w:r>
      <w:r>
        <w:rPr>
          <w:rFonts w:hint="default" w:ascii="Times New Roman" w:hAnsi="Times New Roman" w:eastAsia="宋体" w:cs="Times New Roman"/>
          <w:snapToGrid w:val="0"/>
          <w:color w:val="auto"/>
          <w:spacing w:val="-16"/>
          <w:kern w:val="21"/>
          <w:sz w:val="22"/>
          <w:szCs w:val="20"/>
          <w:highlight w:val="none"/>
        </w:rPr>
        <w:instrText xml:space="preserve"> = 6 \* GB3 \* MERGEFORMAT </w:instrText>
      </w:r>
      <w:r>
        <w:rPr>
          <w:rFonts w:hint="default" w:ascii="Times New Roman" w:hAnsi="Times New Roman" w:eastAsia="宋体" w:cs="Times New Roman"/>
          <w:snapToGrid w:val="0"/>
          <w:color w:val="auto"/>
          <w:spacing w:val="-16"/>
          <w:kern w:val="21"/>
          <w:sz w:val="22"/>
          <w:szCs w:val="20"/>
          <w:highlight w:val="none"/>
        </w:rPr>
        <w:fldChar w:fldCharType="separate"/>
      </w:r>
      <w:r>
        <w:rPr>
          <w:rFonts w:hint="default" w:ascii="Times New Roman" w:hAnsi="Times New Roman" w:eastAsia="宋体" w:cs="Times New Roman"/>
          <w:color w:val="auto"/>
          <w:sz w:val="22"/>
          <w:szCs w:val="20"/>
          <w:highlight w:val="none"/>
        </w:rPr>
        <w:t>⑥</w:t>
      </w:r>
      <w:r>
        <w:rPr>
          <w:rFonts w:hint="default" w:ascii="Times New Roman" w:hAnsi="Times New Roman" w:eastAsia="宋体" w:cs="Times New Roman"/>
          <w:snapToGrid w:val="0"/>
          <w:color w:val="auto"/>
          <w:spacing w:val="-16"/>
          <w:kern w:val="21"/>
          <w:sz w:val="22"/>
          <w:szCs w:val="20"/>
          <w:highlight w:val="none"/>
        </w:rPr>
        <w:fldChar w:fldCharType="end"/>
      </w:r>
      <w:r>
        <w:rPr>
          <w:rFonts w:hint="default" w:ascii="Times New Roman" w:hAnsi="Times New Roman" w:eastAsia="宋体" w:cs="Times New Roman"/>
          <w:snapToGrid w:val="0"/>
          <w:color w:val="auto"/>
          <w:spacing w:val="-16"/>
          <w:kern w:val="21"/>
          <w:sz w:val="22"/>
          <w:szCs w:val="20"/>
          <w:highlight w:val="none"/>
        </w:rPr>
        <w:t>=</w:t>
      </w:r>
      <w:r>
        <w:rPr>
          <w:rFonts w:hint="default" w:ascii="Times New Roman" w:hAnsi="Times New Roman" w:eastAsia="宋体" w:cs="Times New Roman"/>
          <w:snapToGrid w:val="0"/>
          <w:color w:val="auto"/>
          <w:spacing w:val="-6"/>
          <w:kern w:val="21"/>
          <w:sz w:val="22"/>
          <w:szCs w:val="20"/>
          <w:highlight w:val="none"/>
        </w:rPr>
        <w:fldChar w:fldCharType="begin"/>
      </w:r>
      <w:r>
        <w:rPr>
          <w:rFonts w:hint="default" w:ascii="Times New Roman" w:hAnsi="Times New Roman" w:eastAsia="宋体" w:cs="Times New Roman"/>
          <w:snapToGrid w:val="0"/>
          <w:color w:val="auto"/>
          <w:spacing w:val="-6"/>
          <w:kern w:val="21"/>
          <w:sz w:val="22"/>
          <w:szCs w:val="20"/>
          <w:highlight w:val="none"/>
        </w:rPr>
        <w:instrText xml:space="preserve"> = 1 \* GB3 \* MERGEFORMAT </w:instrText>
      </w:r>
      <w:r>
        <w:rPr>
          <w:rFonts w:hint="default" w:ascii="Times New Roman" w:hAnsi="Times New Roman" w:eastAsia="宋体" w:cs="Times New Roman"/>
          <w:snapToGrid w:val="0"/>
          <w:color w:val="auto"/>
          <w:spacing w:val="-6"/>
          <w:kern w:val="21"/>
          <w:sz w:val="22"/>
          <w:szCs w:val="20"/>
          <w:highlight w:val="none"/>
        </w:rPr>
        <w:fldChar w:fldCharType="separate"/>
      </w:r>
      <w:r>
        <w:rPr>
          <w:rFonts w:hint="default" w:ascii="Times New Roman" w:hAnsi="Times New Roman" w:eastAsia="宋体" w:cs="Times New Roman"/>
          <w:color w:val="auto"/>
          <w:sz w:val="22"/>
          <w:szCs w:val="20"/>
          <w:highlight w:val="none"/>
        </w:rPr>
        <w:t>①</w:t>
      </w:r>
      <w:r>
        <w:rPr>
          <w:rFonts w:hint="default" w:ascii="Times New Roman" w:hAnsi="Times New Roman" w:eastAsia="宋体" w:cs="Times New Roman"/>
          <w:snapToGrid w:val="0"/>
          <w:color w:val="auto"/>
          <w:spacing w:val="-6"/>
          <w:kern w:val="21"/>
          <w:sz w:val="22"/>
          <w:szCs w:val="20"/>
          <w:highlight w:val="none"/>
        </w:rPr>
        <w:fldChar w:fldCharType="end"/>
      </w:r>
      <w:r>
        <w:rPr>
          <w:rFonts w:hint="default" w:ascii="Times New Roman" w:hAnsi="Times New Roman" w:eastAsia="宋体" w:cs="Times New Roman"/>
          <w:snapToGrid w:val="0"/>
          <w:color w:val="auto"/>
          <w:spacing w:val="-6"/>
          <w:kern w:val="21"/>
          <w:sz w:val="22"/>
          <w:szCs w:val="20"/>
          <w:highlight w:val="none"/>
        </w:rPr>
        <w:t>+</w:t>
      </w:r>
      <w:r>
        <w:rPr>
          <w:rFonts w:hint="default" w:ascii="Times New Roman" w:hAnsi="Times New Roman" w:eastAsia="宋体" w:cs="Times New Roman"/>
          <w:snapToGrid w:val="0"/>
          <w:color w:val="auto"/>
          <w:spacing w:val="-6"/>
          <w:kern w:val="21"/>
          <w:sz w:val="22"/>
          <w:szCs w:val="20"/>
          <w:highlight w:val="none"/>
        </w:rPr>
        <w:fldChar w:fldCharType="begin"/>
      </w:r>
      <w:r>
        <w:rPr>
          <w:rFonts w:hint="default" w:ascii="Times New Roman" w:hAnsi="Times New Roman" w:eastAsia="宋体" w:cs="Times New Roman"/>
          <w:snapToGrid w:val="0"/>
          <w:color w:val="auto"/>
          <w:spacing w:val="-6"/>
          <w:kern w:val="21"/>
          <w:sz w:val="22"/>
          <w:szCs w:val="20"/>
          <w:highlight w:val="none"/>
        </w:rPr>
        <w:instrText xml:space="preserve"> = 3 \* GB3 \* MERGEFORMAT </w:instrText>
      </w:r>
      <w:r>
        <w:rPr>
          <w:rFonts w:hint="default" w:ascii="Times New Roman" w:hAnsi="Times New Roman" w:eastAsia="宋体" w:cs="Times New Roman"/>
          <w:snapToGrid w:val="0"/>
          <w:color w:val="auto"/>
          <w:spacing w:val="-6"/>
          <w:kern w:val="21"/>
          <w:sz w:val="22"/>
          <w:szCs w:val="20"/>
          <w:highlight w:val="none"/>
        </w:rPr>
        <w:fldChar w:fldCharType="separate"/>
      </w:r>
      <w:r>
        <w:rPr>
          <w:rFonts w:hint="default" w:ascii="Times New Roman" w:hAnsi="Times New Roman" w:eastAsia="宋体" w:cs="Times New Roman"/>
          <w:color w:val="auto"/>
          <w:sz w:val="22"/>
          <w:szCs w:val="20"/>
          <w:highlight w:val="none"/>
        </w:rPr>
        <w:t>③</w:t>
      </w:r>
      <w:r>
        <w:rPr>
          <w:rFonts w:hint="default" w:ascii="Times New Roman" w:hAnsi="Times New Roman" w:eastAsia="宋体" w:cs="Times New Roman"/>
          <w:snapToGrid w:val="0"/>
          <w:color w:val="auto"/>
          <w:spacing w:val="-6"/>
          <w:kern w:val="21"/>
          <w:sz w:val="22"/>
          <w:szCs w:val="20"/>
          <w:highlight w:val="none"/>
        </w:rPr>
        <w:fldChar w:fldCharType="end"/>
      </w:r>
      <w:r>
        <w:rPr>
          <w:rFonts w:hint="default" w:ascii="Times New Roman" w:hAnsi="Times New Roman" w:eastAsia="宋体" w:cs="Times New Roman"/>
          <w:snapToGrid w:val="0"/>
          <w:color w:val="auto"/>
          <w:spacing w:val="-6"/>
          <w:kern w:val="21"/>
          <w:sz w:val="22"/>
          <w:szCs w:val="20"/>
          <w:highlight w:val="none"/>
        </w:rPr>
        <w:t>+</w:t>
      </w:r>
      <w:r>
        <w:rPr>
          <w:rFonts w:hint="default" w:ascii="Times New Roman" w:hAnsi="Times New Roman" w:eastAsia="宋体" w:cs="Times New Roman"/>
          <w:snapToGrid w:val="0"/>
          <w:color w:val="auto"/>
          <w:spacing w:val="-6"/>
          <w:kern w:val="21"/>
          <w:sz w:val="22"/>
          <w:szCs w:val="20"/>
          <w:highlight w:val="none"/>
        </w:rPr>
        <w:fldChar w:fldCharType="begin"/>
      </w:r>
      <w:r>
        <w:rPr>
          <w:rFonts w:hint="default" w:ascii="Times New Roman" w:hAnsi="Times New Roman" w:eastAsia="宋体" w:cs="Times New Roman"/>
          <w:snapToGrid w:val="0"/>
          <w:color w:val="auto"/>
          <w:spacing w:val="-6"/>
          <w:kern w:val="21"/>
          <w:sz w:val="22"/>
          <w:szCs w:val="20"/>
          <w:highlight w:val="none"/>
        </w:rPr>
        <w:instrText xml:space="preserve"> = 4 \* GB3 \* MERGEFORMAT </w:instrText>
      </w:r>
      <w:r>
        <w:rPr>
          <w:rFonts w:hint="default" w:ascii="Times New Roman" w:hAnsi="Times New Roman" w:eastAsia="宋体" w:cs="Times New Roman"/>
          <w:snapToGrid w:val="0"/>
          <w:color w:val="auto"/>
          <w:spacing w:val="-6"/>
          <w:kern w:val="21"/>
          <w:sz w:val="22"/>
          <w:szCs w:val="20"/>
          <w:highlight w:val="none"/>
        </w:rPr>
        <w:fldChar w:fldCharType="separate"/>
      </w:r>
      <w:r>
        <w:rPr>
          <w:rFonts w:hint="default" w:ascii="Times New Roman" w:hAnsi="Times New Roman" w:eastAsia="宋体" w:cs="Times New Roman"/>
          <w:color w:val="auto"/>
          <w:sz w:val="22"/>
          <w:szCs w:val="20"/>
          <w:highlight w:val="none"/>
        </w:rPr>
        <w:t>④</w:t>
      </w:r>
      <w:r>
        <w:rPr>
          <w:rFonts w:hint="default" w:ascii="Times New Roman" w:hAnsi="Times New Roman" w:eastAsia="宋体" w:cs="Times New Roman"/>
          <w:snapToGrid w:val="0"/>
          <w:color w:val="auto"/>
          <w:spacing w:val="-6"/>
          <w:kern w:val="21"/>
          <w:sz w:val="22"/>
          <w:szCs w:val="20"/>
          <w:highlight w:val="none"/>
        </w:rPr>
        <w:fldChar w:fldCharType="end"/>
      </w:r>
      <w:r>
        <w:rPr>
          <w:rFonts w:hint="default" w:ascii="Times New Roman" w:hAnsi="Times New Roman" w:eastAsia="宋体" w:cs="Times New Roman"/>
          <w:snapToGrid w:val="0"/>
          <w:color w:val="auto"/>
          <w:spacing w:val="-6"/>
          <w:kern w:val="21"/>
          <w:sz w:val="22"/>
          <w:szCs w:val="20"/>
          <w:highlight w:val="none"/>
        </w:rPr>
        <w:t>-</w:t>
      </w:r>
      <w:r>
        <w:rPr>
          <w:rFonts w:hint="default" w:ascii="Times New Roman" w:hAnsi="Times New Roman" w:eastAsia="宋体" w:cs="Times New Roman"/>
          <w:snapToGrid w:val="0"/>
          <w:color w:val="auto"/>
          <w:spacing w:val="-16"/>
          <w:kern w:val="21"/>
          <w:sz w:val="22"/>
          <w:szCs w:val="20"/>
          <w:highlight w:val="none"/>
        </w:rPr>
        <w:fldChar w:fldCharType="begin"/>
      </w:r>
      <w:r>
        <w:rPr>
          <w:rFonts w:hint="default" w:ascii="Times New Roman" w:hAnsi="Times New Roman" w:eastAsia="宋体" w:cs="Times New Roman"/>
          <w:snapToGrid w:val="0"/>
          <w:color w:val="auto"/>
          <w:spacing w:val="-16"/>
          <w:kern w:val="21"/>
          <w:sz w:val="22"/>
          <w:szCs w:val="20"/>
          <w:highlight w:val="none"/>
        </w:rPr>
        <w:instrText xml:space="preserve"> = 5 \* GB3 \* MERGEFORMAT </w:instrText>
      </w:r>
      <w:r>
        <w:rPr>
          <w:rFonts w:hint="default" w:ascii="Times New Roman" w:hAnsi="Times New Roman" w:eastAsia="宋体" w:cs="Times New Roman"/>
          <w:snapToGrid w:val="0"/>
          <w:color w:val="auto"/>
          <w:spacing w:val="-16"/>
          <w:kern w:val="21"/>
          <w:sz w:val="22"/>
          <w:szCs w:val="20"/>
          <w:highlight w:val="none"/>
        </w:rPr>
        <w:fldChar w:fldCharType="separate"/>
      </w:r>
      <w:r>
        <w:rPr>
          <w:rFonts w:hint="default" w:ascii="Times New Roman" w:hAnsi="Times New Roman" w:eastAsia="宋体" w:cs="Times New Roman"/>
          <w:color w:val="auto"/>
          <w:sz w:val="22"/>
          <w:szCs w:val="20"/>
          <w:highlight w:val="none"/>
        </w:rPr>
        <w:t>⑤</w:t>
      </w:r>
      <w:r>
        <w:rPr>
          <w:rFonts w:hint="default" w:ascii="Times New Roman" w:hAnsi="Times New Roman" w:eastAsia="宋体" w:cs="Times New Roman"/>
          <w:snapToGrid w:val="0"/>
          <w:color w:val="auto"/>
          <w:spacing w:val="-16"/>
          <w:kern w:val="21"/>
          <w:sz w:val="22"/>
          <w:szCs w:val="20"/>
          <w:highlight w:val="none"/>
        </w:rPr>
        <w:fldChar w:fldCharType="end"/>
      </w:r>
      <w:r>
        <w:rPr>
          <w:rFonts w:hint="default" w:ascii="Times New Roman" w:hAnsi="Times New Roman" w:eastAsia="宋体" w:cs="Times New Roman"/>
          <w:snapToGrid w:val="0"/>
          <w:color w:val="auto"/>
          <w:spacing w:val="-16"/>
          <w:kern w:val="21"/>
          <w:sz w:val="22"/>
          <w:szCs w:val="20"/>
          <w:highlight w:val="none"/>
        </w:rPr>
        <w:t>；</w:t>
      </w:r>
      <w:r>
        <w:rPr>
          <w:rFonts w:hint="default" w:ascii="Times New Roman" w:hAnsi="Times New Roman" w:eastAsia="宋体" w:cs="Times New Roman"/>
          <w:snapToGrid w:val="0"/>
          <w:color w:val="auto"/>
          <w:spacing w:val="-6"/>
          <w:kern w:val="21"/>
          <w:sz w:val="22"/>
          <w:szCs w:val="20"/>
          <w:highlight w:val="none"/>
        </w:rPr>
        <w:fldChar w:fldCharType="begin"/>
      </w:r>
      <w:r>
        <w:rPr>
          <w:rFonts w:hint="default" w:ascii="Times New Roman" w:hAnsi="Times New Roman" w:eastAsia="宋体" w:cs="Times New Roman"/>
          <w:snapToGrid w:val="0"/>
          <w:color w:val="auto"/>
          <w:spacing w:val="-6"/>
          <w:kern w:val="21"/>
          <w:sz w:val="22"/>
          <w:szCs w:val="20"/>
          <w:highlight w:val="none"/>
        </w:rPr>
        <w:instrText xml:space="preserve"> = 7 \* GB3 \* MERGEFORMAT </w:instrText>
      </w:r>
      <w:r>
        <w:rPr>
          <w:rFonts w:hint="default" w:ascii="Times New Roman" w:hAnsi="Times New Roman" w:eastAsia="宋体" w:cs="Times New Roman"/>
          <w:snapToGrid w:val="0"/>
          <w:color w:val="auto"/>
          <w:spacing w:val="-6"/>
          <w:kern w:val="21"/>
          <w:sz w:val="22"/>
          <w:szCs w:val="20"/>
          <w:highlight w:val="none"/>
        </w:rPr>
        <w:fldChar w:fldCharType="separate"/>
      </w:r>
      <w:r>
        <w:rPr>
          <w:rFonts w:hint="default" w:ascii="Times New Roman" w:hAnsi="Times New Roman" w:eastAsia="宋体" w:cs="Times New Roman"/>
          <w:color w:val="auto"/>
          <w:sz w:val="22"/>
          <w:szCs w:val="20"/>
          <w:highlight w:val="none"/>
        </w:rPr>
        <w:t>⑦</w:t>
      </w:r>
      <w:r>
        <w:rPr>
          <w:rFonts w:hint="default" w:ascii="Times New Roman" w:hAnsi="Times New Roman" w:eastAsia="宋体" w:cs="Times New Roman"/>
          <w:snapToGrid w:val="0"/>
          <w:color w:val="auto"/>
          <w:spacing w:val="-6"/>
          <w:kern w:val="21"/>
          <w:sz w:val="22"/>
          <w:szCs w:val="20"/>
          <w:highlight w:val="none"/>
        </w:rPr>
        <w:fldChar w:fldCharType="end"/>
      </w:r>
      <w:r>
        <w:rPr>
          <w:rFonts w:hint="default" w:ascii="Times New Roman" w:hAnsi="Times New Roman" w:eastAsia="宋体" w:cs="Times New Roman"/>
          <w:snapToGrid w:val="0"/>
          <w:color w:val="auto"/>
          <w:spacing w:val="-6"/>
          <w:kern w:val="21"/>
          <w:sz w:val="22"/>
          <w:szCs w:val="20"/>
          <w:highlight w:val="none"/>
        </w:rPr>
        <w:t>=</w:t>
      </w:r>
      <w:r>
        <w:rPr>
          <w:rFonts w:hint="default" w:ascii="Times New Roman" w:hAnsi="Times New Roman" w:eastAsia="宋体" w:cs="Times New Roman"/>
          <w:snapToGrid w:val="0"/>
          <w:color w:val="auto"/>
          <w:spacing w:val="-16"/>
          <w:kern w:val="21"/>
          <w:sz w:val="22"/>
          <w:szCs w:val="20"/>
          <w:highlight w:val="none"/>
        </w:rPr>
        <w:fldChar w:fldCharType="begin"/>
      </w:r>
      <w:r>
        <w:rPr>
          <w:rFonts w:hint="default" w:ascii="Times New Roman" w:hAnsi="Times New Roman" w:eastAsia="宋体" w:cs="Times New Roman"/>
          <w:snapToGrid w:val="0"/>
          <w:color w:val="auto"/>
          <w:spacing w:val="-16"/>
          <w:kern w:val="21"/>
          <w:sz w:val="22"/>
          <w:szCs w:val="20"/>
          <w:highlight w:val="none"/>
        </w:rPr>
        <w:instrText xml:space="preserve"> = 6 \* GB3 \* MERGEFORMAT </w:instrText>
      </w:r>
      <w:r>
        <w:rPr>
          <w:rFonts w:hint="default" w:ascii="Times New Roman" w:hAnsi="Times New Roman" w:eastAsia="宋体" w:cs="Times New Roman"/>
          <w:snapToGrid w:val="0"/>
          <w:color w:val="auto"/>
          <w:spacing w:val="-16"/>
          <w:kern w:val="21"/>
          <w:sz w:val="22"/>
          <w:szCs w:val="20"/>
          <w:highlight w:val="none"/>
        </w:rPr>
        <w:fldChar w:fldCharType="separate"/>
      </w:r>
      <w:r>
        <w:rPr>
          <w:rFonts w:hint="default" w:ascii="Times New Roman" w:hAnsi="Times New Roman" w:eastAsia="宋体" w:cs="Times New Roman"/>
          <w:color w:val="auto"/>
          <w:sz w:val="22"/>
          <w:szCs w:val="20"/>
          <w:highlight w:val="none"/>
        </w:rPr>
        <w:t>⑥</w:t>
      </w:r>
      <w:r>
        <w:rPr>
          <w:rFonts w:hint="default" w:ascii="Times New Roman" w:hAnsi="Times New Roman" w:eastAsia="宋体" w:cs="Times New Roman"/>
          <w:snapToGrid w:val="0"/>
          <w:color w:val="auto"/>
          <w:spacing w:val="-16"/>
          <w:kern w:val="21"/>
          <w:sz w:val="22"/>
          <w:szCs w:val="20"/>
          <w:highlight w:val="none"/>
        </w:rPr>
        <w:fldChar w:fldCharType="end"/>
      </w:r>
      <w:r>
        <w:rPr>
          <w:rFonts w:hint="default" w:ascii="Times New Roman" w:hAnsi="Times New Roman" w:eastAsia="宋体" w:cs="Times New Roman"/>
          <w:snapToGrid w:val="0"/>
          <w:color w:val="auto"/>
          <w:spacing w:val="-16"/>
          <w:kern w:val="21"/>
          <w:sz w:val="22"/>
          <w:szCs w:val="20"/>
          <w:highlight w:val="none"/>
        </w:rPr>
        <w:t>-</w:t>
      </w:r>
      <w:r>
        <w:rPr>
          <w:rFonts w:hint="default" w:ascii="Times New Roman" w:hAnsi="Times New Roman" w:eastAsia="宋体" w:cs="Times New Roman"/>
          <w:snapToGrid w:val="0"/>
          <w:color w:val="auto"/>
          <w:spacing w:val="-6"/>
          <w:kern w:val="21"/>
          <w:sz w:val="22"/>
          <w:szCs w:val="20"/>
          <w:highlight w:val="none"/>
        </w:rPr>
        <w:fldChar w:fldCharType="begin"/>
      </w:r>
      <w:r>
        <w:rPr>
          <w:rFonts w:hint="default" w:ascii="Times New Roman" w:hAnsi="Times New Roman" w:eastAsia="宋体" w:cs="Times New Roman"/>
          <w:snapToGrid w:val="0"/>
          <w:color w:val="auto"/>
          <w:spacing w:val="-6"/>
          <w:kern w:val="21"/>
          <w:sz w:val="22"/>
          <w:szCs w:val="20"/>
          <w:highlight w:val="none"/>
        </w:rPr>
        <w:instrText xml:space="preserve"> = 1 \* GB3 \* MERGEFORMAT </w:instrText>
      </w:r>
      <w:r>
        <w:rPr>
          <w:rFonts w:hint="default" w:ascii="Times New Roman" w:hAnsi="Times New Roman" w:eastAsia="宋体" w:cs="Times New Roman"/>
          <w:snapToGrid w:val="0"/>
          <w:color w:val="auto"/>
          <w:spacing w:val="-6"/>
          <w:kern w:val="21"/>
          <w:sz w:val="22"/>
          <w:szCs w:val="20"/>
          <w:highlight w:val="none"/>
        </w:rPr>
        <w:fldChar w:fldCharType="separate"/>
      </w:r>
      <w:r>
        <w:rPr>
          <w:rFonts w:hint="default" w:ascii="Times New Roman" w:hAnsi="Times New Roman" w:eastAsia="宋体" w:cs="Times New Roman"/>
          <w:color w:val="auto"/>
          <w:sz w:val="22"/>
          <w:szCs w:val="20"/>
          <w:highlight w:val="none"/>
        </w:rPr>
        <w:t>①</w:t>
      </w:r>
      <w:r>
        <w:rPr>
          <w:rFonts w:hint="default" w:ascii="Times New Roman" w:hAnsi="Times New Roman" w:eastAsia="宋体" w:cs="Times New Roman"/>
          <w:snapToGrid w:val="0"/>
          <w:color w:val="auto"/>
          <w:spacing w:val="-6"/>
          <w:kern w:val="21"/>
          <w:sz w:val="22"/>
          <w:szCs w:val="20"/>
          <w:highlight w:val="none"/>
        </w:rPr>
        <w:fldChar w:fldCharType="end"/>
      </w:r>
    </w:p>
    <w:p w14:paraId="627DC0A2">
      <w:pPr>
        <w:pStyle w:val="118"/>
        <w:rPr>
          <w:rStyle w:val="119"/>
          <w:rFonts w:hint="default" w:ascii="Times New Roman" w:hAnsi="Times New Roman" w:eastAsia="宋体" w:cs="Times New Roman"/>
          <w:b/>
          <w:color w:val="auto"/>
          <w:sz w:val="24"/>
          <w:szCs w:val="28"/>
          <w:lang w:val="en-US" w:eastAsia="zh-CN"/>
        </w:rPr>
      </w:pPr>
      <w:r>
        <w:drawing>
          <wp:anchor distT="0" distB="0" distL="114300" distR="114300" simplePos="0" relativeHeight="251673600" behindDoc="0" locked="0" layoutInCell="1" allowOverlap="1">
            <wp:simplePos x="0" y="0"/>
            <wp:positionH relativeFrom="column">
              <wp:posOffset>-219075</wp:posOffset>
            </wp:positionH>
            <wp:positionV relativeFrom="paragraph">
              <wp:posOffset>276225</wp:posOffset>
            </wp:positionV>
            <wp:extent cx="5868035" cy="8362950"/>
            <wp:effectExtent l="0" t="0" r="18415" b="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46"/>
                    <a:stretch>
                      <a:fillRect/>
                    </a:stretch>
                  </pic:blipFill>
                  <pic:spPr>
                    <a:xfrm>
                      <a:off x="0" y="0"/>
                      <a:ext cx="5868035" cy="8362950"/>
                    </a:xfrm>
                    <a:prstGeom prst="rect">
                      <a:avLst/>
                    </a:prstGeom>
                    <a:noFill/>
                    <a:ln>
                      <a:noFill/>
                    </a:ln>
                  </pic:spPr>
                </pic:pic>
              </a:graphicData>
            </a:graphic>
          </wp:anchor>
        </w:drawing>
      </w:r>
      <w:r>
        <w:rPr>
          <w:rStyle w:val="119"/>
          <w:rFonts w:hint="default" w:ascii="Times New Roman" w:hAnsi="Times New Roman" w:eastAsia="宋体" w:cs="Times New Roman"/>
          <w:b/>
          <w:color w:val="auto"/>
          <w:sz w:val="24"/>
          <w:szCs w:val="28"/>
        </w:rPr>
        <w:t>附件1：</w:t>
      </w:r>
      <w:r>
        <w:rPr>
          <w:rStyle w:val="119"/>
          <w:rFonts w:hint="default" w:ascii="Times New Roman" w:hAnsi="Times New Roman" w:eastAsia="宋体" w:cs="Times New Roman"/>
          <w:b/>
          <w:color w:val="auto"/>
          <w:sz w:val="24"/>
          <w:szCs w:val="28"/>
          <w:lang w:val="en-US" w:eastAsia="zh-CN"/>
        </w:rPr>
        <w:t>委托书</w:t>
      </w:r>
    </w:p>
    <w:p w14:paraId="534C17AD">
      <w:pPr>
        <w:rPr>
          <w:rStyle w:val="119"/>
          <w:rFonts w:hint="default" w:ascii="Times New Roman" w:hAnsi="Times New Roman" w:eastAsia="宋体" w:cs="Times New Roman"/>
          <w:color w:val="auto"/>
          <w:szCs w:val="22"/>
        </w:rPr>
      </w:pPr>
    </w:p>
    <w:p w14:paraId="67319DE5">
      <w:pPr>
        <w:pStyle w:val="38"/>
        <w:rPr>
          <w:rStyle w:val="119"/>
          <w:rFonts w:hint="eastAsia" w:ascii="Times New Roman" w:hAnsi="Times New Roman" w:eastAsia="宋体" w:cs="Times New Roman"/>
          <w:color w:val="auto"/>
          <w:szCs w:val="22"/>
          <w:lang w:eastAsia="zh-CN"/>
        </w:rPr>
      </w:pPr>
    </w:p>
    <w:p w14:paraId="5A994512">
      <w:pPr>
        <w:pStyle w:val="38"/>
        <w:rPr>
          <w:rStyle w:val="119"/>
          <w:rFonts w:hint="default" w:ascii="Times New Roman" w:hAnsi="Times New Roman" w:eastAsia="宋体" w:cs="Times New Roman"/>
          <w:color w:val="auto"/>
          <w:szCs w:val="22"/>
        </w:rPr>
      </w:pPr>
    </w:p>
    <w:p w14:paraId="48D48AB0">
      <w:pPr>
        <w:pStyle w:val="38"/>
        <w:rPr>
          <w:rStyle w:val="119"/>
          <w:rFonts w:hint="default" w:ascii="Times New Roman" w:hAnsi="Times New Roman" w:eastAsia="宋体" w:cs="Times New Roman"/>
          <w:color w:val="auto"/>
          <w:szCs w:val="22"/>
        </w:rPr>
      </w:pPr>
    </w:p>
    <w:p w14:paraId="25D3007E">
      <w:pPr>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委 托 书</w:t>
      </w:r>
    </w:p>
    <w:p w14:paraId="7956D36E">
      <w:pPr>
        <w:rPr>
          <w:rFonts w:hint="default" w:ascii="Times New Roman" w:hAnsi="Times New Roman" w:eastAsia="宋体" w:cs="Times New Roman"/>
          <w:color w:val="auto"/>
          <w:sz w:val="28"/>
          <w:szCs w:val="28"/>
        </w:rPr>
      </w:pPr>
    </w:p>
    <w:p w14:paraId="482A0F5D">
      <w:pPr>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内蒙古智合项目管理有限公司</w:t>
      </w:r>
      <w:r>
        <w:rPr>
          <w:rFonts w:hint="default" w:ascii="Times New Roman" w:hAnsi="Times New Roman" w:eastAsia="宋体" w:cs="Times New Roman"/>
          <w:b/>
          <w:bCs/>
          <w:color w:val="auto"/>
          <w:sz w:val="28"/>
          <w:szCs w:val="28"/>
          <w:highlight w:val="none"/>
        </w:rPr>
        <w:t>：</w:t>
      </w:r>
    </w:p>
    <w:p w14:paraId="56AE8FB7">
      <w:pPr>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经我单位研究决定，委托贵公司编制《</w:t>
      </w:r>
      <w:r>
        <w:rPr>
          <w:rFonts w:hint="eastAsia" w:cs="Times New Roman"/>
          <w:color w:val="auto"/>
          <w:sz w:val="28"/>
          <w:szCs w:val="28"/>
          <w:lang w:val="en-US" w:eastAsia="zh-CN"/>
        </w:rPr>
        <w:t>国能神东煤炭布尔台煤矿伸缩喷漆房项目</w:t>
      </w:r>
      <w:r>
        <w:rPr>
          <w:rFonts w:hint="default" w:ascii="Times New Roman" w:hAnsi="Times New Roman" w:eastAsia="宋体" w:cs="Times New Roman"/>
          <w:color w:val="auto"/>
          <w:sz w:val="28"/>
          <w:szCs w:val="28"/>
        </w:rPr>
        <w:t>》。请贵单位接到该委托书后按照国家及地方的相关法律、法规及规范编制</w:t>
      </w:r>
      <w:r>
        <w:rPr>
          <w:rFonts w:hint="default" w:ascii="Times New Roman" w:hAnsi="Times New Roman" w:eastAsia="宋体" w:cs="Times New Roman"/>
          <w:color w:val="auto"/>
          <w:sz w:val="28"/>
          <w:szCs w:val="28"/>
          <w:lang w:val="en-US" w:eastAsia="zh-CN"/>
        </w:rPr>
        <w:t>环境影响</w:t>
      </w:r>
      <w:r>
        <w:rPr>
          <w:rFonts w:hint="default" w:ascii="Times New Roman" w:hAnsi="Times New Roman" w:eastAsia="宋体" w:cs="Times New Roman"/>
          <w:color w:val="auto"/>
          <w:sz w:val="28"/>
          <w:szCs w:val="28"/>
        </w:rPr>
        <w:t>报告</w:t>
      </w:r>
      <w:r>
        <w:rPr>
          <w:rFonts w:hint="default" w:ascii="Times New Roman" w:hAnsi="Times New Roman" w:eastAsia="宋体" w:cs="Times New Roman"/>
          <w:color w:val="auto"/>
          <w:sz w:val="28"/>
          <w:szCs w:val="28"/>
          <w:lang w:val="en-US" w:eastAsia="zh-CN"/>
        </w:rPr>
        <w:t>表</w:t>
      </w:r>
      <w:r>
        <w:rPr>
          <w:rFonts w:hint="default" w:ascii="Times New Roman" w:hAnsi="Times New Roman" w:eastAsia="宋体" w:cs="Times New Roman"/>
          <w:color w:val="auto"/>
          <w:sz w:val="28"/>
          <w:szCs w:val="28"/>
        </w:rPr>
        <w:t>。请贵单位按上述要求尽快开展该项工作。</w:t>
      </w:r>
    </w:p>
    <w:p w14:paraId="5BB99605">
      <w:pPr>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特此委托</w:t>
      </w:r>
    </w:p>
    <w:p w14:paraId="74D6DD73">
      <w:pPr>
        <w:rPr>
          <w:rFonts w:hint="default" w:ascii="Times New Roman" w:hAnsi="Times New Roman" w:eastAsia="宋体" w:cs="Times New Roman"/>
          <w:color w:val="auto"/>
          <w:sz w:val="28"/>
          <w:szCs w:val="28"/>
        </w:rPr>
      </w:pPr>
    </w:p>
    <w:p w14:paraId="74E3DE8D">
      <w:pPr>
        <w:rPr>
          <w:rFonts w:hint="default" w:ascii="Times New Roman" w:hAnsi="Times New Roman" w:eastAsia="宋体" w:cs="Times New Roman"/>
          <w:color w:val="auto"/>
          <w:sz w:val="28"/>
          <w:szCs w:val="28"/>
        </w:rPr>
      </w:pPr>
    </w:p>
    <w:p w14:paraId="50701922">
      <w:pPr>
        <w:rPr>
          <w:rFonts w:hint="default" w:ascii="Times New Roman" w:hAnsi="Times New Roman" w:eastAsia="宋体" w:cs="Times New Roman"/>
          <w:color w:val="auto"/>
          <w:sz w:val="28"/>
          <w:szCs w:val="28"/>
        </w:rPr>
      </w:pPr>
    </w:p>
    <w:p w14:paraId="22157890">
      <w:pPr>
        <w:jc w:val="right"/>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中国神华能源股份有限公司神东煤炭分公司</w:t>
      </w:r>
    </w:p>
    <w:p w14:paraId="679EB995">
      <w:pPr>
        <w:jc w:val="right"/>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202</w:t>
      </w:r>
      <w:r>
        <w:rPr>
          <w:rFonts w:hint="eastAsia" w:cs="Times New Roman"/>
          <w:b/>
          <w:bCs/>
          <w:color w:val="auto"/>
          <w:sz w:val="28"/>
          <w:szCs w:val="28"/>
          <w:lang w:val="en-US" w:eastAsia="zh-CN"/>
        </w:rPr>
        <w:t>4</w:t>
      </w:r>
      <w:r>
        <w:rPr>
          <w:rFonts w:hint="default" w:ascii="Times New Roman" w:hAnsi="Times New Roman" w:eastAsia="宋体" w:cs="Times New Roman"/>
          <w:b/>
          <w:bCs/>
          <w:color w:val="auto"/>
          <w:sz w:val="28"/>
          <w:szCs w:val="28"/>
        </w:rPr>
        <w:t>年</w:t>
      </w:r>
      <w:r>
        <w:rPr>
          <w:rFonts w:hint="eastAsia" w:cs="Times New Roman"/>
          <w:b/>
          <w:bCs/>
          <w:color w:val="auto"/>
          <w:sz w:val="28"/>
          <w:szCs w:val="28"/>
          <w:lang w:val="en-US" w:eastAsia="zh-CN"/>
        </w:rPr>
        <w:t>8</w:t>
      </w:r>
      <w:r>
        <w:rPr>
          <w:rFonts w:hint="default" w:ascii="Times New Roman" w:hAnsi="Times New Roman" w:eastAsia="宋体" w:cs="Times New Roman"/>
          <w:b/>
          <w:bCs/>
          <w:color w:val="auto"/>
          <w:sz w:val="28"/>
          <w:szCs w:val="28"/>
        </w:rPr>
        <w:t>月</w:t>
      </w:r>
      <w:r>
        <w:rPr>
          <w:rFonts w:hint="default" w:ascii="Times New Roman" w:hAnsi="Times New Roman" w:eastAsia="宋体" w:cs="Times New Roman"/>
          <w:b/>
          <w:bCs/>
          <w:color w:val="auto"/>
          <w:sz w:val="28"/>
          <w:szCs w:val="28"/>
          <w:lang w:val="en-US" w:eastAsia="zh-CN"/>
        </w:rPr>
        <w:t>15</w:t>
      </w:r>
      <w:r>
        <w:rPr>
          <w:rFonts w:hint="default" w:ascii="Times New Roman" w:hAnsi="Times New Roman" w:eastAsia="宋体" w:cs="Times New Roman"/>
          <w:b/>
          <w:bCs/>
          <w:color w:val="auto"/>
          <w:sz w:val="28"/>
          <w:szCs w:val="28"/>
        </w:rPr>
        <w:t>日</w:t>
      </w:r>
    </w:p>
    <w:p w14:paraId="5C1EFA3C">
      <w:pPr>
        <w:rPr>
          <w:rFonts w:hint="default" w:ascii="Times New Roman" w:hAnsi="Times New Roman" w:eastAsia="宋体" w:cs="Times New Roman"/>
          <w:b/>
          <w:bCs/>
          <w:color w:val="auto"/>
          <w:lang w:eastAsia="zh-CN"/>
        </w:rPr>
      </w:pPr>
    </w:p>
    <w:p w14:paraId="3EDD04BD">
      <w:pPr>
        <w:pStyle w:val="110"/>
        <w:spacing w:before="125" w:after="31"/>
        <w:jc w:val="left"/>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14:paraId="61445E44">
      <w:pPr>
        <w:pStyle w:val="118"/>
        <w:rPr>
          <w:rFonts w:hint="default" w:ascii="Times New Roman" w:hAnsi="Times New Roman" w:eastAsia="宋体" w:cs="Times New Roman"/>
          <w:b w:val="0"/>
          <w:color w:val="auto"/>
        </w:rPr>
      </w:pPr>
      <w:r>
        <w:rPr>
          <w:rStyle w:val="119"/>
          <w:rFonts w:hint="default" w:ascii="Times New Roman" w:hAnsi="Times New Roman" w:eastAsia="宋体" w:cs="Times New Roman"/>
          <w:b/>
          <w:color w:val="auto"/>
        </w:rPr>
        <w:t>附件</w:t>
      </w:r>
      <w:r>
        <w:rPr>
          <w:rStyle w:val="119"/>
          <w:rFonts w:hint="eastAsia" w:cs="Times New Roman"/>
          <w:b/>
          <w:color w:val="auto"/>
          <w:lang w:val="en-US" w:eastAsia="zh-CN"/>
        </w:rPr>
        <w:t>2</w:t>
      </w:r>
      <w:r>
        <w:rPr>
          <w:rStyle w:val="119"/>
          <w:rFonts w:hint="default" w:ascii="Times New Roman" w:hAnsi="Times New Roman" w:eastAsia="宋体" w:cs="Times New Roman"/>
          <w:b/>
          <w:color w:val="auto"/>
        </w:rPr>
        <w:t>：营业执照</w:t>
      </w:r>
    </w:p>
    <w:p w14:paraId="0A4DDDF5">
      <w:pPr>
        <w:pStyle w:val="110"/>
        <w:spacing w:before="125" w:after="31"/>
        <w:rPr>
          <w:rFonts w:hint="default" w:ascii="Times New Roman" w:hAnsi="Times New Roman" w:eastAsia="宋体" w:cs="Times New Roman"/>
          <w:color w:val="auto"/>
          <w:lang w:eastAsia="zh-CN"/>
        </w:rPr>
      </w:pPr>
    </w:p>
    <w:p w14:paraId="6BA84928">
      <w:pPr>
        <w:pStyle w:val="118"/>
        <w:rPr>
          <w:rFonts w:hint="default" w:ascii="Times New Roman" w:hAnsi="Times New Roman" w:eastAsia="宋体" w:cs="Times New Roman"/>
          <w:color w:val="auto"/>
        </w:rPr>
        <w:sectPr>
          <w:footerReference r:id="rId1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r>
        <w:rPr>
          <w:rFonts w:hint="default" w:ascii="Times New Roman" w:hAnsi="Times New Roman" w:eastAsia="宋体" w:cs="Times New Roman"/>
          <w:color w:val="auto"/>
        </w:rPr>
        <w:drawing>
          <wp:inline distT="0" distB="0" distL="114300" distR="114300">
            <wp:extent cx="8132445" cy="4935220"/>
            <wp:effectExtent l="0" t="0" r="17780" b="1905"/>
            <wp:docPr id="74" name="图片 74" descr="560800fe88c2f2edf73135c1b5844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560800fe88c2f2edf73135c1b5844e2"/>
                    <pic:cNvPicPr>
                      <a:picLocks noChangeAspect="1"/>
                    </pic:cNvPicPr>
                  </pic:nvPicPr>
                  <pic:blipFill>
                    <a:blip r:embed="rId47"/>
                    <a:stretch>
                      <a:fillRect/>
                    </a:stretch>
                  </pic:blipFill>
                  <pic:spPr>
                    <a:xfrm rot="16200000">
                      <a:off x="0" y="0"/>
                      <a:ext cx="8132445" cy="4935220"/>
                    </a:xfrm>
                    <a:prstGeom prst="rect">
                      <a:avLst/>
                    </a:prstGeom>
                  </pic:spPr>
                </pic:pic>
              </a:graphicData>
            </a:graphic>
          </wp:inline>
        </w:drawing>
      </w:r>
    </w:p>
    <w:p w14:paraId="24BFA298">
      <w:pPr>
        <w:pStyle w:val="118"/>
        <w:rPr>
          <w:rFonts w:hint="default" w:ascii="Times New Roman" w:hAnsi="Times New Roman" w:eastAsia="宋体" w:cs="Times New Roman"/>
          <w:color w:val="auto"/>
        </w:rPr>
      </w:pPr>
      <w:r>
        <w:rPr>
          <w:rFonts w:hint="default" w:ascii="Times New Roman" w:hAnsi="Times New Roman" w:eastAsia="宋体" w:cs="Times New Roman"/>
          <w:color w:val="auto"/>
        </w:rPr>
        <w:t>附件</w:t>
      </w:r>
      <w:r>
        <w:rPr>
          <w:rFonts w:hint="eastAsia" w:cs="Times New Roman"/>
          <w:color w:val="auto"/>
          <w:lang w:val="en-US" w:eastAsia="zh-CN"/>
        </w:rPr>
        <w:t>3</w:t>
      </w:r>
      <w:r>
        <w:rPr>
          <w:rFonts w:hint="default" w:ascii="Times New Roman" w:hAnsi="Times New Roman" w:eastAsia="宋体" w:cs="Times New Roman"/>
          <w:color w:val="auto"/>
        </w:rPr>
        <w:t>：</w:t>
      </w:r>
      <w:r>
        <w:rPr>
          <w:rFonts w:hint="eastAsia" w:ascii="Times New Roman" w:hAnsi="Times New Roman" w:cs="Times New Roman"/>
          <w:color w:val="auto"/>
          <w:lang w:val="en-US" w:eastAsia="zh-CN"/>
        </w:rPr>
        <w:t>项目备案告知书</w:t>
      </w:r>
      <w:r>
        <w:rPr>
          <w:rFonts w:hint="default" w:ascii="Times New Roman" w:hAnsi="Times New Roman" w:eastAsia="宋体" w:cs="Times New Roman"/>
          <w:color w:val="auto"/>
        </w:rPr>
        <w:t xml:space="preserve"> </w:t>
      </w:r>
    </w:p>
    <w:p w14:paraId="4D9AACB8">
      <w:pPr>
        <w:pStyle w:val="118"/>
        <w:rPr>
          <w:rFonts w:hint="default" w:ascii="Times New Roman" w:hAnsi="Times New Roman" w:eastAsia="宋体" w:cs="Times New Roman"/>
          <w:color w:val="auto"/>
        </w:rPr>
      </w:pPr>
      <w:r>
        <w:rPr>
          <w:rFonts w:hint="default" w:ascii="Times New Roman" w:hAnsi="Times New Roman" w:eastAsia="宋体" w:cs="Times New Roman"/>
          <w:color w:val="auto"/>
        </w:rPr>
        <w:drawing>
          <wp:inline distT="0" distB="0" distL="114300" distR="114300">
            <wp:extent cx="5271770" cy="7458075"/>
            <wp:effectExtent l="0" t="0" r="5080" b="9525"/>
            <wp:docPr id="42" name="图片 42" descr="国能神东煤炭布尔台煤矿伸缩喷漆房项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国能神东煤炭布尔台煤矿伸缩喷漆房项目_00"/>
                    <pic:cNvPicPr>
                      <a:picLocks noChangeAspect="1"/>
                    </pic:cNvPicPr>
                  </pic:nvPicPr>
                  <pic:blipFill>
                    <a:blip r:embed="rId48"/>
                    <a:stretch>
                      <a:fillRect/>
                    </a:stretch>
                  </pic:blipFill>
                  <pic:spPr>
                    <a:xfrm>
                      <a:off x="0" y="0"/>
                      <a:ext cx="5271770" cy="7458075"/>
                    </a:xfrm>
                    <a:prstGeom prst="rect">
                      <a:avLst/>
                    </a:prstGeom>
                  </pic:spPr>
                </pic:pic>
              </a:graphicData>
            </a:graphic>
          </wp:inline>
        </w:drawing>
      </w:r>
      <w:r>
        <w:rPr>
          <w:rFonts w:hint="default" w:ascii="Times New Roman" w:hAnsi="Times New Roman" w:eastAsia="宋体" w:cs="Times New Roman"/>
          <w:color w:val="auto"/>
        </w:rPr>
        <w:br w:type="page"/>
      </w:r>
      <w:r>
        <w:rPr>
          <w:rFonts w:hint="default" w:ascii="Times New Roman" w:hAnsi="Times New Roman" w:eastAsia="宋体" w:cs="Times New Roman"/>
          <w:color w:val="auto"/>
        </w:rPr>
        <w:t>附件</w:t>
      </w:r>
      <w:r>
        <w:rPr>
          <w:rFonts w:hint="eastAsia" w:cs="Times New Roman"/>
          <w:color w:val="auto"/>
          <w:lang w:val="en-US" w:eastAsia="zh-CN"/>
        </w:rPr>
        <w:t>4</w:t>
      </w:r>
      <w:r>
        <w:rPr>
          <w:rFonts w:hint="default" w:ascii="Times New Roman" w:hAnsi="Times New Roman" w:eastAsia="宋体" w:cs="Times New Roman"/>
          <w:color w:val="auto"/>
        </w:rPr>
        <w:t>：</w:t>
      </w:r>
      <w:r>
        <w:rPr>
          <w:rFonts w:hint="default" w:ascii="Times New Roman" w:hAnsi="Times New Roman" w:eastAsia="宋体" w:cs="Times New Roman"/>
          <w:color w:val="auto"/>
          <w:lang w:eastAsia="zh-CN"/>
        </w:rPr>
        <w:t>土地文件</w:t>
      </w:r>
      <w:r>
        <w:rPr>
          <w:rFonts w:hint="default" w:ascii="Times New Roman" w:hAnsi="Times New Roman" w:eastAsia="宋体" w:cs="Times New Roman"/>
          <w:color w:val="auto"/>
        </w:rPr>
        <w:t xml:space="preserve"> </w:t>
      </w:r>
    </w:p>
    <w:p w14:paraId="5FCBF36D">
      <w:pPr>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drawing>
          <wp:inline distT="0" distB="0" distL="114300" distR="114300">
            <wp:extent cx="7480935" cy="5292725"/>
            <wp:effectExtent l="0" t="0" r="3175" b="5715"/>
            <wp:docPr id="75" name="图片 75" descr="f6cc0e35c145465e982af2e488add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f6cc0e35c145465e982af2e488add8e"/>
                    <pic:cNvPicPr>
                      <a:picLocks noChangeAspect="1"/>
                    </pic:cNvPicPr>
                  </pic:nvPicPr>
                  <pic:blipFill>
                    <a:blip r:embed="rId49"/>
                    <a:stretch>
                      <a:fillRect/>
                    </a:stretch>
                  </pic:blipFill>
                  <pic:spPr>
                    <a:xfrm rot="16200000">
                      <a:off x="0" y="0"/>
                      <a:ext cx="7480935" cy="5292725"/>
                    </a:xfrm>
                    <a:prstGeom prst="rect">
                      <a:avLst/>
                    </a:prstGeom>
                  </pic:spPr>
                </pic:pic>
              </a:graphicData>
            </a:graphic>
          </wp:inline>
        </w:drawing>
      </w:r>
    </w:p>
    <w:p w14:paraId="22950542">
      <w:pPr>
        <w:rPr>
          <w:rFonts w:hint="default" w:ascii="Times New Roman" w:hAnsi="Times New Roman" w:eastAsia="宋体" w:cs="Times New Roman"/>
          <w:color w:val="auto"/>
        </w:rPr>
      </w:pPr>
    </w:p>
    <w:p w14:paraId="3A53803A">
      <w:pPr>
        <w:jc w:val="center"/>
        <w:rPr>
          <w:rFonts w:hint="default" w:ascii="Times New Roman" w:hAnsi="Times New Roman" w:eastAsia="宋体" w:cs="Times New Roman"/>
          <w:color w:val="auto"/>
        </w:rPr>
      </w:pPr>
    </w:p>
    <w:p w14:paraId="697AC1F1">
      <w:pPr>
        <w:rPr>
          <w:rFonts w:hint="default" w:ascii="Times New Roman" w:hAnsi="Times New Roman" w:eastAsia="宋体" w:cs="Times New Roman"/>
          <w:color w:val="auto"/>
        </w:rPr>
      </w:pPr>
    </w:p>
    <w:p w14:paraId="2FBA01C4">
      <w:pPr>
        <w:tabs>
          <w:tab w:val="left" w:pos="0"/>
        </w:tabs>
        <w:spacing w:line="360" w:lineRule="auto"/>
        <w:outlineLvl w:val="0"/>
        <w:rPr>
          <w:rFonts w:hint="default" w:ascii="Times New Roman" w:hAnsi="Times New Roman" w:eastAsia="宋体" w:cs="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r>
        <w:rPr>
          <w:rFonts w:hint="default" w:ascii="Times New Roman" w:hAnsi="Times New Roman" w:eastAsia="宋体" w:cs="Times New Roman"/>
          <w:color w:val="auto"/>
        </w:rPr>
        <w:br w:type="page"/>
      </w:r>
    </w:p>
    <w:p w14:paraId="75C4A3CB">
      <w:pPr>
        <w:tabs>
          <w:tab w:val="left" w:pos="0"/>
        </w:tabs>
        <w:spacing w:line="360" w:lineRule="auto"/>
        <w:outlineLvl w:val="0"/>
        <w:rPr>
          <w:rFonts w:hint="eastAsia" w:cs="Times New Roman"/>
          <w:b/>
          <w:color w:val="auto"/>
          <w:kern w:val="2"/>
          <w:sz w:val="21"/>
          <w:szCs w:val="24"/>
          <w:lang w:val="en-US" w:eastAsia="zh-CN" w:bidi="ar-SA"/>
        </w:rPr>
      </w:pPr>
      <w:r>
        <w:rPr>
          <w:rFonts w:hint="eastAsia" w:cs="Times New Roman"/>
          <w:b/>
          <w:color w:val="auto"/>
          <w:kern w:val="2"/>
          <w:sz w:val="21"/>
          <w:szCs w:val="24"/>
          <w:lang w:val="en-US" w:eastAsia="zh-CN" w:bidi="ar-SA"/>
        </w:rPr>
        <w:t>附件5：依托危险废物暂存间环评批复</w:t>
      </w:r>
    </w:p>
    <w:p w14:paraId="4096B188">
      <w:pPr>
        <w:pStyle w:val="23"/>
        <w:rPr>
          <w:rFonts w:hint="eastAsia" w:cs="Times New Roman"/>
          <w:b/>
          <w:color w:val="auto"/>
          <w:kern w:val="2"/>
          <w:sz w:val="21"/>
          <w:szCs w:val="24"/>
          <w:lang w:val="en-US" w:eastAsia="zh-CN" w:bidi="ar-SA"/>
        </w:rPr>
      </w:pPr>
    </w:p>
    <w:p w14:paraId="1282DDA6">
      <w:pPr>
        <w:rPr>
          <w:rFonts w:hint="default"/>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r>
        <w:rPr>
          <w:rFonts w:hint="default"/>
          <w:color w:val="auto"/>
          <w:lang w:val="en-US" w:eastAsia="zh-CN"/>
        </w:rPr>
        <w:drawing>
          <wp:inline distT="0" distB="0" distL="114300" distR="114300">
            <wp:extent cx="5267960" cy="7453630"/>
            <wp:effectExtent l="0" t="0" r="8890" b="13970"/>
            <wp:docPr id="76" name="图片 76" descr="13.危险废物库环评批复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13.危险废物库环评批复_00"/>
                    <pic:cNvPicPr>
                      <a:picLocks noChangeAspect="1"/>
                    </pic:cNvPicPr>
                  </pic:nvPicPr>
                  <pic:blipFill>
                    <a:blip r:embed="rId50"/>
                    <a:stretch>
                      <a:fillRect/>
                    </a:stretch>
                  </pic:blipFill>
                  <pic:spPr>
                    <a:xfrm>
                      <a:off x="0" y="0"/>
                      <a:ext cx="5267960" cy="7453630"/>
                    </a:xfrm>
                    <a:prstGeom prst="rect">
                      <a:avLst/>
                    </a:prstGeom>
                  </pic:spPr>
                </pic:pic>
              </a:graphicData>
            </a:graphic>
          </wp:inline>
        </w:drawing>
      </w:r>
      <w:r>
        <w:rPr>
          <w:rFonts w:hint="default"/>
          <w:color w:val="auto"/>
          <w:lang w:val="en-US" w:eastAsia="zh-CN"/>
        </w:rPr>
        <w:drawing>
          <wp:inline distT="0" distB="0" distL="114300" distR="114300">
            <wp:extent cx="5267960" cy="7453630"/>
            <wp:effectExtent l="0" t="0" r="8890" b="13970"/>
            <wp:docPr id="78" name="图片 78" descr="13.危险废物库环评批复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3.危险废物库环评批复_01"/>
                    <pic:cNvPicPr>
                      <a:picLocks noChangeAspect="1"/>
                    </pic:cNvPicPr>
                  </pic:nvPicPr>
                  <pic:blipFill>
                    <a:blip r:embed="rId51"/>
                    <a:stretch>
                      <a:fillRect/>
                    </a:stretch>
                  </pic:blipFill>
                  <pic:spPr>
                    <a:xfrm>
                      <a:off x="0" y="0"/>
                      <a:ext cx="5267960" cy="7453630"/>
                    </a:xfrm>
                    <a:prstGeom prst="rect">
                      <a:avLst/>
                    </a:prstGeom>
                  </pic:spPr>
                </pic:pic>
              </a:graphicData>
            </a:graphic>
          </wp:inline>
        </w:drawing>
      </w:r>
      <w:r>
        <w:rPr>
          <w:rFonts w:hint="default"/>
          <w:color w:val="auto"/>
          <w:lang w:val="en-US" w:eastAsia="zh-CN"/>
        </w:rPr>
        <w:drawing>
          <wp:inline distT="0" distB="0" distL="114300" distR="114300">
            <wp:extent cx="5267960" cy="7453630"/>
            <wp:effectExtent l="0" t="0" r="8890" b="13970"/>
            <wp:docPr id="79" name="图片 79" descr="13.危险废物库环评批复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3.危险废物库环评批复_02"/>
                    <pic:cNvPicPr>
                      <a:picLocks noChangeAspect="1"/>
                    </pic:cNvPicPr>
                  </pic:nvPicPr>
                  <pic:blipFill>
                    <a:blip r:embed="rId52"/>
                    <a:stretch>
                      <a:fillRect/>
                    </a:stretch>
                  </pic:blipFill>
                  <pic:spPr>
                    <a:xfrm>
                      <a:off x="0" y="0"/>
                      <a:ext cx="5267960" cy="7453630"/>
                    </a:xfrm>
                    <a:prstGeom prst="rect">
                      <a:avLst/>
                    </a:prstGeom>
                  </pic:spPr>
                </pic:pic>
              </a:graphicData>
            </a:graphic>
          </wp:inline>
        </w:drawing>
      </w:r>
      <w:r>
        <w:rPr>
          <w:rFonts w:hint="default"/>
          <w:color w:val="auto"/>
          <w:lang w:val="en-US" w:eastAsia="zh-CN"/>
        </w:rPr>
        <w:drawing>
          <wp:inline distT="0" distB="0" distL="114300" distR="114300">
            <wp:extent cx="5267960" cy="7453630"/>
            <wp:effectExtent l="0" t="0" r="8890" b="13970"/>
            <wp:docPr id="80" name="图片 80" descr="13.危险废物库环评批复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13.危险废物库环评批复_03"/>
                    <pic:cNvPicPr>
                      <a:picLocks noChangeAspect="1"/>
                    </pic:cNvPicPr>
                  </pic:nvPicPr>
                  <pic:blipFill>
                    <a:blip r:embed="rId53"/>
                    <a:stretch>
                      <a:fillRect/>
                    </a:stretch>
                  </pic:blipFill>
                  <pic:spPr>
                    <a:xfrm>
                      <a:off x="0" y="0"/>
                      <a:ext cx="5267960" cy="7453630"/>
                    </a:xfrm>
                    <a:prstGeom prst="rect">
                      <a:avLst/>
                    </a:prstGeom>
                  </pic:spPr>
                </pic:pic>
              </a:graphicData>
            </a:graphic>
          </wp:inline>
        </w:drawing>
      </w:r>
    </w:p>
    <w:p w14:paraId="32019133">
      <w:pPr>
        <w:tabs>
          <w:tab w:val="left" w:pos="0"/>
        </w:tabs>
        <w:spacing w:line="360" w:lineRule="auto"/>
        <w:outlineLvl w:val="0"/>
        <w:rPr>
          <w:rFonts w:hint="default" w:cs="Times New Roman"/>
          <w:b/>
          <w:color w:val="auto"/>
          <w:kern w:val="2"/>
          <w:sz w:val="21"/>
          <w:szCs w:val="24"/>
          <w:lang w:val="en-US" w:eastAsia="zh-CN" w:bidi="ar-SA"/>
        </w:rPr>
      </w:pPr>
      <w:r>
        <w:rPr>
          <w:rFonts w:hint="eastAsia" w:cs="Times New Roman"/>
          <w:b/>
          <w:color w:val="auto"/>
          <w:kern w:val="2"/>
          <w:sz w:val="21"/>
          <w:szCs w:val="24"/>
          <w:lang w:val="en-US" w:eastAsia="zh-CN" w:bidi="ar-SA"/>
        </w:rPr>
        <w:t>附件6：依托危险废物暂存间环保验收意见</w:t>
      </w:r>
    </w:p>
    <w:p w14:paraId="2C29729A">
      <w:pPr>
        <w:rPr>
          <w:rFonts w:hint="default"/>
          <w:color w:val="auto"/>
          <w:lang w:val="en-US" w:eastAsia="zh-CN"/>
        </w:rPr>
      </w:pPr>
    </w:p>
    <w:p w14:paraId="71A21D20">
      <w:pPr>
        <w:rPr>
          <w:rFonts w:hint="default"/>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r>
        <w:rPr>
          <w:rFonts w:hint="default"/>
          <w:color w:val="auto"/>
          <w:lang w:val="en-US" w:eastAsia="zh-CN"/>
        </w:rPr>
        <w:drawing>
          <wp:inline distT="0" distB="0" distL="114300" distR="114300">
            <wp:extent cx="5273675" cy="7456805"/>
            <wp:effectExtent l="0" t="0" r="3175" b="10795"/>
            <wp:docPr id="81" name="图片 81" descr="13.1自主验收意见--布尔台煤矿区域危险废物暂存库建设项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13.1自主验收意见--布尔台煤矿区域危险废物暂存库建设项目_00"/>
                    <pic:cNvPicPr>
                      <a:picLocks noChangeAspect="1"/>
                    </pic:cNvPicPr>
                  </pic:nvPicPr>
                  <pic:blipFill>
                    <a:blip r:embed="rId54"/>
                    <a:stretch>
                      <a:fillRect/>
                    </a:stretch>
                  </pic:blipFill>
                  <pic:spPr>
                    <a:xfrm>
                      <a:off x="0" y="0"/>
                      <a:ext cx="5273675" cy="7456805"/>
                    </a:xfrm>
                    <a:prstGeom prst="rect">
                      <a:avLst/>
                    </a:prstGeom>
                  </pic:spPr>
                </pic:pic>
              </a:graphicData>
            </a:graphic>
          </wp:inline>
        </w:drawing>
      </w:r>
      <w:r>
        <w:rPr>
          <w:rFonts w:hint="default"/>
          <w:color w:val="auto"/>
          <w:lang w:val="en-US" w:eastAsia="zh-CN"/>
        </w:rPr>
        <w:drawing>
          <wp:inline distT="0" distB="0" distL="114300" distR="114300">
            <wp:extent cx="5273675" cy="7456805"/>
            <wp:effectExtent l="0" t="0" r="3175" b="10795"/>
            <wp:docPr id="82" name="图片 82" descr="13.1自主验收意见--布尔台煤矿区域危险废物暂存库建设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3.1自主验收意见--布尔台煤矿区域危险废物暂存库建设项目_01"/>
                    <pic:cNvPicPr>
                      <a:picLocks noChangeAspect="1"/>
                    </pic:cNvPicPr>
                  </pic:nvPicPr>
                  <pic:blipFill>
                    <a:blip r:embed="rId55"/>
                    <a:stretch>
                      <a:fillRect/>
                    </a:stretch>
                  </pic:blipFill>
                  <pic:spPr>
                    <a:xfrm>
                      <a:off x="0" y="0"/>
                      <a:ext cx="5273675" cy="7456805"/>
                    </a:xfrm>
                    <a:prstGeom prst="rect">
                      <a:avLst/>
                    </a:prstGeom>
                  </pic:spPr>
                </pic:pic>
              </a:graphicData>
            </a:graphic>
          </wp:inline>
        </w:drawing>
      </w:r>
      <w:r>
        <w:rPr>
          <w:rFonts w:hint="default"/>
          <w:color w:val="auto"/>
          <w:lang w:val="en-US" w:eastAsia="zh-CN"/>
        </w:rPr>
        <w:drawing>
          <wp:inline distT="0" distB="0" distL="114300" distR="114300">
            <wp:extent cx="5273675" cy="7456805"/>
            <wp:effectExtent l="0" t="0" r="3175" b="10795"/>
            <wp:docPr id="83" name="图片 83" descr="13.1自主验收意见--布尔台煤矿区域危险废物暂存库建设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13.1自主验收意见--布尔台煤矿区域危险废物暂存库建设项目_02"/>
                    <pic:cNvPicPr>
                      <a:picLocks noChangeAspect="1"/>
                    </pic:cNvPicPr>
                  </pic:nvPicPr>
                  <pic:blipFill>
                    <a:blip r:embed="rId56"/>
                    <a:stretch>
                      <a:fillRect/>
                    </a:stretch>
                  </pic:blipFill>
                  <pic:spPr>
                    <a:xfrm>
                      <a:off x="0" y="0"/>
                      <a:ext cx="5273675" cy="7456805"/>
                    </a:xfrm>
                    <a:prstGeom prst="rect">
                      <a:avLst/>
                    </a:prstGeom>
                  </pic:spPr>
                </pic:pic>
              </a:graphicData>
            </a:graphic>
          </wp:inline>
        </w:drawing>
      </w:r>
      <w:r>
        <w:rPr>
          <w:rFonts w:hint="default"/>
          <w:color w:val="auto"/>
          <w:lang w:val="en-US" w:eastAsia="zh-CN"/>
        </w:rPr>
        <w:drawing>
          <wp:inline distT="0" distB="0" distL="114300" distR="114300">
            <wp:extent cx="5273675" cy="7456805"/>
            <wp:effectExtent l="0" t="0" r="3175" b="10795"/>
            <wp:docPr id="84" name="图片 84" descr="13.1自主验收意见--布尔台煤矿区域危险废物暂存库建设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13.1自主验收意见--布尔台煤矿区域危险废物暂存库建设项目_03"/>
                    <pic:cNvPicPr>
                      <a:picLocks noChangeAspect="1"/>
                    </pic:cNvPicPr>
                  </pic:nvPicPr>
                  <pic:blipFill>
                    <a:blip r:embed="rId57"/>
                    <a:stretch>
                      <a:fillRect/>
                    </a:stretch>
                  </pic:blipFill>
                  <pic:spPr>
                    <a:xfrm>
                      <a:off x="0" y="0"/>
                      <a:ext cx="5273675" cy="7456805"/>
                    </a:xfrm>
                    <a:prstGeom prst="rect">
                      <a:avLst/>
                    </a:prstGeom>
                  </pic:spPr>
                </pic:pic>
              </a:graphicData>
            </a:graphic>
          </wp:inline>
        </w:drawing>
      </w:r>
    </w:p>
    <w:p w14:paraId="04F0C737">
      <w:pPr>
        <w:tabs>
          <w:tab w:val="left" w:pos="0"/>
        </w:tabs>
        <w:spacing w:line="360" w:lineRule="auto"/>
        <w:outlineLvl w:val="0"/>
        <w:rPr>
          <w:rFonts w:hint="default" w:ascii="Times New Roman" w:hAnsi="Times New Roman" w:eastAsia="宋体" w:cs="Times New Roman"/>
          <w:b/>
          <w:color w:val="auto"/>
          <w:sz w:val="24"/>
        </w:rPr>
      </w:pPr>
      <w:r>
        <w:rPr>
          <w:rFonts w:hint="default" w:ascii="Times New Roman" w:hAnsi="Times New Roman" w:eastAsia="宋体" w:cs="Times New Roman"/>
          <w:b/>
          <w:color w:val="auto"/>
          <w:kern w:val="2"/>
          <w:sz w:val="21"/>
          <w:szCs w:val="24"/>
          <w:lang w:val="en-US" w:eastAsia="zh-CN" w:bidi="ar-SA"/>
        </w:rPr>
        <w:t>附件</w:t>
      </w:r>
      <w:r>
        <w:rPr>
          <w:rFonts w:hint="eastAsia" w:cs="Times New Roman"/>
          <w:b/>
          <w:color w:val="auto"/>
          <w:kern w:val="2"/>
          <w:sz w:val="21"/>
          <w:szCs w:val="24"/>
          <w:lang w:val="en-US" w:eastAsia="zh-CN" w:bidi="ar-SA"/>
        </w:rPr>
        <w:t>7</w:t>
      </w:r>
      <w:r>
        <w:rPr>
          <w:rFonts w:hint="default" w:ascii="Times New Roman" w:hAnsi="Times New Roman" w:eastAsia="宋体" w:cs="Times New Roman"/>
          <w:b/>
          <w:color w:val="auto"/>
          <w:kern w:val="2"/>
          <w:sz w:val="21"/>
          <w:szCs w:val="24"/>
          <w:lang w:val="en-US" w:eastAsia="zh-CN" w:bidi="ar-SA"/>
        </w:rPr>
        <w:t xml:space="preserve">   环境质量现状监测报告</w:t>
      </w:r>
    </w:p>
    <w:p w14:paraId="11BE19A4">
      <w:pPr>
        <w:bidi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drawing>
          <wp:inline distT="0" distB="0" distL="114300" distR="114300">
            <wp:extent cx="5267960" cy="7450455"/>
            <wp:effectExtent l="0" t="0" r="8890" b="17145"/>
            <wp:docPr id="12" name="图片 12" descr="H240830285a- 布尔台煤矿移动伸缩喷漆房项目S(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H240830285a- 布尔台煤矿移动伸缩喷漆房项目S(2)_00"/>
                    <pic:cNvPicPr>
                      <a:picLocks noChangeAspect="1"/>
                    </pic:cNvPicPr>
                  </pic:nvPicPr>
                  <pic:blipFill>
                    <a:blip r:embed="rId58"/>
                    <a:stretch>
                      <a:fillRect/>
                    </a:stretch>
                  </pic:blipFill>
                  <pic:spPr>
                    <a:xfrm>
                      <a:off x="0" y="0"/>
                      <a:ext cx="5267960" cy="7450455"/>
                    </a:xfrm>
                    <a:prstGeom prst="rect">
                      <a:avLst/>
                    </a:prstGeom>
                  </pic:spPr>
                </pic:pic>
              </a:graphicData>
            </a:graphic>
          </wp:inline>
        </w:drawing>
      </w:r>
      <w:r>
        <w:rPr>
          <w:rFonts w:hint="default" w:ascii="Times New Roman" w:hAnsi="Times New Roman" w:eastAsia="宋体" w:cs="Times New Roman"/>
          <w:color w:val="auto"/>
          <w:lang w:eastAsia="zh-CN"/>
        </w:rPr>
        <w:drawing>
          <wp:inline distT="0" distB="0" distL="114300" distR="114300">
            <wp:extent cx="5267960" cy="7450455"/>
            <wp:effectExtent l="0" t="0" r="8890" b="17145"/>
            <wp:docPr id="15" name="图片 15" descr="H240830285a- 布尔台煤矿移动伸缩喷漆房项目S(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H240830285a- 布尔台煤矿移动伸缩喷漆房项目S(2)_01"/>
                    <pic:cNvPicPr>
                      <a:picLocks noChangeAspect="1"/>
                    </pic:cNvPicPr>
                  </pic:nvPicPr>
                  <pic:blipFill>
                    <a:blip r:embed="rId59"/>
                    <a:stretch>
                      <a:fillRect/>
                    </a:stretch>
                  </pic:blipFill>
                  <pic:spPr>
                    <a:xfrm>
                      <a:off x="0" y="0"/>
                      <a:ext cx="5267960" cy="7450455"/>
                    </a:xfrm>
                    <a:prstGeom prst="rect">
                      <a:avLst/>
                    </a:prstGeom>
                  </pic:spPr>
                </pic:pic>
              </a:graphicData>
            </a:graphic>
          </wp:inline>
        </w:drawing>
      </w:r>
      <w:r>
        <w:rPr>
          <w:rFonts w:hint="default" w:ascii="Times New Roman" w:hAnsi="Times New Roman" w:eastAsia="宋体" w:cs="Times New Roman"/>
          <w:color w:val="auto"/>
          <w:lang w:eastAsia="zh-CN"/>
        </w:rPr>
        <w:drawing>
          <wp:inline distT="0" distB="0" distL="114300" distR="114300">
            <wp:extent cx="5267960" cy="7450455"/>
            <wp:effectExtent l="0" t="0" r="8890" b="17145"/>
            <wp:docPr id="21" name="图片 21" descr="H240830285a- 布尔台煤矿移动伸缩喷漆房项目S(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240830285a- 布尔台煤矿移动伸缩喷漆房项目S(2)_02"/>
                    <pic:cNvPicPr>
                      <a:picLocks noChangeAspect="1"/>
                    </pic:cNvPicPr>
                  </pic:nvPicPr>
                  <pic:blipFill>
                    <a:blip r:embed="rId60"/>
                    <a:stretch>
                      <a:fillRect/>
                    </a:stretch>
                  </pic:blipFill>
                  <pic:spPr>
                    <a:xfrm>
                      <a:off x="0" y="0"/>
                      <a:ext cx="5267960" cy="7450455"/>
                    </a:xfrm>
                    <a:prstGeom prst="rect">
                      <a:avLst/>
                    </a:prstGeom>
                  </pic:spPr>
                </pic:pic>
              </a:graphicData>
            </a:graphic>
          </wp:inline>
        </w:drawing>
      </w:r>
      <w:r>
        <w:rPr>
          <w:rFonts w:hint="default" w:ascii="Times New Roman" w:hAnsi="Times New Roman" w:eastAsia="宋体" w:cs="Times New Roman"/>
          <w:color w:val="auto"/>
          <w:lang w:eastAsia="zh-CN"/>
        </w:rPr>
        <w:drawing>
          <wp:inline distT="0" distB="0" distL="114300" distR="114300">
            <wp:extent cx="5267960" cy="7450455"/>
            <wp:effectExtent l="0" t="0" r="8890" b="17145"/>
            <wp:docPr id="43" name="图片 43" descr="H240830285a- 布尔台煤矿移动伸缩喷漆房项目S(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H240830285a- 布尔台煤矿移动伸缩喷漆房项目S(2)_03"/>
                    <pic:cNvPicPr>
                      <a:picLocks noChangeAspect="1"/>
                    </pic:cNvPicPr>
                  </pic:nvPicPr>
                  <pic:blipFill>
                    <a:blip r:embed="rId61"/>
                    <a:stretch>
                      <a:fillRect/>
                    </a:stretch>
                  </pic:blipFill>
                  <pic:spPr>
                    <a:xfrm>
                      <a:off x="0" y="0"/>
                      <a:ext cx="5267960" cy="7450455"/>
                    </a:xfrm>
                    <a:prstGeom prst="rect">
                      <a:avLst/>
                    </a:prstGeom>
                  </pic:spPr>
                </pic:pic>
              </a:graphicData>
            </a:graphic>
          </wp:inline>
        </w:drawing>
      </w:r>
    </w:p>
    <w:p w14:paraId="69AD90A4">
      <w:pPr>
        <w:bidi w:val="0"/>
        <w:rPr>
          <w:rFonts w:hint="default" w:ascii="Times New Roman" w:hAnsi="Times New Roman" w:eastAsia="宋体" w:cs="Times New Roman"/>
          <w:color w:val="auto"/>
          <w:kern w:val="2"/>
          <w:sz w:val="21"/>
          <w:szCs w:val="24"/>
          <w:lang w:val="en-US" w:eastAsia="zh-CN" w:bidi="ar-SA"/>
        </w:rPr>
      </w:pPr>
    </w:p>
    <w:p w14:paraId="3BA9BC03">
      <w:pPr>
        <w:pStyle w:val="118"/>
        <w:rPr>
          <w:rFonts w:hint="default" w:ascii="Times New Roman" w:hAnsi="Times New Roman" w:eastAsia="宋体" w:cs="Times New Roman"/>
          <w:b/>
          <w:color w:val="auto"/>
          <w:sz w:val="32"/>
          <w:highlight w:val="none"/>
          <w:lang w:eastAsia="zh-CN"/>
        </w:rPr>
      </w:pPr>
    </w:p>
    <w:p w14:paraId="194F67DD">
      <w:pPr>
        <w:pStyle w:val="118"/>
        <w:rPr>
          <w:rFonts w:hint="default" w:ascii="Times New Roman" w:hAnsi="Times New Roman" w:eastAsia="宋体" w:cs="Times New Roman"/>
          <w:b/>
          <w:color w:val="auto"/>
          <w:sz w:val="32"/>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p>
    <w:p w14:paraId="3EE6BF72">
      <w:pPr>
        <w:rPr>
          <w:rFonts w:hint="eastAsia" w:cs="Times New Roman"/>
          <w:b/>
          <w:color w:val="auto"/>
          <w:kern w:val="2"/>
          <w:sz w:val="21"/>
          <w:szCs w:val="24"/>
          <w:lang w:val="en-US" w:eastAsia="zh-CN" w:bidi="ar-SA"/>
        </w:rPr>
      </w:pPr>
      <w:r>
        <w:rPr>
          <w:rFonts w:hint="default" w:ascii="Times New Roman" w:hAnsi="Times New Roman" w:eastAsia="宋体" w:cs="Times New Roman"/>
          <w:b/>
          <w:color w:val="auto"/>
          <w:kern w:val="2"/>
          <w:sz w:val="21"/>
          <w:szCs w:val="24"/>
          <w:lang w:val="en-US" w:eastAsia="zh-CN" w:bidi="ar-SA"/>
        </w:rPr>
        <w:t>附件</w:t>
      </w:r>
      <w:r>
        <w:rPr>
          <w:rFonts w:hint="eastAsia" w:cs="Times New Roman"/>
          <w:b/>
          <w:color w:val="auto"/>
          <w:kern w:val="2"/>
          <w:sz w:val="21"/>
          <w:szCs w:val="24"/>
          <w:lang w:val="en-US" w:eastAsia="zh-CN" w:bidi="ar-SA"/>
        </w:rPr>
        <w:t>8</w:t>
      </w:r>
      <w:r>
        <w:rPr>
          <w:rFonts w:hint="default" w:ascii="Times New Roman" w:hAnsi="Times New Roman" w:eastAsia="宋体" w:cs="Times New Roman"/>
          <w:b/>
          <w:color w:val="auto"/>
          <w:kern w:val="2"/>
          <w:sz w:val="21"/>
          <w:szCs w:val="24"/>
          <w:lang w:val="en-US" w:eastAsia="zh-CN" w:bidi="ar-SA"/>
        </w:rPr>
        <w:t xml:space="preserve">   </w:t>
      </w:r>
      <w:r>
        <w:rPr>
          <w:rFonts w:hint="eastAsia" w:cs="Times New Roman"/>
          <w:b/>
          <w:color w:val="auto"/>
          <w:kern w:val="2"/>
          <w:sz w:val="21"/>
          <w:szCs w:val="24"/>
          <w:lang w:val="en-US" w:eastAsia="zh-CN" w:bidi="ar-SA"/>
        </w:rPr>
        <w:t>法人身份证</w:t>
      </w:r>
    </w:p>
    <w:p w14:paraId="2393F0E8">
      <w:pPr>
        <w:pStyle w:val="2"/>
        <w:rPr>
          <w:rFonts w:hint="eastAsia" w:cs="Times New Roman"/>
          <w:b/>
          <w:color w:val="auto"/>
          <w:kern w:val="2"/>
          <w:sz w:val="21"/>
          <w:szCs w:val="24"/>
          <w:lang w:val="en-US" w:eastAsia="zh-CN" w:bidi="ar-SA"/>
        </w:rPr>
      </w:pPr>
    </w:p>
    <w:p w14:paraId="23674DA1">
      <w:pPr>
        <w:pStyle w:val="2"/>
        <w:ind w:left="0" w:leftChars="0" w:firstLine="0" w:firstLineChars="0"/>
        <w:rPr>
          <w:rFonts w:hint="default" w:cs="Times New Roman"/>
          <w:b/>
          <w:color w:val="auto"/>
          <w:kern w:val="2"/>
          <w:sz w:val="21"/>
          <w:szCs w:val="24"/>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bookmarkStart w:id="19" w:name="_GoBack"/>
      <w:bookmarkEnd w:id="19"/>
    </w:p>
    <w:p w14:paraId="3FB57213">
      <w:pPr>
        <w:pStyle w:val="118"/>
        <w:rPr>
          <w:rFonts w:hint="default" w:ascii="Times New Roman" w:hAnsi="Times New Roman" w:eastAsia="宋体" w:cs="Times New Roman"/>
          <w:color w:val="auto"/>
        </w:rPr>
      </w:pPr>
      <w:r>
        <w:rPr>
          <w:rFonts w:hint="default" w:ascii="Times New Roman" w:hAnsi="Times New Roman" w:eastAsia="宋体" w:cs="Times New Roman"/>
          <w:color w:val="auto"/>
        </w:rPr>
        <w:t>附图1：本项目地理位置</w:t>
      </w:r>
    </w:p>
    <w:p w14:paraId="5C1B4827">
      <w:pPr>
        <w:pStyle w:val="109"/>
        <w:rPr>
          <w:rFonts w:hint="default" w:ascii="Times New Roman" w:hAnsi="Times New Roman" w:eastAsia="宋体" w:cs="Times New Roman"/>
          <w:color w:val="auto"/>
        </w:rPr>
      </w:pPr>
      <w:r>
        <w:rPr>
          <w:color w:val="auto"/>
        </w:rPr>
        <w:drawing>
          <wp:inline distT="0" distB="0" distL="114300" distR="114300">
            <wp:extent cx="6569710" cy="4653915"/>
            <wp:effectExtent l="0" t="0" r="2540" b="13335"/>
            <wp:docPr id="8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1"/>
                    <pic:cNvPicPr>
                      <a:picLocks noChangeAspect="1"/>
                    </pic:cNvPicPr>
                  </pic:nvPicPr>
                  <pic:blipFill>
                    <a:blip r:embed="rId62"/>
                    <a:stretch>
                      <a:fillRect/>
                    </a:stretch>
                  </pic:blipFill>
                  <pic:spPr>
                    <a:xfrm>
                      <a:off x="0" y="0"/>
                      <a:ext cx="6569710" cy="4653915"/>
                    </a:xfrm>
                    <a:prstGeom prst="rect">
                      <a:avLst/>
                    </a:prstGeom>
                    <a:noFill/>
                    <a:ln>
                      <a:noFill/>
                    </a:ln>
                  </pic:spPr>
                </pic:pic>
              </a:graphicData>
            </a:graphic>
          </wp:inline>
        </w:drawing>
      </w:r>
    </w:p>
    <w:p w14:paraId="1FDAA340">
      <w:pPr>
        <w:jc w:val="center"/>
        <w:rPr>
          <w:rFonts w:hint="default" w:ascii="Times New Roman" w:hAnsi="Times New Roman" w:eastAsia="宋体" w:cs="Times New Roman"/>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AndChars" w:linePitch="314" w:charSpace="0"/>
        </w:sectPr>
      </w:pPr>
    </w:p>
    <w:p w14:paraId="4284B89F">
      <w:pPr>
        <w:pStyle w:val="11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附图2：四邻图</w:t>
      </w:r>
    </w:p>
    <w:p w14:paraId="2988EA2F">
      <w:pPr>
        <w:pStyle w:val="118"/>
        <w:jc w:val="center"/>
        <w:rPr>
          <w:color w:val="auto"/>
        </w:rPr>
      </w:pPr>
      <w:r>
        <w:rPr>
          <w:color w:val="auto"/>
        </w:rPr>
        <w:drawing>
          <wp:inline distT="0" distB="0" distL="114300" distR="114300">
            <wp:extent cx="8371205" cy="5580380"/>
            <wp:effectExtent l="0" t="0" r="10795" b="127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63"/>
                    <a:stretch>
                      <a:fillRect/>
                    </a:stretch>
                  </pic:blipFill>
                  <pic:spPr>
                    <a:xfrm>
                      <a:off x="0" y="0"/>
                      <a:ext cx="8371205" cy="5580380"/>
                    </a:xfrm>
                    <a:prstGeom prst="rect">
                      <a:avLst/>
                    </a:prstGeom>
                    <a:noFill/>
                    <a:ln>
                      <a:noFill/>
                    </a:ln>
                  </pic:spPr>
                </pic:pic>
              </a:graphicData>
            </a:graphic>
          </wp:inline>
        </w:drawing>
      </w:r>
    </w:p>
    <w:p w14:paraId="3E988329">
      <w:pPr>
        <w:pStyle w:val="118"/>
        <w:jc w:val="left"/>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14:paraId="30E7A6D1">
      <w:pPr>
        <w:pStyle w:val="118"/>
        <w:jc w:val="left"/>
        <w:rPr>
          <w:rStyle w:val="37"/>
          <w:rFonts w:hint="eastAsia" w:ascii="Times New Roman" w:hAnsi="Times New Roman" w:cs="Times New Roman"/>
          <w:color w:val="auto"/>
          <w:lang w:val="en-US" w:eastAsia="zh-CN"/>
        </w:rPr>
      </w:pPr>
      <w:r>
        <w:rPr>
          <w:rStyle w:val="37"/>
          <w:rFonts w:hint="default" w:ascii="Times New Roman" w:hAnsi="Times New Roman" w:eastAsia="宋体" w:cs="Times New Roman"/>
          <w:color w:val="auto"/>
        </w:rPr>
        <w:t>附图</w:t>
      </w:r>
      <w:r>
        <w:rPr>
          <w:rStyle w:val="37"/>
          <w:rFonts w:hint="eastAsia" w:ascii="Times New Roman" w:hAnsi="Times New Roman" w:cs="Times New Roman"/>
          <w:color w:val="auto"/>
          <w:lang w:val="en-US" w:eastAsia="zh-CN"/>
        </w:rPr>
        <w:t>3</w:t>
      </w:r>
      <w:r>
        <w:rPr>
          <w:rStyle w:val="37"/>
          <w:rFonts w:hint="default" w:ascii="Times New Roman" w:hAnsi="Times New Roman" w:eastAsia="宋体" w:cs="Times New Roman"/>
          <w:color w:val="auto"/>
        </w:rPr>
        <w:t>：</w:t>
      </w:r>
      <w:r>
        <w:rPr>
          <w:rStyle w:val="37"/>
          <w:rFonts w:hint="eastAsia" w:ascii="Times New Roman" w:hAnsi="Times New Roman" w:cs="Times New Roman"/>
          <w:color w:val="auto"/>
          <w:lang w:val="en-US" w:eastAsia="zh-CN"/>
        </w:rPr>
        <w:t>项目平面布置图</w:t>
      </w:r>
    </w:p>
    <w:p w14:paraId="2120E8BC">
      <w:pPr>
        <w:pStyle w:val="38"/>
        <w:rPr>
          <w:rFonts w:hint="default"/>
          <w:color w:val="auto"/>
          <w:lang w:val="en-US" w:eastAsia="zh-CN"/>
        </w:rPr>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720" w:num="1"/>
          <w:docGrid w:type="lines" w:linePitch="314" w:charSpace="0"/>
        </w:sectPr>
      </w:pPr>
      <w:r>
        <w:rPr>
          <w:color w:val="auto"/>
        </w:rPr>
        <w:drawing>
          <wp:inline distT="0" distB="0" distL="114300" distR="114300">
            <wp:extent cx="7858760" cy="5448300"/>
            <wp:effectExtent l="0" t="0" r="889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64"/>
                    <a:stretch>
                      <a:fillRect/>
                    </a:stretch>
                  </pic:blipFill>
                  <pic:spPr>
                    <a:xfrm>
                      <a:off x="0" y="0"/>
                      <a:ext cx="7858760" cy="5448300"/>
                    </a:xfrm>
                    <a:prstGeom prst="rect">
                      <a:avLst/>
                    </a:prstGeom>
                    <a:noFill/>
                    <a:ln>
                      <a:noFill/>
                    </a:ln>
                  </pic:spPr>
                </pic:pic>
              </a:graphicData>
            </a:graphic>
          </wp:inline>
        </w:drawing>
      </w:r>
    </w:p>
    <w:p w14:paraId="0057FB4D">
      <w:pPr>
        <w:pStyle w:val="118"/>
        <w:jc w:val="left"/>
        <w:rPr>
          <w:rStyle w:val="37"/>
          <w:rFonts w:hint="default" w:ascii="Times New Roman" w:hAnsi="Times New Roman" w:eastAsia="宋体" w:cs="Times New Roman"/>
          <w:color w:val="auto"/>
        </w:rPr>
      </w:pPr>
      <w:r>
        <w:rPr>
          <w:rStyle w:val="37"/>
          <w:rFonts w:hint="default" w:ascii="Times New Roman" w:hAnsi="Times New Roman" w:eastAsia="宋体" w:cs="Times New Roman"/>
          <w:color w:val="auto"/>
        </w:rPr>
        <w:t>附图</w:t>
      </w:r>
      <w:r>
        <w:rPr>
          <w:rStyle w:val="37"/>
          <w:rFonts w:hint="eastAsia" w:cs="Times New Roman"/>
          <w:color w:val="auto"/>
          <w:lang w:val="en-US" w:eastAsia="zh-CN"/>
        </w:rPr>
        <w:t>4</w:t>
      </w:r>
      <w:r>
        <w:rPr>
          <w:rStyle w:val="37"/>
          <w:rFonts w:hint="default" w:ascii="Times New Roman" w:hAnsi="Times New Roman" w:eastAsia="宋体" w:cs="Times New Roman"/>
          <w:color w:val="auto"/>
        </w:rPr>
        <w:t>：</w:t>
      </w:r>
      <w:r>
        <w:rPr>
          <w:rStyle w:val="37"/>
          <w:rFonts w:hint="eastAsia" w:cs="Times New Roman"/>
          <w:color w:val="auto"/>
          <w:lang w:val="en-US" w:eastAsia="zh-CN"/>
        </w:rPr>
        <w:t>大气、声</w:t>
      </w:r>
      <w:r>
        <w:rPr>
          <w:rStyle w:val="37"/>
          <w:rFonts w:hint="default" w:ascii="Times New Roman" w:hAnsi="Times New Roman" w:eastAsia="宋体" w:cs="Times New Roman"/>
          <w:color w:val="auto"/>
        </w:rPr>
        <w:t>环境保护</w:t>
      </w:r>
      <w:r>
        <w:rPr>
          <w:rStyle w:val="37"/>
          <w:rFonts w:hint="eastAsia" w:cs="Times New Roman"/>
          <w:color w:val="auto"/>
          <w:lang w:val="en-US" w:eastAsia="zh-CN"/>
        </w:rPr>
        <w:t>范围</w:t>
      </w:r>
      <w:r>
        <w:rPr>
          <w:rStyle w:val="37"/>
          <w:rFonts w:hint="default" w:ascii="Times New Roman" w:hAnsi="Times New Roman" w:eastAsia="宋体" w:cs="Times New Roman"/>
          <w:color w:val="auto"/>
        </w:rPr>
        <w:t>图</w:t>
      </w:r>
    </w:p>
    <w:p w14:paraId="2B7EF7BC">
      <w:pPr>
        <w:pStyle w:val="110"/>
        <w:spacing w:before="125" w:after="31"/>
        <w:jc w:val="center"/>
        <w:rPr>
          <w:rFonts w:hint="default" w:ascii="Times New Roman" w:hAnsi="Times New Roman" w:eastAsia="宋体" w:cs="Times New Roman"/>
          <w:b w:val="0"/>
          <w:color w:val="auto"/>
          <w:sz w:val="24"/>
          <w:lang w:bidi="en-US"/>
        </w:rPr>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720" w:num="1"/>
          <w:docGrid w:type="lines" w:linePitch="314" w:charSpace="0"/>
        </w:sectPr>
      </w:pPr>
      <w:r>
        <w:rPr>
          <w:color w:val="auto"/>
        </w:rPr>
        <w:drawing>
          <wp:inline distT="0" distB="0" distL="114300" distR="114300">
            <wp:extent cx="6391275" cy="5324475"/>
            <wp:effectExtent l="0" t="0" r="9525" b="9525"/>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65"/>
                    <a:stretch>
                      <a:fillRect/>
                    </a:stretch>
                  </pic:blipFill>
                  <pic:spPr>
                    <a:xfrm>
                      <a:off x="0" y="0"/>
                      <a:ext cx="6391275" cy="5324475"/>
                    </a:xfrm>
                    <a:prstGeom prst="rect">
                      <a:avLst/>
                    </a:prstGeom>
                    <a:noFill/>
                    <a:ln>
                      <a:noFill/>
                    </a:ln>
                  </pic:spPr>
                </pic:pic>
              </a:graphicData>
            </a:graphic>
          </wp:inline>
        </w:drawing>
      </w:r>
    </w:p>
    <w:p w14:paraId="72CCE206">
      <w:pPr>
        <w:pStyle w:val="118"/>
        <w:rPr>
          <w:rStyle w:val="37"/>
          <w:rFonts w:hint="default" w:ascii="Times New Roman" w:hAnsi="Times New Roman" w:eastAsia="宋体" w:cs="Times New Roman"/>
          <w:color w:val="auto"/>
        </w:rPr>
      </w:pPr>
      <w:r>
        <w:rPr>
          <w:rStyle w:val="37"/>
          <w:rFonts w:hint="default" w:ascii="Times New Roman" w:hAnsi="Times New Roman" w:eastAsia="宋体" w:cs="Times New Roman"/>
          <w:color w:val="auto"/>
        </w:rPr>
        <w:t>附图4：现状监测点位图</w:t>
      </w:r>
    </w:p>
    <w:p w14:paraId="5D9087D5">
      <w:pPr>
        <w:pStyle w:val="110"/>
        <w:spacing w:before="125" w:after="31"/>
        <w:rPr>
          <w:rFonts w:hint="default" w:ascii="Times New Roman" w:hAnsi="Times New Roman" w:eastAsia="宋体" w:cs="Times New Roman"/>
          <w:color w:val="auto"/>
        </w:rPr>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720" w:num="1"/>
          <w:docGrid w:type="lines" w:linePitch="314" w:charSpace="0"/>
        </w:sectPr>
      </w:pP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6584950</wp:posOffset>
                </wp:positionH>
                <wp:positionV relativeFrom="paragraph">
                  <wp:posOffset>2073910</wp:posOffset>
                </wp:positionV>
                <wp:extent cx="1085850" cy="323850"/>
                <wp:effectExtent l="490220" t="6350" r="24130" b="203200"/>
                <wp:wrapNone/>
                <wp:docPr id="31" name="矩形标注 31"/>
                <wp:cNvGraphicFramePr/>
                <a:graphic xmlns:a="http://schemas.openxmlformats.org/drawingml/2006/main">
                  <a:graphicData uri="http://schemas.microsoft.com/office/word/2010/wordprocessingShape">
                    <wps:wsp>
                      <wps:cNvSpPr/>
                      <wps:spPr>
                        <a:xfrm>
                          <a:off x="7499350" y="3066415"/>
                          <a:ext cx="1085850" cy="323850"/>
                        </a:xfrm>
                        <a:prstGeom prst="wedgeRectCallout">
                          <a:avLst>
                            <a:gd name="adj1" fmla="val -90505"/>
                            <a:gd name="adj2" fmla="val 106666"/>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FF41A36">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大气监测点位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8.5pt;margin-top:163.3pt;height:25.5pt;width:85.5pt;z-index:251670528;v-text-anchor:middle;mso-width-relative:page;mso-height-relative:page;" filled="f" stroked="t" coordsize="21600,21600" o:gfxdata="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iXDPgtkAAAANAQAADwAAAAAAAAABACAAAAAi&#10;AAAAZHJzL2Rvd25yZXYueG1sUEsBAhQAFAAAAAgAh07iQLapVNa0AgAASQUAAA4AAAAAAAAAAQAg&#10;AAAAKAEAAGRycy9lMm9Eb2MueG1sUEsFBgAAAAAGAAYAWQEAAE4GAAAAAA==&#10;" adj="-8749,33840">
                <v:fill on="f" focussize="0,0"/>
                <v:stroke weight="1pt" color="#FF0000 [2404]" miterlimit="8" joinstyle="miter"/>
                <v:imagedata o:title=""/>
                <o:lock v:ext="edit" aspectratio="f"/>
                <v:textbox>
                  <w:txbxContent>
                    <w:p w14:paraId="6FF41A36">
                      <w:pPr>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大气监测点位</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5956300</wp:posOffset>
                </wp:positionH>
                <wp:positionV relativeFrom="paragraph">
                  <wp:posOffset>2493010</wp:posOffset>
                </wp:positionV>
                <wp:extent cx="161925" cy="161925"/>
                <wp:effectExtent l="6350" t="6350" r="22225" b="22225"/>
                <wp:wrapNone/>
                <wp:docPr id="30" name="椭圆 30"/>
                <wp:cNvGraphicFramePr/>
                <a:graphic xmlns:a="http://schemas.openxmlformats.org/drawingml/2006/main">
                  <a:graphicData uri="http://schemas.microsoft.com/office/word/2010/wordprocessingShape">
                    <wps:wsp>
                      <wps:cNvSpPr/>
                      <wps:spPr>
                        <a:xfrm>
                          <a:off x="6870700" y="3485515"/>
                          <a:ext cx="161925" cy="161925"/>
                        </a:xfrm>
                        <a:prstGeom prst="ellipse">
                          <a:avLst/>
                        </a:prstGeom>
                        <a:solidFill>
                          <a:srgbClr val="FFFF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69pt;margin-top:196.3pt;height:12.75pt;width:12.75pt;z-index:251669504;v-text-anchor:middle;mso-width-relative:page;mso-height-relative:page;" fillcolor="#FFFF00" filled="t" stroked="t" coordsize="21600,21600" o:gfxdata="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QsA5G3QAAAAsBAAAPAAAAAAAAAAEAIAAA&#10;ACIAAABkcnMvZG93bnJldi54bWxQSwECFAAUAAAACACHTuJAhrMziHkCAAAEBQAADgAAAAAAAAAB&#10;ACAAAAAsAQAAZHJzL2Uyb0RvYy54bWxQSwUGAAAAAAYABgBZAQAAFwYAAAAA&#10;">
                <v:fill on="t" focussize="0,0"/>
                <v:stroke weight="1pt" color="#FF0000 [2404]" miterlimit="8" joinstyle="miter"/>
                <v:imagedata o:title=""/>
                <o:lock v:ext="edit" aspectratio="f"/>
              </v:shape>
            </w:pict>
          </mc:Fallback>
        </mc:AlternateContent>
      </w:r>
      <w:r>
        <w:rPr>
          <w:color w:val="auto"/>
        </w:rPr>
        <w:drawing>
          <wp:inline distT="0" distB="0" distL="114300" distR="114300">
            <wp:extent cx="7858760" cy="5448300"/>
            <wp:effectExtent l="0" t="0" r="8890" b="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64"/>
                    <a:stretch>
                      <a:fillRect/>
                    </a:stretch>
                  </pic:blipFill>
                  <pic:spPr>
                    <a:xfrm>
                      <a:off x="0" y="0"/>
                      <a:ext cx="7858760" cy="5448300"/>
                    </a:xfrm>
                    <a:prstGeom prst="rect">
                      <a:avLst/>
                    </a:prstGeom>
                    <a:noFill/>
                    <a:ln>
                      <a:noFill/>
                    </a:ln>
                  </pic:spPr>
                </pic:pic>
              </a:graphicData>
            </a:graphic>
          </wp:inline>
        </w:drawing>
      </w:r>
    </w:p>
    <w:p w14:paraId="4436DBE8">
      <w:pPr>
        <w:pStyle w:val="118"/>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附图</w:t>
      </w:r>
      <w:r>
        <w:rPr>
          <w:rFonts w:hint="eastAsia" w:cs="Times New Roman"/>
          <w:color w:val="auto"/>
          <w:lang w:val="en-US" w:eastAsia="zh-CN"/>
        </w:rPr>
        <w:t>5</w:t>
      </w:r>
      <w:r>
        <w:rPr>
          <w:rFonts w:hint="default" w:ascii="Times New Roman" w:hAnsi="Times New Roman" w:eastAsia="宋体" w:cs="Times New Roman"/>
          <w:color w:val="auto"/>
          <w:lang w:val="en-US" w:eastAsia="zh-CN"/>
        </w:rPr>
        <w:t>：分区防渗图</w:t>
      </w:r>
    </w:p>
    <w:p w14:paraId="055FA863">
      <w:pPr>
        <w:jc w:val="center"/>
        <w:rPr>
          <w:rFonts w:hint="default" w:ascii="Times New Roman" w:hAnsi="Times New Roman" w:eastAsia="宋体" w:cs="Times New Roman"/>
          <w:b/>
          <w:color w:val="auto"/>
          <w:sz w:val="32"/>
          <w:highlight w:val="none"/>
          <w:lang w:eastAsia="zh-CN"/>
        </w:rPr>
      </w:pPr>
      <w:r>
        <w:rPr>
          <w:color w:val="auto"/>
        </w:rPr>
        <w:drawing>
          <wp:inline distT="0" distB="0" distL="114300" distR="114300">
            <wp:extent cx="7297420" cy="5054600"/>
            <wp:effectExtent l="0" t="0" r="17780" b="12700"/>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66"/>
                    <a:stretch>
                      <a:fillRect/>
                    </a:stretch>
                  </pic:blipFill>
                  <pic:spPr>
                    <a:xfrm>
                      <a:off x="0" y="0"/>
                      <a:ext cx="7297420" cy="5054600"/>
                    </a:xfrm>
                    <a:prstGeom prst="rect">
                      <a:avLst/>
                    </a:prstGeom>
                    <a:noFill/>
                    <a:ln>
                      <a:noFill/>
                    </a:ln>
                  </pic:spPr>
                </pic:pic>
              </a:graphicData>
            </a:graphic>
          </wp:inline>
        </w:drawing>
      </w:r>
    </w:p>
    <w:sectPr>
      <w:footerReference r:id="rId18" w:type="default"/>
      <w:pgSz w:w="16838" w:h="11906" w:orient="landscape"/>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Century">
    <w:panose1 w:val="02040604050505020304"/>
    <w:charset w:val="00"/>
    <w:family w:val="roman"/>
    <w:pitch w:val="default"/>
    <w:sig w:usb0="00000287"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康心动体 W4">
    <w:altName w:val="宋体"/>
    <w:panose1 w:val="040B0409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ShuSongErKW">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049C">
    <w:pPr>
      <w:pStyle w:val="17"/>
      <w:tabs>
        <w:tab w:val="left" w:pos="3885"/>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6CAA1">
    <w:pPr>
      <w:pStyle w:val="17"/>
      <w:framePr w:wrap="around" w:vAnchor="text" w:hAnchor="margin" w:xAlign="center" w:y="1"/>
      <w:rPr>
        <w:rStyle w:val="34"/>
      </w:rPr>
    </w:pPr>
    <w:r>
      <w:fldChar w:fldCharType="begin"/>
    </w:r>
    <w:r>
      <w:rPr>
        <w:rStyle w:val="34"/>
      </w:rPr>
      <w:instrText xml:space="preserve">PAGE  </w:instrText>
    </w:r>
    <w:r>
      <w:fldChar w:fldCharType="end"/>
    </w:r>
  </w:p>
  <w:p w14:paraId="31F7AFB1">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4D66">
    <w:pPr>
      <w:pStyle w:val="17"/>
      <w:ind w:right="360"/>
      <w:jc w:val="center"/>
    </w:pPr>
  </w:p>
  <w:p w14:paraId="12122187">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B095">
    <w:pPr>
      <w:pStyle w:val="17"/>
      <w:tabs>
        <w:tab w:val="left" w:pos="3885"/>
        <w:tab w:val="left"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DAE87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qTS0MgBAACa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N1&#10;1mcI0GDafcDENL71I27N4gd0ZtqjijZ/kRDBOKp7vqorx0REfrSu1+sKQwJjywXx2cPzECG9k96S&#10;bLQ04viKqvz0AdKUuqTkas7faWPKCI37y4GY2cNy71OP2UrjfpwJ7X13Rj4DTr6lDhedEvPeobB5&#10;SRYjLsZ+MY4h6kNftijXg/DmmLCJ0luuMMHOhXFkhd28XnknHt9L1sMvtf0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6k0tDIAQAAmgMAAA4AAAAAAAAAAQAgAAAAHgEAAGRycy9lMm9Eb2Mu&#10;eG1sUEsFBgAAAAAGAAYAWQEAAFgFAAAAAA==&#10;">
              <v:fill on="f" focussize="0,0"/>
              <v:stroke on="f"/>
              <v:imagedata o:title=""/>
              <o:lock v:ext="edit" aspectratio="f"/>
              <v:textbox inset="0mm,0mm,0mm,0mm" style="mso-fit-shape-to-text:t;">
                <w:txbxContent>
                  <w:p w14:paraId="52DAE87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78AD3">
    <w:pPr>
      <w:ind w:right="360"/>
    </w:pPr>
    <w:r>
      <w:rPr>
        <w:sz w:val="21"/>
      </w:rPr>
      <mc:AlternateContent>
        <mc:Choice Requires="wps">
          <w:drawing>
            <wp:anchor distT="0" distB="0" distL="114300" distR="114300" simplePos="0" relativeHeight="251660288"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29AF7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0288;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B7yYWHKAQAAmgMAAA4AAABkcnMvZTJvRG9jLnhtbK1TzY7T&#10;MBC+I/EOlu/U2WqF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u6vKbEcYsTP//8&#10;cf715/z7O7nO+vQBaky7D5iYhnd+wK2Z/YDOTHtQ0eYvEiIYR3VPF3XlkIjIj1bL1arCkMDYfEF8&#10;9vA8REjvpbckGw2NOL6iKj9+hDSmzim5mvN32pgyQuP+cSBm9rDc+9hjttKwGyZCO9+ekE+Pk2+o&#10;w0WnxHxwKGxektmIs7GbjUOIet+VLcr1INweEjZRessVRtipMI6ssJvWK+/E43vJevilN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F+x+NtYAAAAJAQAADwAAAAAAAAABACAAAAAiAAAAZHJzL2Rv&#10;d25yZXYueG1sUEsBAhQAFAAAAAgAh07iQB7yYWHKAQAAmgMAAA4AAAAAAAAAAQAgAAAAJQEAAGRy&#10;cy9lMm9Eb2MueG1sUEsFBgAAAAAGAAYAWQEAAGEFAAAAAA==&#10;">
              <v:fill on="f" focussize="0,0"/>
              <v:stroke on="f"/>
              <v:imagedata o:title=""/>
              <o:lock v:ext="edit" aspectratio="f"/>
              <v:textbox inset="0mm,0mm,0mm,0mm" style="mso-fit-shape-to-text:t;">
                <w:txbxContent>
                  <w:p w14:paraId="7629AF7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A9A2">
    <w:pPr>
      <w:ind w:right="360"/>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-2540</wp:posOffset>
              </wp:positionV>
              <wp:extent cx="1828800" cy="1828800"/>
              <wp:effectExtent l="0" t="0" r="0" b="0"/>
              <wp:wrapNone/>
              <wp:docPr id="1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B1967F">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2pt;height:144pt;width:144pt;mso-position-horizontal:center;mso-position-horizontal-relative:margin;mso-wrap-style:none;z-index:251663360;mso-width-relative:page;mso-height-relative:page;" filled="f" stroked="f" coordsize="21600,21600" o:gfxdata="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9p4YdIAAAAGAQAADwAAAAAAAAABACAAAAAiAAAAZHJzL2Rvd25yZXYu&#10;eG1sUEsBAhQAFAAAAAgAh07iQKkJaurIAQAAmgMAAA4AAAAAAAAAAQAgAAAAIQEAAGRycy9lMm9E&#10;b2MueG1sUEsFBgAAAAAGAAYAWQEAAFsFAAAAAA==&#10;">
              <v:fill on="f" focussize="0,0"/>
              <v:stroke on="f"/>
              <v:imagedata o:title=""/>
              <o:lock v:ext="edit" aspectratio="f"/>
              <v:textbox inset="0mm,0mm,0mm,0mm" style="mso-fit-shape-to-text:t;">
                <w:txbxContent>
                  <w:p w14:paraId="0FB1967F">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F075">
    <w:pPr>
      <w:pStyle w:val="17"/>
      <w:ind w:right="360"/>
      <w:jc w:val="center"/>
    </w:pPr>
    <w:r>
      <w:rPr>
        <w:sz w:val="18"/>
      </w:rPr>
      <mc:AlternateContent>
        <mc:Choice Requires="wps">
          <w:drawing>
            <wp:anchor distT="0" distB="0" distL="114300" distR="114300" simplePos="0" relativeHeight="251664384" behindDoc="0" locked="0" layoutInCell="1" allowOverlap="1">
              <wp:simplePos x="0" y="0"/>
              <wp:positionH relativeFrom="margin">
                <wp:posOffset>2819400</wp:posOffset>
              </wp:positionH>
              <wp:positionV relativeFrom="paragraph">
                <wp:posOffset>99060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0905B">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2pt;margin-top:7.8pt;height:144pt;width:144pt;mso-position-horizontal-relative:margin;mso-wrap-style:none;z-index:251664384;mso-width-relative:page;mso-height-relative:page;" filled="f" stroked="f" coordsize="21600,21600" o:gfxdata="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0epUdcAAAAKAQAADwAAAAAAAAABACAAAAAiAAAAZHJzL2Rvd25yZXYueG1s&#10;UEsBAhQAFAAAAAgAh07iQP9bQWsyAgAAYwQAAA4AAAAAAAAAAQAgAAAAJgEAAGRycy9lMm9Eb2Mu&#10;eG1sUEsFBgAAAAAGAAYAWQEAAMoFAAAAAA==&#10;">
              <v:fill on="f" focussize="0,0"/>
              <v:stroke on="f" weight="0.5pt"/>
              <v:imagedata o:title=""/>
              <o:lock v:ext="edit" aspectratio="f"/>
              <v:textbox inset="0mm,0mm,0mm,0mm" style="mso-fit-shape-to-text:t;">
                <w:txbxContent>
                  <w:p w14:paraId="7100905B">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58</w:t>
                    </w:r>
                    <w:r>
                      <w:rPr>
                        <w:rFonts w:hint="eastAsia"/>
                        <w:lang w:eastAsia="zh-CN"/>
                      </w:rPr>
                      <w:fldChar w:fldCharType="end"/>
                    </w:r>
                  </w:p>
                </w:txbxContent>
              </v:textbox>
            </v:shape>
          </w:pict>
        </mc:Fallback>
      </mc:AlternateContent>
    </w:r>
  </w:p>
  <w:p w14:paraId="63EBF303">
    <w:pPr>
      <w:pStyle w:val="1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67E93">
    <w:pPr>
      <w:ind w:right="360"/>
    </w:pPr>
    <w:r>
      <w:rPr>
        <w:sz w:val="21"/>
      </w:rPr>
      <mc:AlternateContent>
        <mc:Choice Requires="wps">
          <w:drawing>
            <wp:anchor distT="0" distB="0" distL="114300" distR="114300" simplePos="0" relativeHeight="251662336"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E76710">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2336;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X7H421gAAAAkBAAAPAAAAAAAAAAEAIAAAACIAAABkcnMvZG93&#10;bnJldi54bWxQSwECFAAUAAAACACHTuJAt/uGkMkBAACaAwAADgAAAAAAAAABACAAAAAlAQAAZHJz&#10;L2Uyb0RvYy54bWxQSwUGAAAAAAYABgBZAQAAYAUAAAAA&#10;">
              <v:fill on="f" focussize="0,0"/>
              <v:stroke on="f"/>
              <v:imagedata o:title=""/>
              <o:lock v:ext="edit" aspectratio="f"/>
              <v:textbox inset="0mm,0mm,0mm,0mm" style="mso-fit-shape-to-text:t;">
                <w:txbxContent>
                  <w:p w14:paraId="45E76710">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7E181">
    <w:pPr>
      <w:ind w:right="360"/>
    </w:pPr>
    <w:r>
      <w:rPr>
        <w:sz w:val="21"/>
      </w:rPr>
      <mc:AlternateContent>
        <mc:Choice Requires="wps">
          <w:drawing>
            <wp:anchor distT="0" distB="0" distL="114300" distR="114300" simplePos="0" relativeHeight="251661312" behindDoc="0" locked="0" layoutInCell="1" allowOverlap="1">
              <wp:simplePos x="0" y="0"/>
              <wp:positionH relativeFrom="margin">
                <wp:posOffset>4526915</wp:posOffset>
              </wp:positionH>
              <wp:positionV relativeFrom="paragraph">
                <wp:posOffset>-54610</wp:posOffset>
              </wp:positionV>
              <wp:extent cx="1828800" cy="1828800"/>
              <wp:effectExtent l="0" t="0" r="0" b="0"/>
              <wp:wrapNone/>
              <wp:docPr id="1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FD255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left:356.45pt;margin-top:-4.3pt;height:144pt;width:144pt;mso-position-horizontal-relative:margin;mso-wrap-style:none;z-index:251661312;mso-width-relative:page;mso-height-relative:page;" filled="f" stroked="f" coordsize="21600,21600" o:gfxdata="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mGBTY1gAAAAsBAAAPAAAAAAAAAAEAIAAAACIAAABkcnMvZG93&#10;bnJldi54bWxQSwECFAAUAAAACACHTuJARthivMkBAACaAwAADgAAAAAAAAABACAAAAAlAQAAZHJz&#10;L2Uyb0RvYy54bWxQSwUGAAAAAAYABgBZAQAAYAUAAAAA&#10;">
              <v:fill on="f" focussize="0,0"/>
              <v:stroke on="f"/>
              <v:imagedata o:title=""/>
              <o:lock v:ext="edit" aspectratio="f"/>
              <v:textbox inset="0mm,0mm,0mm,0mm" style="mso-fit-shape-to-text:t;">
                <w:txbxContent>
                  <w:p w14:paraId="71FD255E">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1E76D">
    <w:pPr>
      <w:ind w:right="360"/>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AB9B1">
                          <w:pPr>
                            <w:pStyle w:val="17"/>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7EEAB9B1">
                    <w:pPr>
                      <w:pStyle w:val="17"/>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5D49C">
    <w:pPr>
      <w:ind w:right="360"/>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C5DC4">
                          <w:pPr>
                            <w:pStyle w:val="1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DFC5DC4">
                    <w:pPr>
                      <w:pStyle w:val="17"/>
                    </w:pPr>
                    <w:r>
                      <w:fldChar w:fldCharType="begin"/>
                    </w:r>
                    <w:r>
                      <w:instrText xml:space="preserve"> PAGE  \* MERGEFORMAT </w:instrText>
                    </w:r>
                    <w:r>
                      <w:fldChar w:fldCharType="separate"/>
                    </w:r>
                    <w:r>
                      <w:t>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24FDF">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B2D73">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86CF">
    <w:pPr>
      <w:pStyle w:val="1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BC5E4">
    <w:pPr>
      <w:pStyle w:val="1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DE7F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76B156"/>
    <w:multiLevelType w:val="singleLevel"/>
    <w:tmpl w:val="2576B156"/>
    <w:lvl w:ilvl="0" w:tentative="0">
      <w:start w:val="1"/>
      <w:numFmt w:val="chineseCounting"/>
      <w:suff w:val="nothing"/>
      <w:lvlText w:val="%1、"/>
      <w:lvlJc w:val="left"/>
      <w:rPr>
        <w:rFonts w:hint="eastAsia"/>
      </w:rPr>
    </w:lvl>
  </w:abstractNum>
  <w:abstractNum w:abstractNumId="1">
    <w:nsid w:val="45DAC7BA"/>
    <w:multiLevelType w:val="singleLevel"/>
    <w:tmpl w:val="45DAC7BA"/>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4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wMDcwODYwYWU4NmE3OGEwOTQ2YTI3NWFhMDg2MDUifQ=="/>
  </w:docVars>
  <w:rsids>
    <w:rsidRoot w:val="00172A27"/>
    <w:rsid w:val="00006A99"/>
    <w:rsid w:val="00172A27"/>
    <w:rsid w:val="001E2803"/>
    <w:rsid w:val="001E7404"/>
    <w:rsid w:val="0021575E"/>
    <w:rsid w:val="002448DF"/>
    <w:rsid w:val="00315BFD"/>
    <w:rsid w:val="004D5128"/>
    <w:rsid w:val="004F075F"/>
    <w:rsid w:val="005A6241"/>
    <w:rsid w:val="0061570B"/>
    <w:rsid w:val="006F27A4"/>
    <w:rsid w:val="007C481E"/>
    <w:rsid w:val="007E2538"/>
    <w:rsid w:val="00887663"/>
    <w:rsid w:val="008B0F41"/>
    <w:rsid w:val="00A237F2"/>
    <w:rsid w:val="00AA0EEA"/>
    <w:rsid w:val="00BA7BFA"/>
    <w:rsid w:val="00C1446A"/>
    <w:rsid w:val="00CD702A"/>
    <w:rsid w:val="00E80374"/>
    <w:rsid w:val="00FC27A3"/>
    <w:rsid w:val="00FF0544"/>
    <w:rsid w:val="0118094C"/>
    <w:rsid w:val="015E5849"/>
    <w:rsid w:val="016D69F0"/>
    <w:rsid w:val="01791F62"/>
    <w:rsid w:val="01A31E80"/>
    <w:rsid w:val="01E86D64"/>
    <w:rsid w:val="01EA1E0C"/>
    <w:rsid w:val="024F1E56"/>
    <w:rsid w:val="026D2059"/>
    <w:rsid w:val="02A51E2F"/>
    <w:rsid w:val="02AF1ECF"/>
    <w:rsid w:val="02D6610D"/>
    <w:rsid w:val="039750FB"/>
    <w:rsid w:val="04041DAC"/>
    <w:rsid w:val="043B5A8A"/>
    <w:rsid w:val="043D3D2C"/>
    <w:rsid w:val="0450362F"/>
    <w:rsid w:val="04DB10D3"/>
    <w:rsid w:val="04E624FD"/>
    <w:rsid w:val="052153A7"/>
    <w:rsid w:val="05485269"/>
    <w:rsid w:val="058B55ED"/>
    <w:rsid w:val="05EC7C21"/>
    <w:rsid w:val="06293315"/>
    <w:rsid w:val="067E5477"/>
    <w:rsid w:val="06E97422"/>
    <w:rsid w:val="06FD7219"/>
    <w:rsid w:val="07121477"/>
    <w:rsid w:val="076522AE"/>
    <w:rsid w:val="07B6688F"/>
    <w:rsid w:val="080A397F"/>
    <w:rsid w:val="082555F2"/>
    <w:rsid w:val="08E71CA8"/>
    <w:rsid w:val="09012639"/>
    <w:rsid w:val="094225B4"/>
    <w:rsid w:val="09A624FA"/>
    <w:rsid w:val="09DA47AC"/>
    <w:rsid w:val="09E12EC3"/>
    <w:rsid w:val="09F764A2"/>
    <w:rsid w:val="0A266534"/>
    <w:rsid w:val="0A3C77B6"/>
    <w:rsid w:val="0A777A5E"/>
    <w:rsid w:val="0A9566F2"/>
    <w:rsid w:val="0B4A2E5C"/>
    <w:rsid w:val="0B8E74B9"/>
    <w:rsid w:val="0BD25E54"/>
    <w:rsid w:val="0C101164"/>
    <w:rsid w:val="0C345B14"/>
    <w:rsid w:val="0C500789"/>
    <w:rsid w:val="0C643B08"/>
    <w:rsid w:val="0C7E7F06"/>
    <w:rsid w:val="0D4F04DD"/>
    <w:rsid w:val="0DBA67AA"/>
    <w:rsid w:val="0DC37A9F"/>
    <w:rsid w:val="0E061DA9"/>
    <w:rsid w:val="0E120F97"/>
    <w:rsid w:val="0E4C3854"/>
    <w:rsid w:val="0EDC0228"/>
    <w:rsid w:val="0F6E281F"/>
    <w:rsid w:val="0F782476"/>
    <w:rsid w:val="0FCE64B5"/>
    <w:rsid w:val="0FE02DA2"/>
    <w:rsid w:val="0FFA1E10"/>
    <w:rsid w:val="105E525A"/>
    <w:rsid w:val="111C65FD"/>
    <w:rsid w:val="115B454C"/>
    <w:rsid w:val="11C10F8C"/>
    <w:rsid w:val="12256EA4"/>
    <w:rsid w:val="12345A66"/>
    <w:rsid w:val="125A44B5"/>
    <w:rsid w:val="12D258D9"/>
    <w:rsid w:val="12F11514"/>
    <w:rsid w:val="12F37B08"/>
    <w:rsid w:val="12FA0782"/>
    <w:rsid w:val="131E7661"/>
    <w:rsid w:val="143955AB"/>
    <w:rsid w:val="146B158C"/>
    <w:rsid w:val="14D94BDC"/>
    <w:rsid w:val="14FE235A"/>
    <w:rsid w:val="150B0C97"/>
    <w:rsid w:val="152456D1"/>
    <w:rsid w:val="152C3791"/>
    <w:rsid w:val="154C1C8F"/>
    <w:rsid w:val="155E614E"/>
    <w:rsid w:val="16730394"/>
    <w:rsid w:val="16F21CF2"/>
    <w:rsid w:val="171E02FE"/>
    <w:rsid w:val="17EA3E9E"/>
    <w:rsid w:val="17EB4560"/>
    <w:rsid w:val="186C04B0"/>
    <w:rsid w:val="18771A56"/>
    <w:rsid w:val="18D65E63"/>
    <w:rsid w:val="18E74A18"/>
    <w:rsid w:val="1916308A"/>
    <w:rsid w:val="195121C1"/>
    <w:rsid w:val="195533D5"/>
    <w:rsid w:val="19B06B88"/>
    <w:rsid w:val="19DB61A9"/>
    <w:rsid w:val="1A1E4A1A"/>
    <w:rsid w:val="1A547E27"/>
    <w:rsid w:val="1A7132E8"/>
    <w:rsid w:val="1AB13E1A"/>
    <w:rsid w:val="1AB30861"/>
    <w:rsid w:val="1AC61090"/>
    <w:rsid w:val="1ACA4A56"/>
    <w:rsid w:val="1ADA69A0"/>
    <w:rsid w:val="1B814037"/>
    <w:rsid w:val="1B961434"/>
    <w:rsid w:val="1C59056A"/>
    <w:rsid w:val="1C80102F"/>
    <w:rsid w:val="1C9A75B2"/>
    <w:rsid w:val="1CFF406A"/>
    <w:rsid w:val="1D320CC9"/>
    <w:rsid w:val="1D3B1801"/>
    <w:rsid w:val="1DA60867"/>
    <w:rsid w:val="1DE70612"/>
    <w:rsid w:val="1E362D99"/>
    <w:rsid w:val="1E5E05A9"/>
    <w:rsid w:val="1E7A4290"/>
    <w:rsid w:val="1F1D0FB1"/>
    <w:rsid w:val="1FFF77AB"/>
    <w:rsid w:val="202479E1"/>
    <w:rsid w:val="20B07EF6"/>
    <w:rsid w:val="21092A5F"/>
    <w:rsid w:val="21221825"/>
    <w:rsid w:val="21416069"/>
    <w:rsid w:val="21DD0C50"/>
    <w:rsid w:val="22660862"/>
    <w:rsid w:val="229F17FC"/>
    <w:rsid w:val="22CA05A7"/>
    <w:rsid w:val="22CD5B1C"/>
    <w:rsid w:val="2381187C"/>
    <w:rsid w:val="23EF7AC6"/>
    <w:rsid w:val="23F829C8"/>
    <w:rsid w:val="23FD4D06"/>
    <w:rsid w:val="24097C6F"/>
    <w:rsid w:val="24170CEB"/>
    <w:rsid w:val="24C47314"/>
    <w:rsid w:val="25010B4B"/>
    <w:rsid w:val="25477366"/>
    <w:rsid w:val="25596B4F"/>
    <w:rsid w:val="2573667D"/>
    <w:rsid w:val="25D9764C"/>
    <w:rsid w:val="25F36D31"/>
    <w:rsid w:val="26622041"/>
    <w:rsid w:val="26694ACD"/>
    <w:rsid w:val="267B0B06"/>
    <w:rsid w:val="27632DC0"/>
    <w:rsid w:val="277E1829"/>
    <w:rsid w:val="27F271B6"/>
    <w:rsid w:val="27F53C31"/>
    <w:rsid w:val="28105257"/>
    <w:rsid w:val="281B58C6"/>
    <w:rsid w:val="2822705D"/>
    <w:rsid w:val="284D1F87"/>
    <w:rsid w:val="292535BA"/>
    <w:rsid w:val="29440C90"/>
    <w:rsid w:val="29484AD1"/>
    <w:rsid w:val="29A03359"/>
    <w:rsid w:val="29AE5DB5"/>
    <w:rsid w:val="29FB7596"/>
    <w:rsid w:val="2A224E8B"/>
    <w:rsid w:val="2A6F3AA2"/>
    <w:rsid w:val="2B354B80"/>
    <w:rsid w:val="2B3E636D"/>
    <w:rsid w:val="2BA01053"/>
    <w:rsid w:val="2BF57A07"/>
    <w:rsid w:val="2BFA6347"/>
    <w:rsid w:val="2CCD2C42"/>
    <w:rsid w:val="2D4E7332"/>
    <w:rsid w:val="2E0B6A2C"/>
    <w:rsid w:val="2EEF2D0C"/>
    <w:rsid w:val="2F3D6B45"/>
    <w:rsid w:val="2F753F35"/>
    <w:rsid w:val="2F914FEA"/>
    <w:rsid w:val="2FA1242C"/>
    <w:rsid w:val="308F6056"/>
    <w:rsid w:val="30E30D61"/>
    <w:rsid w:val="319B290D"/>
    <w:rsid w:val="320312F5"/>
    <w:rsid w:val="3244724D"/>
    <w:rsid w:val="32E209E9"/>
    <w:rsid w:val="32FE5F2E"/>
    <w:rsid w:val="34793EFB"/>
    <w:rsid w:val="34B503BF"/>
    <w:rsid w:val="357D685B"/>
    <w:rsid w:val="35A515E9"/>
    <w:rsid w:val="35C10E67"/>
    <w:rsid w:val="36394A0F"/>
    <w:rsid w:val="364610BA"/>
    <w:rsid w:val="365A2797"/>
    <w:rsid w:val="37194D1F"/>
    <w:rsid w:val="373D33AA"/>
    <w:rsid w:val="37543B39"/>
    <w:rsid w:val="37563A77"/>
    <w:rsid w:val="37BA269D"/>
    <w:rsid w:val="37FD1243"/>
    <w:rsid w:val="38141CC5"/>
    <w:rsid w:val="382F676B"/>
    <w:rsid w:val="38451DE6"/>
    <w:rsid w:val="384B01C8"/>
    <w:rsid w:val="392834BC"/>
    <w:rsid w:val="39B57315"/>
    <w:rsid w:val="39C81EDC"/>
    <w:rsid w:val="39DE6ECB"/>
    <w:rsid w:val="3B327AE6"/>
    <w:rsid w:val="3B493E7A"/>
    <w:rsid w:val="3B6D3534"/>
    <w:rsid w:val="3B90392B"/>
    <w:rsid w:val="3B93390D"/>
    <w:rsid w:val="3C245AB7"/>
    <w:rsid w:val="3C44776F"/>
    <w:rsid w:val="3C5E54CA"/>
    <w:rsid w:val="3C6E4B1A"/>
    <w:rsid w:val="3C9825A0"/>
    <w:rsid w:val="3CB42FDC"/>
    <w:rsid w:val="3CD7747E"/>
    <w:rsid w:val="3CE25073"/>
    <w:rsid w:val="3D37382B"/>
    <w:rsid w:val="3D4B7C7A"/>
    <w:rsid w:val="3D4F2B2E"/>
    <w:rsid w:val="3D94770A"/>
    <w:rsid w:val="3DBF473E"/>
    <w:rsid w:val="3E1951CD"/>
    <w:rsid w:val="3E2C6B37"/>
    <w:rsid w:val="3E4601C7"/>
    <w:rsid w:val="3E8A12CA"/>
    <w:rsid w:val="3EAC6A6F"/>
    <w:rsid w:val="3EB05281"/>
    <w:rsid w:val="3EB157FD"/>
    <w:rsid w:val="3F444D8F"/>
    <w:rsid w:val="3F550ACF"/>
    <w:rsid w:val="3FA17448"/>
    <w:rsid w:val="3FA34F0C"/>
    <w:rsid w:val="3FE734BE"/>
    <w:rsid w:val="408C346C"/>
    <w:rsid w:val="409E5D84"/>
    <w:rsid w:val="40A87A90"/>
    <w:rsid w:val="40DD1EB2"/>
    <w:rsid w:val="410F39C9"/>
    <w:rsid w:val="41677A08"/>
    <w:rsid w:val="41AD0D5F"/>
    <w:rsid w:val="42060897"/>
    <w:rsid w:val="4278572F"/>
    <w:rsid w:val="436B6708"/>
    <w:rsid w:val="437A6D31"/>
    <w:rsid w:val="43A0503A"/>
    <w:rsid w:val="43AF74A4"/>
    <w:rsid w:val="43DE2032"/>
    <w:rsid w:val="44A40343"/>
    <w:rsid w:val="44EE1EEE"/>
    <w:rsid w:val="45065E21"/>
    <w:rsid w:val="4541465C"/>
    <w:rsid w:val="45537A8D"/>
    <w:rsid w:val="457720F3"/>
    <w:rsid w:val="45931AC9"/>
    <w:rsid w:val="45B100B8"/>
    <w:rsid w:val="4601175C"/>
    <w:rsid w:val="463F3866"/>
    <w:rsid w:val="46582460"/>
    <w:rsid w:val="472D784B"/>
    <w:rsid w:val="47537AF3"/>
    <w:rsid w:val="475C4B8C"/>
    <w:rsid w:val="475F0562"/>
    <w:rsid w:val="47AA15F0"/>
    <w:rsid w:val="47C7637D"/>
    <w:rsid w:val="47E65860"/>
    <w:rsid w:val="4801627A"/>
    <w:rsid w:val="482D5B14"/>
    <w:rsid w:val="48A878A1"/>
    <w:rsid w:val="48DD7888"/>
    <w:rsid w:val="48F067FD"/>
    <w:rsid w:val="497139F6"/>
    <w:rsid w:val="49D86193"/>
    <w:rsid w:val="49FF5A00"/>
    <w:rsid w:val="4A3E64AE"/>
    <w:rsid w:val="4A4E0E8A"/>
    <w:rsid w:val="4ABB4A53"/>
    <w:rsid w:val="4B9761BD"/>
    <w:rsid w:val="4BA81D40"/>
    <w:rsid w:val="4C041C0D"/>
    <w:rsid w:val="4C4A0B54"/>
    <w:rsid w:val="4D753C2B"/>
    <w:rsid w:val="4D7E4856"/>
    <w:rsid w:val="4D922B68"/>
    <w:rsid w:val="4DD9502E"/>
    <w:rsid w:val="4E387EE5"/>
    <w:rsid w:val="4E5778B5"/>
    <w:rsid w:val="4E6344C1"/>
    <w:rsid w:val="4EB12749"/>
    <w:rsid w:val="4F000A22"/>
    <w:rsid w:val="4FBA17C7"/>
    <w:rsid w:val="4FCB5A50"/>
    <w:rsid w:val="509D1408"/>
    <w:rsid w:val="50F24675"/>
    <w:rsid w:val="511059B2"/>
    <w:rsid w:val="514E1763"/>
    <w:rsid w:val="51E96FB7"/>
    <w:rsid w:val="52295E6A"/>
    <w:rsid w:val="522A7B0F"/>
    <w:rsid w:val="527A4882"/>
    <w:rsid w:val="529971C3"/>
    <w:rsid w:val="52F64ABB"/>
    <w:rsid w:val="53824E42"/>
    <w:rsid w:val="53AF577B"/>
    <w:rsid w:val="53D6508F"/>
    <w:rsid w:val="53EB3C29"/>
    <w:rsid w:val="54073D45"/>
    <w:rsid w:val="54230914"/>
    <w:rsid w:val="548D0B37"/>
    <w:rsid w:val="549E5685"/>
    <w:rsid w:val="54E116CE"/>
    <w:rsid w:val="55115B0E"/>
    <w:rsid w:val="55312492"/>
    <w:rsid w:val="558E01DF"/>
    <w:rsid w:val="55EE1788"/>
    <w:rsid w:val="55FC7478"/>
    <w:rsid w:val="56154289"/>
    <w:rsid w:val="56EE6011"/>
    <w:rsid w:val="57B95A7E"/>
    <w:rsid w:val="580204E8"/>
    <w:rsid w:val="585020AD"/>
    <w:rsid w:val="58D649F2"/>
    <w:rsid w:val="58F52059"/>
    <w:rsid w:val="591C008E"/>
    <w:rsid w:val="591F21BB"/>
    <w:rsid w:val="59225DB5"/>
    <w:rsid w:val="594F3F26"/>
    <w:rsid w:val="59504840"/>
    <w:rsid w:val="59F1034F"/>
    <w:rsid w:val="59F20DAC"/>
    <w:rsid w:val="5A1325AC"/>
    <w:rsid w:val="5A393139"/>
    <w:rsid w:val="5AB5306C"/>
    <w:rsid w:val="5B214EEB"/>
    <w:rsid w:val="5B465423"/>
    <w:rsid w:val="5BC41926"/>
    <w:rsid w:val="5CB604CD"/>
    <w:rsid w:val="5CEC21E1"/>
    <w:rsid w:val="5D5A2BFD"/>
    <w:rsid w:val="5D622A72"/>
    <w:rsid w:val="5DEE234F"/>
    <w:rsid w:val="5E062D5C"/>
    <w:rsid w:val="5E3E6566"/>
    <w:rsid w:val="5E472D1A"/>
    <w:rsid w:val="5EA41AFB"/>
    <w:rsid w:val="5FB47EF4"/>
    <w:rsid w:val="5FC13E5D"/>
    <w:rsid w:val="5FDE58B7"/>
    <w:rsid w:val="60052319"/>
    <w:rsid w:val="60760318"/>
    <w:rsid w:val="60C77CA3"/>
    <w:rsid w:val="60D777F7"/>
    <w:rsid w:val="60EA15CC"/>
    <w:rsid w:val="60F359EB"/>
    <w:rsid w:val="60F62426"/>
    <w:rsid w:val="613C6819"/>
    <w:rsid w:val="61601567"/>
    <w:rsid w:val="616E1534"/>
    <w:rsid w:val="62106087"/>
    <w:rsid w:val="62410445"/>
    <w:rsid w:val="628E0DDC"/>
    <w:rsid w:val="62C95D8E"/>
    <w:rsid w:val="6321301B"/>
    <w:rsid w:val="633F40BB"/>
    <w:rsid w:val="64AB59D4"/>
    <w:rsid w:val="65116BDD"/>
    <w:rsid w:val="652D3438"/>
    <w:rsid w:val="654C32F2"/>
    <w:rsid w:val="65A73B2B"/>
    <w:rsid w:val="65E57177"/>
    <w:rsid w:val="65EC61B7"/>
    <w:rsid w:val="65F715D0"/>
    <w:rsid w:val="664019D5"/>
    <w:rsid w:val="666A40B9"/>
    <w:rsid w:val="66B729FC"/>
    <w:rsid w:val="66D84F69"/>
    <w:rsid w:val="66E75F83"/>
    <w:rsid w:val="6712429D"/>
    <w:rsid w:val="67A04A1B"/>
    <w:rsid w:val="68843A00"/>
    <w:rsid w:val="68CA65E0"/>
    <w:rsid w:val="690853CA"/>
    <w:rsid w:val="693A13F9"/>
    <w:rsid w:val="693C384D"/>
    <w:rsid w:val="69C5573D"/>
    <w:rsid w:val="6AAA3FCF"/>
    <w:rsid w:val="6AD27B67"/>
    <w:rsid w:val="6B0D3F12"/>
    <w:rsid w:val="6B371758"/>
    <w:rsid w:val="6B5C5DEE"/>
    <w:rsid w:val="6BC05392"/>
    <w:rsid w:val="6BF24B14"/>
    <w:rsid w:val="6C632BD4"/>
    <w:rsid w:val="6CD16082"/>
    <w:rsid w:val="6CE30D0F"/>
    <w:rsid w:val="6CE8675F"/>
    <w:rsid w:val="6CF73D1C"/>
    <w:rsid w:val="6D184C1E"/>
    <w:rsid w:val="6DA774C6"/>
    <w:rsid w:val="6E047828"/>
    <w:rsid w:val="6E0C17D1"/>
    <w:rsid w:val="6E552E8F"/>
    <w:rsid w:val="6EE95683"/>
    <w:rsid w:val="6F901BF2"/>
    <w:rsid w:val="6FF03ADB"/>
    <w:rsid w:val="70117384"/>
    <w:rsid w:val="70255927"/>
    <w:rsid w:val="70430733"/>
    <w:rsid w:val="7062712B"/>
    <w:rsid w:val="70CD097F"/>
    <w:rsid w:val="70E2218B"/>
    <w:rsid w:val="70F07066"/>
    <w:rsid w:val="71F71221"/>
    <w:rsid w:val="720A6A77"/>
    <w:rsid w:val="72434834"/>
    <w:rsid w:val="72A61CC5"/>
    <w:rsid w:val="73433780"/>
    <w:rsid w:val="73457C0E"/>
    <w:rsid w:val="735D665A"/>
    <w:rsid w:val="73A24FA3"/>
    <w:rsid w:val="741A191B"/>
    <w:rsid w:val="745116AF"/>
    <w:rsid w:val="7527283E"/>
    <w:rsid w:val="75290ED3"/>
    <w:rsid w:val="752A6C74"/>
    <w:rsid w:val="75EE060E"/>
    <w:rsid w:val="75FB373C"/>
    <w:rsid w:val="772D5A65"/>
    <w:rsid w:val="77957D97"/>
    <w:rsid w:val="779B2FAA"/>
    <w:rsid w:val="78034E76"/>
    <w:rsid w:val="78683FF5"/>
    <w:rsid w:val="78896B03"/>
    <w:rsid w:val="788E4550"/>
    <w:rsid w:val="78F273D2"/>
    <w:rsid w:val="79317CCB"/>
    <w:rsid w:val="79762C07"/>
    <w:rsid w:val="79787A43"/>
    <w:rsid w:val="79AD60BF"/>
    <w:rsid w:val="79B8355C"/>
    <w:rsid w:val="79BD33ED"/>
    <w:rsid w:val="79D21235"/>
    <w:rsid w:val="7A7A2D84"/>
    <w:rsid w:val="7AC81714"/>
    <w:rsid w:val="7B8740B3"/>
    <w:rsid w:val="7C2750B0"/>
    <w:rsid w:val="7C3458E0"/>
    <w:rsid w:val="7CBF7162"/>
    <w:rsid w:val="7CD171D4"/>
    <w:rsid w:val="7CD4600F"/>
    <w:rsid w:val="7CF74A1B"/>
    <w:rsid w:val="7D826020"/>
    <w:rsid w:val="7DC85AD8"/>
    <w:rsid w:val="7DDF5045"/>
    <w:rsid w:val="7E2D5893"/>
    <w:rsid w:val="7E3A7C85"/>
    <w:rsid w:val="7E3C3872"/>
    <w:rsid w:val="7ECE1C8D"/>
    <w:rsid w:val="7F076766"/>
    <w:rsid w:val="7F2B712A"/>
    <w:rsid w:val="7F4659C0"/>
    <w:rsid w:val="7F624624"/>
    <w:rsid w:val="7F691A72"/>
    <w:rsid w:val="7F8441F9"/>
    <w:rsid w:val="7FA902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jc w:val="left"/>
      <w:outlineLvl w:val="0"/>
    </w:pPr>
    <w:rPr>
      <w:rFonts w:hint="eastAsia" w:ascii="宋体" w:hAnsi="宋体"/>
      <w:b/>
      <w:kern w:val="44"/>
      <w:szCs w:val="21"/>
    </w:rPr>
  </w:style>
  <w:style w:type="paragraph" w:styleId="5">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7"/>
    <w:autoRedefine/>
    <w:qFormat/>
    <w:uiPriority w:val="9"/>
    <w:pPr>
      <w:keepNext/>
      <w:keepLines/>
      <w:spacing w:before="60" w:after="100" w:line="415" w:lineRule="auto"/>
      <w:outlineLvl w:val="2"/>
    </w:pPr>
    <w:rPr>
      <w:b/>
      <w:bCs/>
      <w:sz w:val="32"/>
      <w:szCs w:val="32"/>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autoRedefine/>
    <w:unhideWhenUsed/>
    <w:qFormat/>
    <w:uiPriority w:val="0"/>
    <w:pPr>
      <w:ind w:firstLine="420" w:firstLineChars="200"/>
    </w:pPr>
  </w:style>
  <w:style w:type="paragraph" w:styleId="3">
    <w:name w:val="Body Text Indent"/>
    <w:basedOn w:val="1"/>
    <w:autoRedefine/>
    <w:unhideWhenUsed/>
    <w:qFormat/>
    <w:uiPriority w:val="99"/>
    <w:pPr>
      <w:spacing w:after="120"/>
      <w:ind w:left="420" w:leftChars="200"/>
    </w:pPr>
  </w:style>
  <w:style w:type="paragraph" w:styleId="7">
    <w:name w:val="Normal Indent"/>
    <w:basedOn w:val="1"/>
    <w:next w:val="2"/>
    <w:autoRedefine/>
    <w:qFormat/>
    <w:uiPriority w:val="0"/>
    <w:pPr>
      <w:ind w:firstLine="420" w:firstLineChars="200"/>
    </w:pPr>
    <w:rPr>
      <w:kern w:val="0"/>
      <w:sz w:val="20"/>
      <w:szCs w:val="20"/>
    </w:rPr>
  </w:style>
  <w:style w:type="paragraph" w:styleId="8">
    <w:name w:val="toc 7"/>
    <w:basedOn w:val="1"/>
    <w:next w:val="1"/>
    <w:autoRedefine/>
    <w:qFormat/>
    <w:uiPriority w:val="39"/>
    <w:pPr>
      <w:ind w:left="1260"/>
      <w:jc w:val="left"/>
    </w:pPr>
    <w:rPr>
      <w:szCs w:val="21"/>
    </w:rPr>
  </w:style>
  <w:style w:type="paragraph" w:styleId="9">
    <w:name w:val="caption"/>
    <w:basedOn w:val="1"/>
    <w:next w:val="1"/>
    <w:autoRedefine/>
    <w:unhideWhenUsed/>
    <w:qFormat/>
    <w:uiPriority w:val="35"/>
    <w:rPr>
      <w:rFonts w:eastAsia="黑体" w:asciiTheme="majorHAnsi" w:hAnsiTheme="majorHAnsi" w:cstheme="majorBidi"/>
      <w:sz w:val="20"/>
      <w:szCs w:val="20"/>
    </w:rPr>
  </w:style>
  <w:style w:type="paragraph" w:styleId="10">
    <w:name w:val="annotation text"/>
    <w:basedOn w:val="1"/>
    <w:autoRedefine/>
    <w:unhideWhenUsed/>
    <w:qFormat/>
    <w:uiPriority w:val="99"/>
    <w:pPr>
      <w:jc w:val="left"/>
    </w:pPr>
  </w:style>
  <w:style w:type="paragraph" w:styleId="11">
    <w:name w:val="Body Text"/>
    <w:basedOn w:val="1"/>
    <w:next w:val="12"/>
    <w:autoRedefine/>
    <w:unhideWhenUsed/>
    <w:qFormat/>
    <w:uiPriority w:val="99"/>
    <w:pPr>
      <w:spacing w:after="120"/>
    </w:pPr>
  </w:style>
  <w:style w:type="paragraph" w:customStyle="1" w:styleId="12">
    <w:name w:val="Date1"/>
    <w:basedOn w:val="1"/>
    <w:next w:val="1"/>
    <w:autoRedefine/>
    <w:qFormat/>
    <w:uiPriority w:val="0"/>
    <w:pPr>
      <w:adjustRightInd w:val="0"/>
      <w:jc w:val="left"/>
      <w:textAlignment w:val="baseline"/>
    </w:pPr>
    <w:rPr>
      <w:rFonts w:ascii="宋体" w:hAnsi="宋体"/>
      <w:sz w:val="28"/>
      <w:szCs w:val="20"/>
    </w:rPr>
  </w:style>
  <w:style w:type="paragraph" w:styleId="13">
    <w:name w:val="Plain Text"/>
    <w:basedOn w:val="1"/>
    <w:autoRedefine/>
    <w:qFormat/>
    <w:uiPriority w:val="99"/>
    <w:rPr>
      <w:rFonts w:ascii="宋体" w:hAnsi="Courier New" w:cs="Century"/>
      <w:szCs w:val="21"/>
    </w:rPr>
  </w:style>
  <w:style w:type="paragraph" w:styleId="14">
    <w:name w:val="Date"/>
    <w:basedOn w:val="1"/>
    <w:next w:val="1"/>
    <w:autoRedefine/>
    <w:qFormat/>
    <w:uiPriority w:val="0"/>
    <w:pPr>
      <w:ind w:left="100"/>
    </w:pPr>
  </w:style>
  <w:style w:type="paragraph" w:styleId="15">
    <w:name w:val="Body Text Indent 2"/>
    <w:basedOn w:val="1"/>
    <w:next w:val="1"/>
    <w:autoRedefine/>
    <w:qFormat/>
    <w:uiPriority w:val="0"/>
    <w:pPr>
      <w:spacing w:line="540" w:lineRule="exact"/>
      <w:ind w:firstLine="480" w:firstLineChars="200"/>
    </w:pPr>
    <w:rPr>
      <w:sz w:val="24"/>
    </w:rPr>
  </w:style>
  <w:style w:type="paragraph" w:styleId="16">
    <w:name w:val="Balloon Text"/>
    <w:basedOn w:val="1"/>
    <w:link w:val="89"/>
    <w:autoRedefine/>
    <w:qFormat/>
    <w:uiPriority w:val="0"/>
    <w:rPr>
      <w:sz w:val="18"/>
      <w:szCs w:val="18"/>
    </w:rPr>
  </w:style>
  <w:style w:type="paragraph" w:styleId="17">
    <w:name w:val="footer"/>
    <w:basedOn w:val="1"/>
    <w:autoRedefine/>
    <w:qFormat/>
    <w:uiPriority w:val="99"/>
    <w:pPr>
      <w:tabs>
        <w:tab w:val="center" w:pos="4153"/>
        <w:tab w:val="right" w:pos="8306"/>
      </w:tabs>
      <w:snapToGrid w:val="0"/>
      <w:jc w:val="left"/>
    </w:pPr>
    <w:rPr>
      <w:sz w:val="18"/>
      <w:szCs w:val="18"/>
    </w:rPr>
  </w:style>
  <w:style w:type="paragraph" w:styleId="18">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index heading"/>
    <w:basedOn w:val="1"/>
    <w:next w:val="20"/>
    <w:qFormat/>
    <w:uiPriority w:val="0"/>
    <w:pPr>
      <w:spacing w:line="480" w:lineRule="exact"/>
    </w:pPr>
    <w:rPr>
      <w:rFonts w:ascii="Arial" w:hAnsi="Arial" w:cs="Arial"/>
      <w:b/>
      <w:bCs/>
      <w:sz w:val="24"/>
      <w:szCs w:val="20"/>
    </w:rPr>
  </w:style>
  <w:style w:type="paragraph" w:styleId="20">
    <w:name w:val="index 1"/>
    <w:basedOn w:val="1"/>
    <w:next w:val="1"/>
    <w:qFormat/>
    <w:uiPriority w:val="0"/>
  </w:style>
  <w:style w:type="paragraph" w:styleId="21">
    <w:name w:val="Subtitle"/>
    <w:basedOn w:val="1"/>
    <w:next w:val="1"/>
    <w:link w:val="123"/>
    <w:autoRedefine/>
    <w:qFormat/>
    <w:uiPriority w:val="99"/>
    <w:pPr>
      <w:ind w:firstLine="482"/>
    </w:pPr>
    <w:rPr>
      <w:rFonts w:ascii="Times New Roman" w:hAnsi="Times New Roman" w:cs="Times New Roman"/>
      <w:b/>
      <w:sz w:val="24"/>
      <w:szCs w:val="24"/>
    </w:rPr>
  </w:style>
  <w:style w:type="paragraph" w:styleId="22">
    <w:name w:val="Body Text Indent 3"/>
    <w:basedOn w:val="1"/>
    <w:autoRedefine/>
    <w:unhideWhenUsed/>
    <w:qFormat/>
    <w:uiPriority w:val="0"/>
    <w:pPr>
      <w:ind w:firstLine="570"/>
    </w:pPr>
    <w:rPr>
      <w:szCs w:val="20"/>
    </w:rPr>
  </w:style>
  <w:style w:type="paragraph" w:styleId="23">
    <w:name w:val="toc 2"/>
    <w:basedOn w:val="1"/>
    <w:next w:val="1"/>
    <w:autoRedefine/>
    <w:qFormat/>
    <w:uiPriority w:val="99"/>
    <w:pPr>
      <w:ind w:left="420"/>
    </w:pPr>
  </w:style>
  <w:style w:type="paragraph" w:styleId="24">
    <w:name w:val="Body Text 2"/>
    <w:basedOn w:val="1"/>
    <w:next w:val="1"/>
    <w:autoRedefine/>
    <w:qFormat/>
    <w:uiPriority w:val="0"/>
    <w:pPr>
      <w:spacing w:line="480" w:lineRule="auto"/>
    </w:pPr>
  </w:style>
  <w:style w:type="paragraph" w:styleId="2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6">
    <w:name w:val="Normal (Web)"/>
    <w:basedOn w:val="1"/>
    <w:next w:val="23"/>
    <w:autoRedefine/>
    <w:qFormat/>
    <w:uiPriority w:val="99"/>
    <w:pPr>
      <w:widowControl/>
      <w:spacing w:before="100" w:beforeAutospacing="1" w:after="100" w:afterAutospacing="1"/>
      <w:jc w:val="left"/>
    </w:pPr>
    <w:rPr>
      <w:rFonts w:ascii="Arial Unicode MS" w:hAnsi="Arial Unicode MS" w:eastAsia="Arial Unicode MS"/>
      <w:kern w:val="0"/>
      <w:sz w:val="24"/>
      <w:szCs w:val="20"/>
    </w:rPr>
  </w:style>
  <w:style w:type="paragraph" w:styleId="27">
    <w:name w:val="Title"/>
    <w:basedOn w:val="1"/>
    <w:next w:val="1"/>
    <w:qFormat/>
    <w:uiPriority w:val="0"/>
    <w:pPr>
      <w:spacing w:before="240" w:after="60"/>
      <w:jc w:val="center"/>
      <w:outlineLvl w:val="0"/>
    </w:pPr>
    <w:rPr>
      <w:rFonts w:eastAsia="宋体" w:asciiTheme="majorHAnsi" w:hAnsiTheme="majorHAnsi" w:cstheme="majorBidi"/>
      <w:b/>
      <w:bCs/>
      <w:sz w:val="32"/>
      <w:szCs w:val="32"/>
    </w:rPr>
  </w:style>
  <w:style w:type="paragraph" w:styleId="28">
    <w:name w:val="annotation subject"/>
    <w:basedOn w:val="10"/>
    <w:next w:val="10"/>
    <w:autoRedefine/>
    <w:qFormat/>
    <w:uiPriority w:val="99"/>
    <w:rPr>
      <w:b/>
      <w:bCs/>
    </w:rPr>
  </w:style>
  <w:style w:type="paragraph" w:styleId="29">
    <w:name w:val="Body Text First Indent"/>
    <w:basedOn w:val="11"/>
    <w:next w:val="1"/>
    <w:autoRedefine/>
    <w:qFormat/>
    <w:uiPriority w:val="99"/>
    <w:pPr>
      <w:ind w:firstLine="420" w:firstLineChars="100"/>
    </w:pPr>
  </w:style>
  <w:style w:type="table" w:styleId="31">
    <w:name w:val="Table Grid"/>
    <w:basedOn w:val="3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Strong"/>
    <w:basedOn w:val="32"/>
    <w:autoRedefine/>
    <w:qFormat/>
    <w:uiPriority w:val="0"/>
    <w:rPr>
      <w:b/>
    </w:rPr>
  </w:style>
  <w:style w:type="character" w:styleId="34">
    <w:name w:val="page number"/>
    <w:basedOn w:val="32"/>
    <w:autoRedefine/>
    <w:qFormat/>
    <w:uiPriority w:val="99"/>
    <w:rPr>
      <w:rFonts w:cs="Times New Roman"/>
    </w:rPr>
  </w:style>
  <w:style w:type="character" w:styleId="35">
    <w:name w:val="Emphasis"/>
    <w:basedOn w:val="32"/>
    <w:autoRedefine/>
    <w:qFormat/>
    <w:uiPriority w:val="0"/>
    <w:rPr>
      <w:i/>
    </w:rPr>
  </w:style>
  <w:style w:type="character" w:styleId="36">
    <w:name w:val="Hyperlink"/>
    <w:basedOn w:val="32"/>
    <w:autoRedefine/>
    <w:qFormat/>
    <w:uiPriority w:val="0"/>
    <w:rPr>
      <w:color w:val="2D64B3"/>
      <w:u w:val="none"/>
    </w:rPr>
  </w:style>
  <w:style w:type="character" w:styleId="37">
    <w:name w:val="annotation reference"/>
    <w:basedOn w:val="32"/>
    <w:autoRedefine/>
    <w:qFormat/>
    <w:uiPriority w:val="0"/>
    <w:rPr>
      <w:sz w:val="21"/>
      <w:szCs w:val="21"/>
    </w:rPr>
  </w:style>
  <w:style w:type="paragraph" w:customStyle="1" w:styleId="38">
    <w:name w:val="样式 正文缩进正文缩进2正文缩进 Char Char正文缩进 Char Char Char Char正文缩进 Char ..."/>
    <w:basedOn w:val="7"/>
    <w:autoRedefine/>
    <w:qFormat/>
    <w:uiPriority w:val="0"/>
    <w:pPr>
      <w:spacing w:line="360" w:lineRule="auto"/>
      <w:ind w:firstLine="200"/>
    </w:pPr>
    <w:rPr>
      <w:rFonts w:cs="宋体"/>
      <w:sz w:val="24"/>
    </w:rPr>
  </w:style>
  <w:style w:type="paragraph" w:customStyle="1" w:styleId="39">
    <w:name w:val="样式 正文文本缩进 + 行距: 1.5 倍行距"/>
    <w:basedOn w:val="1"/>
    <w:autoRedefine/>
    <w:qFormat/>
    <w:uiPriority w:val="0"/>
    <w:pPr>
      <w:spacing w:after="120" w:line="360" w:lineRule="auto"/>
      <w:ind w:left="32" w:leftChars="32" w:firstLine="200" w:firstLineChars="200"/>
    </w:pPr>
    <w:rPr>
      <w:rFonts w:ascii="Times New Roman" w:hAnsi="Times New Roman" w:eastAsia="宋体" w:cs="宋体"/>
      <w:lang w:bidi="ar-SA"/>
    </w:rPr>
  </w:style>
  <w:style w:type="paragraph" w:customStyle="1" w:styleId="40">
    <w:name w:val="xl27"/>
    <w:basedOn w:val="1"/>
    <w:next w:val="41"/>
    <w:autoRedefine/>
    <w:qFormat/>
    <w:uiPriority w:val="0"/>
    <w:pPr>
      <w:widowControl/>
      <w:pBdr>
        <w:bottom w:val="single" w:color="auto" w:sz="4" w:space="0"/>
        <w:right w:val="single" w:color="auto" w:sz="4" w:space="0"/>
      </w:pBdr>
      <w:spacing w:before="100" w:beforeAutospacing="1" w:after="77" w:afterAutospacing="1"/>
      <w:jc w:val="center"/>
    </w:pPr>
    <w:rPr>
      <w:rFonts w:ascii="Calibri" w:hAnsi="Calibri" w:cs="宋体"/>
      <w:kern w:val="0"/>
      <w:sz w:val="24"/>
      <w:szCs w:val="21"/>
    </w:rPr>
  </w:style>
  <w:style w:type="paragraph" w:customStyle="1" w:styleId="41">
    <w:name w:val="0 GBJ正文"/>
    <w:basedOn w:val="1"/>
    <w:autoRedefine/>
    <w:qFormat/>
    <w:uiPriority w:val="0"/>
    <w:pPr>
      <w:adjustRightInd w:val="0"/>
      <w:snapToGrid w:val="0"/>
      <w:spacing w:line="460" w:lineRule="exact"/>
      <w:ind w:firstLine="480" w:firstLineChars="200"/>
    </w:pPr>
    <w:rPr>
      <w:rFonts w:asciiTheme="minorHAnsi" w:hAnsiTheme="minorHAnsi" w:eastAsiaTheme="minorEastAsia" w:cstheme="minorBidi"/>
      <w:kern w:val="0"/>
      <w:sz w:val="24"/>
    </w:rPr>
  </w:style>
  <w:style w:type="paragraph" w:customStyle="1" w:styleId="42">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43">
    <w:name w:val="[1]正文"/>
    <w:basedOn w:val="1"/>
    <w:autoRedefine/>
    <w:qFormat/>
    <w:uiPriority w:val="0"/>
    <w:pPr>
      <w:autoSpaceDE w:val="0"/>
      <w:autoSpaceDN w:val="0"/>
      <w:ind w:firstLine="200" w:firstLineChars="200"/>
    </w:pPr>
    <w:rPr>
      <w:color w:val="000000"/>
      <w:kern w:val="0"/>
      <w:lang w:val="zh-CN"/>
    </w:rPr>
  </w:style>
  <w:style w:type="character" w:customStyle="1" w:styleId="44">
    <w:name w:val="封面"/>
    <w:autoRedefine/>
    <w:qFormat/>
    <w:uiPriority w:val="0"/>
    <w:rPr>
      <w:rFonts w:hAnsi="宋体"/>
      <w:b/>
      <w:color w:val="000000"/>
      <w:spacing w:val="20"/>
      <w:sz w:val="72"/>
    </w:rPr>
  </w:style>
  <w:style w:type="paragraph" w:customStyle="1" w:styleId="45">
    <w:name w:val="表格"/>
    <w:basedOn w:val="7"/>
    <w:next w:val="1"/>
    <w:autoRedefine/>
    <w:qFormat/>
    <w:uiPriority w:val="0"/>
    <w:pPr>
      <w:jc w:val="center"/>
    </w:pPr>
    <w:rPr>
      <w:kern w:val="0"/>
      <w:sz w:val="24"/>
      <w:szCs w:val="20"/>
    </w:rPr>
  </w:style>
  <w:style w:type="paragraph" w:customStyle="1" w:styleId="46">
    <w:name w:val="列出段落1"/>
    <w:basedOn w:val="1"/>
    <w:autoRedefine/>
    <w:qFormat/>
    <w:uiPriority w:val="0"/>
    <w:pPr>
      <w:ind w:firstLine="420" w:firstLineChars="200"/>
    </w:pPr>
  </w:style>
  <w:style w:type="paragraph" w:customStyle="1" w:styleId="47">
    <w:name w:val="样式 样式 样式 正文@ + 首行缩进:  2 字符 + 首行缩进:  2 字符 + 行距: 多倍行距 1.3 字行"/>
    <w:basedOn w:val="48"/>
    <w:autoRedefine/>
    <w:qFormat/>
    <w:uiPriority w:val="0"/>
  </w:style>
  <w:style w:type="paragraph" w:customStyle="1" w:styleId="48">
    <w:name w:val="样式 样式 正文@ + 首行缩进:  2 字符 + 首行缩进:  2 字符"/>
    <w:basedOn w:val="1"/>
    <w:autoRedefine/>
    <w:qFormat/>
    <w:uiPriority w:val="0"/>
    <w:pPr>
      <w:spacing w:line="312" w:lineRule="auto"/>
      <w:ind w:firstLine="200" w:firstLineChars="200"/>
    </w:pPr>
    <w:rPr>
      <w:rFonts w:ascii="宋体" w:hAnsi="宋体" w:cs="宋体"/>
      <w:sz w:val="24"/>
      <w:szCs w:val="20"/>
    </w:rPr>
  </w:style>
  <w:style w:type="paragraph" w:customStyle="1" w:styleId="49">
    <w:name w:val="样式 正文wjh + 首行缩进:  0.99 厘米 段前: 18 磅"/>
    <w:basedOn w:val="1"/>
    <w:autoRedefine/>
    <w:qFormat/>
    <w:uiPriority w:val="0"/>
    <w:pPr>
      <w:spacing w:line="360" w:lineRule="auto"/>
      <w:ind w:firstLine="561"/>
      <w:jc w:val="left"/>
    </w:pPr>
    <w:rPr>
      <w:rFonts w:ascii="Calibri" w:hAnsi="Calibri" w:cs="宋体"/>
      <w:sz w:val="24"/>
      <w:szCs w:val="20"/>
    </w:rPr>
  </w:style>
  <w:style w:type="paragraph" w:customStyle="1" w:styleId="50">
    <w:name w:val="正文首行缩进＋湿地"/>
    <w:basedOn w:val="1"/>
    <w:autoRedefine/>
    <w:qFormat/>
    <w:uiPriority w:val="0"/>
    <w:pPr>
      <w:spacing w:line="440" w:lineRule="exact"/>
      <w:ind w:firstLine="540" w:firstLineChars="225"/>
    </w:pPr>
    <w:rPr>
      <w:rFonts w:ascii="仿宋_GB2312" w:hAnsi="宋体" w:eastAsia="仿宋_GB2312"/>
      <w:kern w:val="0"/>
      <w:sz w:val="28"/>
      <w:szCs w:val="20"/>
    </w:rPr>
  </w:style>
  <w:style w:type="paragraph" w:customStyle="1" w:styleId="51">
    <w:name w:val="表格内容"/>
    <w:basedOn w:val="1"/>
    <w:autoRedefine/>
    <w:qFormat/>
    <w:uiPriority w:val="0"/>
    <w:pPr>
      <w:jc w:val="center"/>
    </w:pPr>
    <w:rPr>
      <w:szCs w:val="21"/>
    </w:rPr>
  </w:style>
  <w:style w:type="paragraph" w:customStyle="1" w:styleId="52">
    <w:name w:val="表"/>
    <w:basedOn w:val="1"/>
    <w:autoRedefine/>
    <w:qFormat/>
    <w:uiPriority w:val="0"/>
    <w:pPr>
      <w:snapToGrid w:val="0"/>
      <w:jc w:val="center"/>
    </w:pPr>
    <w:rPr>
      <w:spacing w:val="2"/>
      <w:szCs w:val="20"/>
    </w:rPr>
  </w:style>
  <w:style w:type="paragraph" w:customStyle="1" w:styleId="53">
    <w:name w:val="HP表格内容"/>
    <w:autoRedefine/>
    <w:qFormat/>
    <w:uiPriority w:val="0"/>
    <w:pPr>
      <w:jc w:val="center"/>
    </w:pPr>
    <w:rPr>
      <w:rFonts w:ascii="Times New Roman" w:hAnsi="Times New Roman" w:eastAsia="宋体" w:cs="Times New Roman"/>
      <w:sz w:val="24"/>
      <w:szCs w:val="24"/>
      <w:lang w:val="en-US" w:eastAsia="zh-CN" w:bidi="ar-SA"/>
    </w:rPr>
  </w:style>
  <w:style w:type="paragraph" w:customStyle="1" w:styleId="54">
    <w:name w:val="p0"/>
    <w:autoRedefine/>
    <w:qFormat/>
    <w:uiPriority w:val="0"/>
    <w:rPr>
      <w:rFonts w:ascii="Times New Roman" w:hAnsi="Times New Roman" w:eastAsia="宋体" w:cs="Times New Roman"/>
      <w:sz w:val="21"/>
      <w:szCs w:val="21"/>
      <w:lang w:val="en-US" w:eastAsia="zh-CN" w:bidi="ar-SA"/>
    </w:rPr>
  </w:style>
  <w:style w:type="paragraph" w:customStyle="1" w:styleId="55">
    <w:name w:val="表格样式文字"/>
    <w:basedOn w:val="1"/>
    <w:autoRedefine/>
    <w:qFormat/>
    <w:uiPriority w:val="0"/>
    <w:pPr>
      <w:tabs>
        <w:tab w:val="left" w:pos="3312"/>
      </w:tabs>
      <w:snapToGrid w:val="0"/>
      <w:spacing w:line="400" w:lineRule="exact"/>
    </w:pPr>
    <w:rPr>
      <w:rFonts w:ascii="宋体"/>
      <w:sz w:val="24"/>
      <w:szCs w:val="20"/>
    </w:rPr>
  </w:style>
  <w:style w:type="paragraph" w:customStyle="1" w:styleId="56">
    <w:name w:val="锅炉正文"/>
    <w:basedOn w:val="1"/>
    <w:autoRedefine/>
    <w:qFormat/>
    <w:uiPriority w:val="0"/>
    <w:pPr>
      <w:adjustRightInd w:val="0"/>
      <w:snapToGrid w:val="0"/>
      <w:spacing w:line="360" w:lineRule="auto"/>
      <w:ind w:firstLine="200" w:firstLineChars="200"/>
    </w:pPr>
    <w:rPr>
      <w:sz w:val="24"/>
      <w:szCs w:val="20"/>
    </w:rPr>
  </w:style>
  <w:style w:type="paragraph" w:customStyle="1" w:styleId="57">
    <w:name w:val="李发荣个人正文"/>
    <w:basedOn w:val="1"/>
    <w:next w:val="1"/>
    <w:autoRedefine/>
    <w:qFormat/>
    <w:uiPriority w:val="0"/>
    <w:pPr>
      <w:spacing w:line="360" w:lineRule="auto"/>
      <w:ind w:firstLine="504" w:firstLineChars="200"/>
    </w:pPr>
    <w:rPr>
      <w:rFonts w:ascii="宋体" w:hAnsi="宋体" w:cs="宋体"/>
      <w:kern w:val="0"/>
    </w:rPr>
  </w:style>
  <w:style w:type="paragraph" w:customStyle="1" w:styleId="58">
    <w:name w:val="Default"/>
    <w:basedOn w:val="59"/>
    <w:next w:val="60"/>
    <w:autoRedefine/>
    <w:semiHidden/>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9">
    <w:name w:val="文本"/>
    <w:basedOn w:val="1"/>
    <w:qFormat/>
    <w:uiPriority w:val="0"/>
    <w:pPr>
      <w:autoSpaceDE w:val="0"/>
      <w:autoSpaceDN w:val="0"/>
      <w:ind w:firstLine="480"/>
    </w:pPr>
    <w:rPr>
      <w:lang w:val="zh-CN"/>
    </w:rPr>
  </w:style>
  <w:style w:type="paragraph" w:customStyle="1" w:styleId="60">
    <w:name w:val="样式1"/>
    <w:basedOn w:val="19"/>
    <w:next w:val="1"/>
    <w:qFormat/>
    <w:uiPriority w:val="0"/>
    <w:pPr>
      <w:snapToGrid w:val="0"/>
      <w:jc w:val="center"/>
    </w:pPr>
    <w:rPr>
      <w:rFonts w:ascii="宋体" w:eastAsia="宋体"/>
      <w:sz w:val="21"/>
    </w:rPr>
  </w:style>
  <w:style w:type="paragraph" w:customStyle="1" w:styleId="61">
    <w:name w:val="标题2"/>
    <w:next w:val="5"/>
    <w:autoRedefine/>
    <w:qFormat/>
    <w:uiPriority w:val="0"/>
    <w:pPr>
      <w:widowControl w:val="0"/>
      <w:adjustRightInd w:val="0"/>
      <w:snapToGrid w:val="0"/>
      <w:spacing w:line="360" w:lineRule="auto"/>
      <w:ind w:firstLine="200" w:firstLineChars="200"/>
      <w:jc w:val="both"/>
    </w:pPr>
    <w:rPr>
      <w:rFonts w:ascii="宋体" w:hAnsi="宋体" w:eastAsia="宋体" w:cs="Times New Roman"/>
      <w:b/>
      <w:sz w:val="24"/>
      <w:szCs w:val="24"/>
      <w:lang w:val="en-US" w:eastAsia="zh-CN" w:bidi="ar-SA"/>
    </w:rPr>
  </w:style>
  <w:style w:type="paragraph" w:customStyle="1" w:styleId="62">
    <w:name w:val="样式 样式 标题 3ReHead 3 WSAh3第二层条标题9分节小标题小节标题H3H31H32H33u3...2 + 自动设置"/>
    <w:basedOn w:val="1"/>
    <w:autoRedefine/>
    <w:qFormat/>
    <w:uiPriority w:val="0"/>
    <w:pPr>
      <w:keepNext/>
      <w:keepLines/>
      <w:adjustRightInd w:val="0"/>
      <w:snapToGrid w:val="0"/>
      <w:spacing w:line="360" w:lineRule="auto"/>
      <w:outlineLvl w:val="2"/>
    </w:pPr>
    <w:rPr>
      <w:rFonts w:cs="宋体"/>
      <w:b/>
      <w:bCs/>
      <w:sz w:val="28"/>
      <w:szCs w:val="20"/>
    </w:rPr>
  </w:style>
  <w:style w:type="paragraph" w:customStyle="1" w:styleId="63">
    <w:name w:val="样式8"/>
    <w:basedOn w:val="5"/>
    <w:autoRedefine/>
    <w:qFormat/>
    <w:uiPriority w:val="0"/>
    <w:pPr>
      <w:keepLines w:val="0"/>
      <w:tabs>
        <w:tab w:val="left" w:pos="4680"/>
      </w:tabs>
      <w:adjustRightInd w:val="0"/>
      <w:snapToGrid w:val="0"/>
      <w:spacing w:line="440" w:lineRule="exact"/>
      <w:ind w:left="425" w:hanging="425"/>
      <w:jc w:val="left"/>
    </w:pPr>
    <w:rPr>
      <w:rFonts w:ascii="宋体" w:hAnsi="宋体"/>
      <w:sz w:val="28"/>
      <w:szCs w:val="28"/>
    </w:rPr>
  </w:style>
  <w:style w:type="paragraph" w:customStyle="1" w:styleId="64">
    <w:name w:val="表中正文内容"/>
    <w:basedOn w:val="1"/>
    <w:autoRedefine/>
    <w:qFormat/>
    <w:uiPriority w:val="0"/>
    <w:pPr>
      <w:adjustRightInd w:val="0"/>
      <w:spacing w:line="480" w:lineRule="exact"/>
      <w:ind w:firstLine="560" w:firstLineChars="200"/>
      <w:jc w:val="left"/>
      <w:textAlignment w:val="baseline"/>
    </w:pPr>
    <w:rPr>
      <w:sz w:val="28"/>
      <w:szCs w:val="20"/>
    </w:rPr>
  </w:style>
  <w:style w:type="paragraph" w:customStyle="1" w:styleId="65">
    <w:name w:val="报告表正文"/>
    <w:basedOn w:val="15"/>
    <w:autoRedefine/>
    <w:qFormat/>
    <w:uiPriority w:val="0"/>
    <w:pPr>
      <w:spacing w:line="360" w:lineRule="auto"/>
      <w:ind w:firstLine="200"/>
    </w:pPr>
  </w:style>
  <w:style w:type="character" w:customStyle="1" w:styleId="66">
    <w:name w:val="font01"/>
    <w:basedOn w:val="32"/>
    <w:autoRedefine/>
    <w:qFormat/>
    <w:uiPriority w:val="0"/>
    <w:rPr>
      <w:rFonts w:hint="eastAsia" w:ascii="宋体" w:hAnsi="宋体" w:eastAsia="宋体" w:cs="宋体"/>
      <w:color w:val="000000"/>
      <w:sz w:val="18"/>
      <w:szCs w:val="18"/>
      <w:u w:val="none"/>
      <w:vertAlign w:val="superscript"/>
    </w:rPr>
  </w:style>
  <w:style w:type="character" w:customStyle="1" w:styleId="67">
    <w:name w:val="font51"/>
    <w:basedOn w:val="32"/>
    <w:autoRedefine/>
    <w:qFormat/>
    <w:uiPriority w:val="0"/>
    <w:rPr>
      <w:rFonts w:hint="eastAsia" w:ascii="宋体" w:hAnsi="宋体" w:eastAsia="宋体" w:cs="宋体"/>
      <w:color w:val="000000"/>
      <w:sz w:val="21"/>
      <w:szCs w:val="21"/>
      <w:u w:val="none"/>
    </w:rPr>
  </w:style>
  <w:style w:type="character" w:customStyle="1" w:styleId="68">
    <w:name w:val="font11"/>
    <w:basedOn w:val="32"/>
    <w:autoRedefine/>
    <w:qFormat/>
    <w:uiPriority w:val="0"/>
    <w:rPr>
      <w:rFonts w:hint="eastAsia" w:ascii="宋体" w:hAnsi="宋体" w:eastAsia="宋体" w:cs="宋体"/>
      <w:color w:val="000000"/>
      <w:sz w:val="28"/>
      <w:szCs w:val="28"/>
      <w:u w:val="none"/>
      <w:vertAlign w:val="subscript"/>
    </w:rPr>
  </w:style>
  <w:style w:type="paragraph" w:customStyle="1" w:styleId="69">
    <w:name w:val="Table Paragraph"/>
    <w:basedOn w:val="1"/>
    <w:autoRedefine/>
    <w:qFormat/>
    <w:uiPriority w:val="1"/>
    <w:pPr>
      <w:spacing w:before="38"/>
      <w:jc w:val="center"/>
    </w:pPr>
    <w:rPr>
      <w:rFonts w:ascii="宋体" w:hAnsi="宋体" w:cs="宋体"/>
      <w:lang w:val="zh-CN" w:bidi="zh-CN"/>
    </w:rPr>
  </w:style>
  <w:style w:type="paragraph" w:customStyle="1" w:styleId="70">
    <w:name w:val="样式标题5"/>
    <w:basedOn w:val="1"/>
    <w:next w:val="1"/>
    <w:autoRedefine/>
    <w:qFormat/>
    <w:uiPriority w:val="0"/>
    <w:pPr>
      <w:spacing w:line="360" w:lineRule="auto"/>
      <w:ind w:firstLine="400"/>
    </w:pPr>
    <w:rPr>
      <w:sz w:val="24"/>
    </w:rPr>
  </w:style>
  <w:style w:type="paragraph" w:customStyle="1" w:styleId="71">
    <w:name w:val="报告书正文"/>
    <w:basedOn w:val="29"/>
    <w:next w:val="8"/>
    <w:autoRedefine/>
    <w:qFormat/>
    <w:uiPriority w:val="0"/>
    <w:pPr>
      <w:adjustRightInd w:val="0"/>
      <w:snapToGrid w:val="0"/>
      <w:spacing w:line="360" w:lineRule="auto"/>
      <w:ind w:firstLine="425"/>
      <w:textAlignment w:val="baseline"/>
    </w:pPr>
    <w:rPr>
      <w:rFonts w:ascii="华康心动体 W4" w:hAnsi="华康心动体 W4" w:eastAsia="华文中宋"/>
      <w:kern w:val="0"/>
      <w:sz w:val="24"/>
      <w:szCs w:val="20"/>
    </w:rPr>
  </w:style>
  <w:style w:type="paragraph" w:customStyle="1" w:styleId="72">
    <w:name w:val="样式 首行缩进:  2 字符"/>
    <w:basedOn w:val="1"/>
    <w:autoRedefine/>
    <w:qFormat/>
    <w:uiPriority w:val="0"/>
    <w:pPr>
      <w:spacing w:line="460" w:lineRule="exact"/>
      <w:ind w:firstLine="471"/>
    </w:pPr>
    <w:rPr>
      <w:sz w:val="24"/>
    </w:rPr>
  </w:style>
  <w:style w:type="paragraph" w:customStyle="1" w:styleId="73">
    <w:name w:val="样式5"/>
    <w:basedOn w:val="74"/>
    <w:autoRedefine/>
    <w:qFormat/>
    <w:uiPriority w:val="0"/>
    <w:pPr>
      <w:tabs>
        <w:tab w:val="left" w:pos="420"/>
        <w:tab w:val="left" w:pos="630"/>
        <w:tab w:val="right" w:leader="dot" w:pos="9174"/>
      </w:tabs>
    </w:pPr>
    <w:rPr>
      <w:rFonts w:ascii="Times New Roman"/>
    </w:rPr>
  </w:style>
  <w:style w:type="paragraph" w:customStyle="1" w:styleId="74">
    <w:name w:val="正文1"/>
    <w:basedOn w:val="1"/>
    <w:next w:val="1"/>
    <w:autoRedefine/>
    <w:qFormat/>
    <w:uiPriority w:val="0"/>
    <w:pPr>
      <w:widowControl/>
      <w:spacing w:line="360" w:lineRule="auto"/>
      <w:ind w:firstLine="482"/>
    </w:pPr>
    <w:rPr>
      <w:kern w:val="0"/>
      <w:sz w:val="24"/>
    </w:rPr>
  </w:style>
  <w:style w:type="paragraph" w:customStyle="1" w:styleId="75">
    <w:name w:val="样式4"/>
    <w:basedOn w:val="11"/>
    <w:autoRedefine/>
    <w:qFormat/>
    <w:uiPriority w:val="0"/>
    <w:pPr>
      <w:tabs>
        <w:tab w:val="left" w:pos="420"/>
        <w:tab w:val="left" w:pos="630"/>
        <w:tab w:val="right" w:leader="dot" w:pos="9174"/>
      </w:tabs>
      <w:spacing w:before="120"/>
      <w:jc w:val="left"/>
    </w:pPr>
    <w:rPr>
      <w:rFonts w:ascii="黑体" w:eastAsia="黑体"/>
      <w:caps/>
      <w:sz w:val="24"/>
      <w:szCs w:val="20"/>
    </w:rPr>
  </w:style>
  <w:style w:type="paragraph" w:customStyle="1" w:styleId="76">
    <w:name w:val="流程文字"/>
    <w:basedOn w:val="1"/>
    <w:autoRedefine/>
    <w:qFormat/>
    <w:uiPriority w:val="0"/>
    <w:pPr>
      <w:tabs>
        <w:tab w:val="left" w:pos="6480"/>
      </w:tabs>
      <w:topLinePunct/>
      <w:adjustRightInd w:val="0"/>
      <w:snapToGrid w:val="0"/>
      <w:jc w:val="center"/>
    </w:pPr>
    <w:rPr>
      <w:rFonts w:eastAsia="仿宋_GB2312"/>
    </w:rPr>
  </w:style>
  <w:style w:type="paragraph" w:customStyle="1" w:styleId="77">
    <w:name w:val="1正文"/>
    <w:basedOn w:val="1"/>
    <w:autoRedefine/>
    <w:qFormat/>
    <w:uiPriority w:val="0"/>
    <w:pPr>
      <w:spacing w:line="360" w:lineRule="auto"/>
      <w:ind w:firstLine="198" w:firstLineChars="200"/>
    </w:pPr>
    <w:rPr>
      <w:sz w:val="24"/>
    </w:rPr>
  </w:style>
  <w:style w:type="paragraph" w:customStyle="1" w:styleId="78">
    <w:name w:val="表格文字"/>
    <w:autoRedefine/>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79">
    <w:name w:val="表头"/>
    <w:basedOn w:val="74"/>
    <w:next w:val="1"/>
    <w:autoRedefine/>
    <w:qFormat/>
    <w:uiPriority w:val="0"/>
    <w:pPr>
      <w:spacing w:line="480" w:lineRule="exact"/>
      <w:ind w:firstLine="0"/>
      <w:jc w:val="center"/>
    </w:pPr>
    <w:rPr>
      <w:b/>
      <w:snapToGrid w:val="0"/>
      <w:kern w:val="2"/>
    </w:rPr>
  </w:style>
  <w:style w:type="paragraph" w:customStyle="1" w:styleId="80">
    <w:name w:val="表内容"/>
    <w:basedOn w:val="81"/>
    <w:autoRedefine/>
    <w:qFormat/>
    <w:uiPriority w:val="0"/>
    <w:pPr>
      <w:tabs>
        <w:tab w:val="left" w:pos="4660"/>
      </w:tabs>
      <w:adjustRightInd w:val="0"/>
      <w:snapToGrid w:val="0"/>
      <w:spacing w:line="240" w:lineRule="atLeast"/>
      <w:ind w:left="-105" w:leftChars="-56" w:right="-107" w:rightChars="-51" w:hanging="13" w:hangingChars="6"/>
      <w:jc w:val="center"/>
    </w:pPr>
    <w:rPr>
      <w:b w:val="0"/>
      <w:bCs/>
      <w:kern w:val="0"/>
      <w:szCs w:val="21"/>
    </w:rPr>
  </w:style>
  <w:style w:type="paragraph" w:customStyle="1" w:styleId="81">
    <w:name w:val="正文1 Char Char Char"/>
    <w:basedOn w:val="1"/>
    <w:autoRedefine/>
    <w:qFormat/>
    <w:uiPriority w:val="0"/>
    <w:pPr>
      <w:widowControl/>
      <w:tabs>
        <w:tab w:val="left" w:pos="4660"/>
      </w:tabs>
      <w:spacing w:line="480" w:lineRule="exact"/>
      <w:ind w:firstLine="482" w:firstLineChars="200"/>
    </w:pPr>
    <w:rPr>
      <w:b/>
    </w:rPr>
  </w:style>
  <w:style w:type="table" w:customStyle="1" w:styleId="82">
    <w:name w:val="网格型8"/>
    <w:basedOn w:val="3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3">
    <w:name w:val="环保正文"/>
    <w:basedOn w:val="1"/>
    <w:autoRedefine/>
    <w:qFormat/>
    <w:uiPriority w:val="0"/>
    <w:pPr>
      <w:tabs>
        <w:tab w:val="left" w:pos="0"/>
        <w:tab w:val="left" w:pos="7012"/>
      </w:tabs>
      <w:autoSpaceDE w:val="0"/>
      <w:autoSpaceDN w:val="0"/>
      <w:spacing w:line="360" w:lineRule="auto"/>
      <w:ind w:firstLine="200" w:firstLineChars="200"/>
    </w:pPr>
    <w:rPr>
      <w:rFonts w:ascii="宋体" w:hAnsi="宋体"/>
      <w:kern w:val="0"/>
    </w:rPr>
  </w:style>
  <w:style w:type="table" w:customStyle="1" w:styleId="84">
    <w:name w:val="网格型13"/>
    <w:basedOn w:val="3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5">
    <w:name w:val="ALT+C"/>
    <w:basedOn w:val="1"/>
    <w:autoRedefine/>
    <w:qFormat/>
    <w:uiPriority w:val="0"/>
    <w:pPr>
      <w:keepNext/>
      <w:spacing w:line="360" w:lineRule="auto"/>
      <w:ind w:firstLine="480" w:firstLineChars="200"/>
    </w:pPr>
    <w:rPr>
      <w:rFonts w:eastAsia="Times New Roman"/>
      <w:sz w:val="24"/>
    </w:rPr>
  </w:style>
  <w:style w:type="character" w:customStyle="1" w:styleId="86">
    <w:name w:val="font71"/>
    <w:basedOn w:val="32"/>
    <w:autoRedefine/>
    <w:qFormat/>
    <w:uiPriority w:val="0"/>
    <w:rPr>
      <w:rFonts w:hint="eastAsia" w:ascii="宋体" w:hAnsi="宋体" w:eastAsia="宋体" w:cs="宋体"/>
      <w:color w:val="000000"/>
      <w:kern w:val="2"/>
      <w:sz w:val="21"/>
      <w:szCs w:val="21"/>
      <w:u w:val="none"/>
      <w:lang w:val="en-US" w:eastAsia="zh-CN" w:bidi="ar-SA"/>
    </w:rPr>
  </w:style>
  <w:style w:type="character" w:customStyle="1" w:styleId="87">
    <w:name w:val="font81"/>
    <w:autoRedefine/>
    <w:qFormat/>
    <w:uiPriority w:val="0"/>
    <w:rPr>
      <w:rFonts w:hint="default" w:ascii="Times New Roman" w:hAnsi="Times New Roman" w:eastAsia="宋体" w:cs="Times New Roman"/>
      <w:color w:val="000000"/>
      <w:kern w:val="2"/>
      <w:sz w:val="22"/>
      <w:szCs w:val="22"/>
      <w:u w:val="none"/>
      <w:vertAlign w:val="subscript"/>
      <w:lang w:val="en-US" w:eastAsia="zh-CN" w:bidi="ar-SA"/>
    </w:rPr>
  </w:style>
  <w:style w:type="character" w:customStyle="1" w:styleId="88">
    <w:name w:val="font31"/>
    <w:autoRedefine/>
    <w:qFormat/>
    <w:uiPriority w:val="0"/>
    <w:rPr>
      <w:rFonts w:hint="default" w:ascii="Times New Roman" w:hAnsi="Times New Roman" w:eastAsia="宋体" w:cs="Times New Roman"/>
      <w:color w:val="000000"/>
      <w:kern w:val="2"/>
      <w:sz w:val="21"/>
      <w:szCs w:val="21"/>
      <w:u w:val="none"/>
      <w:lang w:val="en-US" w:eastAsia="zh-CN" w:bidi="ar-SA"/>
    </w:rPr>
  </w:style>
  <w:style w:type="character" w:customStyle="1" w:styleId="89">
    <w:name w:val="批注框文本 Char"/>
    <w:basedOn w:val="32"/>
    <w:link w:val="16"/>
    <w:autoRedefine/>
    <w:qFormat/>
    <w:uiPriority w:val="0"/>
    <w:rPr>
      <w:rFonts w:ascii="Times New Roman" w:hAnsi="Times New Roman" w:eastAsia="宋体" w:cs="Times New Roman"/>
      <w:kern w:val="2"/>
      <w:sz w:val="18"/>
      <w:szCs w:val="18"/>
    </w:rPr>
  </w:style>
  <w:style w:type="paragraph" w:customStyle="1" w:styleId="90">
    <w:name w:val="LH7表头"/>
    <w:basedOn w:val="77"/>
    <w:autoRedefine/>
    <w:qFormat/>
    <w:uiPriority w:val="0"/>
    <w:pPr>
      <w:spacing w:line="240" w:lineRule="auto"/>
      <w:ind w:firstLine="0" w:firstLineChars="0"/>
      <w:jc w:val="center"/>
    </w:pPr>
    <w:rPr>
      <w:rFonts w:ascii="Times New Roman"/>
      <w:b/>
    </w:rPr>
  </w:style>
  <w:style w:type="paragraph" w:customStyle="1" w:styleId="91">
    <w:name w:val="Normal_0"/>
    <w:autoRedefine/>
    <w:qFormat/>
    <w:uiPriority w:val="0"/>
    <w:pPr>
      <w:spacing w:before="120" w:after="240"/>
      <w:jc w:val="both"/>
    </w:pPr>
    <w:rPr>
      <w:rFonts w:asciiTheme="minorHAnsi" w:hAnsiTheme="minorHAnsi" w:eastAsiaTheme="minorHAnsi" w:cstheme="minorBidi"/>
      <w:kern w:val="0"/>
      <w:sz w:val="22"/>
      <w:szCs w:val="22"/>
      <w:lang w:val="ru-RU" w:eastAsia="en-US" w:bidi="ar-SA"/>
    </w:rPr>
  </w:style>
  <w:style w:type="paragraph" w:customStyle="1" w:styleId="92">
    <w:name w:val="正文111"/>
    <w:next w:val="1"/>
    <w:autoRedefine/>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93">
    <w:name w:val="正文固定格式"/>
    <w:basedOn w:val="1"/>
    <w:autoRedefine/>
    <w:qFormat/>
    <w:uiPriority w:val="0"/>
    <w:pPr>
      <w:spacing w:line="500" w:lineRule="exact"/>
      <w:ind w:firstLine="480" w:firstLineChars="200"/>
    </w:pPr>
    <w:rPr>
      <w:sz w:val="24"/>
      <w:szCs w:val="20"/>
    </w:rPr>
  </w:style>
  <w:style w:type="paragraph" w:customStyle="1" w:styleId="94">
    <w:name w:val="正文表格"/>
    <w:basedOn w:val="1"/>
    <w:autoRedefine/>
    <w:qFormat/>
    <w:uiPriority w:val="0"/>
    <w:pPr>
      <w:adjustRightInd w:val="0"/>
      <w:snapToGrid w:val="0"/>
      <w:spacing w:line="240" w:lineRule="auto"/>
      <w:ind w:firstLine="0" w:firstLineChars="0"/>
      <w:jc w:val="center"/>
    </w:pPr>
    <w:rPr>
      <w:rFonts w:cs="宋体"/>
      <w:kern w:val="0"/>
      <w:sz w:val="24"/>
      <w:szCs w:val="18"/>
    </w:rPr>
  </w:style>
  <w:style w:type="character" w:customStyle="1" w:styleId="95">
    <w:name w:val="文章正文 Char Char"/>
    <w:link w:val="96"/>
    <w:autoRedefine/>
    <w:qFormat/>
    <w:uiPriority w:val="0"/>
    <w:rPr>
      <w:rFonts w:ascii="Times New Roman"/>
      <w:kern w:val="0"/>
      <w:sz w:val="24"/>
      <w:szCs w:val="20"/>
    </w:rPr>
  </w:style>
  <w:style w:type="paragraph" w:customStyle="1" w:styleId="96">
    <w:name w:val="文章正文"/>
    <w:basedOn w:val="1"/>
    <w:link w:val="95"/>
    <w:autoRedefine/>
    <w:qFormat/>
    <w:uiPriority w:val="0"/>
    <w:pPr>
      <w:spacing w:line="440" w:lineRule="exact"/>
      <w:ind w:firstLine="600" w:firstLineChars="200"/>
    </w:pPr>
    <w:rPr>
      <w:rFonts w:ascii="Times New Roman"/>
      <w:kern w:val="0"/>
      <w:sz w:val="24"/>
      <w:szCs w:val="20"/>
    </w:rPr>
  </w:style>
  <w:style w:type="paragraph" w:customStyle="1" w:styleId="97">
    <w:name w:val="样式，标题 3"/>
    <w:basedOn w:val="1"/>
    <w:autoRedefine/>
    <w:qFormat/>
    <w:uiPriority w:val="0"/>
    <w:pPr>
      <w:keepNext/>
      <w:keepLines/>
      <w:widowControl w:val="0"/>
      <w:spacing w:before="50" w:beforeLines="50" w:after="50" w:afterLines="50" w:line="360" w:lineRule="auto"/>
      <w:outlineLvl w:val="2"/>
    </w:pPr>
    <w:rPr>
      <w:rFonts w:hAnsi="宋体" w:eastAsia="黑体" w:cs="宋体"/>
      <w:b/>
      <w:sz w:val="28"/>
    </w:rPr>
  </w:style>
  <w:style w:type="paragraph" w:customStyle="1" w:styleId="98">
    <w:name w:val="●表格"/>
    <w:basedOn w:val="1"/>
    <w:autoRedefine/>
    <w:qFormat/>
    <w:uiPriority w:val="0"/>
    <w:pPr>
      <w:spacing w:line="300" w:lineRule="auto"/>
      <w:jc w:val="center"/>
    </w:pPr>
    <w:rPr>
      <w:rFonts w:ascii="Times New Roman" w:hAnsi="Times New Roman" w:eastAsia="仿宋" w:cs="Times New Roman"/>
      <w:kern w:val="2"/>
      <w:sz w:val="21"/>
    </w:rPr>
  </w:style>
  <w:style w:type="paragraph" w:customStyle="1" w:styleId="99">
    <w:name w:val="正文2"/>
    <w:basedOn w:val="1"/>
    <w:autoRedefine/>
    <w:qFormat/>
    <w:uiPriority w:val="0"/>
    <w:pPr>
      <w:widowControl/>
      <w:tabs>
        <w:tab w:val="left" w:pos="900"/>
        <w:tab w:val="left" w:pos="1080"/>
      </w:tabs>
      <w:autoSpaceDE w:val="0"/>
      <w:autoSpaceDN w:val="0"/>
      <w:spacing w:line="360" w:lineRule="auto"/>
      <w:ind w:firstLine="200" w:firstLineChars="200"/>
    </w:pPr>
    <w:rPr>
      <w:rFonts w:cs="宋体"/>
      <w:kern w:val="0"/>
      <w:szCs w:val="24"/>
      <w:lang w:val="zh-CN" w:bidi="en-US"/>
    </w:rPr>
  </w:style>
  <w:style w:type="paragraph" w:customStyle="1" w:styleId="100">
    <w:name w:val="样式 样式5 + (符号) 宋体 黑色"/>
    <w:basedOn w:val="73"/>
    <w:link w:val="101"/>
    <w:autoRedefine/>
    <w:qFormat/>
    <w:uiPriority w:val="0"/>
    <w:pPr>
      <w:spacing w:line="372" w:lineRule="auto"/>
    </w:pPr>
    <w:rPr>
      <w:color w:val="000000"/>
      <w:szCs w:val="24"/>
    </w:rPr>
  </w:style>
  <w:style w:type="character" w:customStyle="1" w:styleId="101">
    <w:name w:val="样式 样式5 + (符号) 宋体 黑色 Char Char"/>
    <w:link w:val="100"/>
    <w:autoRedefine/>
    <w:semiHidden/>
    <w:qFormat/>
    <w:uiPriority w:val="0"/>
    <w:rPr>
      <w:color w:val="000000"/>
      <w:szCs w:val="24"/>
    </w:rPr>
  </w:style>
  <w:style w:type="paragraph" w:customStyle="1" w:styleId="102">
    <w:name w:val="Normal Indent"/>
    <w:basedOn w:val="1"/>
    <w:autoRedefine/>
    <w:qFormat/>
    <w:uiPriority w:val="0"/>
    <w:pPr>
      <w:adjustRightInd w:val="0"/>
      <w:spacing w:line="320" w:lineRule="atLeast"/>
      <w:ind w:firstLine="420"/>
      <w:textAlignment w:val="baseline"/>
    </w:pPr>
    <w:rPr>
      <w:kern w:val="0"/>
      <w:szCs w:val="20"/>
    </w:rPr>
  </w:style>
  <w:style w:type="paragraph" w:styleId="103">
    <w:name w:val="List Paragraph"/>
    <w:basedOn w:val="1"/>
    <w:autoRedefine/>
    <w:qFormat/>
    <w:uiPriority w:val="34"/>
    <w:pPr>
      <w:ind w:firstLine="420" w:firstLineChars="200"/>
    </w:pPr>
    <w:rPr>
      <w:rFonts w:ascii="Calibri" w:hAnsi="Calibri" w:eastAsia="宋体" w:cs="Times New Roman"/>
      <w:szCs w:val="22"/>
    </w:rPr>
  </w:style>
  <w:style w:type="paragraph" w:customStyle="1" w:styleId="104">
    <w:name w:val="_Style 1"/>
    <w:basedOn w:val="1"/>
    <w:autoRedefine/>
    <w:qFormat/>
    <w:uiPriority w:val="0"/>
    <w:pPr>
      <w:tabs>
        <w:tab w:val="left" w:pos="0"/>
      </w:tabs>
    </w:pPr>
    <w:rPr>
      <w:sz w:val="28"/>
      <w:szCs w:val="20"/>
    </w:rPr>
  </w:style>
  <w:style w:type="paragraph" w:customStyle="1" w:styleId="105">
    <w:name w:val="表格—高"/>
    <w:basedOn w:val="1"/>
    <w:autoRedefine/>
    <w:qFormat/>
    <w:uiPriority w:val="0"/>
    <w:pPr>
      <w:adjustRightInd w:val="0"/>
      <w:snapToGrid w:val="0"/>
      <w:spacing w:line="340" w:lineRule="exact"/>
      <w:jc w:val="center"/>
    </w:pPr>
    <w:rPr>
      <w:rFonts w:ascii="Times New Roman" w:hAnsi="Times New Roman" w:eastAsia="宋体"/>
    </w:rPr>
  </w:style>
  <w:style w:type="paragraph" w:customStyle="1" w:styleId="106">
    <w:name w:val="高-表格"/>
    <w:basedOn w:val="1"/>
    <w:autoRedefine/>
    <w:qFormat/>
    <w:uiPriority w:val="0"/>
    <w:pPr>
      <w:adjustRightInd/>
      <w:snapToGrid/>
      <w:spacing w:line="360" w:lineRule="exact"/>
      <w:ind w:firstLine="0" w:firstLineChars="0"/>
      <w:jc w:val="center"/>
    </w:pPr>
    <w:rPr>
      <w:rFonts w:ascii="Times New Roman" w:hAnsi="Times New Roman" w:eastAsia="宋体"/>
    </w:rPr>
  </w:style>
  <w:style w:type="paragraph" w:customStyle="1" w:styleId="107">
    <w:name w:val="正文—高"/>
    <w:basedOn w:val="1"/>
    <w:autoRedefine/>
    <w:qFormat/>
    <w:uiPriority w:val="0"/>
    <w:pPr>
      <w:adjustRightInd/>
      <w:snapToGrid/>
      <w:spacing w:line="360" w:lineRule="auto"/>
      <w:ind w:firstLine="1040" w:firstLineChars="200"/>
      <w:textAlignment w:val="baseline"/>
    </w:pPr>
    <w:rPr>
      <w:rFonts w:ascii="Times New Roman" w:hAnsi="Times New Roman" w:eastAsia="宋体"/>
      <w:color w:val="000000"/>
      <w:kern w:val="24"/>
      <w:sz w:val="24"/>
      <w:szCs w:val="20"/>
    </w:rPr>
  </w:style>
  <w:style w:type="paragraph" w:customStyle="1" w:styleId="108">
    <w:name w:val="编号-高"/>
    <w:basedOn w:val="107"/>
    <w:autoRedefine/>
    <w:qFormat/>
    <w:uiPriority w:val="0"/>
    <w:pPr>
      <w:ind w:firstLine="832" w:firstLineChars="160"/>
    </w:pPr>
  </w:style>
  <w:style w:type="paragraph" w:customStyle="1" w:styleId="109">
    <w:name w:val="高-表头"/>
    <w:basedOn w:val="1"/>
    <w:next w:val="1"/>
    <w:autoRedefine/>
    <w:qFormat/>
    <w:uiPriority w:val="0"/>
    <w:pPr>
      <w:ind w:firstLine="0" w:firstLineChars="0"/>
      <w:jc w:val="center"/>
    </w:pPr>
    <w:rPr>
      <w:rFonts w:ascii="Times New Roman" w:hAnsi="Times New Roman" w:eastAsia="宋体"/>
      <w:b/>
      <w:kern w:val="0"/>
      <w:szCs w:val="20"/>
    </w:rPr>
  </w:style>
  <w:style w:type="paragraph" w:customStyle="1" w:styleId="110">
    <w:name w:val="表头—高"/>
    <w:basedOn w:val="1"/>
    <w:autoRedefine/>
    <w:qFormat/>
    <w:uiPriority w:val="0"/>
    <w:pPr>
      <w:adjustRightInd w:val="0"/>
      <w:snapToGrid w:val="0"/>
      <w:spacing w:before="40" w:beforeLines="40" w:after="10" w:afterLines="10" w:line="240" w:lineRule="auto"/>
      <w:jc w:val="center"/>
    </w:pPr>
    <w:rPr>
      <w:rFonts w:ascii="Times New Roman" w:hAnsi="Times New Roman" w:eastAsia="宋体"/>
      <w:b/>
    </w:rPr>
  </w:style>
  <w:style w:type="paragraph" w:customStyle="1" w:styleId="111">
    <w:name w:val="样式2"/>
    <w:basedOn w:val="1"/>
    <w:autoRedefine/>
    <w:qFormat/>
    <w:uiPriority w:val="0"/>
    <w:pPr>
      <w:ind w:firstLine="0" w:firstLineChars="0"/>
    </w:pPr>
    <w:rPr>
      <w:rFonts w:ascii="Times New Roman" w:hAnsi="Times New Roman"/>
    </w:rPr>
  </w:style>
  <w:style w:type="paragraph" w:customStyle="1" w:styleId="112">
    <w:name w:val="表格正文"/>
    <w:basedOn w:val="1"/>
    <w:next w:val="1"/>
    <w:autoRedefine/>
    <w:qFormat/>
    <w:uiPriority w:val="0"/>
    <w:pPr>
      <w:spacing w:line="240" w:lineRule="auto"/>
      <w:ind w:firstLine="0" w:firstLineChars="0"/>
      <w:jc w:val="center"/>
    </w:pPr>
    <w:rPr>
      <w:rFonts w:eastAsia="宋体"/>
      <w:sz w:val="21"/>
      <w:szCs w:val="21"/>
    </w:rPr>
  </w:style>
  <w:style w:type="character" w:customStyle="1" w:styleId="113">
    <w:name w:val="font61"/>
    <w:basedOn w:val="32"/>
    <w:autoRedefine/>
    <w:qFormat/>
    <w:uiPriority w:val="0"/>
    <w:rPr>
      <w:rFonts w:hint="eastAsia" w:ascii="宋体" w:hAnsi="宋体" w:eastAsia="宋体" w:cs="宋体"/>
      <w:color w:val="000000"/>
      <w:sz w:val="24"/>
      <w:szCs w:val="24"/>
      <w:u w:val="none"/>
    </w:rPr>
  </w:style>
  <w:style w:type="paragraph" w:customStyle="1" w:styleId="114">
    <w:name w:val="高-正文"/>
    <w:basedOn w:val="1"/>
    <w:autoRedefine/>
    <w:qFormat/>
    <w:uiPriority w:val="0"/>
    <w:pPr>
      <w:spacing w:line="360" w:lineRule="auto"/>
      <w:ind w:firstLine="643" w:firstLineChars="200"/>
      <w:jc w:val="both"/>
      <w:outlineLvl w:val="9"/>
    </w:pPr>
    <w:rPr>
      <w:rFonts w:ascii="Times New Roman" w:hAnsi="Times New Roman" w:eastAsia="宋体"/>
      <w:sz w:val="24"/>
    </w:rPr>
  </w:style>
  <w:style w:type="paragraph" w:customStyle="1" w:styleId="115">
    <w:name w:val="表内格式"/>
    <w:basedOn w:val="1"/>
    <w:autoRedefine/>
    <w:qFormat/>
    <w:uiPriority w:val="0"/>
    <w:pPr>
      <w:spacing w:line="240" w:lineRule="exact"/>
      <w:jc w:val="center"/>
    </w:pPr>
    <w:rPr>
      <w:rFonts w:ascii="宋体" w:hAnsi="宋体"/>
      <w:kern w:val="2"/>
      <w:sz w:val="21"/>
    </w:rPr>
  </w:style>
  <w:style w:type="paragraph" w:customStyle="1" w:styleId="116">
    <w:name w:val="正式表格"/>
    <w:basedOn w:val="1"/>
    <w:autoRedefine/>
    <w:qFormat/>
    <w:uiPriority w:val="0"/>
    <w:pPr>
      <w:widowControl/>
      <w:contextualSpacing/>
      <w:jc w:val="center"/>
    </w:pPr>
    <w:rPr>
      <w:rFonts w:ascii="Times New Roman" w:hAnsi="Times New Roman"/>
      <w:kern w:val="0"/>
      <w:sz w:val="20"/>
      <w:szCs w:val="24"/>
      <w:lang w:val="zh-CN"/>
    </w:rPr>
  </w:style>
  <w:style w:type="paragraph" w:customStyle="1" w:styleId="117">
    <w:name w:val="正文样式3"/>
    <w:basedOn w:val="1"/>
    <w:autoRedefine/>
    <w:qFormat/>
    <w:uiPriority w:val="0"/>
    <w:pPr>
      <w:adjustRightInd w:val="0"/>
      <w:spacing w:line="20" w:lineRule="atLeast"/>
      <w:jc w:val="center"/>
    </w:pPr>
    <w:rPr>
      <w:rFonts w:ascii="Times New Roman" w:hAnsi="Times New Roman" w:eastAsia="宋体" w:cs="Times New Roman"/>
      <w:kern w:val="0"/>
      <w:sz w:val="24"/>
      <w:szCs w:val="20"/>
    </w:rPr>
  </w:style>
  <w:style w:type="paragraph" w:customStyle="1" w:styleId="118">
    <w:name w:val="高-标题4"/>
    <w:basedOn w:val="1"/>
    <w:next w:val="1"/>
    <w:link w:val="119"/>
    <w:autoRedefine/>
    <w:qFormat/>
    <w:uiPriority w:val="0"/>
    <w:pPr>
      <w:spacing w:line="360" w:lineRule="auto"/>
      <w:ind w:firstLine="0" w:firstLineChars="0"/>
      <w:outlineLvl w:val="3"/>
    </w:pPr>
    <w:rPr>
      <w:b/>
    </w:rPr>
  </w:style>
  <w:style w:type="character" w:customStyle="1" w:styleId="119">
    <w:name w:val="高-标题4 Char"/>
    <w:link w:val="118"/>
    <w:autoRedefine/>
    <w:qFormat/>
    <w:uiPriority w:val="0"/>
    <w:rPr>
      <w:b/>
    </w:rPr>
  </w:style>
  <w:style w:type="paragraph" w:customStyle="1" w:styleId="120">
    <w:name w:val="toc 1"/>
    <w:next w:val="1"/>
    <w:autoRedefine/>
    <w:qFormat/>
    <w:uiPriority w:val="0"/>
    <w:pPr>
      <w:wordWrap w:val="0"/>
      <w:jc w:val="both"/>
    </w:pPr>
    <w:rPr>
      <w:rFonts w:ascii="Calibri" w:hAnsi="Calibri" w:eastAsia="宋体" w:cs="Times New Roman"/>
      <w:sz w:val="21"/>
      <w:szCs w:val="22"/>
      <w:lang w:val="en-US" w:eastAsia="zh-CN" w:bidi="ar-SA"/>
    </w:rPr>
  </w:style>
  <w:style w:type="paragraph" w:customStyle="1" w:styleId="121">
    <w:name w:val="Default1"/>
    <w:next w:val="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22">
    <w:name w:val="环评报告表新版-正文"/>
    <w:basedOn w:val="1"/>
    <w:autoRedefine/>
    <w:qFormat/>
    <w:uiPriority w:val="0"/>
    <w:pPr>
      <w:autoSpaceDE w:val="0"/>
      <w:autoSpaceDN w:val="0"/>
      <w:adjustRightInd w:val="0"/>
      <w:snapToGrid w:val="0"/>
      <w:spacing w:line="360" w:lineRule="exact"/>
      <w:ind w:firstLine="200" w:firstLineChars="200"/>
    </w:pPr>
    <w:rPr>
      <w:rFonts w:cs="宋体"/>
      <w:kern w:val="0"/>
      <w:sz w:val="24"/>
      <w:szCs w:val="21"/>
    </w:rPr>
  </w:style>
  <w:style w:type="character" w:customStyle="1" w:styleId="123">
    <w:name w:val="副标题 字符"/>
    <w:link w:val="21"/>
    <w:autoRedefine/>
    <w:qFormat/>
    <w:uiPriority w:val="99"/>
    <w:rPr>
      <w:rFonts w:ascii="Times New Roman" w:hAnsi="Times New Roman" w:cs="Times New Roman"/>
      <w:b/>
      <w:sz w:val="24"/>
      <w:szCs w:val="24"/>
    </w:rPr>
  </w:style>
  <w:style w:type="paragraph" w:customStyle="1" w:styleId="124">
    <w:name w:val="Char3"/>
    <w:basedOn w:val="1"/>
    <w:autoRedefine/>
    <w:qFormat/>
    <w:uiPriority w:val="0"/>
  </w:style>
  <w:style w:type="paragraph" w:customStyle="1" w:styleId="125">
    <w:name w:val="表格内容--高"/>
    <w:basedOn w:val="1"/>
    <w:autoRedefine/>
    <w:qFormat/>
    <w:uiPriority w:val="0"/>
    <w:pPr>
      <w:jc w:val="center"/>
    </w:pPr>
    <w:rPr>
      <w:rFonts w:cs="宋体"/>
      <w:szCs w:val="21"/>
    </w:rPr>
  </w:style>
  <w:style w:type="paragraph" w:customStyle="1" w:styleId="126">
    <w:name w:val="H"/>
    <w:autoRedefine/>
    <w:qFormat/>
    <w:uiPriority w:val="0"/>
    <w:pPr>
      <w:spacing w:line="360" w:lineRule="auto"/>
      <w:ind w:firstLine="480" w:firstLineChars="200"/>
      <w:jc w:val="both"/>
    </w:pPr>
    <w:rPr>
      <w:rFonts w:ascii="Times New Roman" w:hAnsi="Times New Roman" w:eastAsia="宋体" w:cs="Times New Roman"/>
      <w:bCs/>
      <w:color w:val="000000"/>
      <w:kern w:val="2"/>
      <w:sz w:val="24"/>
      <w:szCs w:val="32"/>
      <w:lang w:val="en-US" w:eastAsia="zh-CN" w:bidi="ar-SA"/>
    </w:rPr>
  </w:style>
  <w:style w:type="paragraph" w:customStyle="1" w:styleId="127">
    <w:name w:val="李-正文"/>
    <w:basedOn w:val="1"/>
    <w:autoRedefine/>
    <w:qFormat/>
    <w:uiPriority w:val="0"/>
    <w:pPr>
      <w:spacing w:line="360" w:lineRule="auto"/>
      <w:ind w:firstLine="560" w:firstLineChars="200"/>
    </w:pPr>
    <w:rPr>
      <w:rFonts w:ascii="Times New Roman" w:hAnsi="Times New Roman" w:eastAsia="宋体"/>
      <w:sz w:val="24"/>
    </w:rPr>
  </w:style>
  <w:style w:type="character" w:customStyle="1" w:styleId="128">
    <w:name w:val="font21"/>
    <w:basedOn w:val="32"/>
    <w:autoRedefine/>
    <w:qFormat/>
    <w:uiPriority w:val="0"/>
    <w:rPr>
      <w:rFonts w:hint="eastAsia" w:ascii="宋体" w:hAnsi="宋体" w:eastAsia="宋体" w:cs="宋体"/>
      <w:color w:val="000000"/>
      <w:sz w:val="21"/>
      <w:szCs w:val="21"/>
      <w:u w:val="none"/>
    </w:rPr>
  </w:style>
  <w:style w:type="character" w:customStyle="1" w:styleId="129">
    <w:name w:val="font41"/>
    <w:basedOn w:val="32"/>
    <w:autoRedefine/>
    <w:qFormat/>
    <w:uiPriority w:val="0"/>
    <w:rPr>
      <w:rFonts w:hint="eastAsia" w:ascii="宋体" w:hAnsi="宋体" w:eastAsia="宋体" w:cs="宋体"/>
      <w:color w:val="0000FF"/>
      <w:sz w:val="21"/>
      <w:szCs w:val="21"/>
      <w:u w:val="none"/>
    </w:rPr>
  </w:style>
  <w:style w:type="paragraph" w:customStyle="1" w:styleId="130">
    <w:name w:val="表 正文"/>
    <w:basedOn w:val="1"/>
    <w:autoRedefine/>
    <w:qFormat/>
    <w:uiPriority w:val="0"/>
    <w:pPr>
      <w:spacing w:line="360" w:lineRule="auto"/>
      <w:ind w:firstLine="480" w:firstLineChars="200"/>
    </w:pPr>
    <w:rPr>
      <w:sz w:val="24"/>
      <w:szCs w:val="21"/>
    </w:rPr>
  </w:style>
  <w:style w:type="paragraph" w:customStyle="1" w:styleId="131">
    <w:name w:val="环评3级标题"/>
    <w:basedOn w:val="1"/>
    <w:autoRedefine/>
    <w:qFormat/>
    <w:uiPriority w:val="0"/>
    <w:pPr>
      <w:spacing w:line="400" w:lineRule="exact"/>
      <w:outlineLvl w:val="2"/>
    </w:pPr>
    <w:rPr>
      <w:b/>
      <w:sz w:val="24"/>
    </w:rPr>
  </w:style>
  <w:style w:type="paragraph" w:customStyle="1" w:styleId="132">
    <w:name w:val="常用表头样式"/>
    <w:basedOn w:val="29"/>
    <w:next w:val="1"/>
    <w:autoRedefine/>
    <w:qFormat/>
    <w:uiPriority w:val="0"/>
    <w:pPr>
      <w:overflowPunct w:val="0"/>
      <w:autoSpaceDE w:val="0"/>
      <w:autoSpaceDN w:val="0"/>
      <w:adjustRightInd w:val="0"/>
      <w:spacing w:after="0" w:afterLines="0" w:line="360" w:lineRule="auto"/>
      <w:ind w:firstLine="0" w:firstLineChars="0"/>
      <w:jc w:val="center"/>
      <w:textAlignment w:val="baseline"/>
    </w:pPr>
    <w:rPr>
      <w:rFonts w:ascii="黑体" w:hAnsi="Times New Roman" w:eastAsia="仿宋_GB2312"/>
      <w:b/>
      <w:szCs w:val="21"/>
    </w:rPr>
  </w:style>
  <w:style w:type="paragraph" w:customStyle="1" w:styleId="133">
    <w:name w:val=" Char Char Char1 Char Char Char Char Char Char Char"/>
    <w:basedOn w:val="1"/>
    <w:autoRedefine/>
    <w:qFormat/>
    <w:uiPriority w:val="0"/>
    <w:pPr>
      <w:adjustRightInd w:val="0"/>
      <w:spacing w:line="312" w:lineRule="auto"/>
      <w:textAlignment w:val="baseline"/>
    </w:pPr>
  </w:style>
  <w:style w:type="paragraph" w:customStyle="1" w:styleId="134">
    <w:name w:val="常用表格样式"/>
    <w:basedOn w:val="135"/>
    <w:next w:val="135"/>
    <w:autoRedefine/>
    <w:qFormat/>
    <w:uiPriority w:val="0"/>
    <w:pPr>
      <w:spacing w:line="240" w:lineRule="auto"/>
      <w:ind w:firstLine="0"/>
      <w:jc w:val="center"/>
    </w:pPr>
    <w:rPr>
      <w:spacing w:val="2"/>
      <w:sz w:val="18"/>
    </w:rPr>
  </w:style>
  <w:style w:type="paragraph" w:customStyle="1" w:styleId="135">
    <w:name w:val="常用正文样式"/>
    <w:autoRedefine/>
    <w:qFormat/>
    <w:uiPriority w:val="0"/>
    <w:pPr>
      <w:widowControl w:val="0"/>
      <w:spacing w:line="360" w:lineRule="auto"/>
      <w:ind w:firstLine="454"/>
      <w:jc w:val="both"/>
    </w:pPr>
    <w:rPr>
      <w:rFonts w:ascii="宋体" w:hAnsi="新宋体" w:eastAsia="仿宋_GB2312" w:cs="宋体"/>
      <w:kern w:val="2"/>
      <w:sz w:val="24"/>
      <w:szCs w:val="24"/>
      <w:lang w:val="en-US" w:eastAsia="zh-CN" w:bidi="ar-SA"/>
    </w:rPr>
  </w:style>
  <w:style w:type="paragraph" w:customStyle="1" w:styleId="136">
    <w:name w:val="Ay正文"/>
    <w:basedOn w:val="1"/>
    <w:qFormat/>
    <w:uiPriority w:val="0"/>
    <w:pPr>
      <w:spacing w:line="360" w:lineRule="auto"/>
      <w:ind w:firstLine="200" w:firstLineChars="200"/>
    </w:pPr>
    <w:rPr>
      <w:sz w:val="24"/>
    </w:rPr>
  </w:style>
  <w:style w:type="paragraph" w:customStyle="1" w:styleId="137">
    <w:name w:val="正文A"/>
    <w:basedOn w:val="1"/>
    <w:qFormat/>
    <w:uiPriority w:val="0"/>
    <w:pPr>
      <w:spacing w:line="360" w:lineRule="auto"/>
      <w:ind w:firstLine="720" w:firstLineChars="200"/>
    </w:pPr>
    <w:rPr>
      <w:sz w:val="24"/>
    </w:rPr>
  </w:style>
  <w:style w:type="paragraph" w:customStyle="1" w:styleId="138">
    <w:name w:val="B-表内"/>
    <w:basedOn w:val="1"/>
    <w:qFormat/>
    <w:uiPriority w:val="0"/>
    <w:pPr>
      <w:jc w:val="center"/>
    </w:pPr>
    <w:rPr>
      <w:bCs/>
    </w:rPr>
  </w:style>
  <w:style w:type="paragraph" w:customStyle="1" w:styleId="139">
    <w:name w:val="B-表头"/>
    <w:basedOn w:val="1"/>
    <w:qFormat/>
    <w:uiPriority w:val="0"/>
    <w:pPr>
      <w:jc w:val="center"/>
    </w:pPr>
    <w:rPr>
      <w:b/>
      <w:bCs/>
      <w:sz w:val="24"/>
    </w:rPr>
  </w:style>
  <w:style w:type="paragraph" w:customStyle="1" w:styleId="140">
    <w:name w:val="ae正文zzzzzzzz"/>
    <w:basedOn w:val="1"/>
    <w:qFormat/>
    <w:uiPriority w:val="0"/>
    <w:rPr>
      <w:rFonts w:cs="宋体"/>
      <w:szCs w:val="20"/>
    </w:rPr>
  </w:style>
  <w:style w:type="character" w:customStyle="1" w:styleId="141">
    <w:name w:val="标题 2 Char Char"/>
    <w:qFormat/>
    <w:uiPriority w:val="0"/>
    <w:rPr>
      <w:rFonts w:eastAsia="宋体"/>
      <w:b/>
      <w:sz w:val="24"/>
      <w:lang w:val="en-US" w:eastAsia="zh-CN" w:bidi="ar-SA"/>
    </w:rPr>
  </w:style>
  <w:style w:type="paragraph" w:customStyle="1" w:styleId="142">
    <w:name w:val="表中文字"/>
    <w:basedOn w:val="13"/>
    <w:next w:val="1"/>
    <w:qFormat/>
    <w:uiPriority w:val="0"/>
    <w:pPr>
      <w:tabs>
        <w:tab w:val="left" w:pos="0"/>
      </w:tabs>
      <w:snapToGrid w:val="0"/>
      <w:jc w:val="center"/>
    </w:pPr>
  </w:style>
  <w:style w:type="paragraph" w:customStyle="1" w:styleId="143">
    <w:name w:val="填表内容"/>
    <w:basedOn w:val="1"/>
    <w:autoRedefine/>
    <w:qFormat/>
    <w:uiPriority w:val="0"/>
    <w:pPr>
      <w:adjustRightInd w:val="0"/>
      <w:spacing w:line="480" w:lineRule="exact"/>
      <w:ind w:firstLine="560" w:firstLineChars="200"/>
      <w:jc w:val="left"/>
      <w:textAlignment w:val="baseline"/>
    </w:pPr>
    <w:rPr>
      <w:rFonts w:ascii="楷体_GB2312" w:eastAsia="楷体_GB2312"/>
      <w:sz w:val="28"/>
      <w:szCs w:val="20"/>
    </w:rPr>
  </w:style>
  <w:style w:type="table" w:customStyle="1" w:styleId="14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46.png"/><Relationship Id="rId65" Type="http://schemas.openxmlformats.org/officeDocument/2006/relationships/image" Target="media/image45.png"/><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jpeg"/><Relationship Id="rId60" Type="http://schemas.openxmlformats.org/officeDocument/2006/relationships/image" Target="media/image40.jpeg"/><Relationship Id="rId6" Type="http://schemas.openxmlformats.org/officeDocument/2006/relationships/footer" Target="footer1.xml"/><Relationship Id="rId59" Type="http://schemas.openxmlformats.org/officeDocument/2006/relationships/image" Target="media/image39.jpeg"/><Relationship Id="rId58" Type="http://schemas.openxmlformats.org/officeDocument/2006/relationships/image" Target="media/image38.jpe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jpeg"/><Relationship Id="rId48" Type="http://schemas.openxmlformats.org/officeDocument/2006/relationships/image" Target="media/image28.jpe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emf"/><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png"/><Relationship Id="rId30" Type="http://schemas.openxmlformats.org/officeDocument/2006/relationships/image" Target="media/image10.png"/><Relationship Id="rId3" Type="http://schemas.openxmlformats.org/officeDocument/2006/relationships/header" Target="header1.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emf"/><Relationship Id="rId24" Type="http://schemas.openxmlformats.org/officeDocument/2006/relationships/oleObject" Target="embeddings/oleObject1.bin"/><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130</Words>
  <Characters>153</Characters>
  <Lines>1</Lines>
  <Paragraphs>1</Paragraphs>
  <TotalTime>12</TotalTime>
  <ScaleCrop>false</ScaleCrop>
  <LinksUpToDate>false</LinksUpToDate>
  <CharactersWithSpaces>190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WPS_1710487058</cp:lastModifiedBy>
  <cp:lastPrinted>2021-03-11T06:03:00Z</cp:lastPrinted>
  <dcterms:modified xsi:type="dcterms:W3CDTF">2024-11-29T02:56:52Z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A4C06581CE084073B6EBC4977E83787D_13</vt:lpwstr>
  </property>
</Properties>
</file>