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8" w:lineRule="auto"/>
        <w:rPr>
          <w:rFonts w:ascii="Arial"/>
          <w:sz w:val="21"/>
        </w:rPr>
      </w:pPr>
    </w:p>
    <w:p>
      <w:pPr>
        <w:spacing w:before="114" w:line="209" w:lineRule="auto"/>
        <w:ind w:left="34"/>
        <w:rPr>
          <w:rFonts w:ascii="宋体" w:hAnsi="宋体" w:eastAsia="宋体" w:cs="宋体"/>
          <w:sz w:val="35"/>
          <w:szCs w:val="35"/>
        </w:rPr>
      </w:pPr>
      <w:r>
        <w:rPr>
          <w:rFonts w:ascii="宋体" w:hAnsi="宋体" w:eastAsia="宋体" w:cs="宋体"/>
          <w:spacing w:val="-9"/>
          <w:sz w:val="35"/>
          <w:szCs w:val="35"/>
        </w:rPr>
        <w:t>附件1:</w:t>
      </w:r>
    </w:p>
    <w:p>
      <w:pPr>
        <w:spacing w:line="219" w:lineRule="auto"/>
        <w:ind w:left="5080"/>
        <w:rPr>
          <w:rFonts w:ascii="宋体" w:hAnsi="宋体" w:eastAsia="宋体" w:cs="宋体"/>
          <w:sz w:val="36"/>
          <w:szCs w:val="36"/>
        </w:rPr>
      </w:pPr>
      <w:r>
        <w:rPr>
          <w:rFonts w:ascii="宋体" w:hAnsi="宋体" w:eastAsia="宋体" w:cs="宋体"/>
          <w:b/>
          <w:bCs/>
          <w:spacing w:val="-4"/>
          <w:sz w:val="36"/>
          <w:szCs w:val="36"/>
        </w:rPr>
        <w:t>生态环境局部门内抽查事项清单</w:t>
      </w:r>
    </w:p>
    <w:p>
      <w:pPr>
        <w:spacing w:line="78" w:lineRule="exact"/>
      </w:pPr>
    </w:p>
    <w:tbl>
      <w:tblPr>
        <w:tblStyle w:val="6"/>
        <w:tblW w:w="1566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9"/>
        <w:gridCol w:w="1237"/>
        <w:gridCol w:w="1837"/>
        <w:gridCol w:w="700"/>
        <w:gridCol w:w="1313"/>
        <w:gridCol w:w="1250"/>
        <w:gridCol w:w="1325"/>
        <w:gridCol w:w="1718"/>
        <w:gridCol w:w="57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29" w:type="dxa"/>
            <w:vMerge w:val="restart"/>
            <w:tcBorders>
              <w:bottom w:val="nil"/>
            </w:tcBorders>
            <w:textDirection w:val="tbRlV"/>
            <w:vAlign w:val="top"/>
          </w:tcPr>
          <w:p>
            <w:pPr>
              <w:spacing w:before="140" w:line="217" w:lineRule="auto"/>
              <w:ind w:left="50"/>
              <w:jc w:val="left"/>
              <w:rPr>
                <w:rFonts w:ascii="宋体" w:hAnsi="宋体" w:eastAsia="宋体" w:cs="宋体"/>
                <w:sz w:val="22"/>
                <w:szCs w:val="22"/>
              </w:rPr>
            </w:pPr>
            <w:r>
              <w:rPr>
                <w:rFonts w:ascii="宋体" w:hAnsi="宋体" w:eastAsia="宋体" w:cs="宋体"/>
                <w:b/>
                <w:bCs/>
                <w:spacing w:val="11"/>
                <w:sz w:val="22"/>
                <w:szCs w:val="22"/>
              </w:rPr>
              <w:t>序号</w:t>
            </w:r>
          </w:p>
        </w:tc>
        <w:tc>
          <w:tcPr>
            <w:tcW w:w="3074" w:type="dxa"/>
            <w:gridSpan w:val="2"/>
            <w:vAlign w:val="top"/>
          </w:tcPr>
          <w:p>
            <w:pPr>
              <w:spacing w:before="31" w:line="213" w:lineRule="auto"/>
              <w:jc w:val="center"/>
              <w:rPr>
                <w:rFonts w:ascii="宋体" w:hAnsi="宋体" w:eastAsia="宋体" w:cs="宋体"/>
                <w:sz w:val="22"/>
                <w:szCs w:val="22"/>
              </w:rPr>
            </w:pPr>
            <w:r>
              <w:rPr>
                <w:rFonts w:ascii="宋体" w:hAnsi="宋体" w:eastAsia="宋体" w:cs="宋体"/>
                <w:b/>
                <w:bCs/>
                <w:spacing w:val="6"/>
                <w:sz w:val="22"/>
                <w:szCs w:val="22"/>
              </w:rPr>
              <w:t>抽查项目</w:t>
            </w:r>
          </w:p>
        </w:tc>
        <w:tc>
          <w:tcPr>
            <w:tcW w:w="700" w:type="dxa"/>
            <w:vMerge w:val="restart"/>
            <w:tcBorders>
              <w:bottom w:val="nil"/>
            </w:tcBorders>
            <w:vAlign w:val="top"/>
          </w:tcPr>
          <w:p>
            <w:pPr>
              <w:spacing w:before="60" w:line="219" w:lineRule="auto"/>
              <w:ind w:left="165" w:right="92"/>
              <w:jc w:val="center"/>
              <w:rPr>
                <w:rFonts w:ascii="宋体" w:hAnsi="宋体" w:eastAsia="宋体" w:cs="宋体"/>
                <w:sz w:val="22"/>
                <w:szCs w:val="22"/>
              </w:rPr>
            </w:pPr>
            <w:r>
              <w:rPr>
                <w:rFonts w:ascii="宋体" w:hAnsi="宋体" w:eastAsia="宋体" w:cs="宋体"/>
                <w:b/>
                <w:bCs/>
                <w:spacing w:val="-7"/>
                <w:sz w:val="22"/>
                <w:szCs w:val="22"/>
              </w:rPr>
              <w:t>检查</w:t>
            </w:r>
            <w:r>
              <w:rPr>
                <w:rFonts w:ascii="宋体" w:hAnsi="宋体" w:eastAsia="宋体" w:cs="宋体"/>
                <w:sz w:val="22"/>
                <w:szCs w:val="22"/>
              </w:rPr>
              <w:t xml:space="preserve"> </w:t>
            </w:r>
            <w:r>
              <w:rPr>
                <w:rFonts w:ascii="宋体" w:hAnsi="宋体" w:eastAsia="宋体" w:cs="宋体"/>
                <w:b/>
                <w:bCs/>
                <w:spacing w:val="-7"/>
                <w:sz w:val="22"/>
                <w:szCs w:val="22"/>
              </w:rPr>
              <w:t>对象</w:t>
            </w:r>
          </w:p>
        </w:tc>
        <w:tc>
          <w:tcPr>
            <w:tcW w:w="1313" w:type="dxa"/>
            <w:vMerge w:val="restart"/>
            <w:tcBorders>
              <w:bottom w:val="nil"/>
            </w:tcBorders>
            <w:vAlign w:val="top"/>
          </w:tcPr>
          <w:p>
            <w:pPr>
              <w:spacing w:before="181" w:line="219" w:lineRule="auto"/>
              <w:ind w:left="115"/>
              <w:jc w:val="center"/>
              <w:rPr>
                <w:rFonts w:ascii="宋体" w:hAnsi="宋体" w:eastAsia="宋体" w:cs="宋体"/>
                <w:sz w:val="22"/>
                <w:szCs w:val="22"/>
              </w:rPr>
            </w:pPr>
            <w:r>
              <w:rPr>
                <w:rFonts w:ascii="宋体" w:hAnsi="宋体" w:eastAsia="宋体" w:cs="宋体"/>
                <w:b/>
                <w:bCs/>
                <w:sz w:val="22"/>
                <w:szCs w:val="22"/>
              </w:rPr>
              <w:t>项类别</w:t>
            </w:r>
          </w:p>
        </w:tc>
        <w:tc>
          <w:tcPr>
            <w:tcW w:w="1250" w:type="dxa"/>
            <w:vMerge w:val="restart"/>
            <w:tcBorders>
              <w:bottom w:val="nil"/>
            </w:tcBorders>
            <w:vAlign w:val="top"/>
          </w:tcPr>
          <w:p>
            <w:pPr>
              <w:spacing w:before="181" w:line="219" w:lineRule="auto"/>
              <w:jc w:val="center"/>
              <w:rPr>
                <w:rFonts w:ascii="宋体" w:hAnsi="宋体" w:eastAsia="宋体" w:cs="宋体"/>
                <w:sz w:val="22"/>
                <w:szCs w:val="22"/>
              </w:rPr>
            </w:pPr>
            <w:r>
              <w:rPr>
                <w:rFonts w:ascii="宋体" w:hAnsi="宋体" w:eastAsia="宋体" w:cs="宋体"/>
                <w:b/>
                <w:bCs/>
                <w:spacing w:val="-4"/>
                <w:sz w:val="22"/>
                <w:szCs w:val="22"/>
              </w:rPr>
              <w:t>检查方式</w:t>
            </w:r>
          </w:p>
        </w:tc>
        <w:tc>
          <w:tcPr>
            <w:tcW w:w="1325" w:type="dxa"/>
            <w:vMerge w:val="restart"/>
            <w:tcBorders>
              <w:bottom w:val="nil"/>
            </w:tcBorders>
            <w:vAlign w:val="top"/>
          </w:tcPr>
          <w:p>
            <w:pPr>
              <w:spacing w:before="181" w:line="219" w:lineRule="auto"/>
              <w:jc w:val="center"/>
              <w:rPr>
                <w:rFonts w:ascii="宋体" w:hAnsi="宋体" w:eastAsia="宋体" w:cs="宋体"/>
                <w:sz w:val="22"/>
                <w:szCs w:val="22"/>
              </w:rPr>
            </w:pPr>
            <w:r>
              <w:rPr>
                <w:rFonts w:ascii="宋体" w:hAnsi="宋体" w:eastAsia="宋体" w:cs="宋体"/>
                <w:b/>
                <w:bCs/>
                <w:spacing w:val="-4"/>
                <w:sz w:val="22"/>
                <w:szCs w:val="22"/>
              </w:rPr>
              <w:t>检查主体</w:t>
            </w:r>
          </w:p>
        </w:tc>
        <w:tc>
          <w:tcPr>
            <w:tcW w:w="1718" w:type="dxa"/>
            <w:vMerge w:val="restart"/>
            <w:tcBorders>
              <w:bottom w:val="nil"/>
            </w:tcBorders>
            <w:vAlign w:val="top"/>
          </w:tcPr>
          <w:p>
            <w:pPr>
              <w:spacing w:before="179" w:line="219" w:lineRule="auto"/>
              <w:jc w:val="center"/>
              <w:rPr>
                <w:rFonts w:ascii="宋体" w:hAnsi="宋体" w:eastAsia="宋体" w:cs="宋体"/>
                <w:sz w:val="22"/>
                <w:szCs w:val="22"/>
              </w:rPr>
            </w:pPr>
            <w:r>
              <w:rPr>
                <w:rFonts w:ascii="宋体" w:hAnsi="宋体" w:eastAsia="宋体" w:cs="宋体"/>
                <w:b/>
                <w:bCs/>
                <w:spacing w:val="-4"/>
                <w:sz w:val="22"/>
                <w:szCs w:val="22"/>
              </w:rPr>
              <w:t>检查依据</w:t>
            </w:r>
          </w:p>
        </w:tc>
        <w:tc>
          <w:tcPr>
            <w:tcW w:w="5751" w:type="dxa"/>
            <w:vMerge w:val="restart"/>
            <w:tcBorders>
              <w:bottom w:val="nil"/>
            </w:tcBorders>
            <w:vAlign w:val="top"/>
          </w:tcPr>
          <w:p>
            <w:pPr>
              <w:spacing w:before="181" w:line="219" w:lineRule="auto"/>
              <w:jc w:val="center"/>
              <w:rPr>
                <w:rFonts w:ascii="宋体" w:hAnsi="宋体" w:eastAsia="宋体" w:cs="宋体"/>
                <w:sz w:val="22"/>
                <w:szCs w:val="22"/>
              </w:rPr>
            </w:pPr>
            <w:r>
              <w:rPr>
                <w:rFonts w:ascii="宋体" w:hAnsi="宋体" w:eastAsia="宋体" w:cs="宋体"/>
                <w:b/>
                <w:bCs/>
                <w:spacing w:val="18"/>
                <w:sz w:val="22"/>
                <w:szCs w:val="22"/>
              </w:rPr>
              <w:t>检查内容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529" w:type="dxa"/>
            <w:vMerge w:val="continue"/>
            <w:tcBorders>
              <w:top w:val="nil"/>
            </w:tcBorders>
            <w:textDirection w:val="tbRlV"/>
            <w:vAlign w:val="top"/>
          </w:tcPr>
          <w:p>
            <w:pPr>
              <w:jc w:val="left"/>
              <w:rPr>
                <w:rFonts w:ascii="Arial"/>
                <w:sz w:val="21"/>
              </w:rPr>
            </w:pPr>
          </w:p>
        </w:tc>
        <w:tc>
          <w:tcPr>
            <w:tcW w:w="1237" w:type="dxa"/>
            <w:vAlign w:val="top"/>
          </w:tcPr>
          <w:p>
            <w:pPr>
              <w:spacing w:before="35" w:line="213" w:lineRule="auto"/>
              <w:ind w:left="213"/>
              <w:jc w:val="center"/>
              <w:rPr>
                <w:rFonts w:ascii="宋体" w:hAnsi="宋体" w:eastAsia="宋体" w:cs="宋体"/>
                <w:sz w:val="22"/>
                <w:szCs w:val="22"/>
              </w:rPr>
            </w:pPr>
            <w:r>
              <w:rPr>
                <w:rFonts w:ascii="宋体" w:hAnsi="宋体" w:eastAsia="宋体" w:cs="宋体"/>
                <w:b/>
                <w:bCs/>
                <w:spacing w:val="-4"/>
                <w:sz w:val="22"/>
                <w:szCs w:val="22"/>
              </w:rPr>
              <w:t>抽查类别</w:t>
            </w:r>
          </w:p>
        </w:tc>
        <w:tc>
          <w:tcPr>
            <w:tcW w:w="1837" w:type="dxa"/>
            <w:vAlign w:val="top"/>
          </w:tcPr>
          <w:p>
            <w:pPr>
              <w:spacing w:before="36" w:line="212" w:lineRule="auto"/>
              <w:jc w:val="center"/>
              <w:rPr>
                <w:rFonts w:ascii="宋体" w:hAnsi="宋体" w:eastAsia="宋体" w:cs="宋体"/>
                <w:sz w:val="22"/>
                <w:szCs w:val="22"/>
              </w:rPr>
            </w:pPr>
            <w:r>
              <w:rPr>
                <w:rFonts w:ascii="宋体" w:hAnsi="宋体" w:eastAsia="宋体" w:cs="宋体"/>
                <w:b/>
                <w:bCs/>
                <w:spacing w:val="-4"/>
                <w:sz w:val="22"/>
                <w:szCs w:val="22"/>
              </w:rPr>
              <w:t>抽查事项</w:t>
            </w:r>
          </w:p>
        </w:tc>
        <w:tc>
          <w:tcPr>
            <w:tcW w:w="700" w:type="dxa"/>
            <w:vMerge w:val="continue"/>
            <w:tcBorders>
              <w:top w:val="nil"/>
            </w:tcBorders>
            <w:vAlign w:val="top"/>
          </w:tcPr>
          <w:p>
            <w:pPr>
              <w:jc w:val="center"/>
              <w:rPr>
                <w:rFonts w:ascii="Arial"/>
                <w:sz w:val="21"/>
              </w:rPr>
            </w:pPr>
          </w:p>
        </w:tc>
        <w:tc>
          <w:tcPr>
            <w:tcW w:w="1313" w:type="dxa"/>
            <w:vMerge w:val="continue"/>
            <w:tcBorders>
              <w:top w:val="nil"/>
            </w:tcBorders>
            <w:vAlign w:val="top"/>
          </w:tcPr>
          <w:p>
            <w:pPr>
              <w:jc w:val="center"/>
              <w:rPr>
                <w:rFonts w:ascii="Arial"/>
                <w:sz w:val="21"/>
              </w:rPr>
            </w:pPr>
          </w:p>
        </w:tc>
        <w:tc>
          <w:tcPr>
            <w:tcW w:w="1250" w:type="dxa"/>
            <w:vMerge w:val="continue"/>
            <w:tcBorders>
              <w:top w:val="nil"/>
            </w:tcBorders>
            <w:vAlign w:val="top"/>
          </w:tcPr>
          <w:p>
            <w:pPr>
              <w:jc w:val="center"/>
              <w:rPr>
                <w:rFonts w:ascii="Arial"/>
                <w:sz w:val="21"/>
              </w:rPr>
            </w:pPr>
          </w:p>
        </w:tc>
        <w:tc>
          <w:tcPr>
            <w:tcW w:w="1325" w:type="dxa"/>
            <w:vMerge w:val="continue"/>
            <w:tcBorders>
              <w:top w:val="nil"/>
            </w:tcBorders>
            <w:vAlign w:val="top"/>
          </w:tcPr>
          <w:p>
            <w:pPr>
              <w:jc w:val="center"/>
              <w:rPr>
                <w:rFonts w:ascii="Arial"/>
                <w:sz w:val="21"/>
              </w:rPr>
            </w:pPr>
          </w:p>
        </w:tc>
        <w:tc>
          <w:tcPr>
            <w:tcW w:w="1718" w:type="dxa"/>
            <w:vMerge w:val="continue"/>
            <w:tcBorders>
              <w:top w:val="nil"/>
            </w:tcBorders>
            <w:vAlign w:val="top"/>
          </w:tcPr>
          <w:p>
            <w:pPr>
              <w:jc w:val="center"/>
              <w:rPr>
                <w:rFonts w:ascii="Arial"/>
                <w:sz w:val="21"/>
              </w:rPr>
            </w:pPr>
          </w:p>
        </w:tc>
        <w:tc>
          <w:tcPr>
            <w:tcW w:w="5751" w:type="dxa"/>
            <w:vMerge w:val="continue"/>
            <w:tcBorders>
              <w:top w:val="nil"/>
            </w:tcBorders>
            <w:vAlign w:val="top"/>
          </w:tcPr>
          <w:p>
            <w:pPr>
              <w:jc w:val="cente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529" w:type="dxa"/>
            <w:vAlign w:val="center"/>
          </w:tcPr>
          <w:p>
            <w:pPr>
              <w:spacing w:line="458" w:lineRule="auto"/>
              <w:jc w:val="left"/>
              <w:rPr>
                <w:rFonts w:ascii="Arial"/>
                <w:sz w:val="21"/>
              </w:rPr>
            </w:pPr>
          </w:p>
          <w:p>
            <w:pPr>
              <w:spacing w:before="72" w:line="183" w:lineRule="auto"/>
              <w:ind w:left="184"/>
              <w:jc w:val="left"/>
              <w:rPr>
                <w:rFonts w:hint="eastAsia" w:ascii="宋体" w:hAnsi="宋体" w:eastAsia="宋体" w:cs="宋体"/>
                <w:sz w:val="22"/>
                <w:szCs w:val="22"/>
                <w:lang w:eastAsia="zh-CN"/>
              </w:rPr>
            </w:pPr>
            <w:r>
              <w:rPr>
                <w:rFonts w:hint="eastAsia" w:ascii="宋体" w:hAnsi="宋体" w:eastAsia="宋体" w:cs="宋体"/>
                <w:sz w:val="22"/>
                <w:szCs w:val="22"/>
                <w:lang w:val="en-US" w:eastAsia="zh-CN"/>
              </w:rPr>
              <w:t>1</w:t>
            </w:r>
          </w:p>
        </w:tc>
        <w:tc>
          <w:tcPr>
            <w:tcW w:w="1237" w:type="dxa"/>
            <w:vAlign w:val="center"/>
          </w:tcPr>
          <w:p>
            <w:pPr>
              <w:spacing w:line="267" w:lineRule="auto"/>
              <w:jc w:val="left"/>
              <w:rPr>
                <w:rFonts w:hint="eastAsia" w:ascii="仿宋_GB2312" w:hAnsi="仿宋_GB2312" w:eastAsia="仿宋_GB2312" w:cs="仿宋_GB2312"/>
                <w:sz w:val="21"/>
              </w:rPr>
            </w:pPr>
          </w:p>
          <w:p>
            <w:pPr>
              <w:spacing w:before="68" w:line="241" w:lineRule="auto"/>
              <w:ind w:right="106"/>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pacing w:val="12"/>
                <w:sz w:val="21"/>
                <w:szCs w:val="21"/>
                <w:lang w:eastAsia="zh-CN"/>
              </w:rPr>
              <w:t>污染源日常监督检查</w:t>
            </w:r>
          </w:p>
        </w:tc>
        <w:tc>
          <w:tcPr>
            <w:tcW w:w="1837" w:type="dxa"/>
            <w:vAlign w:val="center"/>
          </w:tcPr>
          <w:p>
            <w:pPr>
              <w:spacing w:before="68" w:line="241" w:lineRule="auto"/>
              <w:ind w:right="106"/>
              <w:jc w:val="center"/>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对机动车排放检验机构的排放检验情况进行监督检查</w:t>
            </w:r>
          </w:p>
        </w:tc>
        <w:tc>
          <w:tcPr>
            <w:tcW w:w="700" w:type="dxa"/>
            <w:vAlign w:val="center"/>
          </w:tcPr>
          <w:p>
            <w:pPr>
              <w:spacing w:before="68" w:line="241" w:lineRule="auto"/>
              <w:ind w:left="208" w:right="106" w:hanging="209"/>
              <w:jc w:val="center"/>
              <w:rPr>
                <w:rFonts w:hint="eastAsia" w:ascii="仿宋_GB2312" w:hAnsi="仿宋_GB2312" w:eastAsia="仿宋_GB2312" w:cs="仿宋_GB2312"/>
                <w:spacing w:val="12"/>
                <w:sz w:val="21"/>
                <w:szCs w:val="21"/>
              </w:rPr>
            </w:pPr>
          </w:p>
          <w:p>
            <w:pPr>
              <w:spacing w:before="68" w:line="241" w:lineRule="auto"/>
              <w:ind w:left="208" w:right="106" w:hanging="209"/>
              <w:jc w:val="center"/>
              <w:rPr>
                <w:rFonts w:hint="eastAsia" w:ascii="仿宋_GB2312" w:hAnsi="仿宋_GB2312" w:eastAsia="仿宋_GB2312" w:cs="仿宋_GB2312"/>
                <w:spacing w:val="12"/>
                <w:sz w:val="21"/>
                <w:szCs w:val="21"/>
              </w:rPr>
            </w:pPr>
            <w:r>
              <w:rPr>
                <w:rFonts w:hint="eastAsia" w:ascii="仿宋_GB2312" w:hAnsi="仿宋_GB2312" w:eastAsia="仿宋_GB2312" w:cs="仿宋_GB2312"/>
                <w:spacing w:val="12"/>
                <w:sz w:val="21"/>
                <w:szCs w:val="21"/>
              </w:rPr>
              <w:t>企业</w:t>
            </w:r>
          </w:p>
        </w:tc>
        <w:tc>
          <w:tcPr>
            <w:tcW w:w="1313" w:type="dxa"/>
            <w:vAlign w:val="center"/>
          </w:tcPr>
          <w:p>
            <w:pPr>
              <w:spacing w:before="68" w:line="241" w:lineRule="auto"/>
              <w:ind w:left="208" w:right="106" w:hanging="209"/>
              <w:jc w:val="center"/>
              <w:rPr>
                <w:rFonts w:hint="eastAsia" w:ascii="仿宋_GB2312" w:hAnsi="仿宋_GB2312" w:eastAsia="仿宋_GB2312" w:cs="仿宋_GB2312"/>
                <w:spacing w:val="12"/>
                <w:sz w:val="21"/>
                <w:szCs w:val="21"/>
              </w:rPr>
            </w:pPr>
          </w:p>
          <w:p>
            <w:pPr>
              <w:spacing w:before="68" w:line="241" w:lineRule="auto"/>
              <w:ind w:left="208" w:right="106" w:hanging="209"/>
              <w:jc w:val="center"/>
              <w:rPr>
                <w:rFonts w:hint="eastAsia" w:ascii="仿宋_GB2312" w:hAnsi="仿宋_GB2312" w:eastAsia="仿宋_GB2312" w:cs="仿宋_GB2312"/>
                <w:spacing w:val="12"/>
                <w:sz w:val="21"/>
                <w:szCs w:val="21"/>
              </w:rPr>
            </w:pPr>
            <w:r>
              <w:rPr>
                <w:rFonts w:hint="eastAsia" w:ascii="仿宋_GB2312" w:hAnsi="仿宋_GB2312" w:eastAsia="仿宋_GB2312" w:cs="仿宋_GB2312"/>
                <w:spacing w:val="12"/>
                <w:sz w:val="21"/>
                <w:szCs w:val="21"/>
              </w:rPr>
              <w:t>一般检查 事项</w:t>
            </w:r>
          </w:p>
        </w:tc>
        <w:tc>
          <w:tcPr>
            <w:tcW w:w="1250" w:type="dxa"/>
            <w:vAlign w:val="center"/>
          </w:tcPr>
          <w:p>
            <w:pPr>
              <w:spacing w:before="68" w:line="241" w:lineRule="auto"/>
              <w:ind w:left="208" w:right="106" w:hanging="209"/>
              <w:jc w:val="center"/>
              <w:rPr>
                <w:rFonts w:hint="eastAsia" w:ascii="仿宋_GB2312" w:hAnsi="仿宋_GB2312" w:eastAsia="仿宋_GB2312" w:cs="仿宋_GB2312"/>
                <w:spacing w:val="12"/>
                <w:sz w:val="21"/>
                <w:szCs w:val="21"/>
              </w:rPr>
            </w:pPr>
          </w:p>
          <w:p>
            <w:pPr>
              <w:spacing w:before="68" w:line="241" w:lineRule="auto"/>
              <w:ind w:left="208" w:right="106" w:hanging="209"/>
              <w:jc w:val="center"/>
              <w:rPr>
                <w:rFonts w:hint="eastAsia" w:ascii="仿宋_GB2312" w:hAnsi="仿宋_GB2312" w:eastAsia="仿宋_GB2312" w:cs="仿宋_GB2312"/>
                <w:spacing w:val="12"/>
                <w:sz w:val="21"/>
                <w:szCs w:val="21"/>
              </w:rPr>
            </w:pPr>
            <w:r>
              <w:rPr>
                <w:rFonts w:hint="eastAsia" w:ascii="仿宋_GB2312" w:hAnsi="仿宋_GB2312" w:eastAsia="仿宋_GB2312" w:cs="仿宋_GB2312"/>
                <w:spacing w:val="12"/>
                <w:sz w:val="21"/>
                <w:szCs w:val="21"/>
              </w:rPr>
              <w:t>现场检查</w:t>
            </w:r>
          </w:p>
        </w:tc>
        <w:tc>
          <w:tcPr>
            <w:tcW w:w="1325" w:type="dxa"/>
            <w:vAlign w:val="center"/>
          </w:tcPr>
          <w:p>
            <w:pPr>
              <w:spacing w:before="68" w:line="241" w:lineRule="auto"/>
              <w:ind w:left="208" w:right="106" w:hanging="209"/>
              <w:jc w:val="center"/>
              <w:rPr>
                <w:rFonts w:hint="eastAsia" w:ascii="仿宋_GB2312" w:hAnsi="仿宋_GB2312" w:eastAsia="仿宋_GB2312" w:cs="仿宋_GB2312"/>
                <w:spacing w:val="12"/>
                <w:sz w:val="21"/>
                <w:szCs w:val="21"/>
              </w:rPr>
            </w:pPr>
            <w:r>
              <w:rPr>
                <w:rFonts w:hint="eastAsia" w:ascii="仿宋_GB2312" w:hAnsi="仿宋_GB2312" w:eastAsia="仿宋_GB2312" w:cs="仿宋_GB2312"/>
                <w:spacing w:val="12"/>
                <w:sz w:val="21"/>
                <w:szCs w:val="21"/>
              </w:rPr>
              <w:t>县级以上市</w:t>
            </w:r>
          </w:p>
          <w:p>
            <w:pPr>
              <w:spacing w:before="68" w:line="241" w:lineRule="auto"/>
              <w:ind w:left="208" w:right="106" w:hanging="209"/>
              <w:jc w:val="center"/>
              <w:rPr>
                <w:rFonts w:hint="eastAsia" w:ascii="仿宋_GB2312" w:hAnsi="仿宋_GB2312" w:eastAsia="仿宋_GB2312" w:cs="仿宋_GB2312"/>
                <w:spacing w:val="12"/>
                <w:sz w:val="21"/>
                <w:szCs w:val="21"/>
              </w:rPr>
            </w:pPr>
            <w:r>
              <w:rPr>
                <w:rFonts w:hint="eastAsia" w:ascii="仿宋_GB2312" w:hAnsi="仿宋_GB2312" w:eastAsia="仿宋_GB2312" w:cs="仿宋_GB2312"/>
                <w:spacing w:val="12"/>
                <w:sz w:val="21"/>
                <w:szCs w:val="21"/>
              </w:rPr>
              <w:t>场主体登记</w:t>
            </w:r>
          </w:p>
          <w:p>
            <w:pPr>
              <w:spacing w:before="68" w:line="241" w:lineRule="auto"/>
              <w:ind w:left="208" w:right="106" w:hanging="209"/>
              <w:jc w:val="center"/>
              <w:rPr>
                <w:rFonts w:hint="eastAsia" w:ascii="仿宋_GB2312" w:hAnsi="仿宋_GB2312" w:eastAsia="仿宋_GB2312" w:cs="仿宋_GB2312"/>
                <w:spacing w:val="12"/>
                <w:sz w:val="21"/>
                <w:szCs w:val="21"/>
              </w:rPr>
            </w:pPr>
            <w:r>
              <w:rPr>
                <w:rFonts w:hint="eastAsia" w:ascii="仿宋_GB2312" w:hAnsi="仿宋_GB2312" w:eastAsia="仿宋_GB2312" w:cs="仿宋_GB2312"/>
                <w:spacing w:val="12"/>
                <w:sz w:val="21"/>
                <w:szCs w:val="21"/>
              </w:rPr>
              <w:t>机关</w:t>
            </w:r>
          </w:p>
        </w:tc>
        <w:tc>
          <w:tcPr>
            <w:tcW w:w="1718" w:type="dxa"/>
            <w:vAlign w:val="center"/>
          </w:tcPr>
          <w:p>
            <w:pPr>
              <w:spacing w:before="68" w:line="241" w:lineRule="auto"/>
              <w:ind w:left="208" w:right="106" w:hanging="209"/>
              <w:jc w:val="center"/>
              <w:rPr>
                <w:rFonts w:hint="eastAsia" w:ascii="仿宋_GB2312" w:hAnsi="仿宋_GB2312" w:eastAsia="仿宋_GB2312" w:cs="仿宋_GB2312"/>
                <w:spacing w:val="12"/>
                <w:sz w:val="21"/>
                <w:szCs w:val="21"/>
              </w:rPr>
            </w:pPr>
            <w:r>
              <w:rPr>
                <w:rFonts w:hint="eastAsia" w:ascii="仿宋_GB2312" w:hAnsi="仿宋_GB2312" w:eastAsia="仿宋_GB2312" w:cs="仿宋_GB2312"/>
                <w:spacing w:val="12"/>
                <w:sz w:val="21"/>
                <w:szCs w:val="21"/>
              </w:rPr>
              <w:t>《中华人民共和国大气污染防治法》 第</w:t>
            </w:r>
            <w:r>
              <w:rPr>
                <w:rFonts w:hint="eastAsia" w:ascii="仿宋_GB2312" w:hAnsi="仿宋_GB2312" w:eastAsia="仿宋_GB2312" w:cs="仿宋_GB2312"/>
                <w:spacing w:val="12"/>
                <w:sz w:val="21"/>
                <w:szCs w:val="21"/>
                <w:lang w:eastAsia="zh-CN"/>
              </w:rPr>
              <w:t>五十四</w:t>
            </w:r>
            <w:r>
              <w:rPr>
                <w:rFonts w:hint="eastAsia" w:ascii="仿宋_GB2312" w:hAnsi="仿宋_GB2312" w:eastAsia="仿宋_GB2312" w:cs="仿宋_GB2312"/>
                <w:spacing w:val="12"/>
                <w:sz w:val="21"/>
                <w:szCs w:val="21"/>
              </w:rPr>
              <w:t>条</w:t>
            </w:r>
          </w:p>
        </w:tc>
        <w:tc>
          <w:tcPr>
            <w:tcW w:w="5751" w:type="dxa"/>
            <w:vAlign w:val="center"/>
          </w:tcPr>
          <w:p>
            <w:pPr>
              <w:spacing w:before="68" w:line="241" w:lineRule="auto"/>
              <w:ind w:left="208" w:right="106" w:hanging="209"/>
              <w:jc w:val="left"/>
              <w:rPr>
                <w:rFonts w:hint="eastAsia" w:ascii="仿宋_GB2312" w:hAnsi="仿宋_GB2312" w:eastAsia="仿宋_GB2312" w:cs="仿宋_GB2312"/>
                <w:spacing w:val="12"/>
                <w:sz w:val="21"/>
                <w:szCs w:val="21"/>
              </w:rPr>
            </w:pPr>
            <w:r>
              <w:rPr>
                <w:rFonts w:hint="eastAsia" w:ascii="仿宋_GB2312" w:hAnsi="仿宋_GB2312" w:eastAsia="仿宋_GB2312" w:cs="仿宋_GB2312"/>
                <w:spacing w:val="12"/>
                <w:sz w:val="21"/>
                <w:szCs w:val="21"/>
                <w:lang w:eastAsia="zh-CN"/>
              </w:rPr>
              <w:t>项目单位</w:t>
            </w:r>
            <w:r>
              <w:rPr>
                <w:rFonts w:hint="default" w:ascii="仿宋_GB2312" w:hAnsi="仿宋_GB2312" w:eastAsia="仿宋_GB2312" w:cs="仿宋_GB2312"/>
                <w:spacing w:val="12"/>
                <w:sz w:val="21"/>
                <w:szCs w:val="21"/>
              </w:rPr>
              <w:t>1.管理体系是否有效运行；2.是否能够持续符合资质认定条件和要求；3.从事检验检测活动所必须的检验检测设备设施是否完备；4.检验检测活动是否符合国家相关法律法规的规定；5.检验检测数据、结果是否真实、客观、准确等方面进行检查；6.检验检测场所和设施是否规范；7.仪器设备和标准物质管理要求是否规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8" w:hRule="atLeast"/>
        </w:trPr>
        <w:tc>
          <w:tcPr>
            <w:tcW w:w="529" w:type="dxa"/>
            <w:vAlign w:val="center"/>
          </w:tcPr>
          <w:p>
            <w:pPr>
              <w:spacing w:before="72" w:line="183" w:lineRule="auto"/>
              <w:ind w:left="184"/>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w:t>
            </w:r>
          </w:p>
        </w:tc>
        <w:tc>
          <w:tcPr>
            <w:tcW w:w="1237" w:type="dxa"/>
            <w:vAlign w:val="center"/>
          </w:tcPr>
          <w:p>
            <w:pPr>
              <w:spacing w:before="68" w:line="241" w:lineRule="auto"/>
              <w:ind w:right="106"/>
              <w:jc w:val="left"/>
              <w:rPr>
                <w:rFonts w:hint="eastAsia" w:ascii="仿宋_GB2312" w:hAnsi="仿宋_GB2312" w:eastAsia="仿宋_GB2312" w:cs="仿宋_GB2312"/>
                <w:spacing w:val="12"/>
                <w:sz w:val="21"/>
                <w:szCs w:val="21"/>
              </w:rPr>
            </w:pPr>
            <w:r>
              <w:rPr>
                <w:rFonts w:hint="eastAsia" w:ascii="仿宋_GB2312" w:hAnsi="仿宋_GB2312" w:eastAsia="仿宋_GB2312" w:cs="仿宋_GB2312"/>
                <w:spacing w:val="12"/>
                <w:sz w:val="21"/>
                <w:szCs w:val="21"/>
              </w:rPr>
              <w:t>污染源日常监督检查</w:t>
            </w:r>
          </w:p>
        </w:tc>
        <w:tc>
          <w:tcPr>
            <w:tcW w:w="1837" w:type="dxa"/>
            <w:vAlign w:val="center"/>
          </w:tcPr>
          <w:p>
            <w:pPr>
              <w:spacing w:before="68" w:line="241" w:lineRule="auto"/>
              <w:ind w:right="106"/>
              <w:jc w:val="center"/>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对建设项目需要配套建设的污染环境防治设施未建成、未经验收或者验收不合格，主体工程即投入生产或者使用的行为进行监督检查</w:t>
            </w:r>
          </w:p>
        </w:tc>
        <w:tc>
          <w:tcPr>
            <w:tcW w:w="700" w:type="dxa"/>
            <w:vAlign w:val="center"/>
          </w:tcPr>
          <w:p>
            <w:pPr>
              <w:spacing w:before="68" w:line="241" w:lineRule="auto"/>
              <w:ind w:left="208" w:right="106" w:hanging="209"/>
              <w:jc w:val="center"/>
              <w:rPr>
                <w:rFonts w:hint="eastAsia" w:ascii="仿宋_GB2312" w:hAnsi="仿宋_GB2312" w:eastAsia="仿宋_GB2312" w:cs="仿宋_GB2312"/>
                <w:spacing w:val="12"/>
                <w:sz w:val="21"/>
                <w:szCs w:val="21"/>
              </w:rPr>
            </w:pPr>
          </w:p>
          <w:p>
            <w:pPr>
              <w:spacing w:before="68" w:line="241" w:lineRule="auto"/>
              <w:ind w:left="208" w:leftChars="0" w:right="106" w:rightChars="0" w:hanging="209" w:firstLineChars="0"/>
              <w:jc w:val="center"/>
              <w:rPr>
                <w:rFonts w:hint="eastAsia" w:ascii="仿宋_GB2312" w:hAnsi="仿宋_GB2312" w:eastAsia="仿宋_GB2312" w:cs="仿宋_GB2312"/>
                <w:spacing w:val="12"/>
                <w:sz w:val="21"/>
                <w:szCs w:val="21"/>
              </w:rPr>
            </w:pPr>
            <w:r>
              <w:rPr>
                <w:rFonts w:hint="eastAsia" w:ascii="仿宋_GB2312" w:hAnsi="仿宋_GB2312" w:eastAsia="仿宋_GB2312" w:cs="仿宋_GB2312"/>
                <w:spacing w:val="12"/>
                <w:sz w:val="21"/>
                <w:szCs w:val="21"/>
              </w:rPr>
              <w:t>企业</w:t>
            </w:r>
          </w:p>
        </w:tc>
        <w:tc>
          <w:tcPr>
            <w:tcW w:w="1313" w:type="dxa"/>
            <w:vAlign w:val="center"/>
          </w:tcPr>
          <w:p>
            <w:pPr>
              <w:spacing w:before="68" w:line="241" w:lineRule="auto"/>
              <w:ind w:left="208" w:right="106" w:hanging="209"/>
              <w:jc w:val="center"/>
              <w:rPr>
                <w:rFonts w:hint="eastAsia" w:ascii="仿宋_GB2312" w:hAnsi="仿宋_GB2312" w:eastAsia="仿宋_GB2312" w:cs="仿宋_GB2312"/>
                <w:spacing w:val="12"/>
                <w:sz w:val="21"/>
                <w:szCs w:val="21"/>
              </w:rPr>
            </w:pPr>
          </w:p>
          <w:p>
            <w:pPr>
              <w:spacing w:before="68" w:line="241" w:lineRule="auto"/>
              <w:ind w:left="208" w:leftChars="0" w:right="106" w:rightChars="0" w:hanging="209" w:firstLineChars="0"/>
              <w:jc w:val="center"/>
              <w:rPr>
                <w:rFonts w:hint="eastAsia" w:ascii="仿宋_GB2312" w:hAnsi="仿宋_GB2312" w:eastAsia="仿宋_GB2312" w:cs="仿宋_GB2312"/>
                <w:spacing w:val="12"/>
                <w:sz w:val="21"/>
                <w:szCs w:val="21"/>
              </w:rPr>
            </w:pPr>
            <w:r>
              <w:rPr>
                <w:rFonts w:hint="eastAsia" w:ascii="仿宋_GB2312" w:hAnsi="仿宋_GB2312" w:eastAsia="仿宋_GB2312" w:cs="仿宋_GB2312"/>
                <w:spacing w:val="12"/>
                <w:sz w:val="21"/>
                <w:szCs w:val="21"/>
              </w:rPr>
              <w:t>一般检查 事项</w:t>
            </w:r>
          </w:p>
        </w:tc>
        <w:tc>
          <w:tcPr>
            <w:tcW w:w="1250" w:type="dxa"/>
            <w:vAlign w:val="center"/>
          </w:tcPr>
          <w:p>
            <w:pPr>
              <w:spacing w:before="68" w:line="241" w:lineRule="auto"/>
              <w:ind w:left="208" w:right="106" w:hanging="209"/>
              <w:jc w:val="center"/>
              <w:rPr>
                <w:rFonts w:hint="eastAsia" w:ascii="仿宋_GB2312" w:hAnsi="仿宋_GB2312" w:eastAsia="仿宋_GB2312" w:cs="仿宋_GB2312"/>
                <w:spacing w:val="12"/>
                <w:sz w:val="21"/>
                <w:szCs w:val="21"/>
              </w:rPr>
            </w:pPr>
          </w:p>
          <w:p>
            <w:pPr>
              <w:spacing w:before="68" w:line="241" w:lineRule="auto"/>
              <w:ind w:left="208" w:leftChars="0" w:right="106" w:rightChars="0" w:hanging="209" w:firstLineChars="0"/>
              <w:jc w:val="center"/>
              <w:rPr>
                <w:rFonts w:hint="eastAsia" w:ascii="仿宋_GB2312" w:hAnsi="仿宋_GB2312" w:eastAsia="仿宋_GB2312" w:cs="仿宋_GB2312"/>
                <w:spacing w:val="12"/>
                <w:sz w:val="21"/>
                <w:szCs w:val="21"/>
              </w:rPr>
            </w:pPr>
            <w:r>
              <w:rPr>
                <w:rFonts w:hint="eastAsia" w:ascii="仿宋_GB2312" w:hAnsi="仿宋_GB2312" w:eastAsia="仿宋_GB2312" w:cs="仿宋_GB2312"/>
                <w:spacing w:val="12"/>
                <w:sz w:val="21"/>
                <w:szCs w:val="21"/>
              </w:rPr>
              <w:t>现场检查</w:t>
            </w:r>
          </w:p>
        </w:tc>
        <w:tc>
          <w:tcPr>
            <w:tcW w:w="1325" w:type="dxa"/>
            <w:vAlign w:val="center"/>
          </w:tcPr>
          <w:p>
            <w:pPr>
              <w:spacing w:before="68" w:line="241" w:lineRule="auto"/>
              <w:ind w:left="208" w:right="106" w:hanging="209"/>
              <w:jc w:val="center"/>
              <w:rPr>
                <w:rFonts w:hint="eastAsia" w:ascii="仿宋_GB2312" w:hAnsi="仿宋_GB2312" w:eastAsia="仿宋_GB2312" w:cs="仿宋_GB2312"/>
                <w:spacing w:val="12"/>
                <w:sz w:val="21"/>
                <w:szCs w:val="21"/>
              </w:rPr>
            </w:pPr>
            <w:r>
              <w:rPr>
                <w:rFonts w:hint="eastAsia" w:ascii="仿宋_GB2312" w:hAnsi="仿宋_GB2312" w:eastAsia="仿宋_GB2312" w:cs="仿宋_GB2312"/>
                <w:spacing w:val="12"/>
                <w:sz w:val="21"/>
                <w:szCs w:val="21"/>
              </w:rPr>
              <w:t>县级以上市</w:t>
            </w:r>
          </w:p>
          <w:p>
            <w:pPr>
              <w:spacing w:before="68" w:line="241" w:lineRule="auto"/>
              <w:ind w:left="208" w:right="106" w:hanging="209"/>
              <w:jc w:val="center"/>
              <w:rPr>
                <w:rFonts w:hint="eastAsia" w:ascii="仿宋_GB2312" w:hAnsi="仿宋_GB2312" w:eastAsia="仿宋_GB2312" w:cs="仿宋_GB2312"/>
                <w:spacing w:val="12"/>
                <w:sz w:val="21"/>
                <w:szCs w:val="21"/>
              </w:rPr>
            </w:pPr>
            <w:r>
              <w:rPr>
                <w:rFonts w:hint="eastAsia" w:ascii="仿宋_GB2312" w:hAnsi="仿宋_GB2312" w:eastAsia="仿宋_GB2312" w:cs="仿宋_GB2312"/>
                <w:spacing w:val="12"/>
                <w:sz w:val="21"/>
                <w:szCs w:val="21"/>
              </w:rPr>
              <w:t>场主体登记</w:t>
            </w:r>
          </w:p>
          <w:p>
            <w:pPr>
              <w:spacing w:before="68" w:line="241" w:lineRule="auto"/>
              <w:ind w:left="208" w:leftChars="0" w:right="106" w:rightChars="0" w:hanging="209" w:firstLineChars="0"/>
              <w:jc w:val="center"/>
              <w:rPr>
                <w:rFonts w:hint="eastAsia" w:ascii="仿宋_GB2312" w:hAnsi="仿宋_GB2312" w:eastAsia="仿宋_GB2312" w:cs="仿宋_GB2312"/>
                <w:spacing w:val="12"/>
                <w:sz w:val="21"/>
                <w:szCs w:val="21"/>
              </w:rPr>
            </w:pPr>
            <w:r>
              <w:rPr>
                <w:rFonts w:hint="eastAsia" w:ascii="仿宋_GB2312" w:hAnsi="仿宋_GB2312" w:eastAsia="仿宋_GB2312" w:cs="仿宋_GB2312"/>
                <w:spacing w:val="12"/>
                <w:sz w:val="21"/>
                <w:szCs w:val="21"/>
              </w:rPr>
              <w:t>机关</w:t>
            </w:r>
          </w:p>
        </w:tc>
        <w:tc>
          <w:tcPr>
            <w:tcW w:w="1718" w:type="dxa"/>
            <w:vAlign w:val="center"/>
          </w:tcPr>
          <w:p>
            <w:pPr>
              <w:spacing w:before="68" w:line="241" w:lineRule="auto"/>
              <w:ind w:left="208" w:right="106" w:hanging="209"/>
              <w:jc w:val="center"/>
              <w:rPr>
                <w:rFonts w:hint="eastAsia" w:ascii="仿宋_GB2312" w:hAnsi="仿宋_GB2312" w:eastAsia="仿宋_GB2312" w:cs="仿宋_GB2312"/>
                <w:spacing w:val="12"/>
                <w:sz w:val="21"/>
                <w:szCs w:val="21"/>
              </w:rPr>
            </w:pPr>
            <w:r>
              <w:rPr>
                <w:rFonts w:hint="eastAsia" w:ascii="仿宋_GB2312" w:hAnsi="仿宋_GB2312" w:eastAsia="仿宋_GB2312" w:cs="仿宋_GB2312"/>
                <w:spacing w:val="12"/>
                <w:sz w:val="21"/>
                <w:szCs w:val="21"/>
              </w:rPr>
              <w:t>《建设项目环境保护管理条例》第二十三条</w:t>
            </w:r>
          </w:p>
        </w:tc>
        <w:tc>
          <w:tcPr>
            <w:tcW w:w="5751" w:type="dxa"/>
            <w:vAlign w:val="center"/>
          </w:tcPr>
          <w:p>
            <w:pPr>
              <w:spacing w:before="68" w:line="241" w:lineRule="auto"/>
              <w:ind w:left="208" w:right="106" w:hanging="209"/>
              <w:jc w:val="left"/>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建设项目是否存在“需要配套建设的环境保护设施未建成、未经验收或者验收不合格，建设项目即投入生产或者使用，或者在环境保护设施验收中弄虚作假”的情况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7" w:hRule="atLeast"/>
        </w:trPr>
        <w:tc>
          <w:tcPr>
            <w:tcW w:w="529" w:type="dxa"/>
            <w:vAlign w:val="center"/>
          </w:tcPr>
          <w:p>
            <w:pPr>
              <w:spacing w:line="279" w:lineRule="auto"/>
              <w:jc w:val="left"/>
              <w:rPr>
                <w:rFonts w:ascii="Arial"/>
                <w:sz w:val="21"/>
              </w:rPr>
            </w:pPr>
          </w:p>
          <w:p>
            <w:pPr>
              <w:spacing w:line="279" w:lineRule="auto"/>
              <w:jc w:val="left"/>
              <w:rPr>
                <w:rFonts w:ascii="Arial"/>
                <w:sz w:val="21"/>
              </w:rPr>
            </w:pPr>
          </w:p>
          <w:p>
            <w:pPr>
              <w:spacing w:line="279" w:lineRule="auto"/>
              <w:jc w:val="left"/>
              <w:rPr>
                <w:rFonts w:ascii="Arial"/>
                <w:sz w:val="21"/>
              </w:rPr>
            </w:pPr>
          </w:p>
          <w:p>
            <w:pPr>
              <w:spacing w:line="280" w:lineRule="auto"/>
              <w:jc w:val="left"/>
              <w:rPr>
                <w:rFonts w:ascii="Arial"/>
                <w:sz w:val="21"/>
              </w:rPr>
            </w:pPr>
          </w:p>
          <w:p>
            <w:pPr>
              <w:spacing w:before="71" w:line="183" w:lineRule="auto"/>
              <w:ind w:left="184"/>
              <w:jc w:val="left"/>
              <w:rPr>
                <w:rFonts w:hint="eastAsia" w:ascii="宋体" w:hAnsi="宋体" w:eastAsia="宋体" w:cs="宋体"/>
                <w:sz w:val="22"/>
                <w:szCs w:val="22"/>
                <w:lang w:eastAsia="zh-CN"/>
              </w:rPr>
            </w:pPr>
            <w:r>
              <w:rPr>
                <w:rFonts w:hint="eastAsia" w:ascii="宋体" w:hAnsi="宋体" w:eastAsia="宋体" w:cs="宋体"/>
                <w:sz w:val="22"/>
                <w:szCs w:val="22"/>
                <w:lang w:val="en-US" w:eastAsia="zh-CN"/>
              </w:rPr>
              <w:t>3</w:t>
            </w:r>
          </w:p>
        </w:tc>
        <w:tc>
          <w:tcPr>
            <w:tcW w:w="1237" w:type="dxa"/>
            <w:vAlign w:val="center"/>
          </w:tcPr>
          <w:p>
            <w:pPr>
              <w:spacing w:before="68" w:line="241" w:lineRule="auto"/>
              <w:ind w:left="208" w:right="106" w:hanging="209"/>
              <w:jc w:val="left"/>
              <w:rPr>
                <w:rFonts w:hint="eastAsia" w:ascii="仿宋_GB2312" w:hAnsi="仿宋_GB2312" w:eastAsia="仿宋_GB2312" w:cs="仿宋_GB2312"/>
                <w:spacing w:val="12"/>
                <w:sz w:val="21"/>
                <w:szCs w:val="21"/>
              </w:rPr>
            </w:pPr>
          </w:p>
          <w:p>
            <w:pPr>
              <w:spacing w:before="68" w:line="241" w:lineRule="auto"/>
              <w:ind w:left="208" w:right="106" w:hanging="209"/>
              <w:jc w:val="left"/>
              <w:rPr>
                <w:rFonts w:hint="eastAsia" w:ascii="仿宋_GB2312" w:hAnsi="仿宋_GB2312" w:eastAsia="仿宋_GB2312" w:cs="仿宋_GB2312"/>
                <w:spacing w:val="12"/>
                <w:sz w:val="21"/>
                <w:szCs w:val="21"/>
              </w:rPr>
            </w:pPr>
          </w:p>
          <w:p>
            <w:pPr>
              <w:spacing w:before="68" w:line="241" w:lineRule="auto"/>
              <w:ind w:right="106"/>
              <w:jc w:val="left"/>
              <w:rPr>
                <w:rFonts w:hint="eastAsia" w:ascii="仿宋_GB2312" w:hAnsi="仿宋_GB2312" w:eastAsia="仿宋_GB2312" w:cs="仿宋_GB2312"/>
                <w:spacing w:val="12"/>
                <w:sz w:val="21"/>
                <w:szCs w:val="21"/>
              </w:rPr>
            </w:pPr>
            <w:r>
              <w:rPr>
                <w:rFonts w:hint="eastAsia" w:ascii="仿宋_GB2312" w:hAnsi="仿宋_GB2312" w:eastAsia="仿宋_GB2312" w:cs="仿宋_GB2312"/>
                <w:spacing w:val="12"/>
                <w:sz w:val="21"/>
                <w:szCs w:val="21"/>
              </w:rPr>
              <w:t>污染源日常 监督检查</w:t>
            </w:r>
          </w:p>
        </w:tc>
        <w:tc>
          <w:tcPr>
            <w:tcW w:w="1837" w:type="dxa"/>
            <w:vAlign w:val="center"/>
          </w:tcPr>
          <w:p>
            <w:pPr>
              <w:spacing w:before="68" w:line="241" w:lineRule="auto"/>
              <w:ind w:right="106"/>
              <w:jc w:val="center"/>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对不按经营许可证规定从事收集、贮存、利用、处置危险废物经营活动进行监督检查</w:t>
            </w:r>
          </w:p>
        </w:tc>
        <w:tc>
          <w:tcPr>
            <w:tcW w:w="700" w:type="dxa"/>
            <w:vAlign w:val="center"/>
          </w:tcPr>
          <w:p>
            <w:pPr>
              <w:spacing w:before="68" w:line="241" w:lineRule="auto"/>
              <w:ind w:left="208" w:right="106" w:hanging="209"/>
              <w:jc w:val="center"/>
              <w:rPr>
                <w:rFonts w:hint="eastAsia" w:ascii="仿宋_GB2312" w:hAnsi="仿宋_GB2312" w:eastAsia="仿宋_GB2312" w:cs="仿宋_GB2312"/>
                <w:spacing w:val="12"/>
                <w:sz w:val="21"/>
                <w:szCs w:val="21"/>
              </w:rPr>
            </w:pPr>
          </w:p>
          <w:p>
            <w:pPr>
              <w:spacing w:before="68" w:line="241" w:lineRule="auto"/>
              <w:ind w:left="208" w:right="106" w:hanging="209"/>
              <w:jc w:val="center"/>
              <w:rPr>
                <w:rFonts w:hint="eastAsia" w:ascii="仿宋_GB2312" w:hAnsi="仿宋_GB2312" w:eastAsia="仿宋_GB2312" w:cs="仿宋_GB2312"/>
                <w:spacing w:val="12"/>
                <w:sz w:val="21"/>
                <w:szCs w:val="21"/>
              </w:rPr>
            </w:pPr>
          </w:p>
          <w:p>
            <w:pPr>
              <w:spacing w:before="68" w:line="241" w:lineRule="auto"/>
              <w:ind w:left="208" w:right="106" w:hanging="209"/>
              <w:jc w:val="center"/>
              <w:rPr>
                <w:rFonts w:hint="eastAsia" w:ascii="仿宋_GB2312" w:hAnsi="仿宋_GB2312" w:eastAsia="仿宋_GB2312" w:cs="仿宋_GB2312"/>
                <w:spacing w:val="12"/>
                <w:sz w:val="21"/>
                <w:szCs w:val="21"/>
              </w:rPr>
            </w:pPr>
            <w:r>
              <w:rPr>
                <w:rFonts w:hint="eastAsia" w:ascii="仿宋_GB2312" w:hAnsi="仿宋_GB2312" w:eastAsia="仿宋_GB2312" w:cs="仿宋_GB2312"/>
                <w:spacing w:val="12"/>
                <w:sz w:val="21"/>
                <w:szCs w:val="21"/>
              </w:rPr>
              <w:t>企业</w:t>
            </w:r>
          </w:p>
        </w:tc>
        <w:tc>
          <w:tcPr>
            <w:tcW w:w="1313" w:type="dxa"/>
            <w:vAlign w:val="center"/>
          </w:tcPr>
          <w:p>
            <w:pPr>
              <w:spacing w:before="68" w:line="241" w:lineRule="auto"/>
              <w:ind w:left="208" w:right="106" w:hanging="209"/>
              <w:jc w:val="center"/>
              <w:rPr>
                <w:rFonts w:hint="eastAsia" w:ascii="仿宋_GB2312" w:hAnsi="仿宋_GB2312" w:eastAsia="仿宋_GB2312" w:cs="仿宋_GB2312"/>
                <w:spacing w:val="12"/>
                <w:sz w:val="21"/>
                <w:szCs w:val="21"/>
              </w:rPr>
            </w:pPr>
          </w:p>
          <w:p>
            <w:pPr>
              <w:spacing w:before="68" w:line="241" w:lineRule="auto"/>
              <w:ind w:left="208" w:right="106" w:hanging="209"/>
              <w:jc w:val="center"/>
              <w:rPr>
                <w:rFonts w:hint="eastAsia" w:ascii="仿宋_GB2312" w:hAnsi="仿宋_GB2312" w:eastAsia="仿宋_GB2312" w:cs="仿宋_GB2312"/>
                <w:spacing w:val="12"/>
                <w:sz w:val="21"/>
                <w:szCs w:val="21"/>
              </w:rPr>
            </w:pPr>
          </w:p>
          <w:p>
            <w:pPr>
              <w:spacing w:before="68" w:line="241" w:lineRule="auto"/>
              <w:ind w:left="208" w:right="106" w:hanging="209"/>
              <w:jc w:val="center"/>
              <w:rPr>
                <w:rFonts w:hint="eastAsia" w:ascii="仿宋_GB2312" w:hAnsi="仿宋_GB2312" w:eastAsia="仿宋_GB2312" w:cs="仿宋_GB2312"/>
                <w:spacing w:val="12"/>
                <w:sz w:val="21"/>
                <w:szCs w:val="21"/>
              </w:rPr>
            </w:pPr>
            <w:r>
              <w:rPr>
                <w:rFonts w:hint="eastAsia" w:ascii="仿宋_GB2312" w:hAnsi="仿宋_GB2312" w:eastAsia="仿宋_GB2312" w:cs="仿宋_GB2312"/>
                <w:spacing w:val="12"/>
                <w:sz w:val="21"/>
                <w:szCs w:val="21"/>
              </w:rPr>
              <w:t>一般检查 事项</w:t>
            </w:r>
          </w:p>
        </w:tc>
        <w:tc>
          <w:tcPr>
            <w:tcW w:w="1250" w:type="dxa"/>
            <w:vAlign w:val="center"/>
          </w:tcPr>
          <w:p>
            <w:pPr>
              <w:spacing w:before="68" w:line="241" w:lineRule="auto"/>
              <w:ind w:left="208" w:right="106" w:hanging="209"/>
              <w:jc w:val="center"/>
              <w:rPr>
                <w:rFonts w:hint="eastAsia" w:ascii="仿宋_GB2312" w:hAnsi="仿宋_GB2312" w:eastAsia="仿宋_GB2312" w:cs="仿宋_GB2312"/>
                <w:spacing w:val="12"/>
                <w:sz w:val="21"/>
                <w:szCs w:val="21"/>
              </w:rPr>
            </w:pPr>
          </w:p>
          <w:p>
            <w:pPr>
              <w:spacing w:before="68" w:line="241" w:lineRule="auto"/>
              <w:ind w:left="208" w:right="106" w:hanging="209"/>
              <w:jc w:val="center"/>
              <w:rPr>
                <w:rFonts w:hint="eastAsia" w:ascii="仿宋_GB2312" w:hAnsi="仿宋_GB2312" w:eastAsia="仿宋_GB2312" w:cs="仿宋_GB2312"/>
                <w:spacing w:val="12"/>
                <w:sz w:val="21"/>
                <w:szCs w:val="21"/>
              </w:rPr>
            </w:pPr>
          </w:p>
          <w:p>
            <w:pPr>
              <w:spacing w:before="68" w:line="241" w:lineRule="auto"/>
              <w:ind w:left="208" w:right="106" w:hanging="209"/>
              <w:jc w:val="center"/>
              <w:rPr>
                <w:rFonts w:hint="eastAsia" w:ascii="仿宋_GB2312" w:hAnsi="仿宋_GB2312" w:eastAsia="仿宋_GB2312" w:cs="仿宋_GB2312"/>
                <w:spacing w:val="12"/>
                <w:sz w:val="21"/>
                <w:szCs w:val="21"/>
              </w:rPr>
            </w:pPr>
            <w:r>
              <w:rPr>
                <w:rFonts w:hint="eastAsia" w:ascii="仿宋_GB2312" w:hAnsi="仿宋_GB2312" w:eastAsia="仿宋_GB2312" w:cs="仿宋_GB2312"/>
                <w:spacing w:val="12"/>
                <w:sz w:val="21"/>
                <w:szCs w:val="21"/>
              </w:rPr>
              <w:t>现场检查</w:t>
            </w:r>
          </w:p>
        </w:tc>
        <w:tc>
          <w:tcPr>
            <w:tcW w:w="1325" w:type="dxa"/>
            <w:vAlign w:val="center"/>
          </w:tcPr>
          <w:p>
            <w:pPr>
              <w:spacing w:before="68" w:line="241" w:lineRule="auto"/>
              <w:ind w:left="208" w:right="106" w:hanging="209"/>
              <w:jc w:val="center"/>
              <w:rPr>
                <w:rFonts w:hint="eastAsia" w:ascii="仿宋_GB2312" w:hAnsi="仿宋_GB2312" w:eastAsia="仿宋_GB2312" w:cs="仿宋_GB2312"/>
                <w:spacing w:val="12"/>
                <w:sz w:val="21"/>
                <w:szCs w:val="21"/>
              </w:rPr>
            </w:pPr>
          </w:p>
          <w:p>
            <w:pPr>
              <w:spacing w:before="68" w:line="241" w:lineRule="auto"/>
              <w:ind w:left="208" w:right="106" w:hanging="209"/>
              <w:jc w:val="center"/>
              <w:rPr>
                <w:rFonts w:hint="eastAsia" w:ascii="仿宋_GB2312" w:hAnsi="仿宋_GB2312" w:eastAsia="仿宋_GB2312" w:cs="仿宋_GB2312"/>
                <w:spacing w:val="12"/>
                <w:sz w:val="21"/>
                <w:szCs w:val="21"/>
              </w:rPr>
            </w:pPr>
            <w:r>
              <w:rPr>
                <w:rFonts w:hint="eastAsia" w:ascii="仿宋_GB2312" w:hAnsi="仿宋_GB2312" w:eastAsia="仿宋_GB2312" w:cs="仿宋_GB2312"/>
                <w:spacing w:val="12"/>
                <w:sz w:val="21"/>
                <w:szCs w:val="21"/>
              </w:rPr>
              <w:t>县级以上市</w:t>
            </w:r>
          </w:p>
          <w:p>
            <w:pPr>
              <w:spacing w:before="68" w:line="241" w:lineRule="auto"/>
              <w:ind w:left="208" w:right="106" w:hanging="209"/>
              <w:jc w:val="center"/>
              <w:rPr>
                <w:rFonts w:hint="eastAsia" w:ascii="仿宋_GB2312" w:hAnsi="仿宋_GB2312" w:eastAsia="仿宋_GB2312" w:cs="仿宋_GB2312"/>
                <w:spacing w:val="12"/>
                <w:sz w:val="21"/>
                <w:szCs w:val="21"/>
              </w:rPr>
            </w:pPr>
            <w:r>
              <w:rPr>
                <w:rFonts w:hint="eastAsia" w:ascii="仿宋_GB2312" w:hAnsi="仿宋_GB2312" w:eastAsia="仿宋_GB2312" w:cs="仿宋_GB2312"/>
                <w:spacing w:val="12"/>
                <w:sz w:val="21"/>
                <w:szCs w:val="21"/>
              </w:rPr>
              <w:t>场主体登记</w:t>
            </w:r>
          </w:p>
          <w:p>
            <w:pPr>
              <w:spacing w:before="68" w:line="241" w:lineRule="auto"/>
              <w:ind w:left="208" w:right="106" w:hanging="209"/>
              <w:jc w:val="center"/>
              <w:rPr>
                <w:rFonts w:hint="eastAsia" w:ascii="仿宋_GB2312" w:hAnsi="仿宋_GB2312" w:eastAsia="仿宋_GB2312" w:cs="仿宋_GB2312"/>
                <w:spacing w:val="12"/>
                <w:sz w:val="21"/>
                <w:szCs w:val="21"/>
              </w:rPr>
            </w:pPr>
            <w:r>
              <w:rPr>
                <w:rFonts w:hint="eastAsia" w:ascii="仿宋_GB2312" w:hAnsi="仿宋_GB2312" w:eastAsia="仿宋_GB2312" w:cs="仿宋_GB2312"/>
                <w:spacing w:val="12"/>
                <w:sz w:val="21"/>
                <w:szCs w:val="21"/>
              </w:rPr>
              <w:t>机关</w:t>
            </w:r>
          </w:p>
        </w:tc>
        <w:tc>
          <w:tcPr>
            <w:tcW w:w="1718" w:type="dxa"/>
            <w:vAlign w:val="center"/>
          </w:tcPr>
          <w:p>
            <w:pPr>
              <w:spacing w:before="68" w:line="241" w:lineRule="auto"/>
              <w:ind w:left="208" w:right="106" w:hanging="209"/>
              <w:jc w:val="center"/>
              <w:rPr>
                <w:rFonts w:hint="eastAsia" w:ascii="仿宋_GB2312" w:hAnsi="仿宋_GB2312" w:eastAsia="仿宋_GB2312" w:cs="仿宋_GB2312"/>
                <w:spacing w:val="12"/>
                <w:sz w:val="21"/>
                <w:szCs w:val="21"/>
              </w:rPr>
            </w:pPr>
            <w:r>
              <w:rPr>
                <w:rFonts w:hint="eastAsia" w:ascii="仿宋_GB2312" w:hAnsi="仿宋_GB2312" w:eastAsia="仿宋_GB2312" w:cs="仿宋_GB2312"/>
                <w:spacing w:val="12"/>
                <w:sz w:val="21"/>
                <w:szCs w:val="21"/>
              </w:rPr>
              <w:t>《固体废</w:t>
            </w:r>
            <w:bookmarkStart w:id="0" w:name="_GoBack"/>
            <w:bookmarkEnd w:id="0"/>
            <w:r>
              <w:rPr>
                <w:rFonts w:hint="eastAsia" w:ascii="仿宋_GB2312" w:hAnsi="仿宋_GB2312" w:eastAsia="仿宋_GB2312" w:cs="仿宋_GB2312"/>
                <w:spacing w:val="12"/>
                <w:sz w:val="21"/>
                <w:szCs w:val="21"/>
              </w:rPr>
              <w:t>物污染环境防治法》第七十七条</w:t>
            </w:r>
          </w:p>
          <w:p>
            <w:pPr>
              <w:spacing w:before="68" w:line="241" w:lineRule="auto"/>
              <w:ind w:left="208" w:right="106" w:hanging="209"/>
              <w:jc w:val="center"/>
              <w:rPr>
                <w:rFonts w:hint="eastAsia" w:ascii="仿宋_GB2312" w:hAnsi="仿宋_GB2312" w:eastAsia="仿宋_GB2312" w:cs="仿宋_GB2312"/>
                <w:spacing w:val="12"/>
                <w:sz w:val="21"/>
                <w:szCs w:val="21"/>
              </w:rPr>
            </w:pPr>
          </w:p>
        </w:tc>
        <w:tc>
          <w:tcPr>
            <w:tcW w:w="5751" w:type="dxa"/>
            <w:vAlign w:val="center"/>
          </w:tcPr>
          <w:p>
            <w:pPr>
              <w:spacing w:before="68" w:line="241" w:lineRule="auto"/>
              <w:ind w:left="208" w:right="106" w:hanging="209"/>
              <w:jc w:val="left"/>
              <w:rPr>
                <w:rFonts w:hint="eastAsia" w:ascii="仿宋_GB2312" w:hAnsi="仿宋_GB2312" w:eastAsia="仿宋_GB2312" w:cs="仿宋_GB2312"/>
                <w:spacing w:val="12"/>
                <w:sz w:val="21"/>
                <w:szCs w:val="21"/>
              </w:rPr>
            </w:pPr>
          </w:p>
          <w:p>
            <w:pPr>
              <w:spacing w:before="68" w:line="241" w:lineRule="auto"/>
              <w:ind w:left="208" w:right="106" w:hanging="209"/>
              <w:jc w:val="left"/>
              <w:rPr>
                <w:rFonts w:hint="eastAsia" w:ascii="仿宋_GB2312" w:hAnsi="仿宋_GB2312" w:eastAsia="仿宋_GB2312" w:cs="仿宋_GB2312"/>
                <w:spacing w:val="12"/>
                <w:sz w:val="21"/>
                <w:szCs w:val="21"/>
              </w:rPr>
            </w:pPr>
            <w:r>
              <w:rPr>
                <w:rFonts w:hint="eastAsia" w:ascii="仿宋_GB2312" w:hAnsi="仿宋_GB2312" w:eastAsia="仿宋_GB2312" w:cs="仿宋_GB2312"/>
                <w:spacing w:val="12"/>
                <w:sz w:val="21"/>
                <w:szCs w:val="21"/>
              </w:rPr>
              <w:t>项目单位是否存在“不按经营许可证规定从事收集、贮存、利用、处置危险废物经营活动”的情况</w:t>
            </w:r>
          </w:p>
        </w:tc>
      </w:tr>
    </w:tbl>
    <w:p>
      <w:pPr>
        <w:jc w:val="left"/>
        <w:rPr>
          <w:rFonts w:ascii="Arial"/>
          <w:sz w:val="21"/>
        </w:rPr>
      </w:pPr>
    </w:p>
    <w:p>
      <w:pPr>
        <w:jc w:val="left"/>
        <w:sectPr>
          <w:headerReference r:id="rId5" w:type="default"/>
          <w:footerReference r:id="rId6" w:type="default"/>
          <w:pgSz w:w="16840" w:h="11900"/>
          <w:pgMar w:top="400" w:right="595" w:bottom="400" w:left="574" w:header="0" w:footer="0" w:gutter="0"/>
          <w:pgBorders>
            <w:top w:val="none" w:sz="0" w:space="0"/>
            <w:left w:val="none" w:sz="0" w:space="0"/>
            <w:bottom w:val="none" w:sz="0" w:space="0"/>
            <w:right w:val="none" w:sz="0" w:space="0"/>
          </w:pgBorders>
          <w:cols w:space="720" w:num="1"/>
        </w:sectPr>
      </w:pPr>
    </w:p>
    <w:p>
      <w:pPr>
        <w:jc w:val="left"/>
      </w:pPr>
    </w:p>
    <w:tbl>
      <w:tblPr>
        <w:tblStyle w:val="6"/>
        <w:tblpPr w:leftFromText="180" w:rightFromText="180" w:vertAnchor="text" w:horzAnchor="page" w:tblpX="606" w:tblpY="294"/>
        <w:tblOverlap w:val="never"/>
        <w:tblW w:w="1564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5"/>
        <w:gridCol w:w="1219"/>
        <w:gridCol w:w="1889"/>
        <w:gridCol w:w="699"/>
        <w:gridCol w:w="1226"/>
        <w:gridCol w:w="1262"/>
        <w:gridCol w:w="1375"/>
        <w:gridCol w:w="1743"/>
        <w:gridCol w:w="57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05" w:type="dxa"/>
            <w:vMerge w:val="restart"/>
            <w:tcBorders>
              <w:bottom w:val="nil"/>
            </w:tcBorders>
            <w:textDirection w:val="tbRlV"/>
            <w:vAlign w:val="top"/>
          </w:tcPr>
          <w:p>
            <w:pPr>
              <w:spacing w:before="140" w:line="217" w:lineRule="auto"/>
              <w:ind w:left="33"/>
              <w:jc w:val="left"/>
              <w:rPr>
                <w:rFonts w:ascii="宋体" w:hAnsi="宋体" w:eastAsia="宋体" w:cs="宋体"/>
                <w:sz w:val="22"/>
                <w:szCs w:val="22"/>
              </w:rPr>
            </w:pPr>
            <w:r>
              <w:rPr>
                <w:rFonts w:ascii="宋体" w:hAnsi="宋体" w:eastAsia="宋体" w:cs="宋体"/>
                <w:spacing w:val="13"/>
                <w:sz w:val="22"/>
                <w:szCs w:val="22"/>
              </w:rPr>
              <w:t>序号</w:t>
            </w:r>
          </w:p>
        </w:tc>
        <w:tc>
          <w:tcPr>
            <w:tcW w:w="3108" w:type="dxa"/>
            <w:gridSpan w:val="2"/>
            <w:vAlign w:val="top"/>
          </w:tcPr>
          <w:p>
            <w:pPr>
              <w:spacing w:before="31" w:line="213" w:lineRule="auto"/>
              <w:ind w:left="1103"/>
              <w:jc w:val="left"/>
              <w:rPr>
                <w:rFonts w:ascii="宋体" w:hAnsi="宋体" w:eastAsia="宋体" w:cs="宋体"/>
                <w:sz w:val="22"/>
                <w:szCs w:val="22"/>
              </w:rPr>
            </w:pPr>
            <w:r>
              <w:rPr>
                <w:rFonts w:ascii="宋体" w:hAnsi="宋体" w:eastAsia="宋体" w:cs="宋体"/>
                <w:b/>
                <w:bCs/>
                <w:spacing w:val="6"/>
                <w:sz w:val="22"/>
                <w:szCs w:val="22"/>
              </w:rPr>
              <w:t>抽查项目</w:t>
            </w:r>
          </w:p>
        </w:tc>
        <w:tc>
          <w:tcPr>
            <w:tcW w:w="699" w:type="dxa"/>
            <w:vMerge w:val="restart"/>
            <w:tcBorders>
              <w:bottom w:val="nil"/>
            </w:tcBorders>
            <w:vAlign w:val="top"/>
          </w:tcPr>
          <w:p>
            <w:pPr>
              <w:spacing w:before="50" w:line="219" w:lineRule="auto"/>
              <w:ind w:left="175" w:right="81"/>
              <w:jc w:val="left"/>
              <w:rPr>
                <w:rFonts w:ascii="宋体" w:hAnsi="宋体" w:eastAsia="宋体" w:cs="宋体"/>
                <w:sz w:val="22"/>
                <w:szCs w:val="22"/>
              </w:rPr>
            </w:pPr>
            <w:r>
              <w:rPr>
                <w:rFonts w:ascii="宋体" w:hAnsi="宋体" w:eastAsia="宋体" w:cs="宋体"/>
                <w:b/>
                <w:bCs/>
                <w:spacing w:val="-7"/>
                <w:sz w:val="22"/>
                <w:szCs w:val="22"/>
              </w:rPr>
              <w:t>检查</w:t>
            </w:r>
            <w:r>
              <w:rPr>
                <w:rFonts w:ascii="宋体" w:hAnsi="宋体" w:eastAsia="宋体" w:cs="宋体"/>
                <w:sz w:val="22"/>
                <w:szCs w:val="22"/>
              </w:rPr>
              <w:t xml:space="preserve"> </w:t>
            </w:r>
            <w:r>
              <w:rPr>
                <w:rFonts w:ascii="宋体" w:hAnsi="宋体" w:eastAsia="宋体" w:cs="宋体"/>
                <w:b/>
                <w:bCs/>
                <w:spacing w:val="-7"/>
                <w:sz w:val="22"/>
                <w:szCs w:val="22"/>
              </w:rPr>
              <w:t>对象</w:t>
            </w:r>
          </w:p>
        </w:tc>
        <w:tc>
          <w:tcPr>
            <w:tcW w:w="1226" w:type="dxa"/>
            <w:vMerge w:val="restart"/>
            <w:tcBorders>
              <w:bottom w:val="nil"/>
            </w:tcBorders>
            <w:vAlign w:val="top"/>
          </w:tcPr>
          <w:p>
            <w:pPr>
              <w:spacing w:before="181" w:line="219" w:lineRule="auto"/>
              <w:ind w:left="136"/>
              <w:jc w:val="left"/>
              <w:rPr>
                <w:rFonts w:ascii="宋体" w:hAnsi="宋体" w:eastAsia="宋体" w:cs="宋体"/>
                <w:sz w:val="22"/>
                <w:szCs w:val="22"/>
              </w:rPr>
            </w:pPr>
            <w:r>
              <w:rPr>
                <w:rFonts w:ascii="宋体" w:hAnsi="宋体" w:eastAsia="宋体" w:cs="宋体"/>
                <w:b/>
                <w:bCs/>
                <w:sz w:val="22"/>
                <w:szCs w:val="22"/>
              </w:rPr>
              <w:t>事项类别</w:t>
            </w:r>
          </w:p>
        </w:tc>
        <w:tc>
          <w:tcPr>
            <w:tcW w:w="1262" w:type="dxa"/>
            <w:vMerge w:val="restart"/>
            <w:tcBorders>
              <w:bottom w:val="nil"/>
            </w:tcBorders>
            <w:vAlign w:val="top"/>
          </w:tcPr>
          <w:p>
            <w:pPr>
              <w:spacing w:before="181" w:line="219" w:lineRule="auto"/>
              <w:ind w:left="217"/>
              <w:jc w:val="left"/>
              <w:rPr>
                <w:rFonts w:ascii="宋体" w:hAnsi="宋体" w:eastAsia="宋体" w:cs="宋体"/>
                <w:sz w:val="22"/>
                <w:szCs w:val="22"/>
              </w:rPr>
            </w:pPr>
            <w:r>
              <w:rPr>
                <w:rFonts w:ascii="宋体" w:hAnsi="宋体" w:eastAsia="宋体" w:cs="宋体"/>
                <w:b/>
                <w:bCs/>
                <w:spacing w:val="-4"/>
                <w:sz w:val="22"/>
                <w:szCs w:val="22"/>
              </w:rPr>
              <w:t>检查方式</w:t>
            </w:r>
          </w:p>
        </w:tc>
        <w:tc>
          <w:tcPr>
            <w:tcW w:w="1375" w:type="dxa"/>
            <w:vMerge w:val="restart"/>
            <w:tcBorders>
              <w:bottom w:val="nil"/>
            </w:tcBorders>
            <w:vAlign w:val="top"/>
          </w:tcPr>
          <w:p>
            <w:pPr>
              <w:spacing w:before="181" w:line="219" w:lineRule="auto"/>
              <w:ind w:left="198"/>
              <w:jc w:val="left"/>
              <w:rPr>
                <w:rFonts w:ascii="宋体" w:hAnsi="宋体" w:eastAsia="宋体" w:cs="宋体"/>
                <w:sz w:val="22"/>
                <w:szCs w:val="22"/>
              </w:rPr>
            </w:pPr>
            <w:r>
              <w:rPr>
                <w:rFonts w:ascii="宋体" w:hAnsi="宋体" w:eastAsia="宋体" w:cs="宋体"/>
                <w:b/>
                <w:bCs/>
                <w:spacing w:val="-4"/>
                <w:sz w:val="22"/>
                <w:szCs w:val="22"/>
              </w:rPr>
              <w:t>检查主体</w:t>
            </w:r>
          </w:p>
        </w:tc>
        <w:tc>
          <w:tcPr>
            <w:tcW w:w="1743" w:type="dxa"/>
            <w:vMerge w:val="restart"/>
            <w:tcBorders>
              <w:bottom w:val="nil"/>
            </w:tcBorders>
            <w:vAlign w:val="top"/>
          </w:tcPr>
          <w:p>
            <w:pPr>
              <w:spacing w:before="179" w:line="219" w:lineRule="auto"/>
              <w:ind w:left="459"/>
              <w:jc w:val="left"/>
              <w:rPr>
                <w:rFonts w:ascii="宋体" w:hAnsi="宋体" w:eastAsia="宋体" w:cs="宋体"/>
                <w:sz w:val="22"/>
                <w:szCs w:val="22"/>
              </w:rPr>
            </w:pPr>
            <w:r>
              <w:rPr>
                <w:rFonts w:ascii="宋体" w:hAnsi="宋体" w:eastAsia="宋体" w:cs="宋体"/>
                <w:b/>
                <w:bCs/>
                <w:spacing w:val="-4"/>
                <w:sz w:val="22"/>
                <w:szCs w:val="22"/>
              </w:rPr>
              <w:t>检查依据</w:t>
            </w:r>
          </w:p>
        </w:tc>
        <w:tc>
          <w:tcPr>
            <w:tcW w:w="5731" w:type="dxa"/>
            <w:vMerge w:val="restart"/>
            <w:tcBorders>
              <w:bottom w:val="nil"/>
            </w:tcBorders>
            <w:vAlign w:val="top"/>
          </w:tcPr>
          <w:p>
            <w:pPr>
              <w:spacing w:before="181" w:line="219" w:lineRule="auto"/>
              <w:ind w:left="2410"/>
              <w:jc w:val="left"/>
              <w:rPr>
                <w:rFonts w:ascii="宋体" w:hAnsi="宋体" w:eastAsia="宋体" w:cs="宋体"/>
                <w:sz w:val="22"/>
                <w:szCs w:val="22"/>
              </w:rPr>
            </w:pPr>
            <w:r>
              <w:rPr>
                <w:rFonts w:ascii="宋体" w:hAnsi="宋体" w:eastAsia="宋体" w:cs="宋体"/>
                <w:b/>
                <w:bCs/>
                <w:spacing w:val="8"/>
                <w:sz w:val="22"/>
                <w:szCs w:val="22"/>
              </w:rPr>
              <w:t>检查内容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505" w:type="dxa"/>
            <w:vMerge w:val="continue"/>
            <w:tcBorders>
              <w:top w:val="nil"/>
            </w:tcBorders>
            <w:textDirection w:val="tbRlV"/>
            <w:vAlign w:val="top"/>
          </w:tcPr>
          <w:p>
            <w:pPr>
              <w:jc w:val="left"/>
              <w:rPr>
                <w:rFonts w:ascii="Arial"/>
                <w:sz w:val="21"/>
              </w:rPr>
            </w:pPr>
          </w:p>
        </w:tc>
        <w:tc>
          <w:tcPr>
            <w:tcW w:w="1219" w:type="dxa"/>
            <w:vAlign w:val="top"/>
          </w:tcPr>
          <w:p>
            <w:pPr>
              <w:spacing w:before="26" w:line="213" w:lineRule="auto"/>
              <w:ind w:left="143"/>
              <w:jc w:val="left"/>
              <w:rPr>
                <w:rFonts w:ascii="宋体" w:hAnsi="宋体" w:eastAsia="宋体" w:cs="宋体"/>
                <w:sz w:val="22"/>
                <w:szCs w:val="22"/>
              </w:rPr>
            </w:pPr>
            <w:r>
              <w:rPr>
                <w:rFonts w:ascii="宋体" w:hAnsi="宋体" w:eastAsia="宋体" w:cs="宋体"/>
                <w:b/>
                <w:bCs/>
                <w:spacing w:val="-4"/>
                <w:sz w:val="22"/>
                <w:szCs w:val="22"/>
              </w:rPr>
              <w:t>抽查类别</w:t>
            </w:r>
          </w:p>
        </w:tc>
        <w:tc>
          <w:tcPr>
            <w:tcW w:w="1889" w:type="dxa"/>
            <w:vAlign w:val="top"/>
          </w:tcPr>
          <w:p>
            <w:pPr>
              <w:spacing w:before="66" w:line="188" w:lineRule="auto"/>
              <w:ind w:left="494"/>
              <w:jc w:val="left"/>
              <w:rPr>
                <w:rFonts w:ascii="宋体" w:hAnsi="宋体" w:eastAsia="宋体" w:cs="宋体"/>
                <w:sz w:val="21"/>
                <w:szCs w:val="21"/>
              </w:rPr>
            </w:pPr>
            <w:r>
              <w:rPr>
                <w:rFonts w:ascii="宋体" w:hAnsi="宋体" w:eastAsia="宋体" w:cs="宋体"/>
                <w:b/>
                <w:bCs/>
                <w:spacing w:val="5"/>
                <w:sz w:val="21"/>
                <w:szCs w:val="21"/>
              </w:rPr>
              <w:t>抽查事项</w:t>
            </w:r>
          </w:p>
        </w:tc>
        <w:tc>
          <w:tcPr>
            <w:tcW w:w="699" w:type="dxa"/>
            <w:vMerge w:val="continue"/>
            <w:tcBorders>
              <w:top w:val="nil"/>
            </w:tcBorders>
            <w:vAlign w:val="top"/>
          </w:tcPr>
          <w:p>
            <w:pPr>
              <w:jc w:val="left"/>
              <w:rPr>
                <w:rFonts w:ascii="Arial"/>
                <w:sz w:val="21"/>
              </w:rPr>
            </w:pPr>
          </w:p>
        </w:tc>
        <w:tc>
          <w:tcPr>
            <w:tcW w:w="1226" w:type="dxa"/>
            <w:vMerge w:val="continue"/>
            <w:tcBorders>
              <w:top w:val="nil"/>
            </w:tcBorders>
            <w:vAlign w:val="top"/>
          </w:tcPr>
          <w:p>
            <w:pPr>
              <w:jc w:val="left"/>
              <w:rPr>
                <w:rFonts w:ascii="Arial"/>
                <w:sz w:val="21"/>
              </w:rPr>
            </w:pPr>
          </w:p>
        </w:tc>
        <w:tc>
          <w:tcPr>
            <w:tcW w:w="1262" w:type="dxa"/>
            <w:vMerge w:val="continue"/>
            <w:tcBorders>
              <w:top w:val="nil"/>
            </w:tcBorders>
            <w:vAlign w:val="top"/>
          </w:tcPr>
          <w:p>
            <w:pPr>
              <w:jc w:val="left"/>
              <w:rPr>
                <w:rFonts w:ascii="Arial"/>
                <w:sz w:val="21"/>
              </w:rPr>
            </w:pPr>
          </w:p>
        </w:tc>
        <w:tc>
          <w:tcPr>
            <w:tcW w:w="1375" w:type="dxa"/>
            <w:vMerge w:val="continue"/>
            <w:tcBorders>
              <w:top w:val="nil"/>
            </w:tcBorders>
            <w:vAlign w:val="top"/>
          </w:tcPr>
          <w:p>
            <w:pPr>
              <w:jc w:val="left"/>
              <w:rPr>
                <w:rFonts w:ascii="Arial"/>
                <w:sz w:val="21"/>
              </w:rPr>
            </w:pPr>
          </w:p>
        </w:tc>
        <w:tc>
          <w:tcPr>
            <w:tcW w:w="1743" w:type="dxa"/>
            <w:vMerge w:val="continue"/>
            <w:tcBorders>
              <w:top w:val="nil"/>
            </w:tcBorders>
            <w:vAlign w:val="top"/>
          </w:tcPr>
          <w:p>
            <w:pPr>
              <w:jc w:val="left"/>
              <w:rPr>
                <w:rFonts w:ascii="Arial"/>
                <w:sz w:val="21"/>
              </w:rPr>
            </w:pPr>
          </w:p>
        </w:tc>
        <w:tc>
          <w:tcPr>
            <w:tcW w:w="5731" w:type="dxa"/>
            <w:vMerge w:val="continue"/>
            <w:tcBorders>
              <w:top w:val="nil"/>
            </w:tcBorders>
            <w:vAlign w:val="top"/>
          </w:tcPr>
          <w:p>
            <w:pPr>
              <w:jc w:val="left"/>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0" w:hRule="atLeast"/>
        </w:trPr>
        <w:tc>
          <w:tcPr>
            <w:tcW w:w="505" w:type="dxa"/>
            <w:vAlign w:val="center"/>
          </w:tcPr>
          <w:p>
            <w:pPr>
              <w:spacing w:before="72" w:line="182" w:lineRule="auto"/>
              <w:ind w:left="184"/>
              <w:jc w:val="left"/>
              <w:rPr>
                <w:rFonts w:ascii="宋体" w:hAnsi="宋体" w:eastAsia="宋体" w:cs="宋体"/>
                <w:sz w:val="22"/>
                <w:szCs w:val="22"/>
              </w:rPr>
            </w:pPr>
            <w:r>
              <w:rPr>
                <w:rFonts w:ascii="宋体" w:hAnsi="宋体" w:eastAsia="宋体" w:cs="宋体"/>
                <w:sz w:val="22"/>
                <w:szCs w:val="22"/>
              </w:rPr>
              <w:t>5</w:t>
            </w:r>
          </w:p>
        </w:tc>
        <w:tc>
          <w:tcPr>
            <w:tcW w:w="1219" w:type="dxa"/>
            <w:vAlign w:val="center"/>
          </w:tcPr>
          <w:p>
            <w:pPr>
              <w:spacing w:before="68" w:line="241" w:lineRule="auto"/>
              <w:ind w:right="106"/>
              <w:jc w:val="left"/>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污染源日常监督检查</w:t>
            </w:r>
          </w:p>
        </w:tc>
        <w:tc>
          <w:tcPr>
            <w:tcW w:w="1889" w:type="dxa"/>
            <w:vAlign w:val="center"/>
          </w:tcPr>
          <w:p>
            <w:pPr>
              <w:spacing w:before="68" w:line="241" w:lineRule="auto"/>
              <w:ind w:right="106"/>
              <w:jc w:val="center"/>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对建设项目环境影响评价未经批准或者未经原审批部门重审核同意，擅自开工建设的违法行为进行监督检查</w:t>
            </w:r>
          </w:p>
        </w:tc>
        <w:tc>
          <w:tcPr>
            <w:tcW w:w="699" w:type="dxa"/>
            <w:vAlign w:val="center"/>
          </w:tcPr>
          <w:p>
            <w:pPr>
              <w:spacing w:before="68" w:line="241" w:lineRule="auto"/>
              <w:ind w:right="106"/>
              <w:jc w:val="center"/>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企业</w:t>
            </w:r>
          </w:p>
        </w:tc>
        <w:tc>
          <w:tcPr>
            <w:tcW w:w="1226" w:type="dxa"/>
            <w:vAlign w:val="center"/>
          </w:tcPr>
          <w:p>
            <w:pPr>
              <w:spacing w:before="68" w:line="241" w:lineRule="auto"/>
              <w:ind w:right="106"/>
              <w:jc w:val="center"/>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一般检查 事项</w:t>
            </w:r>
          </w:p>
        </w:tc>
        <w:tc>
          <w:tcPr>
            <w:tcW w:w="1262" w:type="dxa"/>
            <w:vAlign w:val="center"/>
          </w:tcPr>
          <w:p>
            <w:pPr>
              <w:spacing w:before="68" w:line="241" w:lineRule="auto"/>
              <w:ind w:right="106"/>
              <w:jc w:val="center"/>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现场检查</w:t>
            </w:r>
          </w:p>
        </w:tc>
        <w:tc>
          <w:tcPr>
            <w:tcW w:w="1375" w:type="dxa"/>
            <w:vAlign w:val="center"/>
          </w:tcPr>
          <w:p>
            <w:pPr>
              <w:spacing w:before="68" w:line="241" w:lineRule="auto"/>
              <w:ind w:right="106"/>
              <w:jc w:val="center"/>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县级以上市</w:t>
            </w:r>
          </w:p>
          <w:p>
            <w:pPr>
              <w:spacing w:before="68" w:line="241" w:lineRule="auto"/>
              <w:ind w:right="106"/>
              <w:jc w:val="center"/>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场主体登记</w:t>
            </w:r>
          </w:p>
          <w:p>
            <w:pPr>
              <w:spacing w:before="68" w:line="241" w:lineRule="auto"/>
              <w:ind w:right="106"/>
              <w:jc w:val="center"/>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机关</w:t>
            </w:r>
          </w:p>
        </w:tc>
        <w:tc>
          <w:tcPr>
            <w:tcW w:w="1743" w:type="dxa"/>
            <w:vAlign w:val="center"/>
          </w:tcPr>
          <w:p>
            <w:pPr>
              <w:spacing w:before="68" w:line="241" w:lineRule="auto"/>
              <w:ind w:right="106"/>
              <w:jc w:val="center"/>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《环境保护法》第六十一条</w:t>
            </w:r>
          </w:p>
          <w:p>
            <w:pPr>
              <w:spacing w:before="68" w:line="241" w:lineRule="auto"/>
              <w:ind w:right="106"/>
              <w:jc w:val="center"/>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环境影响评价法》第三十一条</w:t>
            </w:r>
          </w:p>
        </w:tc>
        <w:tc>
          <w:tcPr>
            <w:tcW w:w="5731" w:type="dxa"/>
            <w:vAlign w:val="center"/>
          </w:tcPr>
          <w:p>
            <w:pPr>
              <w:spacing w:before="68" w:line="241" w:lineRule="auto"/>
              <w:ind w:right="106"/>
              <w:jc w:val="left"/>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建设单位是否存在“未依法提交建设项目环境影响评价文件或者环境影响评价文件未经批准，擅自开工建设”的情况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5" w:hRule="atLeast"/>
        </w:trPr>
        <w:tc>
          <w:tcPr>
            <w:tcW w:w="505" w:type="dxa"/>
            <w:vAlign w:val="center"/>
          </w:tcPr>
          <w:p>
            <w:pPr>
              <w:spacing w:line="249" w:lineRule="auto"/>
              <w:jc w:val="left"/>
              <w:rPr>
                <w:rFonts w:ascii="Arial"/>
                <w:sz w:val="21"/>
              </w:rPr>
            </w:pPr>
          </w:p>
          <w:p>
            <w:pPr>
              <w:spacing w:line="249" w:lineRule="auto"/>
              <w:jc w:val="left"/>
              <w:rPr>
                <w:rFonts w:ascii="Arial"/>
                <w:sz w:val="21"/>
              </w:rPr>
            </w:pPr>
          </w:p>
          <w:p>
            <w:pPr>
              <w:spacing w:line="249" w:lineRule="auto"/>
              <w:jc w:val="left"/>
              <w:rPr>
                <w:rFonts w:ascii="Arial"/>
                <w:sz w:val="21"/>
              </w:rPr>
            </w:pPr>
          </w:p>
          <w:p>
            <w:pPr>
              <w:spacing w:before="72" w:line="183" w:lineRule="auto"/>
              <w:ind w:left="184"/>
              <w:jc w:val="left"/>
              <w:rPr>
                <w:rFonts w:ascii="宋体" w:hAnsi="宋体" w:eastAsia="宋体" w:cs="宋体"/>
                <w:sz w:val="22"/>
                <w:szCs w:val="22"/>
              </w:rPr>
            </w:pPr>
            <w:r>
              <w:rPr>
                <w:rFonts w:ascii="宋体" w:hAnsi="宋体" w:eastAsia="宋体" w:cs="宋体"/>
                <w:sz w:val="22"/>
                <w:szCs w:val="22"/>
              </w:rPr>
              <w:t>6</w:t>
            </w:r>
          </w:p>
        </w:tc>
        <w:tc>
          <w:tcPr>
            <w:tcW w:w="1219" w:type="dxa"/>
            <w:vAlign w:val="center"/>
          </w:tcPr>
          <w:p>
            <w:pPr>
              <w:spacing w:before="68" w:line="241" w:lineRule="auto"/>
              <w:ind w:right="106"/>
              <w:jc w:val="left"/>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污染源日常监督检查</w:t>
            </w:r>
          </w:p>
        </w:tc>
        <w:tc>
          <w:tcPr>
            <w:tcW w:w="1889" w:type="dxa"/>
            <w:vAlign w:val="center"/>
          </w:tcPr>
          <w:p>
            <w:pPr>
              <w:spacing w:before="68" w:line="241" w:lineRule="auto"/>
              <w:ind w:right="106"/>
              <w:jc w:val="center"/>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粉状物料全封闭储存落实情况</w:t>
            </w:r>
          </w:p>
        </w:tc>
        <w:tc>
          <w:tcPr>
            <w:tcW w:w="699" w:type="dxa"/>
            <w:vAlign w:val="center"/>
          </w:tcPr>
          <w:p>
            <w:pPr>
              <w:spacing w:before="68" w:line="241" w:lineRule="auto"/>
              <w:ind w:right="106"/>
              <w:jc w:val="center"/>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企业</w:t>
            </w:r>
          </w:p>
        </w:tc>
        <w:tc>
          <w:tcPr>
            <w:tcW w:w="1226" w:type="dxa"/>
            <w:vAlign w:val="center"/>
          </w:tcPr>
          <w:p>
            <w:pPr>
              <w:spacing w:before="68" w:line="241" w:lineRule="auto"/>
              <w:ind w:right="106"/>
              <w:jc w:val="center"/>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一般检查 事项</w:t>
            </w:r>
          </w:p>
        </w:tc>
        <w:tc>
          <w:tcPr>
            <w:tcW w:w="1262" w:type="dxa"/>
            <w:vAlign w:val="center"/>
          </w:tcPr>
          <w:p>
            <w:pPr>
              <w:spacing w:before="68" w:line="241" w:lineRule="auto"/>
              <w:ind w:right="106"/>
              <w:jc w:val="center"/>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现场检查</w:t>
            </w:r>
          </w:p>
        </w:tc>
        <w:tc>
          <w:tcPr>
            <w:tcW w:w="1375" w:type="dxa"/>
            <w:vAlign w:val="center"/>
          </w:tcPr>
          <w:p>
            <w:pPr>
              <w:spacing w:before="68" w:line="241" w:lineRule="auto"/>
              <w:ind w:right="106"/>
              <w:jc w:val="center"/>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县级以上市</w:t>
            </w:r>
          </w:p>
          <w:p>
            <w:pPr>
              <w:spacing w:before="68" w:line="241" w:lineRule="auto"/>
              <w:ind w:right="106"/>
              <w:jc w:val="center"/>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场主体登记</w:t>
            </w:r>
          </w:p>
          <w:p>
            <w:pPr>
              <w:spacing w:before="68" w:line="241" w:lineRule="auto"/>
              <w:ind w:right="106"/>
              <w:jc w:val="center"/>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机关</w:t>
            </w:r>
          </w:p>
        </w:tc>
        <w:tc>
          <w:tcPr>
            <w:tcW w:w="1743" w:type="dxa"/>
            <w:vAlign w:val="center"/>
          </w:tcPr>
          <w:p>
            <w:pPr>
              <w:spacing w:before="68" w:line="241" w:lineRule="auto"/>
              <w:ind w:right="106"/>
              <w:jc w:val="center"/>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《中华人民共和国大气污染防治法》第一百一十七条</w:t>
            </w:r>
          </w:p>
        </w:tc>
        <w:tc>
          <w:tcPr>
            <w:tcW w:w="5731" w:type="dxa"/>
            <w:vAlign w:val="center"/>
          </w:tcPr>
          <w:p>
            <w:pPr>
              <w:spacing w:before="68" w:line="241" w:lineRule="auto"/>
              <w:ind w:right="106"/>
              <w:jc w:val="left"/>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是否存在（一）未密闭煤炭、煤矸石、煤渣、煤灰、水泥、石灰、石膏、砂土等易产生扬尘的物料的；（二）对不能密闭的易产生扬尘的物料，未设置不低于堆放物高度的严密围挡，或者未采取有效覆盖措施防治扬尘污染的；（三）装卸物料未采取密闭或者喷淋等方式控制扬尘排放的；（四）存放煤炭、煤矸石、煤渣、煤灰等物料，未采取防燃措施的；（五）码头、矿山、填埋场和消纳场未采取有效措施防治扬尘污染的；（六）排放有毒有害大气污染物名录中所列有毒有害大气污染物的企业事业单位，未按照规定建设环境风险预警体系或者对排放口和周边环境进行定期监测、排查环境安全隐患并采取有效措施防范环境风险的；（七）向大气排放持久性有机污染物的企业事业单位和其他生产经营者以及废弃物焚烧设施的运营单位，未按照国家有关规定采取有利于减少持久性有机污染物排放的技术方法和工艺，配备净化装置的；（八）未采取措施防止排放恶臭气体的。等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9" w:hRule="atLeast"/>
        </w:trPr>
        <w:tc>
          <w:tcPr>
            <w:tcW w:w="505" w:type="dxa"/>
            <w:vAlign w:val="top"/>
          </w:tcPr>
          <w:p>
            <w:pPr>
              <w:spacing w:line="340" w:lineRule="auto"/>
              <w:jc w:val="left"/>
              <w:rPr>
                <w:rFonts w:ascii="Arial"/>
                <w:sz w:val="21"/>
              </w:rPr>
            </w:pPr>
          </w:p>
          <w:p>
            <w:pPr>
              <w:spacing w:line="341" w:lineRule="auto"/>
              <w:jc w:val="left"/>
              <w:rPr>
                <w:rFonts w:ascii="Arial"/>
                <w:sz w:val="21"/>
              </w:rPr>
            </w:pPr>
          </w:p>
          <w:p>
            <w:pPr>
              <w:spacing w:before="71" w:line="182" w:lineRule="auto"/>
              <w:ind w:left="184" w:leftChars="0"/>
              <w:jc w:val="left"/>
              <w:rPr>
                <w:rFonts w:ascii="宋体" w:hAnsi="宋体" w:eastAsia="宋体" w:cs="宋体"/>
                <w:snapToGrid w:val="0"/>
                <w:color w:val="000000"/>
                <w:kern w:val="0"/>
                <w:sz w:val="22"/>
                <w:szCs w:val="22"/>
              </w:rPr>
            </w:pPr>
            <w:r>
              <w:rPr>
                <w:rFonts w:ascii="宋体" w:hAnsi="宋体" w:eastAsia="宋体" w:cs="宋体"/>
                <w:sz w:val="22"/>
                <w:szCs w:val="22"/>
              </w:rPr>
              <w:t>7</w:t>
            </w:r>
          </w:p>
        </w:tc>
        <w:tc>
          <w:tcPr>
            <w:tcW w:w="1219" w:type="dxa"/>
            <w:vAlign w:val="center"/>
          </w:tcPr>
          <w:p>
            <w:pPr>
              <w:spacing w:before="68" w:line="241" w:lineRule="auto"/>
              <w:ind w:right="106" w:rightChars="0"/>
              <w:jc w:val="left"/>
              <w:rPr>
                <w:rFonts w:hint="eastAsia" w:ascii="仿宋_GB2312" w:hAnsi="仿宋_GB2312" w:eastAsia="仿宋_GB2312" w:cs="仿宋_GB2312"/>
                <w:snapToGrid w:val="0"/>
                <w:color w:val="000000"/>
                <w:spacing w:val="12"/>
                <w:kern w:val="0"/>
                <w:sz w:val="21"/>
                <w:szCs w:val="21"/>
                <w:lang w:eastAsia="zh-CN"/>
              </w:rPr>
            </w:pPr>
            <w:r>
              <w:rPr>
                <w:rFonts w:hint="eastAsia" w:ascii="仿宋_GB2312" w:hAnsi="仿宋_GB2312" w:eastAsia="仿宋_GB2312" w:cs="仿宋_GB2312"/>
                <w:spacing w:val="12"/>
                <w:sz w:val="21"/>
                <w:szCs w:val="21"/>
                <w:lang w:eastAsia="zh-CN"/>
              </w:rPr>
              <w:t>污染源日常监督检查</w:t>
            </w:r>
          </w:p>
        </w:tc>
        <w:tc>
          <w:tcPr>
            <w:tcW w:w="1889" w:type="dxa"/>
            <w:vAlign w:val="center"/>
          </w:tcPr>
          <w:p>
            <w:pPr>
              <w:spacing w:before="68" w:line="241" w:lineRule="auto"/>
              <w:ind w:right="106" w:rightChars="0"/>
              <w:jc w:val="center"/>
              <w:rPr>
                <w:rFonts w:hint="eastAsia" w:ascii="仿宋_GB2312" w:hAnsi="仿宋_GB2312" w:eastAsia="仿宋_GB2312" w:cs="仿宋_GB2312"/>
                <w:snapToGrid w:val="0"/>
                <w:color w:val="000000"/>
                <w:spacing w:val="12"/>
                <w:kern w:val="0"/>
                <w:sz w:val="21"/>
                <w:szCs w:val="21"/>
                <w:lang w:eastAsia="zh-CN"/>
              </w:rPr>
            </w:pPr>
            <w:r>
              <w:rPr>
                <w:rFonts w:hint="eastAsia" w:ascii="仿宋_GB2312" w:hAnsi="仿宋_GB2312" w:eastAsia="仿宋_GB2312" w:cs="仿宋_GB2312"/>
                <w:spacing w:val="12"/>
                <w:sz w:val="21"/>
                <w:szCs w:val="21"/>
                <w:lang w:eastAsia="zh-CN"/>
              </w:rPr>
              <w:t>废气、污水达标处理及排放情况</w:t>
            </w:r>
          </w:p>
        </w:tc>
        <w:tc>
          <w:tcPr>
            <w:tcW w:w="699" w:type="dxa"/>
            <w:vAlign w:val="center"/>
          </w:tcPr>
          <w:p>
            <w:pPr>
              <w:spacing w:before="68" w:line="241" w:lineRule="auto"/>
              <w:ind w:right="106" w:rightChars="0"/>
              <w:jc w:val="center"/>
              <w:rPr>
                <w:rFonts w:hint="eastAsia" w:ascii="仿宋_GB2312" w:hAnsi="仿宋_GB2312" w:eastAsia="仿宋_GB2312" w:cs="仿宋_GB2312"/>
                <w:snapToGrid w:val="0"/>
                <w:color w:val="000000"/>
                <w:spacing w:val="12"/>
                <w:kern w:val="0"/>
                <w:sz w:val="21"/>
                <w:szCs w:val="21"/>
                <w:lang w:eastAsia="zh-CN"/>
              </w:rPr>
            </w:pPr>
            <w:r>
              <w:rPr>
                <w:rFonts w:hint="eastAsia" w:ascii="仿宋_GB2312" w:hAnsi="仿宋_GB2312" w:eastAsia="仿宋_GB2312" w:cs="仿宋_GB2312"/>
                <w:spacing w:val="12"/>
                <w:sz w:val="21"/>
                <w:szCs w:val="21"/>
                <w:lang w:eastAsia="zh-CN"/>
              </w:rPr>
              <w:t>企业</w:t>
            </w:r>
          </w:p>
        </w:tc>
        <w:tc>
          <w:tcPr>
            <w:tcW w:w="1226" w:type="dxa"/>
            <w:vAlign w:val="center"/>
          </w:tcPr>
          <w:p>
            <w:pPr>
              <w:spacing w:before="68" w:line="241" w:lineRule="auto"/>
              <w:ind w:right="106" w:rightChars="0"/>
              <w:jc w:val="center"/>
              <w:rPr>
                <w:rFonts w:hint="eastAsia" w:ascii="仿宋_GB2312" w:hAnsi="仿宋_GB2312" w:eastAsia="仿宋_GB2312" w:cs="仿宋_GB2312"/>
                <w:snapToGrid w:val="0"/>
                <w:color w:val="000000"/>
                <w:spacing w:val="12"/>
                <w:kern w:val="0"/>
                <w:sz w:val="21"/>
                <w:szCs w:val="21"/>
                <w:lang w:eastAsia="zh-CN"/>
              </w:rPr>
            </w:pPr>
            <w:r>
              <w:rPr>
                <w:rFonts w:hint="eastAsia" w:ascii="仿宋_GB2312" w:hAnsi="仿宋_GB2312" w:eastAsia="仿宋_GB2312" w:cs="仿宋_GB2312"/>
                <w:spacing w:val="12"/>
                <w:sz w:val="21"/>
                <w:szCs w:val="21"/>
                <w:lang w:eastAsia="zh-CN"/>
              </w:rPr>
              <w:t>一般检查 事项</w:t>
            </w:r>
          </w:p>
        </w:tc>
        <w:tc>
          <w:tcPr>
            <w:tcW w:w="1262" w:type="dxa"/>
            <w:vAlign w:val="center"/>
          </w:tcPr>
          <w:p>
            <w:pPr>
              <w:spacing w:before="68" w:line="241" w:lineRule="auto"/>
              <w:ind w:right="106" w:rightChars="0"/>
              <w:jc w:val="center"/>
              <w:rPr>
                <w:rFonts w:hint="eastAsia" w:ascii="仿宋_GB2312" w:hAnsi="仿宋_GB2312" w:eastAsia="仿宋_GB2312" w:cs="仿宋_GB2312"/>
                <w:snapToGrid w:val="0"/>
                <w:color w:val="000000"/>
                <w:spacing w:val="12"/>
                <w:kern w:val="0"/>
                <w:sz w:val="21"/>
                <w:szCs w:val="21"/>
                <w:lang w:eastAsia="zh-CN"/>
              </w:rPr>
            </w:pPr>
            <w:r>
              <w:rPr>
                <w:rFonts w:hint="eastAsia" w:ascii="仿宋_GB2312" w:hAnsi="仿宋_GB2312" w:eastAsia="仿宋_GB2312" w:cs="仿宋_GB2312"/>
                <w:spacing w:val="12"/>
                <w:sz w:val="21"/>
                <w:szCs w:val="21"/>
                <w:lang w:eastAsia="zh-CN"/>
              </w:rPr>
              <w:t>现场检查</w:t>
            </w:r>
          </w:p>
        </w:tc>
        <w:tc>
          <w:tcPr>
            <w:tcW w:w="1375" w:type="dxa"/>
            <w:vAlign w:val="center"/>
          </w:tcPr>
          <w:p>
            <w:pPr>
              <w:spacing w:before="68" w:line="241" w:lineRule="auto"/>
              <w:ind w:right="106"/>
              <w:jc w:val="center"/>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县级以上市</w:t>
            </w:r>
          </w:p>
          <w:p>
            <w:pPr>
              <w:spacing w:before="68" w:line="241" w:lineRule="auto"/>
              <w:ind w:right="106"/>
              <w:jc w:val="center"/>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场主体登记</w:t>
            </w:r>
          </w:p>
          <w:p>
            <w:pPr>
              <w:spacing w:before="68" w:line="241" w:lineRule="auto"/>
              <w:ind w:right="106" w:rightChars="0"/>
              <w:jc w:val="center"/>
              <w:rPr>
                <w:rFonts w:hint="eastAsia" w:ascii="仿宋_GB2312" w:hAnsi="仿宋_GB2312" w:eastAsia="仿宋_GB2312" w:cs="仿宋_GB2312"/>
                <w:snapToGrid w:val="0"/>
                <w:color w:val="000000"/>
                <w:spacing w:val="12"/>
                <w:kern w:val="0"/>
                <w:sz w:val="21"/>
                <w:szCs w:val="21"/>
                <w:lang w:eastAsia="zh-CN"/>
              </w:rPr>
            </w:pPr>
            <w:r>
              <w:rPr>
                <w:rFonts w:hint="eastAsia" w:ascii="仿宋_GB2312" w:hAnsi="仿宋_GB2312" w:eastAsia="仿宋_GB2312" w:cs="仿宋_GB2312"/>
                <w:spacing w:val="12"/>
                <w:sz w:val="21"/>
                <w:szCs w:val="21"/>
                <w:lang w:eastAsia="zh-CN"/>
              </w:rPr>
              <w:t>机关</w:t>
            </w:r>
          </w:p>
        </w:tc>
        <w:tc>
          <w:tcPr>
            <w:tcW w:w="1743" w:type="dxa"/>
            <w:vAlign w:val="center"/>
          </w:tcPr>
          <w:p>
            <w:pPr>
              <w:spacing w:before="68" w:line="241" w:lineRule="auto"/>
              <w:ind w:right="106"/>
              <w:jc w:val="center"/>
              <w:rPr>
                <w:rFonts w:hint="eastAsia" w:ascii="仿宋_GB2312" w:hAnsi="仿宋_GB2312" w:eastAsia="仿宋_GB2312" w:cs="仿宋_GB2312"/>
                <w:spacing w:val="12"/>
                <w:sz w:val="21"/>
                <w:szCs w:val="21"/>
                <w:lang w:eastAsia="zh-CN"/>
              </w:rPr>
            </w:pPr>
            <w:r>
              <w:rPr>
                <w:rFonts w:hint="eastAsia" w:ascii="仿宋_GB2312" w:hAnsi="仿宋_GB2312" w:eastAsia="仿宋_GB2312" w:cs="仿宋_GB2312"/>
                <w:spacing w:val="12"/>
                <w:sz w:val="21"/>
                <w:szCs w:val="21"/>
                <w:lang w:eastAsia="zh-CN"/>
              </w:rPr>
              <w:t>《中华人民共和国大气污染防治法》第九十九条</w:t>
            </w:r>
          </w:p>
          <w:p>
            <w:pPr>
              <w:spacing w:before="68" w:line="241" w:lineRule="auto"/>
              <w:ind w:right="106" w:rightChars="0"/>
              <w:jc w:val="center"/>
              <w:rPr>
                <w:rFonts w:hint="eastAsia" w:ascii="仿宋_GB2312" w:hAnsi="仿宋_GB2312" w:eastAsia="仿宋_GB2312" w:cs="仿宋_GB2312"/>
                <w:snapToGrid w:val="0"/>
                <w:color w:val="000000"/>
                <w:spacing w:val="12"/>
                <w:kern w:val="0"/>
                <w:sz w:val="21"/>
                <w:szCs w:val="21"/>
                <w:lang w:eastAsia="zh-CN"/>
              </w:rPr>
            </w:pPr>
            <w:r>
              <w:rPr>
                <w:rFonts w:hint="eastAsia" w:ascii="仿宋_GB2312" w:hAnsi="仿宋_GB2312" w:eastAsia="仿宋_GB2312" w:cs="仿宋_GB2312"/>
                <w:spacing w:val="12"/>
                <w:sz w:val="21"/>
                <w:szCs w:val="21"/>
                <w:lang w:eastAsia="zh-CN"/>
              </w:rPr>
              <w:t>《中华人民共和国水污染防治法》第八十三条</w:t>
            </w:r>
          </w:p>
        </w:tc>
        <w:tc>
          <w:tcPr>
            <w:tcW w:w="5731" w:type="dxa"/>
            <w:vAlign w:val="top"/>
          </w:tcPr>
          <w:p>
            <w:pPr>
              <w:spacing w:before="68" w:line="241" w:lineRule="auto"/>
              <w:ind w:right="106" w:rightChars="0"/>
              <w:jc w:val="left"/>
              <w:rPr>
                <w:rFonts w:hint="eastAsia" w:ascii="仿宋_GB2312" w:hAnsi="仿宋_GB2312" w:eastAsia="仿宋_GB2312" w:cs="仿宋_GB2312"/>
                <w:snapToGrid w:val="0"/>
                <w:color w:val="000000"/>
                <w:spacing w:val="12"/>
                <w:kern w:val="0"/>
                <w:sz w:val="21"/>
                <w:szCs w:val="21"/>
                <w:lang w:eastAsia="zh-CN"/>
              </w:rPr>
            </w:pPr>
            <w:r>
              <w:rPr>
                <w:rFonts w:hint="eastAsia" w:ascii="仿宋_GB2312" w:hAnsi="仿宋_GB2312" w:eastAsia="仿宋_GB2312" w:cs="仿宋_GB2312"/>
                <w:spacing w:val="12"/>
                <w:sz w:val="21"/>
                <w:szCs w:val="21"/>
                <w:lang w:eastAsia="zh-CN"/>
              </w:rPr>
              <w:t>是否存在（一）未依法取得排污许可证排放大气污染物的；（二）超过大气污染物排放标准或者超过重点大气污染物排放总量控制指标排放大气污染物的；（三）通过逃避监管的方式排放大气污染物的；（四）未依法取得排污许可证排放水污染物的；（五）超过水污染物排放标准或者超过重点水污染物排放总量控制指标排放水污染物的；（六）利用渗井、渗坑、裂隙、溶洞，私设暗管，篡改、伪造监测数据，或者不正常运行水污染防治设施等逃避监管的方式排放水污染物的情况。</w:t>
            </w:r>
          </w:p>
        </w:tc>
      </w:tr>
    </w:tbl>
    <w:p/>
    <w:p>
      <w:pPr>
        <w:spacing w:line="130" w:lineRule="exact"/>
      </w:pPr>
    </w:p>
    <w:p>
      <w:pPr>
        <w:rPr>
          <w:rFonts w:ascii="Arial"/>
          <w:sz w:val="21"/>
        </w:rPr>
      </w:pPr>
    </w:p>
    <w:sectPr>
      <w:pgSz w:w="16840" w:h="11900"/>
      <w:pgMar w:top="400" w:right="554" w:bottom="400" w:left="624" w:header="0" w:footer="0"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YTdlYWUzODkyNDFiYzEyNTRlYjhlMzA5ZmEyOGFhNjYifQ=="/>
  </w:docVars>
  <w:rsids>
    <w:rsidRoot w:val="00000000"/>
    <w:rsid w:val="1D6C2A93"/>
    <w:rsid w:val="1FBA46C3"/>
    <w:rsid w:val="35FB12E8"/>
    <w:rsid w:val="58C65A71"/>
    <w:rsid w:val="646377D5"/>
    <w:rsid w:val="762EC609"/>
    <w:rsid w:val="8EFF60EB"/>
    <w:rsid w:val="DFDACDAD"/>
    <w:rsid w:val="FB7F5B0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2511</Words>
  <Characters>2525</Characters>
  <TotalTime>3</TotalTime>
  <ScaleCrop>false</ScaleCrop>
  <LinksUpToDate>false</LinksUpToDate>
  <CharactersWithSpaces>2636</CharactersWithSpaces>
  <Application>WPS Office_12.8.2.1112_F1E327BC-269C-435d-A152-05C5408002CA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2023-09-07T06:01:00Z</dcterms:created>
  <dc:creator>Kingsoft-PDF</dc:creator>
  <cp:lastModifiedBy>Ý、</cp:lastModifiedBy>
  <cp:lastPrinted>2023-09-07T13:55:00Z</cp:lastPrinted>
  <dcterms:modified xsi:type="dcterms:W3CDTF">2024-09-11T10:22:37Z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wqlLaW5nc29mdCBQREYgdG8gV1BTIDg1</vt:lpwstr>
  </property>
  <property fmtid="{D5CDD505-2E9C-101B-9397-08002B2CF9AE}" pid="3" name="Created">
    <vt:filetime>2023-09-05T22:01:19Z</vt:filetime>
  </property>
  <property fmtid="{D5CDD505-2E9C-101B-9397-08002B2CF9AE}" pid="4" name="UsrData">
    <vt:lpwstr>64f734ab55412d001f097c82wl</vt:lpwstr>
  </property>
  <property fmtid="{D5CDD505-2E9C-101B-9397-08002B2CF9AE}" pid="5" name="KSOProductBuildVer">
    <vt:lpwstr>2052-12.8.2.1112</vt:lpwstr>
  </property>
  <property fmtid="{D5CDD505-2E9C-101B-9397-08002B2CF9AE}" pid="6" name="ICV">
    <vt:lpwstr>08C050A6F791321806BFDF6602C91C8E</vt:lpwstr>
  </property>
</Properties>
</file>