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__1.vsdx" ContentType="application/vnd.ms-visio.drawing"/>
  <Override PartName="/word/embeddings/Microsoft_Visio___2.vsdx" ContentType="application/vnd.ms-visio.drawing"/>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hAnsi="仿宋_GB2312" w:eastAsia="仿宋_GB2312" w:cs="仿宋_GB2312"/>
          <w:sz w:val="36"/>
          <w:szCs w:val="36"/>
        </w:rPr>
      </w:pPr>
    </w:p>
    <w:p>
      <w:pPr>
        <w:rPr>
          <w:rFonts w:hint="eastAsia" w:ascii="仿宋_GB2312" w:hAnsi="仿宋_GB2312" w:eastAsia="仿宋_GB2312" w:cs="仿宋_GB2312"/>
          <w:sz w:val="36"/>
          <w:szCs w:val="36"/>
        </w:rPr>
      </w:pPr>
    </w:p>
    <w:p>
      <w:pPr>
        <w:rPr>
          <w:rFonts w:hint="eastAsia" w:ascii="仿宋_GB2312" w:hAnsi="仿宋_GB2312" w:eastAsia="仿宋_GB2312" w:cs="仿宋_GB2312"/>
          <w:sz w:val="36"/>
          <w:szCs w:val="36"/>
        </w:rPr>
      </w:pPr>
    </w:p>
    <w:p>
      <w:pPr>
        <w:adjustRightInd w:val="0"/>
        <w:snapToGrid w:val="0"/>
        <w:jc w:val="center"/>
        <w:outlineLvl w:val="0"/>
        <w:rPr>
          <w:rFonts w:ascii="方正小标宋_GBK" w:eastAsia="方正小标宋_GBK"/>
          <w:bCs/>
          <w:sz w:val="72"/>
          <w:szCs w:val="72"/>
        </w:rPr>
      </w:pPr>
      <w:r>
        <w:rPr>
          <w:rFonts w:hint="eastAsia" w:ascii="方正小标宋_GBK" w:eastAsia="方正小标宋_GBK"/>
          <w:bCs/>
          <w:sz w:val="72"/>
          <w:szCs w:val="72"/>
        </w:rPr>
        <w:t>建设项目环境影响报告表</w:t>
      </w:r>
    </w:p>
    <w:p>
      <w:pPr>
        <w:adjustRightInd w:val="0"/>
        <w:snapToGrid w:val="0"/>
        <w:spacing w:before="192" w:beforeLines="80"/>
        <w:jc w:val="center"/>
        <w:rPr>
          <w:rFonts w:ascii="楷体_GB2312" w:eastAsia="楷体_GB2312"/>
          <w:bCs/>
          <w:sz w:val="48"/>
          <w:szCs w:val="48"/>
        </w:rPr>
      </w:pPr>
      <w:r>
        <w:rPr>
          <w:rFonts w:hint="eastAsia" w:ascii="楷体_GB2312" w:eastAsia="楷体_GB2312"/>
          <w:bCs/>
          <w:sz w:val="48"/>
          <w:szCs w:val="48"/>
        </w:rPr>
        <w:t>（污染影响类）</w:t>
      </w:r>
    </w:p>
    <w:p>
      <w:pPr>
        <w:jc w:val="center"/>
        <w:rPr>
          <w:rFonts w:eastAsia="仿宋"/>
          <w:sz w:val="52"/>
          <w:szCs w:val="52"/>
        </w:rPr>
      </w:pPr>
    </w:p>
    <w:p>
      <w:pPr>
        <w:pStyle w:val="2"/>
      </w:pPr>
    </w:p>
    <w:p>
      <w:pPr>
        <w:ind w:firstLine="1040"/>
        <w:rPr>
          <w:rFonts w:eastAsia="仿宋"/>
          <w:sz w:val="44"/>
          <w:szCs w:val="44"/>
        </w:rPr>
      </w:pPr>
    </w:p>
    <w:p>
      <w:pPr>
        <w:pStyle w:val="2"/>
        <w:rPr>
          <w:rFonts w:hint="eastAsia"/>
        </w:rPr>
      </w:pPr>
    </w:p>
    <w:p>
      <w:pPr>
        <w:pStyle w:val="2"/>
      </w:pPr>
    </w:p>
    <w:p>
      <w:pPr>
        <w:pStyle w:val="3"/>
        <w:ind w:left="480"/>
      </w:pPr>
    </w:p>
    <w:p>
      <w:pPr>
        <w:spacing w:line="360" w:lineRule="auto"/>
        <w:ind w:firstLine="720" w:firstLineChars="200"/>
        <w:rPr>
          <w:rFonts w:ascii="仿宋_GB2312" w:eastAsia="仿宋_GB2312"/>
          <w:sz w:val="36"/>
          <w:szCs w:val="36"/>
          <w:u w:val="single"/>
        </w:rPr>
      </w:pPr>
      <w:r>
        <w:rPr>
          <w:rFonts w:hint="eastAsia" w:ascii="仿宋_GB2312" w:eastAsia="仿宋_GB2312"/>
          <w:sz w:val="36"/>
          <w:szCs w:val="36"/>
        </w:rPr>
        <w:t>项目名称：</w:t>
      </w:r>
      <w:r>
        <w:rPr>
          <w:rFonts w:hint="eastAsia" w:ascii="仿宋_GB2312" w:eastAsia="仿宋_GB2312"/>
          <w:sz w:val="36"/>
          <w:szCs w:val="36"/>
          <w:u w:val="single"/>
        </w:rPr>
        <w:t>鄂尔多斯市诚凯商贸有限公司年产7万立方混凝土搅拌站建设项目</w:t>
      </w:r>
    </w:p>
    <w:p>
      <w:pPr>
        <w:adjustRightInd w:val="0"/>
        <w:snapToGrid w:val="0"/>
        <w:spacing w:line="360" w:lineRule="auto"/>
        <w:ind w:firstLine="720" w:firstLineChars="200"/>
        <w:rPr>
          <w:rFonts w:ascii="仿宋_GB2312" w:eastAsia="仿宋_GB2312"/>
          <w:sz w:val="36"/>
          <w:szCs w:val="36"/>
          <w:u w:val="single"/>
        </w:rPr>
      </w:pPr>
      <w:r>
        <w:rPr>
          <w:rFonts w:hint="eastAsia" w:ascii="仿宋_GB2312" w:eastAsia="仿宋_GB2312"/>
          <w:sz w:val="36"/>
          <w:szCs w:val="36"/>
        </w:rPr>
        <w:t>建设单位（盖章）：</w:t>
      </w:r>
      <w:r>
        <w:rPr>
          <w:rFonts w:hint="eastAsia" w:ascii="仿宋_GB2312" w:eastAsia="仿宋_GB2312"/>
          <w:sz w:val="36"/>
          <w:szCs w:val="36"/>
          <w:u w:val="single"/>
        </w:rPr>
        <w:t>鄂尔多斯市诚凯商贸有限公司</w:t>
      </w:r>
    </w:p>
    <w:p>
      <w:pPr>
        <w:adjustRightInd w:val="0"/>
        <w:snapToGrid w:val="0"/>
        <w:spacing w:line="360" w:lineRule="auto"/>
        <w:ind w:firstLine="720" w:firstLineChars="200"/>
        <w:rPr>
          <w:rFonts w:ascii="仿宋_GB2312" w:eastAsia="仿宋_GB2312"/>
          <w:sz w:val="36"/>
          <w:szCs w:val="36"/>
          <w:u w:val="single"/>
        </w:rPr>
      </w:pPr>
      <w:r>
        <w:rPr>
          <w:rFonts w:hint="eastAsia" w:ascii="仿宋_GB2312" w:eastAsia="仿宋_GB2312"/>
          <w:sz w:val="36"/>
          <w:szCs w:val="36"/>
        </w:rPr>
        <w:t>编制日期：</w:t>
      </w:r>
      <w:bookmarkStart w:id="0" w:name="_Hlk57884087"/>
      <w:r>
        <w:rPr>
          <w:rFonts w:hint="eastAsia" w:ascii="仿宋_GB2312" w:eastAsia="仿宋_GB2312"/>
          <w:sz w:val="36"/>
          <w:szCs w:val="36"/>
          <w:u w:val="single"/>
        </w:rPr>
        <w:t>2024年8月</w:t>
      </w:r>
    </w:p>
    <w:p>
      <w:pPr>
        <w:pStyle w:val="2"/>
      </w:pPr>
    </w:p>
    <w:p>
      <w:pPr>
        <w:pStyle w:val="2"/>
      </w:pPr>
    </w:p>
    <w:p>
      <w:pPr>
        <w:pStyle w:val="3"/>
        <w:ind w:left="480"/>
      </w:pPr>
    </w:p>
    <w:p/>
    <w:p>
      <w:pPr>
        <w:pStyle w:val="2"/>
      </w:pPr>
    </w:p>
    <w:p>
      <w:pPr>
        <w:pStyle w:val="3"/>
        <w:ind w:left="480"/>
      </w:pPr>
    </w:p>
    <w:p>
      <w:pPr>
        <w:pStyle w:val="2"/>
      </w:pPr>
    </w:p>
    <w:bookmarkEnd w:id="0"/>
    <w:p>
      <w:pPr>
        <w:adjustRightInd w:val="0"/>
        <w:snapToGrid w:val="0"/>
        <w:spacing w:line="288" w:lineRule="auto"/>
        <w:jc w:val="center"/>
        <w:rPr>
          <w:rFonts w:ascii="楷体_GB2312" w:eastAsia="楷体_GB2312"/>
          <w:sz w:val="36"/>
          <w:szCs w:val="36"/>
        </w:rPr>
      </w:pPr>
      <w:r>
        <w:rPr>
          <w:rFonts w:hint="eastAsia" w:ascii="楷体_GB2312" w:eastAsia="楷体_GB2312"/>
          <w:sz w:val="36"/>
          <w:szCs w:val="36"/>
        </w:rPr>
        <w:t>中华人民共和国生态环境部制</w:t>
      </w:r>
    </w:p>
    <w:p>
      <w:pPr>
        <w:rPr>
          <w:rFonts w:hint="eastAsia" w:ascii="仿宋_GB2312" w:hAnsi="仿宋_GB2312" w:eastAsia="仿宋_GB2312" w:cs="仿宋_GB2312"/>
          <w:sz w:val="36"/>
          <w:szCs w:val="36"/>
        </w:rPr>
      </w:pPr>
    </w:p>
    <w:p>
      <w:pPr>
        <w:pStyle w:val="3"/>
        <w:ind w:left="480"/>
        <w:sectPr>
          <w:footerReference r:id="rId4" w:type="default"/>
          <w:headerReference r:id="rId3" w:type="even"/>
          <w:footerReference r:id="rId5" w:type="even"/>
          <w:pgSz w:w="11906" w:h="16838"/>
          <w:pgMar w:top="1701" w:right="1531" w:bottom="1701" w:left="1531" w:header="851" w:footer="1077" w:gutter="0"/>
          <w:pgNumType w:start="3"/>
          <w:cols w:space="720" w:num="1"/>
          <w:docGrid w:linePitch="312" w:charSpace="0"/>
        </w:sectPr>
      </w:pPr>
    </w:p>
    <w:p>
      <w:pPr>
        <w:pStyle w:val="17"/>
        <w:jc w:val="center"/>
        <w:outlineLvl w:val="0"/>
        <w:rPr>
          <w:rFonts w:hint="eastAsia" w:ascii="黑体" w:hAnsi="黑体" w:eastAsia="黑体"/>
          <w:snapToGrid w:val="0"/>
          <w:sz w:val="30"/>
          <w:szCs w:val="30"/>
        </w:rPr>
      </w:pPr>
      <w:r>
        <w:rPr>
          <w:rFonts w:hint="eastAsia" w:ascii="黑体" w:hAnsi="黑体" w:eastAsia="黑体"/>
          <w:snapToGrid w:val="0"/>
          <w:sz w:val="30"/>
          <w:szCs w:val="30"/>
        </w:rPr>
        <w:t>一、建设项目基本情况</w:t>
      </w:r>
    </w:p>
    <w:tbl>
      <w:tblPr>
        <w:tblStyle w:val="1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477"/>
        <w:gridCol w:w="2305"/>
        <w:gridCol w:w="2148"/>
        <w:gridCol w:w="294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511" w:type="dxa"/>
            <w:tcMar>
              <w:top w:w="16" w:type="dxa"/>
              <w:left w:w="16" w:type="dxa"/>
              <w:right w:w="16" w:type="dxa"/>
            </w:tcMar>
            <w:vAlign w:val="center"/>
          </w:tcPr>
          <w:p>
            <w:pPr>
              <w:adjustRightInd w:val="0"/>
              <w:snapToGrid w:val="0"/>
              <w:jc w:val="center"/>
              <w:rPr>
                <w:rFonts w:hint="eastAsia" w:ascii="宋体" w:hAnsi="宋体" w:cs="宋体"/>
              </w:rPr>
            </w:pPr>
            <w:r>
              <w:rPr>
                <w:rFonts w:hint="eastAsia" w:ascii="宋体" w:hAnsi="宋体" w:cs="宋体"/>
              </w:rPr>
              <w:t>建设项目名称</w:t>
            </w:r>
          </w:p>
        </w:tc>
        <w:tc>
          <w:tcPr>
            <w:tcW w:w="7359" w:type="dxa"/>
            <w:gridSpan w:val="3"/>
            <w:vAlign w:val="center"/>
          </w:tcPr>
          <w:p>
            <w:pPr>
              <w:adjustRightInd w:val="0"/>
              <w:snapToGrid w:val="0"/>
              <w:jc w:val="center"/>
              <w:rPr>
                <w:rFonts w:hint="eastAsia" w:ascii="宋体" w:hAnsi="宋体" w:cs="宋体"/>
              </w:rPr>
            </w:pPr>
            <w:r>
              <w:rPr>
                <w:rFonts w:hint="eastAsia" w:ascii="宋体" w:hAnsi="宋体" w:cs="宋体"/>
              </w:rPr>
              <w:t>鄂尔多斯市诚凯商贸有限公司年产7万立方混凝土搅拌站建设项目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24" w:hRule="atLeast"/>
          <w:jc w:val="center"/>
        </w:trPr>
        <w:tc>
          <w:tcPr>
            <w:tcW w:w="1511" w:type="dxa"/>
            <w:tcMar>
              <w:top w:w="16" w:type="dxa"/>
              <w:left w:w="16" w:type="dxa"/>
              <w:right w:w="16" w:type="dxa"/>
            </w:tcMar>
            <w:vAlign w:val="center"/>
          </w:tcPr>
          <w:p>
            <w:pPr>
              <w:adjustRightInd w:val="0"/>
              <w:snapToGrid w:val="0"/>
              <w:jc w:val="center"/>
              <w:rPr>
                <w:rFonts w:hint="eastAsia" w:ascii="宋体" w:hAnsi="宋体" w:cs="宋体"/>
              </w:rPr>
            </w:pPr>
            <w:r>
              <w:rPr>
                <w:rFonts w:hint="eastAsia" w:ascii="宋体" w:hAnsi="宋体" w:cs="宋体"/>
              </w:rPr>
              <w:t>项目代码</w:t>
            </w:r>
          </w:p>
        </w:tc>
        <w:tc>
          <w:tcPr>
            <w:tcW w:w="7359" w:type="dxa"/>
            <w:gridSpan w:val="3"/>
            <w:vAlign w:val="center"/>
          </w:tcPr>
          <w:p>
            <w:pPr>
              <w:adjustRightInd w:val="0"/>
              <w:snapToGrid w:val="0"/>
              <w:jc w:val="center"/>
              <w:rPr>
                <w:rFonts w:hint="eastAsia" w:ascii="宋体" w:hAnsi="宋体" w:cs="宋体"/>
              </w:rPr>
            </w:pPr>
            <w:r>
              <w:rPr>
                <w:rFonts w:ascii="宋体" w:hAnsi="宋体" w:cs="宋体"/>
              </w:rPr>
              <w:t>2406-150627-04-01-693486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511" w:type="dxa"/>
            <w:tcMar>
              <w:top w:w="16" w:type="dxa"/>
              <w:left w:w="16" w:type="dxa"/>
              <w:right w:w="16" w:type="dxa"/>
            </w:tcMar>
            <w:vAlign w:val="center"/>
          </w:tcPr>
          <w:p>
            <w:pPr>
              <w:adjustRightInd w:val="0"/>
              <w:snapToGrid w:val="0"/>
              <w:jc w:val="center"/>
              <w:rPr>
                <w:rFonts w:hint="eastAsia" w:ascii="宋体" w:hAnsi="宋体" w:cs="宋体"/>
                <w:szCs w:val="21"/>
              </w:rPr>
            </w:pPr>
            <w:r>
              <w:rPr>
                <w:rFonts w:hint="eastAsia" w:ascii="宋体" w:hAnsi="宋体" w:cs="宋体"/>
                <w:szCs w:val="21"/>
              </w:rPr>
              <w:t>建设单位联系人</w:t>
            </w:r>
          </w:p>
        </w:tc>
        <w:tc>
          <w:tcPr>
            <w:tcW w:w="2305" w:type="dxa"/>
            <w:vAlign w:val="center"/>
          </w:tcPr>
          <w:p>
            <w:pPr>
              <w:adjustRightInd w:val="0"/>
              <w:snapToGrid w:val="0"/>
              <w:jc w:val="center"/>
              <w:rPr>
                <w:rFonts w:hint="eastAsia" w:ascii="宋体" w:hAnsi="宋体" w:cs="宋体"/>
                <w:szCs w:val="21"/>
              </w:rPr>
            </w:pPr>
            <w:r>
              <w:rPr>
                <w:rFonts w:hint="eastAsia" w:ascii="宋体" w:hAnsi="宋体" w:cs="宋体"/>
                <w:szCs w:val="21"/>
              </w:rPr>
              <w:t>郝建忠</w:t>
            </w:r>
          </w:p>
        </w:tc>
        <w:tc>
          <w:tcPr>
            <w:tcW w:w="2159" w:type="dxa"/>
            <w:vAlign w:val="center"/>
          </w:tcPr>
          <w:p>
            <w:pPr>
              <w:adjustRightInd w:val="0"/>
              <w:snapToGrid w:val="0"/>
              <w:jc w:val="center"/>
              <w:rPr>
                <w:szCs w:val="21"/>
              </w:rPr>
            </w:pPr>
            <w:r>
              <w:rPr>
                <w:szCs w:val="21"/>
              </w:rPr>
              <w:t>联系方式</w:t>
            </w:r>
          </w:p>
        </w:tc>
        <w:tc>
          <w:tcPr>
            <w:tcW w:w="2895" w:type="dxa"/>
            <w:vAlign w:val="center"/>
          </w:tcPr>
          <w:p>
            <w:pPr>
              <w:adjustRightInd w:val="0"/>
              <w:snapToGrid w:val="0"/>
              <w:jc w:val="center"/>
              <w:rPr>
                <w:szCs w:val="21"/>
              </w:rPr>
            </w:pPr>
            <w:r>
              <w:rPr>
                <w:rFonts w:hint="eastAsia"/>
                <w:szCs w:val="21"/>
              </w:rPr>
              <w:t>18304778888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511" w:type="dxa"/>
            <w:tcMar>
              <w:top w:w="16" w:type="dxa"/>
              <w:left w:w="16" w:type="dxa"/>
              <w:right w:w="16" w:type="dxa"/>
            </w:tcMar>
            <w:vAlign w:val="center"/>
          </w:tcPr>
          <w:p>
            <w:pPr>
              <w:adjustRightInd w:val="0"/>
              <w:snapToGrid w:val="0"/>
              <w:jc w:val="center"/>
              <w:rPr>
                <w:rFonts w:hint="eastAsia" w:ascii="宋体" w:hAnsi="宋体" w:cs="宋体"/>
                <w:szCs w:val="21"/>
              </w:rPr>
            </w:pPr>
            <w:r>
              <w:rPr>
                <w:rFonts w:hint="eastAsia" w:ascii="宋体" w:hAnsi="宋体" w:cs="宋体"/>
                <w:szCs w:val="21"/>
              </w:rPr>
              <w:t>建设地点</w:t>
            </w:r>
          </w:p>
        </w:tc>
        <w:tc>
          <w:tcPr>
            <w:tcW w:w="7359" w:type="dxa"/>
            <w:gridSpan w:val="3"/>
            <w:vAlign w:val="center"/>
          </w:tcPr>
          <w:p>
            <w:pPr>
              <w:adjustRightInd w:val="0"/>
              <w:snapToGrid w:val="0"/>
              <w:jc w:val="center"/>
              <w:rPr>
                <w:rFonts w:hint="eastAsia" w:ascii="宋体" w:hAnsi="宋体" w:cs="宋体"/>
                <w:szCs w:val="21"/>
              </w:rPr>
            </w:pPr>
            <w:r>
              <w:rPr>
                <w:rFonts w:hint="eastAsia" w:ascii="宋体" w:hAnsi="宋体" w:cs="宋体"/>
                <w:u w:val="single"/>
              </w:rPr>
              <w:t>内蒙古</w:t>
            </w:r>
            <w:r>
              <w:rPr>
                <w:rFonts w:hint="eastAsia" w:ascii="宋体" w:hAnsi="宋体" w:cs="宋体"/>
              </w:rPr>
              <w:t>自治区</w:t>
            </w:r>
            <w:r>
              <w:rPr>
                <w:rFonts w:hint="eastAsia" w:ascii="宋体" w:hAnsi="宋体" w:cs="宋体"/>
                <w:u w:val="single"/>
              </w:rPr>
              <w:t>鄂尔多斯</w:t>
            </w:r>
            <w:r>
              <w:rPr>
                <w:rFonts w:hint="eastAsia" w:ascii="宋体" w:hAnsi="宋体" w:cs="宋体"/>
              </w:rPr>
              <w:t>市</w:t>
            </w:r>
            <w:r>
              <w:rPr>
                <w:rFonts w:hint="eastAsia" w:ascii="宋体" w:hAnsi="宋体" w:cs="宋体"/>
                <w:u w:val="single"/>
              </w:rPr>
              <w:t>伊金霍洛旗乌兰木伦镇苏勒德霍洛村</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1511" w:type="dxa"/>
            <w:tcMar>
              <w:top w:w="16" w:type="dxa"/>
              <w:left w:w="16" w:type="dxa"/>
              <w:right w:w="16" w:type="dxa"/>
            </w:tcMar>
            <w:vAlign w:val="center"/>
          </w:tcPr>
          <w:p>
            <w:pPr>
              <w:adjustRightInd w:val="0"/>
              <w:snapToGrid w:val="0"/>
              <w:jc w:val="center"/>
              <w:rPr>
                <w:rFonts w:hint="eastAsia" w:ascii="宋体" w:hAnsi="宋体" w:cs="宋体"/>
                <w:szCs w:val="21"/>
              </w:rPr>
            </w:pPr>
            <w:r>
              <w:rPr>
                <w:rFonts w:hint="eastAsia" w:ascii="宋体" w:hAnsi="宋体" w:cs="宋体"/>
                <w:szCs w:val="21"/>
              </w:rPr>
              <w:t>地理坐标</w:t>
            </w:r>
          </w:p>
        </w:tc>
        <w:tc>
          <w:tcPr>
            <w:tcW w:w="7359" w:type="dxa"/>
            <w:gridSpan w:val="3"/>
            <w:vAlign w:val="center"/>
          </w:tcPr>
          <w:p>
            <w:pPr>
              <w:jc w:val="center"/>
              <w:rPr>
                <w:rFonts w:hint="eastAsia" w:ascii="宋体" w:hAnsi="宋体" w:cs="宋体"/>
                <w:szCs w:val="21"/>
              </w:rPr>
            </w:pPr>
            <w:r>
              <w:rPr>
                <w:szCs w:val="21"/>
              </w:rPr>
              <w:t>（</w:t>
            </w:r>
            <w:r>
              <w:rPr>
                <w:szCs w:val="21"/>
                <w:u w:val="single"/>
              </w:rPr>
              <w:t>1</w:t>
            </w:r>
            <w:r>
              <w:rPr>
                <w:rFonts w:hint="eastAsia"/>
                <w:szCs w:val="21"/>
                <w:u w:val="single"/>
              </w:rPr>
              <w:t>10</w:t>
            </w:r>
            <w:r>
              <w:rPr>
                <w:szCs w:val="21"/>
              </w:rPr>
              <w:t>度</w:t>
            </w:r>
            <w:r>
              <w:rPr>
                <w:rFonts w:hint="eastAsia"/>
                <w:szCs w:val="21"/>
                <w:u w:val="single"/>
              </w:rPr>
              <w:t>6</w:t>
            </w:r>
            <w:r>
              <w:rPr>
                <w:szCs w:val="21"/>
              </w:rPr>
              <w:t>分</w:t>
            </w:r>
            <w:r>
              <w:rPr>
                <w:rFonts w:hint="eastAsia"/>
                <w:szCs w:val="21"/>
                <w:u w:val="single"/>
              </w:rPr>
              <w:t>40.938</w:t>
            </w:r>
            <w:r>
              <w:rPr>
                <w:szCs w:val="21"/>
              </w:rPr>
              <w:t>秒，</w:t>
            </w:r>
            <w:r>
              <w:rPr>
                <w:szCs w:val="21"/>
                <w:u w:val="single"/>
              </w:rPr>
              <w:t>39</w:t>
            </w:r>
            <w:r>
              <w:rPr>
                <w:szCs w:val="21"/>
              </w:rPr>
              <w:t>度</w:t>
            </w:r>
            <w:r>
              <w:rPr>
                <w:szCs w:val="21"/>
                <w:u w:val="single"/>
              </w:rPr>
              <w:t>2</w:t>
            </w:r>
            <w:r>
              <w:rPr>
                <w:rFonts w:hint="eastAsia"/>
                <w:szCs w:val="21"/>
                <w:u w:val="single"/>
              </w:rPr>
              <w:t>5</w:t>
            </w:r>
            <w:r>
              <w:rPr>
                <w:szCs w:val="21"/>
              </w:rPr>
              <w:t>分</w:t>
            </w:r>
            <w:r>
              <w:rPr>
                <w:rFonts w:hint="eastAsia"/>
                <w:szCs w:val="21"/>
                <w:u w:val="single"/>
              </w:rPr>
              <w:t>37.878</w:t>
            </w:r>
            <w:r>
              <w:rPr>
                <w:szCs w:val="21"/>
              </w:rPr>
              <w:t>秒）</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511" w:type="dxa"/>
            <w:tcMar>
              <w:top w:w="16" w:type="dxa"/>
              <w:left w:w="16" w:type="dxa"/>
              <w:right w:w="16" w:type="dxa"/>
            </w:tcMar>
            <w:vAlign w:val="center"/>
          </w:tcPr>
          <w:p>
            <w:pPr>
              <w:adjustRightInd w:val="0"/>
              <w:snapToGrid w:val="0"/>
              <w:jc w:val="center"/>
              <w:rPr>
                <w:szCs w:val="21"/>
              </w:rPr>
            </w:pPr>
            <w:r>
              <w:rPr>
                <w:szCs w:val="21"/>
              </w:rPr>
              <w:t>国民经济</w:t>
            </w:r>
          </w:p>
          <w:p>
            <w:pPr>
              <w:adjustRightInd w:val="0"/>
              <w:snapToGrid w:val="0"/>
              <w:jc w:val="center"/>
              <w:rPr>
                <w:szCs w:val="21"/>
              </w:rPr>
            </w:pPr>
            <w:r>
              <w:rPr>
                <w:szCs w:val="21"/>
              </w:rPr>
              <w:t>行业类别</w:t>
            </w:r>
          </w:p>
        </w:tc>
        <w:tc>
          <w:tcPr>
            <w:tcW w:w="2305" w:type="dxa"/>
            <w:vAlign w:val="center"/>
          </w:tcPr>
          <w:p>
            <w:pPr>
              <w:adjustRightInd w:val="0"/>
              <w:snapToGrid w:val="0"/>
              <w:jc w:val="center"/>
              <w:rPr>
                <w:rFonts w:hint="eastAsia" w:ascii="宋体" w:hAnsi="宋体" w:cs="宋体"/>
              </w:rPr>
            </w:pPr>
            <w:r>
              <w:rPr>
                <w:rFonts w:hint="eastAsia"/>
              </w:rPr>
              <w:t>C3021 水泥制品制造</w:t>
            </w:r>
          </w:p>
        </w:tc>
        <w:tc>
          <w:tcPr>
            <w:tcW w:w="2159" w:type="dxa"/>
            <w:vAlign w:val="center"/>
          </w:tcPr>
          <w:p>
            <w:pPr>
              <w:adjustRightInd w:val="0"/>
              <w:snapToGrid w:val="0"/>
              <w:jc w:val="center"/>
              <w:rPr>
                <w:rFonts w:hint="eastAsia" w:ascii="宋体" w:hAnsi="宋体" w:cs="宋体"/>
              </w:rPr>
            </w:pPr>
            <w:bookmarkStart w:id="1" w:name="_Hlk49843745"/>
            <w:r>
              <w:rPr>
                <w:rFonts w:hint="eastAsia" w:ascii="宋体" w:hAnsi="宋体" w:cs="宋体"/>
              </w:rPr>
              <w:t>建设项目</w:t>
            </w:r>
          </w:p>
          <w:p>
            <w:pPr>
              <w:adjustRightInd w:val="0"/>
              <w:snapToGrid w:val="0"/>
              <w:jc w:val="center"/>
              <w:rPr>
                <w:rFonts w:hint="eastAsia" w:ascii="宋体" w:hAnsi="宋体" w:cs="宋体"/>
              </w:rPr>
            </w:pPr>
            <w:r>
              <w:rPr>
                <w:rFonts w:hint="eastAsia" w:ascii="宋体" w:hAnsi="宋体" w:cs="宋体"/>
              </w:rPr>
              <w:t>行业类别</w:t>
            </w:r>
            <w:bookmarkEnd w:id="1"/>
          </w:p>
        </w:tc>
        <w:tc>
          <w:tcPr>
            <w:tcW w:w="2895" w:type="dxa"/>
            <w:vAlign w:val="center"/>
          </w:tcPr>
          <w:p>
            <w:pPr>
              <w:adjustRightInd w:val="0"/>
              <w:snapToGrid w:val="0"/>
              <w:rPr>
                <w:rFonts w:hint="eastAsia" w:ascii="宋体" w:hAnsi="宋体" w:cs="宋体"/>
              </w:rPr>
            </w:pPr>
            <w:r>
              <w:rPr>
                <w:rFonts w:hint="eastAsia" w:ascii="宋体" w:hAnsi="宋体" w:cs="宋体"/>
              </w:rPr>
              <w:t>二十七、非金属矿物制品业</w:t>
            </w:r>
          </w:p>
          <w:p>
            <w:pPr>
              <w:adjustRightInd w:val="0"/>
              <w:snapToGrid w:val="0"/>
              <w:rPr>
                <w:rFonts w:hint="eastAsia" w:ascii="宋体" w:hAnsi="宋体" w:cs="宋体"/>
              </w:rPr>
            </w:pPr>
            <w:r>
              <w:rPr>
                <w:rFonts w:hint="eastAsia" w:ascii="宋体" w:hAnsi="宋体" w:cs="宋体"/>
              </w:rPr>
              <w:t>55 石膏、水泥制品及类似制品制造302商品混凝土；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311" w:hRule="atLeast"/>
          <w:jc w:val="center"/>
        </w:trPr>
        <w:tc>
          <w:tcPr>
            <w:tcW w:w="1511" w:type="dxa"/>
            <w:tcMar>
              <w:top w:w="16" w:type="dxa"/>
              <w:left w:w="16" w:type="dxa"/>
              <w:right w:w="16" w:type="dxa"/>
            </w:tcMar>
            <w:vAlign w:val="center"/>
          </w:tcPr>
          <w:p>
            <w:pPr>
              <w:adjustRightInd w:val="0"/>
              <w:snapToGrid w:val="0"/>
              <w:jc w:val="center"/>
              <w:rPr>
                <w:rFonts w:hint="eastAsia" w:ascii="宋体" w:hAnsi="宋体" w:cs="宋体"/>
                <w:szCs w:val="21"/>
              </w:rPr>
            </w:pPr>
            <w:r>
              <w:rPr>
                <w:rFonts w:hint="eastAsia" w:ascii="宋体" w:hAnsi="宋体" w:cs="宋体"/>
                <w:szCs w:val="21"/>
              </w:rPr>
              <w:t>建设性质</w:t>
            </w:r>
          </w:p>
        </w:tc>
        <w:tc>
          <w:tcPr>
            <w:tcW w:w="2305" w:type="dxa"/>
            <w:vAlign w:val="center"/>
          </w:tcPr>
          <w:p>
            <w:pPr>
              <w:jc w:val="left"/>
              <w:rPr>
                <w:rFonts w:hint="eastAsia" w:ascii="宋体" w:hAnsi="宋体" w:cs="宋体"/>
                <w:szCs w:val="21"/>
              </w:rPr>
            </w:pPr>
            <w:r>
              <w:rPr>
                <w:rFonts w:hint="eastAsia" w:ascii="宋体" w:hAnsi="宋体" w:cs="宋体"/>
                <w:szCs w:val="21"/>
              </w:rPr>
              <w:sym w:font="Wingdings 2" w:char="0052"/>
            </w:r>
            <w:r>
              <w:rPr>
                <w:rFonts w:hint="eastAsia" w:ascii="宋体" w:hAnsi="宋体" w:cs="宋体"/>
                <w:szCs w:val="21"/>
              </w:rPr>
              <w:t>新建（迁建）</w:t>
            </w:r>
          </w:p>
          <w:p>
            <w:pPr>
              <w:jc w:val="left"/>
              <w:rPr>
                <w:rFonts w:hint="eastAsia" w:ascii="宋体" w:hAnsi="宋体" w:cs="宋体"/>
                <w:szCs w:val="21"/>
              </w:rPr>
            </w:pPr>
            <w:r>
              <w:rPr>
                <w:rFonts w:hint="eastAsia" w:ascii="宋体" w:hAnsi="宋体" w:cs="宋体"/>
                <w:szCs w:val="21"/>
              </w:rPr>
              <w:sym w:font="Wingdings 2" w:char="00A3"/>
            </w:r>
            <w:r>
              <w:rPr>
                <w:rFonts w:hint="eastAsia" w:ascii="宋体" w:hAnsi="宋体" w:cs="宋体"/>
                <w:szCs w:val="21"/>
              </w:rPr>
              <w:t>改建</w:t>
            </w:r>
          </w:p>
          <w:p>
            <w:pPr>
              <w:jc w:val="left"/>
              <w:rPr>
                <w:rFonts w:hint="eastAsia" w:ascii="宋体" w:hAnsi="宋体" w:cs="宋体"/>
                <w:szCs w:val="21"/>
              </w:rPr>
            </w:pPr>
            <w:r>
              <w:rPr>
                <w:rFonts w:hint="eastAsia" w:ascii="宋体" w:hAnsi="宋体" w:cs="宋体"/>
                <w:szCs w:val="21"/>
              </w:rPr>
              <w:sym w:font="Wingdings 2" w:char="00A3"/>
            </w:r>
            <w:r>
              <w:rPr>
                <w:rFonts w:hint="eastAsia" w:ascii="宋体" w:hAnsi="宋体" w:cs="宋体"/>
                <w:szCs w:val="21"/>
              </w:rPr>
              <w:t>扩建</w:t>
            </w:r>
          </w:p>
          <w:p>
            <w:pPr>
              <w:jc w:val="left"/>
              <w:rPr>
                <w:rFonts w:hint="eastAsia" w:ascii="宋体" w:hAnsi="宋体" w:cs="宋体"/>
                <w:szCs w:val="21"/>
              </w:rPr>
            </w:pPr>
            <w:r>
              <w:rPr>
                <w:rFonts w:hint="eastAsia" w:ascii="宋体" w:hAnsi="宋体" w:cs="宋体"/>
                <w:szCs w:val="21"/>
              </w:rPr>
              <w:sym w:font="Wingdings 2" w:char="00A3"/>
            </w:r>
            <w:r>
              <w:rPr>
                <w:rFonts w:hint="eastAsia" w:ascii="宋体" w:hAnsi="宋体" w:cs="宋体"/>
                <w:szCs w:val="21"/>
              </w:rPr>
              <w:t>技术改造</w:t>
            </w:r>
          </w:p>
        </w:tc>
        <w:tc>
          <w:tcPr>
            <w:tcW w:w="2159" w:type="dxa"/>
            <w:vAlign w:val="center"/>
          </w:tcPr>
          <w:p>
            <w:pPr>
              <w:adjustRightInd w:val="0"/>
              <w:snapToGrid w:val="0"/>
              <w:jc w:val="center"/>
              <w:rPr>
                <w:rFonts w:hint="eastAsia" w:ascii="宋体" w:hAnsi="宋体" w:cs="宋体"/>
                <w:szCs w:val="21"/>
              </w:rPr>
            </w:pPr>
            <w:r>
              <w:rPr>
                <w:rFonts w:hint="eastAsia" w:ascii="宋体" w:hAnsi="宋体" w:cs="宋体"/>
                <w:szCs w:val="21"/>
              </w:rPr>
              <w:t>建设项目</w:t>
            </w:r>
          </w:p>
          <w:p>
            <w:pPr>
              <w:adjustRightInd w:val="0"/>
              <w:snapToGrid w:val="0"/>
              <w:jc w:val="center"/>
              <w:rPr>
                <w:rFonts w:hint="eastAsia" w:ascii="宋体" w:hAnsi="宋体" w:cs="宋体"/>
                <w:szCs w:val="21"/>
              </w:rPr>
            </w:pPr>
            <w:r>
              <w:rPr>
                <w:rFonts w:hint="eastAsia" w:ascii="宋体" w:hAnsi="宋体" w:cs="宋体"/>
                <w:szCs w:val="21"/>
              </w:rPr>
              <w:t>申报情形</w:t>
            </w:r>
          </w:p>
        </w:tc>
        <w:tc>
          <w:tcPr>
            <w:tcW w:w="2895" w:type="dxa"/>
            <w:vAlign w:val="center"/>
          </w:tcPr>
          <w:p>
            <w:pPr>
              <w:jc w:val="left"/>
              <w:rPr>
                <w:rFonts w:hint="eastAsia" w:ascii="宋体" w:hAnsi="宋体" w:cs="宋体"/>
                <w:szCs w:val="21"/>
              </w:rPr>
            </w:pPr>
            <w:r>
              <w:rPr>
                <w:rFonts w:hint="eastAsia" w:ascii="宋体" w:hAnsi="宋体" w:cs="宋体"/>
                <w:szCs w:val="21"/>
              </w:rPr>
              <w:sym w:font="Wingdings 2" w:char="0052"/>
            </w:r>
            <w:r>
              <w:rPr>
                <w:rFonts w:hint="eastAsia" w:ascii="宋体" w:hAnsi="宋体" w:cs="宋体"/>
                <w:szCs w:val="21"/>
              </w:rPr>
              <w:t>首次申报项目</w:t>
            </w:r>
            <w:r>
              <w:rPr>
                <w:rFonts w:ascii="宋体" w:hAnsi="宋体" w:cs="宋体"/>
                <w:szCs w:val="21"/>
              </w:rPr>
              <w:t xml:space="preserve">         </w:t>
            </w:r>
          </w:p>
          <w:p>
            <w:pPr>
              <w:jc w:val="left"/>
              <w:rPr>
                <w:rFonts w:hint="eastAsia" w:ascii="宋体" w:hAnsi="宋体" w:cs="宋体"/>
                <w:szCs w:val="21"/>
              </w:rPr>
            </w:pPr>
            <w:r>
              <w:rPr>
                <w:rFonts w:hint="eastAsia" w:ascii="宋体" w:hAnsi="宋体" w:cs="宋体"/>
                <w:szCs w:val="21"/>
              </w:rPr>
              <w:sym w:font="Wingdings 2" w:char="00A3"/>
            </w:r>
            <w:r>
              <w:rPr>
                <w:rFonts w:hint="eastAsia" w:ascii="宋体" w:hAnsi="宋体" w:cs="宋体"/>
                <w:szCs w:val="21"/>
              </w:rPr>
              <w:t>不予批准后再次申报项目</w:t>
            </w:r>
          </w:p>
          <w:p>
            <w:pPr>
              <w:jc w:val="left"/>
              <w:rPr>
                <w:rFonts w:hint="eastAsia" w:ascii="宋体" w:hAnsi="宋体" w:cs="宋体"/>
                <w:szCs w:val="21"/>
              </w:rPr>
            </w:pPr>
            <w:r>
              <w:rPr>
                <w:rFonts w:hint="eastAsia" w:ascii="宋体" w:hAnsi="宋体" w:cs="宋体"/>
                <w:szCs w:val="21"/>
              </w:rPr>
              <w:sym w:font="Wingdings 2" w:char="00A3"/>
            </w:r>
            <w:r>
              <w:rPr>
                <w:rFonts w:hint="eastAsia" w:ascii="宋体" w:hAnsi="宋体" w:cs="宋体"/>
                <w:szCs w:val="21"/>
              </w:rPr>
              <w:t>超五年重新审核项目</w:t>
            </w:r>
            <w:r>
              <w:rPr>
                <w:rFonts w:ascii="宋体" w:hAnsi="宋体" w:cs="宋体"/>
                <w:szCs w:val="21"/>
              </w:rPr>
              <w:t xml:space="preserve">     </w:t>
            </w:r>
          </w:p>
          <w:p>
            <w:pPr>
              <w:jc w:val="left"/>
              <w:rPr>
                <w:rFonts w:hint="eastAsia" w:ascii="宋体" w:hAnsi="宋体" w:cs="宋体"/>
                <w:szCs w:val="21"/>
              </w:rPr>
            </w:pPr>
            <w:r>
              <w:rPr>
                <w:rFonts w:hint="eastAsia" w:ascii="宋体" w:hAnsi="宋体" w:cs="宋体"/>
                <w:szCs w:val="21"/>
              </w:rPr>
              <w:sym w:font="Wingdings 2" w:char="00A3"/>
            </w:r>
            <w:r>
              <w:rPr>
                <w:rFonts w:hint="eastAsia" w:ascii="宋体" w:hAnsi="宋体" w:cs="宋体"/>
                <w:szCs w:val="21"/>
              </w:rPr>
              <w:t>重大变动重新报批项目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39" w:hRule="atLeast"/>
          <w:jc w:val="center"/>
        </w:trPr>
        <w:tc>
          <w:tcPr>
            <w:tcW w:w="1511" w:type="dxa"/>
            <w:tcMar>
              <w:top w:w="16" w:type="dxa"/>
              <w:left w:w="16" w:type="dxa"/>
              <w:right w:w="16" w:type="dxa"/>
            </w:tcMar>
            <w:vAlign w:val="center"/>
          </w:tcPr>
          <w:p>
            <w:pPr>
              <w:adjustRightInd w:val="0"/>
              <w:snapToGrid w:val="0"/>
              <w:jc w:val="center"/>
              <w:rPr>
                <w:rFonts w:hint="eastAsia" w:ascii="宋体" w:hAnsi="宋体" w:cs="宋体"/>
                <w:szCs w:val="21"/>
              </w:rPr>
            </w:pPr>
            <w:r>
              <w:rPr>
                <w:rFonts w:hint="eastAsia" w:ascii="宋体" w:hAnsi="宋体" w:cs="宋体"/>
                <w:szCs w:val="21"/>
              </w:rPr>
              <w:t>项目审批（核准</w:t>
            </w:r>
            <w:r>
              <w:rPr>
                <w:rFonts w:ascii="宋体" w:hAnsi="宋体" w:cs="宋体"/>
                <w:szCs w:val="21"/>
              </w:rPr>
              <w:t>/</w:t>
            </w:r>
            <w:r>
              <w:rPr>
                <w:rFonts w:hint="eastAsia" w:ascii="宋体" w:hAnsi="宋体" w:cs="宋体"/>
                <w:szCs w:val="21"/>
              </w:rPr>
              <w:t>备案）部门（选填）</w:t>
            </w:r>
          </w:p>
        </w:tc>
        <w:tc>
          <w:tcPr>
            <w:tcW w:w="2305" w:type="dxa"/>
            <w:vAlign w:val="center"/>
          </w:tcPr>
          <w:p>
            <w:pPr>
              <w:adjustRightInd w:val="0"/>
              <w:snapToGrid w:val="0"/>
              <w:jc w:val="center"/>
              <w:rPr>
                <w:rFonts w:hint="eastAsia" w:ascii="宋体" w:hAnsi="宋体" w:cs="宋体"/>
                <w:szCs w:val="21"/>
              </w:rPr>
            </w:pPr>
            <w:r>
              <w:rPr>
                <w:rFonts w:hint="eastAsia" w:ascii="宋体" w:hAnsi="宋体" w:cs="宋体"/>
              </w:rPr>
              <w:t>伊金霍洛旗</w:t>
            </w:r>
            <w:r>
              <w:rPr>
                <w:rFonts w:ascii="宋体" w:hAnsi="宋体" w:cs="宋体"/>
              </w:rPr>
              <w:t>发展和改革委员会</w:t>
            </w:r>
          </w:p>
        </w:tc>
        <w:tc>
          <w:tcPr>
            <w:tcW w:w="2159" w:type="dxa"/>
            <w:vAlign w:val="center"/>
          </w:tcPr>
          <w:p>
            <w:pPr>
              <w:adjustRightInd w:val="0"/>
              <w:snapToGrid w:val="0"/>
              <w:jc w:val="center"/>
              <w:rPr>
                <w:rFonts w:hint="eastAsia" w:ascii="宋体" w:hAnsi="宋体" w:cs="宋体"/>
                <w:szCs w:val="21"/>
              </w:rPr>
            </w:pPr>
            <w:r>
              <w:rPr>
                <w:rFonts w:hint="eastAsia" w:ascii="宋体" w:hAnsi="宋体" w:cs="宋体"/>
                <w:szCs w:val="21"/>
              </w:rPr>
              <w:t>项目审批（核准</w:t>
            </w:r>
            <w:r>
              <w:rPr>
                <w:rFonts w:ascii="宋体" w:hAnsi="宋体" w:cs="宋体"/>
                <w:szCs w:val="21"/>
              </w:rPr>
              <w:t>/</w:t>
            </w:r>
            <w:r>
              <w:rPr>
                <w:rFonts w:hint="eastAsia" w:ascii="宋体" w:hAnsi="宋体" w:cs="宋体"/>
                <w:szCs w:val="21"/>
              </w:rPr>
              <w:t>备案）文号（选填）</w:t>
            </w:r>
          </w:p>
        </w:tc>
        <w:tc>
          <w:tcPr>
            <w:tcW w:w="2895" w:type="dxa"/>
            <w:vAlign w:val="center"/>
          </w:tcPr>
          <w:p>
            <w:pPr>
              <w:adjustRightInd w:val="0"/>
              <w:snapToGrid w:val="0"/>
              <w:jc w:val="center"/>
              <w:rPr>
                <w:rFonts w:hint="eastAsia" w:ascii="宋体" w:hAnsi="宋体" w:cs="宋体"/>
                <w:szCs w:val="21"/>
              </w:rPr>
            </w:pPr>
            <w:r>
              <w:rPr>
                <w:rFonts w:hint="eastAsia" w:ascii="宋体" w:hAnsi="宋体" w:cs="宋体"/>
                <w:szCs w:val="21"/>
              </w:rPr>
              <w:t>备案</w:t>
            </w:r>
          </w:p>
          <w:p>
            <w:pPr>
              <w:adjustRightInd w:val="0"/>
              <w:snapToGrid w:val="0"/>
              <w:jc w:val="center"/>
              <w:rPr>
                <w:rFonts w:hint="eastAsia" w:ascii="宋体" w:hAnsi="宋体" w:cs="宋体"/>
                <w:szCs w:val="21"/>
              </w:rPr>
            </w:pPr>
            <w:r>
              <w:rPr>
                <w:rFonts w:ascii="宋体" w:hAnsi="宋体" w:cs="宋体"/>
                <w:szCs w:val="21"/>
              </w:rPr>
              <w:t>2406-150627-04-01-69348</w:t>
            </w:r>
            <w:r>
              <w:rPr>
                <w:rFonts w:ascii="宋体" w:hAnsi="宋体" w:cs="宋体"/>
              </w:rPr>
              <w:t>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511" w:type="dxa"/>
            <w:tcMar>
              <w:top w:w="16" w:type="dxa"/>
              <w:left w:w="16" w:type="dxa"/>
              <w:right w:w="16" w:type="dxa"/>
            </w:tcMar>
            <w:vAlign w:val="center"/>
          </w:tcPr>
          <w:p>
            <w:pPr>
              <w:adjustRightInd w:val="0"/>
              <w:snapToGrid w:val="0"/>
              <w:jc w:val="center"/>
              <w:rPr>
                <w:rFonts w:hint="eastAsia" w:ascii="宋体" w:hAnsi="宋体" w:cs="宋体"/>
                <w:szCs w:val="21"/>
              </w:rPr>
            </w:pPr>
            <w:r>
              <w:rPr>
                <w:rFonts w:hint="eastAsia" w:ascii="宋体" w:hAnsi="宋体" w:cs="宋体"/>
                <w:szCs w:val="21"/>
              </w:rPr>
              <w:t>总投资（万元）</w:t>
            </w:r>
          </w:p>
        </w:tc>
        <w:tc>
          <w:tcPr>
            <w:tcW w:w="2305" w:type="dxa"/>
            <w:vAlign w:val="center"/>
          </w:tcPr>
          <w:p>
            <w:pPr>
              <w:adjustRightInd w:val="0"/>
              <w:snapToGrid w:val="0"/>
              <w:jc w:val="center"/>
              <w:rPr>
                <w:rFonts w:hint="eastAsia" w:ascii="宋体" w:hAnsi="宋体" w:cs="宋体"/>
              </w:rPr>
            </w:pPr>
            <w:r>
              <w:rPr>
                <w:rFonts w:hint="eastAsia" w:ascii="宋体" w:hAnsi="宋体" w:cs="宋体"/>
              </w:rPr>
              <w:t>380</w:t>
            </w:r>
          </w:p>
        </w:tc>
        <w:tc>
          <w:tcPr>
            <w:tcW w:w="2159" w:type="dxa"/>
            <w:tcMar>
              <w:top w:w="16" w:type="dxa"/>
              <w:left w:w="16" w:type="dxa"/>
              <w:right w:w="16" w:type="dxa"/>
            </w:tcMar>
            <w:vAlign w:val="center"/>
          </w:tcPr>
          <w:p>
            <w:pPr>
              <w:adjustRightInd w:val="0"/>
              <w:snapToGrid w:val="0"/>
              <w:jc w:val="center"/>
              <w:rPr>
                <w:rFonts w:hint="eastAsia" w:ascii="宋体" w:hAnsi="宋体" w:cs="宋体"/>
              </w:rPr>
            </w:pPr>
            <w:r>
              <w:rPr>
                <w:rFonts w:hint="eastAsia" w:ascii="宋体" w:hAnsi="宋体" w:cs="宋体"/>
              </w:rPr>
              <w:t>环保投资（万元）</w:t>
            </w:r>
          </w:p>
        </w:tc>
        <w:tc>
          <w:tcPr>
            <w:tcW w:w="2895" w:type="dxa"/>
            <w:vAlign w:val="center"/>
          </w:tcPr>
          <w:p>
            <w:pPr>
              <w:adjustRightInd w:val="0"/>
              <w:snapToGrid w:val="0"/>
              <w:jc w:val="center"/>
              <w:rPr>
                <w:rFonts w:hint="eastAsia" w:ascii="宋体" w:hAnsi="宋体" w:cs="宋体"/>
              </w:rPr>
            </w:pPr>
            <w:r>
              <w:rPr>
                <w:rFonts w:hint="eastAsia" w:ascii="宋体" w:hAnsi="宋体" w:cs="宋体"/>
              </w:rPr>
              <w:t>90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511" w:type="dxa"/>
            <w:tcMar>
              <w:top w:w="16" w:type="dxa"/>
              <w:left w:w="16" w:type="dxa"/>
              <w:right w:w="16" w:type="dxa"/>
            </w:tcMar>
            <w:vAlign w:val="center"/>
          </w:tcPr>
          <w:p>
            <w:pPr>
              <w:adjustRightInd w:val="0"/>
              <w:snapToGrid w:val="0"/>
              <w:jc w:val="center"/>
              <w:rPr>
                <w:rFonts w:hint="eastAsia" w:ascii="宋体" w:hAnsi="宋体" w:cs="宋体"/>
                <w:szCs w:val="21"/>
              </w:rPr>
            </w:pPr>
            <w:r>
              <w:rPr>
                <w:rFonts w:hint="eastAsia" w:ascii="宋体" w:hAnsi="宋体" w:cs="宋体"/>
                <w:szCs w:val="21"/>
              </w:rPr>
              <w:t>环保投资占比（</w:t>
            </w:r>
            <w:r>
              <w:rPr>
                <w:szCs w:val="21"/>
              </w:rPr>
              <w:t>%</w:t>
            </w:r>
            <w:r>
              <w:rPr>
                <w:rFonts w:hint="eastAsia" w:ascii="宋体" w:hAnsi="宋体" w:cs="宋体"/>
                <w:szCs w:val="21"/>
              </w:rPr>
              <w:t>）</w:t>
            </w:r>
          </w:p>
        </w:tc>
        <w:tc>
          <w:tcPr>
            <w:tcW w:w="2305" w:type="dxa"/>
            <w:vAlign w:val="center"/>
          </w:tcPr>
          <w:p>
            <w:pPr>
              <w:adjustRightInd w:val="0"/>
              <w:snapToGrid w:val="0"/>
              <w:jc w:val="center"/>
              <w:rPr>
                <w:rFonts w:hint="eastAsia" w:ascii="宋体" w:hAnsi="宋体" w:cs="宋体"/>
              </w:rPr>
            </w:pPr>
            <w:r>
              <w:rPr>
                <w:rFonts w:hint="eastAsia" w:ascii="宋体" w:hAnsi="宋体" w:cs="宋体"/>
              </w:rPr>
              <w:t>23.7</w:t>
            </w:r>
          </w:p>
        </w:tc>
        <w:tc>
          <w:tcPr>
            <w:tcW w:w="2159" w:type="dxa"/>
            <w:tcMar>
              <w:top w:w="16" w:type="dxa"/>
              <w:left w:w="16" w:type="dxa"/>
              <w:right w:w="16" w:type="dxa"/>
            </w:tcMar>
            <w:vAlign w:val="center"/>
          </w:tcPr>
          <w:p>
            <w:pPr>
              <w:adjustRightInd w:val="0"/>
              <w:snapToGrid w:val="0"/>
              <w:jc w:val="center"/>
              <w:rPr>
                <w:rFonts w:hint="eastAsia" w:ascii="宋体" w:hAnsi="宋体" w:cs="宋体"/>
              </w:rPr>
            </w:pPr>
            <w:r>
              <w:rPr>
                <w:rFonts w:hint="eastAsia" w:ascii="宋体" w:hAnsi="宋体" w:cs="宋体"/>
              </w:rPr>
              <w:t>施工工期</w:t>
            </w:r>
          </w:p>
        </w:tc>
        <w:tc>
          <w:tcPr>
            <w:tcW w:w="2895" w:type="dxa"/>
            <w:vAlign w:val="center"/>
          </w:tcPr>
          <w:p>
            <w:pPr>
              <w:adjustRightInd w:val="0"/>
              <w:snapToGrid w:val="0"/>
              <w:jc w:val="center"/>
              <w:rPr>
                <w:rFonts w:hint="eastAsia" w:ascii="宋体" w:hAnsi="宋体" w:cs="宋体"/>
              </w:rPr>
            </w:pPr>
            <w:r>
              <w:rPr>
                <w:rFonts w:hint="eastAsia" w:ascii="宋体" w:hAnsi="宋体" w:cs="宋体"/>
              </w:rPr>
              <w:t>24个月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92" w:hRule="atLeast"/>
          <w:jc w:val="center"/>
        </w:trPr>
        <w:tc>
          <w:tcPr>
            <w:tcW w:w="1511" w:type="dxa"/>
            <w:tcMar>
              <w:top w:w="16" w:type="dxa"/>
              <w:left w:w="16" w:type="dxa"/>
              <w:right w:w="16" w:type="dxa"/>
            </w:tcMar>
            <w:vAlign w:val="center"/>
          </w:tcPr>
          <w:p>
            <w:pPr>
              <w:adjustRightInd w:val="0"/>
              <w:snapToGrid w:val="0"/>
              <w:jc w:val="center"/>
              <w:rPr>
                <w:rFonts w:hint="eastAsia" w:ascii="宋体" w:hAnsi="宋体" w:cs="宋体"/>
                <w:szCs w:val="21"/>
              </w:rPr>
            </w:pPr>
            <w:r>
              <w:rPr>
                <w:rFonts w:hint="eastAsia" w:ascii="宋体" w:hAnsi="宋体" w:cs="宋体"/>
                <w:szCs w:val="21"/>
              </w:rPr>
              <w:t>是否开工建设</w:t>
            </w:r>
          </w:p>
        </w:tc>
        <w:tc>
          <w:tcPr>
            <w:tcW w:w="2305" w:type="dxa"/>
            <w:vAlign w:val="center"/>
          </w:tcPr>
          <w:p>
            <w:pPr>
              <w:adjustRightInd w:val="0"/>
              <w:snapToGrid w:val="0"/>
              <w:rPr>
                <w:rFonts w:hint="eastAsia" w:ascii="宋体" w:hAnsi="宋体" w:cs="宋体"/>
              </w:rPr>
            </w:pPr>
            <w:r>
              <w:rPr>
                <w:rFonts w:hint="eastAsia" w:ascii="宋体" w:hAnsi="宋体" w:cs="宋体"/>
                <w:szCs w:val="21"/>
              </w:rPr>
              <w:sym w:font="Wingdings 2" w:char="0052"/>
            </w:r>
            <w:r>
              <w:rPr>
                <w:rFonts w:hint="eastAsia" w:ascii="宋体" w:hAnsi="宋体" w:cs="宋体"/>
              </w:rPr>
              <w:t>否</w:t>
            </w:r>
          </w:p>
          <w:p>
            <w:pPr>
              <w:adjustRightInd w:val="0"/>
              <w:snapToGrid w:val="0"/>
              <w:rPr>
                <w:rFonts w:hint="eastAsia" w:ascii="宋体" w:hAnsi="宋体" w:cs="宋体"/>
              </w:rPr>
            </w:pPr>
            <w:r>
              <w:rPr>
                <w:rFonts w:hint="eastAsia" w:ascii="宋体" w:hAnsi="宋体" w:cs="宋体"/>
              </w:rPr>
              <w:sym w:font="Wingdings 2" w:char="00A3"/>
            </w:r>
            <w:r>
              <w:rPr>
                <w:rFonts w:hint="eastAsia" w:ascii="宋体" w:hAnsi="宋体" w:cs="宋体"/>
              </w:rPr>
              <w:t>是：</w:t>
            </w:r>
            <w:r>
              <w:rPr>
                <w:rFonts w:hint="eastAsia" w:ascii="宋体" w:hAnsi="宋体" w:cs="宋体"/>
                <w:u w:val="single"/>
              </w:rPr>
              <w:t xml:space="preserve">         </w:t>
            </w:r>
            <w:r>
              <w:rPr>
                <w:rFonts w:ascii="宋体" w:hAnsi="宋体" w:cs="宋体"/>
                <w:u w:val="single"/>
              </w:rPr>
              <w:t xml:space="preserve"> </w:t>
            </w:r>
          </w:p>
        </w:tc>
        <w:tc>
          <w:tcPr>
            <w:tcW w:w="2159" w:type="dxa"/>
            <w:tcMar>
              <w:top w:w="16" w:type="dxa"/>
              <w:left w:w="16" w:type="dxa"/>
              <w:right w:w="16" w:type="dxa"/>
            </w:tcMar>
            <w:vAlign w:val="center"/>
          </w:tcPr>
          <w:p>
            <w:pPr>
              <w:adjustRightInd w:val="0"/>
              <w:snapToGrid w:val="0"/>
              <w:jc w:val="center"/>
              <w:rPr>
                <w:rFonts w:hint="eastAsia" w:ascii="宋体" w:hAnsi="宋体" w:cs="宋体"/>
              </w:rPr>
            </w:pPr>
            <w:r>
              <w:rPr>
                <w:rFonts w:hint="eastAsia" w:ascii="宋体" w:hAnsi="宋体" w:cs="宋体"/>
                <w:spacing w:val="-6"/>
              </w:rPr>
              <w:t>用地面积（</w:t>
            </w:r>
            <w:r>
              <w:rPr>
                <w:rFonts w:ascii="宋体" w:hAnsi="宋体" w:cs="宋体"/>
                <w:spacing w:val="-6"/>
              </w:rPr>
              <w:t>m</w:t>
            </w:r>
            <w:r>
              <w:rPr>
                <w:rFonts w:ascii="宋体" w:hAnsi="宋体" w:cs="宋体"/>
                <w:spacing w:val="-6"/>
                <w:vertAlign w:val="superscript"/>
              </w:rPr>
              <w:t>2</w:t>
            </w:r>
            <w:r>
              <w:rPr>
                <w:rFonts w:hint="eastAsia" w:ascii="宋体" w:hAnsi="宋体" w:cs="宋体"/>
                <w:spacing w:val="-6"/>
              </w:rPr>
              <w:t>）</w:t>
            </w:r>
          </w:p>
        </w:tc>
        <w:tc>
          <w:tcPr>
            <w:tcW w:w="2895" w:type="dxa"/>
            <w:vAlign w:val="center"/>
          </w:tcPr>
          <w:p>
            <w:pPr>
              <w:adjustRightInd w:val="0"/>
              <w:snapToGrid w:val="0"/>
              <w:jc w:val="center"/>
              <w:rPr>
                <w:rFonts w:hint="eastAsia" w:ascii="宋体" w:hAnsi="宋体" w:cs="宋体"/>
              </w:rPr>
            </w:pPr>
            <w:r>
              <w:rPr>
                <w:rFonts w:hint="eastAsia" w:ascii="宋体" w:hAnsi="宋体" w:cs="宋体"/>
              </w:rPr>
              <w:t>16016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82" w:hRule="atLeast"/>
          <w:jc w:val="center"/>
        </w:trPr>
        <w:tc>
          <w:tcPr>
            <w:tcW w:w="1511" w:type="dxa"/>
            <w:vAlign w:val="center"/>
          </w:tcPr>
          <w:p>
            <w:pPr>
              <w:autoSpaceDE w:val="0"/>
              <w:autoSpaceDN w:val="0"/>
              <w:adjustRightInd w:val="0"/>
              <w:snapToGrid w:val="0"/>
              <w:jc w:val="center"/>
              <w:rPr>
                <w:rFonts w:hint="eastAsia" w:ascii="宋体" w:hAnsi="宋体" w:cs="宋体"/>
                <w:kern w:val="0"/>
                <w:szCs w:val="21"/>
              </w:rPr>
            </w:pPr>
            <w:r>
              <w:rPr>
                <w:rFonts w:hint="eastAsia" w:ascii="宋体" w:hAnsi="宋体" w:cs="宋体"/>
                <w:kern w:val="0"/>
                <w:szCs w:val="21"/>
              </w:rPr>
              <w:t>专项评价设置情况</w:t>
            </w:r>
          </w:p>
        </w:tc>
        <w:tc>
          <w:tcPr>
            <w:tcW w:w="7359" w:type="dxa"/>
            <w:gridSpan w:val="3"/>
            <w:vAlign w:val="center"/>
          </w:tcPr>
          <w:p>
            <w:pPr>
              <w:autoSpaceDE w:val="0"/>
              <w:autoSpaceDN w:val="0"/>
              <w:adjustRightInd w:val="0"/>
              <w:snapToGrid w:val="0"/>
              <w:jc w:val="center"/>
            </w:pPr>
            <w:r>
              <w:rPr>
                <w:rFonts w:hint="eastAsia" w:ascii="宋体" w:hAnsi="宋体" w:cs="宋体"/>
                <w:kern w:val="0"/>
                <w:szCs w:val="21"/>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83" w:hRule="atLeast"/>
          <w:jc w:val="center"/>
        </w:trPr>
        <w:tc>
          <w:tcPr>
            <w:tcW w:w="1511" w:type="dxa"/>
            <w:vAlign w:val="center"/>
          </w:tcPr>
          <w:p>
            <w:pPr>
              <w:autoSpaceDE w:val="0"/>
              <w:autoSpaceDN w:val="0"/>
              <w:adjustRightInd w:val="0"/>
              <w:snapToGrid w:val="0"/>
              <w:jc w:val="center"/>
              <w:rPr>
                <w:rFonts w:hint="eastAsia" w:ascii="宋体" w:hAnsi="宋体" w:cs="宋体"/>
                <w:kern w:val="0"/>
                <w:szCs w:val="21"/>
              </w:rPr>
            </w:pPr>
            <w:r>
              <w:rPr>
                <w:rFonts w:hint="eastAsia" w:ascii="宋体" w:hAnsi="宋体" w:cs="宋体"/>
                <w:szCs w:val="21"/>
              </w:rPr>
              <w:t>规划情况</w:t>
            </w:r>
          </w:p>
        </w:tc>
        <w:tc>
          <w:tcPr>
            <w:tcW w:w="7359" w:type="dxa"/>
            <w:gridSpan w:val="3"/>
            <w:vAlign w:val="center"/>
          </w:tcPr>
          <w:p>
            <w:pPr>
              <w:autoSpaceDE w:val="0"/>
              <w:autoSpaceDN w:val="0"/>
              <w:adjustRightInd w:val="0"/>
              <w:snapToGrid w:val="0"/>
              <w:spacing w:line="360" w:lineRule="auto"/>
              <w:jc w:val="center"/>
            </w:pPr>
            <w:r>
              <w:rPr>
                <w:rFonts w:hint="eastAsi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78" w:hRule="atLeast"/>
          <w:jc w:val="center"/>
        </w:trPr>
        <w:tc>
          <w:tcPr>
            <w:tcW w:w="1511" w:type="dxa"/>
            <w:vAlign w:val="center"/>
          </w:tcPr>
          <w:p>
            <w:pPr>
              <w:adjustRightInd w:val="0"/>
              <w:snapToGrid w:val="0"/>
              <w:jc w:val="center"/>
              <w:rPr>
                <w:rFonts w:hint="eastAsia" w:ascii="宋体" w:hAnsi="宋体" w:cs="宋体"/>
                <w:kern w:val="0"/>
                <w:szCs w:val="21"/>
              </w:rPr>
            </w:pPr>
            <w:r>
              <w:rPr>
                <w:rFonts w:hint="eastAsia" w:ascii="宋体" w:hAnsi="宋体" w:cs="宋体"/>
                <w:szCs w:val="21"/>
              </w:rPr>
              <w:t>规划环境影响评价情况</w:t>
            </w:r>
          </w:p>
        </w:tc>
        <w:tc>
          <w:tcPr>
            <w:tcW w:w="7359" w:type="dxa"/>
            <w:gridSpan w:val="3"/>
            <w:vAlign w:val="center"/>
          </w:tcPr>
          <w:p>
            <w:pPr>
              <w:autoSpaceDE w:val="0"/>
              <w:autoSpaceDN w:val="0"/>
              <w:adjustRightInd w:val="0"/>
              <w:snapToGrid w:val="0"/>
              <w:jc w:val="center"/>
              <w:rPr>
                <w:rFonts w:hint="eastAsia" w:ascii="宋体" w:hAnsi="宋体" w:cs="宋体"/>
                <w:kern w:val="0"/>
                <w:szCs w:val="21"/>
              </w:rPr>
            </w:pPr>
            <w:r>
              <w:rPr>
                <w:rFonts w:hint="eastAsia" w:ascii="宋体" w:hAnsi="宋体" w:cs="宋体"/>
                <w:kern w:val="0"/>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19" w:hRule="atLeast"/>
          <w:jc w:val="center"/>
        </w:trPr>
        <w:tc>
          <w:tcPr>
            <w:tcW w:w="1511" w:type="dxa"/>
            <w:vAlign w:val="center"/>
          </w:tcPr>
          <w:p>
            <w:pPr>
              <w:autoSpaceDE w:val="0"/>
              <w:autoSpaceDN w:val="0"/>
              <w:adjustRightInd w:val="0"/>
              <w:snapToGrid w:val="0"/>
              <w:jc w:val="center"/>
              <w:rPr>
                <w:rFonts w:hint="eastAsia" w:ascii="宋体" w:hAnsi="宋体" w:cs="宋体"/>
                <w:kern w:val="0"/>
                <w:szCs w:val="21"/>
              </w:rPr>
            </w:pPr>
            <w:r>
              <w:rPr>
                <w:rFonts w:hint="eastAsia" w:ascii="宋体" w:hAnsi="宋体" w:cs="宋体"/>
                <w:kern w:val="0"/>
                <w:szCs w:val="21"/>
              </w:rPr>
              <w:t>规划及规划环境影响评价符合性分析</w:t>
            </w:r>
          </w:p>
        </w:tc>
        <w:tc>
          <w:tcPr>
            <w:tcW w:w="7359" w:type="dxa"/>
            <w:gridSpan w:val="3"/>
            <w:vAlign w:val="center"/>
          </w:tcPr>
          <w:p>
            <w:pPr>
              <w:autoSpaceDE w:val="0"/>
              <w:autoSpaceDN w:val="0"/>
              <w:adjustRightInd w:val="0"/>
              <w:snapToGrid w:val="0"/>
              <w:spacing w:line="360" w:lineRule="auto"/>
              <w:jc w:val="center"/>
              <w:rPr>
                <w:rFonts w:hint="eastAsia" w:ascii="宋体" w:hAnsi="宋体" w:cs="宋体"/>
                <w:kern w:val="0"/>
                <w:szCs w:val="21"/>
              </w:rPr>
            </w:pPr>
            <w:r>
              <w:rPr>
                <w:rFonts w:hint="eastAsia" w:ascii="宋体" w:hAnsi="宋体" w:cs="宋体"/>
                <w:kern w:val="0"/>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27" w:hRule="atLeast"/>
          <w:jc w:val="center"/>
        </w:trPr>
        <w:tc>
          <w:tcPr>
            <w:tcW w:w="1511" w:type="dxa"/>
            <w:vAlign w:val="center"/>
          </w:tcPr>
          <w:p>
            <w:pPr>
              <w:autoSpaceDE w:val="0"/>
              <w:autoSpaceDN w:val="0"/>
              <w:adjustRightInd w:val="0"/>
              <w:snapToGrid w:val="0"/>
              <w:jc w:val="center"/>
              <w:rPr>
                <w:rFonts w:hint="eastAsia" w:ascii="宋体" w:hAnsi="宋体" w:cs="宋体"/>
                <w:kern w:val="0"/>
                <w:szCs w:val="21"/>
              </w:rPr>
            </w:pPr>
            <w:r>
              <w:rPr>
                <w:rFonts w:hint="eastAsia" w:ascii="宋体" w:hAnsi="宋体" w:cs="宋体"/>
                <w:kern w:val="0"/>
                <w:szCs w:val="21"/>
              </w:rPr>
              <w:t>其他符合性分析</w:t>
            </w:r>
          </w:p>
        </w:tc>
        <w:tc>
          <w:tcPr>
            <w:tcW w:w="7359" w:type="dxa"/>
            <w:gridSpan w:val="3"/>
            <w:vAlign w:val="center"/>
          </w:tcPr>
          <w:p>
            <w:pPr>
              <w:pStyle w:val="56"/>
              <w:ind w:firstLine="472" w:firstLineChars="196"/>
              <w:rPr>
                <w:b/>
                <w:sz w:val="24"/>
                <w:szCs w:val="24"/>
              </w:rPr>
            </w:pPr>
            <w:r>
              <w:rPr>
                <w:rFonts w:hint="eastAsia"/>
                <w:b/>
                <w:sz w:val="24"/>
                <w:szCs w:val="24"/>
              </w:rPr>
              <w:t>1、产业政策符合性</w:t>
            </w:r>
          </w:p>
          <w:p>
            <w:pPr>
              <w:pStyle w:val="56"/>
              <w:ind w:firstLine="480"/>
              <w:rPr>
                <w:rFonts w:hint="eastAsia" w:ascii="宋体" w:hAnsi="宋体" w:cs="宋体"/>
                <w:sz w:val="24"/>
              </w:rPr>
            </w:pPr>
            <w:r>
              <w:rPr>
                <w:rFonts w:hint="eastAsia"/>
                <w:sz w:val="24"/>
                <w:szCs w:val="24"/>
              </w:rPr>
              <w:t>本项目为混凝土生产项目，</w:t>
            </w:r>
            <w:r>
              <w:rPr>
                <w:rFonts w:hint="eastAsia" w:ascii="宋体" w:hAnsi="宋体" w:cs="宋体"/>
                <w:sz w:val="24"/>
              </w:rPr>
              <w:t>根据</w:t>
            </w:r>
            <w:r>
              <w:rPr>
                <w:rFonts w:ascii="宋体" w:hAnsi="宋体" w:cs="宋体"/>
                <w:sz w:val="24"/>
              </w:rPr>
              <w:t>《产业结构调整指导目录（20</w:t>
            </w:r>
            <w:r>
              <w:rPr>
                <w:rFonts w:hint="eastAsia" w:ascii="宋体" w:hAnsi="宋体" w:cs="宋体"/>
                <w:sz w:val="24"/>
              </w:rPr>
              <w:t>24年</w:t>
            </w:r>
            <w:r>
              <w:rPr>
                <w:rFonts w:ascii="宋体" w:hAnsi="宋体" w:cs="宋体"/>
                <w:sz w:val="24"/>
              </w:rPr>
              <w:t>本）》</w:t>
            </w:r>
            <w:r>
              <w:rPr>
                <w:rFonts w:hint="eastAsia" w:ascii="宋体" w:hAnsi="宋体" w:cs="宋体"/>
                <w:sz w:val="24"/>
              </w:rPr>
              <w:t>本项目不属于鼓励类、限制类和淘汰类</w:t>
            </w:r>
            <w:r>
              <w:rPr>
                <w:iCs/>
                <w:sz w:val="24"/>
              </w:rPr>
              <w:t>项目</w:t>
            </w:r>
            <w:r>
              <w:rPr>
                <w:rFonts w:hint="eastAsia" w:ascii="宋体" w:hAnsi="宋体" w:cs="宋体"/>
                <w:sz w:val="24"/>
              </w:rPr>
              <w:t>。</w:t>
            </w:r>
          </w:p>
          <w:p>
            <w:pPr>
              <w:pStyle w:val="56"/>
              <w:ind w:firstLine="470" w:firstLineChars="196"/>
              <w:rPr>
                <w:sz w:val="24"/>
                <w:szCs w:val="24"/>
              </w:rPr>
            </w:pPr>
            <w:r>
              <w:rPr>
                <w:rFonts w:hint="eastAsia"/>
                <w:sz w:val="24"/>
                <w:szCs w:val="24"/>
              </w:rPr>
              <w:t>同时，项目于2024年6月11日取得伊金霍洛旗发展和改革委员会关于该项目备案告知书，项目代码为：</w:t>
            </w:r>
            <w:r>
              <w:rPr>
                <w:sz w:val="24"/>
                <w:szCs w:val="24"/>
              </w:rPr>
              <w:t>2406-150627-04-01-693486</w:t>
            </w:r>
            <w:r>
              <w:rPr>
                <w:rFonts w:hint="eastAsia"/>
                <w:sz w:val="24"/>
                <w:szCs w:val="24"/>
              </w:rPr>
              <w:t>。</w:t>
            </w:r>
          </w:p>
          <w:p>
            <w:pPr>
              <w:pStyle w:val="56"/>
              <w:ind w:firstLine="470" w:firstLineChars="196"/>
              <w:rPr>
                <w:sz w:val="24"/>
                <w:szCs w:val="24"/>
              </w:rPr>
            </w:pPr>
            <w:r>
              <w:rPr>
                <w:rFonts w:hint="eastAsia"/>
                <w:sz w:val="24"/>
                <w:szCs w:val="24"/>
              </w:rPr>
              <w:t>综上，</w:t>
            </w:r>
            <w:r>
              <w:rPr>
                <w:sz w:val="24"/>
                <w:szCs w:val="24"/>
              </w:rPr>
              <w:t>项目</w:t>
            </w:r>
            <w:r>
              <w:rPr>
                <w:rFonts w:hint="eastAsia"/>
                <w:sz w:val="24"/>
                <w:szCs w:val="24"/>
              </w:rPr>
              <w:t>的建设</w:t>
            </w:r>
            <w:r>
              <w:rPr>
                <w:sz w:val="24"/>
                <w:szCs w:val="24"/>
              </w:rPr>
              <w:t>符合国家产业政策。</w:t>
            </w:r>
          </w:p>
          <w:p>
            <w:pPr>
              <w:pStyle w:val="56"/>
              <w:ind w:firstLine="482"/>
              <w:rPr>
                <w:b/>
                <w:sz w:val="24"/>
                <w:szCs w:val="24"/>
              </w:rPr>
            </w:pPr>
            <w:r>
              <w:rPr>
                <w:rFonts w:hint="eastAsia"/>
                <w:b/>
                <w:sz w:val="24"/>
                <w:szCs w:val="24"/>
              </w:rPr>
              <w:t>2、选址合理性</w:t>
            </w:r>
          </w:p>
          <w:p>
            <w:pPr>
              <w:pStyle w:val="56"/>
              <w:ind w:firstLine="480"/>
              <w:rPr>
                <w:sz w:val="24"/>
                <w:szCs w:val="24"/>
              </w:rPr>
            </w:pPr>
            <w:r>
              <w:rPr>
                <w:rFonts w:hint="eastAsia"/>
                <w:sz w:val="24"/>
                <w:szCs w:val="24"/>
              </w:rPr>
              <w:t>（1）项目特点及选址</w:t>
            </w:r>
          </w:p>
          <w:p>
            <w:pPr>
              <w:pStyle w:val="56"/>
              <w:ind w:firstLine="480"/>
              <w:rPr>
                <w:sz w:val="24"/>
                <w:szCs w:val="24"/>
              </w:rPr>
            </w:pPr>
            <w:r>
              <w:rPr>
                <w:rFonts w:hint="eastAsia"/>
                <w:sz w:val="24"/>
                <w:szCs w:val="24"/>
              </w:rPr>
              <w:t>本项目为混凝土生产项目，选址位于鄂尔多斯市伊金霍洛旗乌兰木伦镇苏勒德霍洛村，项目占地不涉及自然保护区、风景名胜区、饮用水水源地保护区等敏感点。</w:t>
            </w:r>
          </w:p>
          <w:p>
            <w:pPr>
              <w:pStyle w:val="56"/>
              <w:ind w:firstLine="470" w:firstLineChars="196"/>
              <w:rPr>
                <w:sz w:val="24"/>
                <w:szCs w:val="24"/>
              </w:rPr>
            </w:pPr>
            <w:r>
              <w:rPr>
                <w:sz w:val="24"/>
                <w:szCs w:val="24"/>
              </w:rPr>
              <w:t>项目运营后，</w:t>
            </w:r>
            <w:r>
              <w:rPr>
                <w:rFonts w:hint="eastAsia"/>
                <w:sz w:val="24"/>
                <w:szCs w:val="24"/>
              </w:rPr>
              <w:t>主要以工艺粉尘和噪声影响为主，工艺粉尘均采取相应的治理措施，可以达标排放；噪声经有效治理后可以做到厂界达标排放，</w:t>
            </w:r>
            <w:r>
              <w:rPr>
                <w:sz w:val="24"/>
                <w:szCs w:val="24"/>
              </w:rPr>
              <w:t>不会对周边环境产生明显影响。同时</w:t>
            </w:r>
            <w:r>
              <w:rPr>
                <w:rFonts w:hint="eastAsia"/>
                <w:sz w:val="24"/>
                <w:szCs w:val="24"/>
              </w:rPr>
              <w:t>，</w:t>
            </w:r>
            <w:r>
              <w:rPr>
                <w:sz w:val="24"/>
                <w:szCs w:val="24"/>
              </w:rPr>
              <w:t>项目周边无集中居民区等敏感目标</w:t>
            </w:r>
            <w:r>
              <w:rPr>
                <w:rFonts w:hint="eastAsia"/>
                <w:sz w:val="24"/>
                <w:szCs w:val="24"/>
              </w:rPr>
              <w:t>。</w:t>
            </w:r>
            <w:r>
              <w:rPr>
                <w:sz w:val="24"/>
                <w:szCs w:val="24"/>
              </w:rPr>
              <w:t>因此，本项目建设不存在重大环境制约因素。</w:t>
            </w:r>
          </w:p>
          <w:p>
            <w:pPr>
              <w:pStyle w:val="56"/>
              <w:ind w:firstLine="470" w:firstLineChars="196"/>
              <w:rPr>
                <w:sz w:val="24"/>
                <w:szCs w:val="24"/>
              </w:rPr>
            </w:pPr>
            <w:r>
              <w:rPr>
                <w:rFonts w:hint="eastAsia"/>
                <w:sz w:val="24"/>
                <w:szCs w:val="24"/>
              </w:rPr>
              <w:t>（2）土地相关支持性文件</w:t>
            </w:r>
          </w:p>
          <w:p>
            <w:pPr>
              <w:pStyle w:val="56"/>
              <w:ind w:firstLine="480"/>
              <w:rPr>
                <w:sz w:val="24"/>
                <w:szCs w:val="24"/>
              </w:rPr>
            </w:pPr>
            <w:r>
              <w:rPr>
                <w:rFonts w:hint="eastAsia"/>
                <w:sz w:val="24"/>
                <w:szCs w:val="24"/>
              </w:rPr>
              <w:t>本项目已取得伊金霍洛旗发布的《中华人民共和国不动产权证书》，不动产权第</w:t>
            </w:r>
            <w:r>
              <w:rPr>
                <w:rFonts w:hint="eastAsia"/>
                <w:sz w:val="24"/>
                <w:szCs w:val="24"/>
                <w:u w:val="single"/>
              </w:rPr>
              <w:t>0003438</w:t>
            </w:r>
            <w:r>
              <w:rPr>
                <w:rFonts w:hint="eastAsia"/>
                <w:sz w:val="24"/>
                <w:szCs w:val="24"/>
              </w:rPr>
              <w:t>号，项目用地类型为工业用地。</w:t>
            </w:r>
          </w:p>
          <w:p>
            <w:pPr>
              <w:pStyle w:val="56"/>
              <w:ind w:firstLine="470" w:firstLineChars="196"/>
              <w:rPr>
                <w:sz w:val="24"/>
                <w:szCs w:val="24"/>
              </w:rPr>
            </w:pPr>
            <w:r>
              <w:rPr>
                <w:sz w:val="24"/>
                <w:szCs w:val="24"/>
              </w:rPr>
              <w:t>综上所述</w:t>
            </w:r>
            <w:r>
              <w:rPr>
                <w:rFonts w:hint="eastAsia"/>
                <w:sz w:val="24"/>
                <w:szCs w:val="24"/>
              </w:rPr>
              <w:t>，</w:t>
            </w:r>
            <w:r>
              <w:rPr>
                <w:sz w:val="24"/>
                <w:szCs w:val="24"/>
              </w:rPr>
              <w:t>从项目特点及所处地理位置和周围环境分析，本项目选址是合理可行的。</w:t>
            </w:r>
          </w:p>
          <w:p>
            <w:pPr>
              <w:pStyle w:val="56"/>
              <w:ind w:firstLine="482"/>
              <w:rPr>
                <w:b/>
                <w:sz w:val="24"/>
                <w:szCs w:val="24"/>
              </w:rPr>
            </w:pPr>
            <w:r>
              <w:rPr>
                <w:rFonts w:hint="eastAsia"/>
                <w:b/>
                <w:sz w:val="24"/>
                <w:szCs w:val="24"/>
              </w:rPr>
              <w:t>3、“三线一单”符合性分析</w:t>
            </w:r>
          </w:p>
          <w:p>
            <w:pPr>
              <w:pStyle w:val="56"/>
              <w:ind w:firstLine="470" w:firstLineChars="196"/>
              <w:rPr>
                <w:sz w:val="24"/>
                <w:szCs w:val="24"/>
              </w:rPr>
            </w:pPr>
            <w:r>
              <w:rPr>
                <w:rFonts w:hint="eastAsia"/>
                <w:sz w:val="24"/>
                <w:szCs w:val="24"/>
              </w:rPr>
              <w:t>（1）</w:t>
            </w:r>
            <w:r>
              <w:rPr>
                <w:sz w:val="24"/>
                <w:szCs w:val="24"/>
              </w:rPr>
              <w:t>生态保护红线</w:t>
            </w:r>
          </w:p>
          <w:p>
            <w:pPr>
              <w:pStyle w:val="56"/>
              <w:ind w:firstLine="470" w:firstLineChars="196"/>
              <w:rPr>
                <w:sz w:val="24"/>
                <w:szCs w:val="24"/>
              </w:rPr>
            </w:pPr>
            <w:r>
              <w:rPr>
                <w:rFonts w:hint="eastAsia"/>
                <w:sz w:val="24"/>
                <w:szCs w:val="24"/>
              </w:rPr>
              <w:t>根据《鄂尔多斯市人民政府关于“三线一单”生态环境分区管控的实施意见》及《鄂尔多斯市生态环境分区管控动态更新成果(2023 年版)》。</w:t>
            </w:r>
          </w:p>
          <w:p>
            <w:pPr>
              <w:pStyle w:val="56"/>
              <w:ind w:firstLine="470" w:firstLineChars="196"/>
              <w:rPr>
                <w:sz w:val="24"/>
                <w:szCs w:val="24"/>
              </w:rPr>
            </w:pPr>
            <w:r>
              <w:rPr>
                <w:rFonts w:hint="eastAsia"/>
                <w:sz w:val="24"/>
                <w:szCs w:val="24"/>
              </w:rPr>
              <w:t>全市共划定环境管控单元171个，包括优先保护单元、重点管控单元、一般管控单元三类，实施分类管控。</w:t>
            </w:r>
          </w:p>
          <w:p>
            <w:pPr>
              <w:pStyle w:val="56"/>
              <w:ind w:firstLine="470" w:firstLineChars="196"/>
              <w:rPr>
                <w:sz w:val="24"/>
                <w:szCs w:val="24"/>
              </w:rPr>
            </w:pPr>
            <w:r>
              <w:rPr>
                <w:rFonts w:hint="eastAsia"/>
                <w:sz w:val="24"/>
                <w:szCs w:val="24"/>
              </w:rPr>
              <w:t>（一）优先保护单元。共76个，面积占比为64.35%。</w:t>
            </w:r>
          </w:p>
          <w:p>
            <w:pPr>
              <w:pStyle w:val="56"/>
              <w:ind w:firstLine="470" w:firstLineChars="196"/>
              <w:rPr>
                <w:sz w:val="24"/>
                <w:szCs w:val="24"/>
              </w:rPr>
            </w:pPr>
            <w:r>
              <w:rPr>
                <w:rFonts w:hint="eastAsia"/>
                <w:sz w:val="24"/>
                <w:szCs w:val="24"/>
              </w:rPr>
              <w:t>（二）重点管控单元。共86个，面积占比为28.10%。</w:t>
            </w:r>
          </w:p>
          <w:p>
            <w:pPr>
              <w:pStyle w:val="56"/>
              <w:ind w:firstLine="470" w:firstLineChars="196"/>
              <w:rPr>
                <w:sz w:val="24"/>
                <w:szCs w:val="24"/>
              </w:rPr>
            </w:pPr>
            <w:r>
              <w:rPr>
                <w:rFonts w:hint="eastAsia"/>
                <w:sz w:val="24"/>
                <w:szCs w:val="24"/>
              </w:rPr>
              <w:t>（三）一般管控单元。共9个，面积占比为7.56%。</w:t>
            </w:r>
          </w:p>
          <w:p>
            <w:pPr>
              <w:adjustRightInd w:val="0"/>
              <w:spacing w:line="360" w:lineRule="auto"/>
              <w:ind w:firstLine="480" w:firstLineChars="200"/>
              <w:rPr>
                <w:rFonts w:hint="eastAsia" w:ascii="宋体" w:hAnsi="宋体"/>
              </w:rPr>
            </w:pPr>
            <w:r>
              <w:rPr>
                <w:rFonts w:hint="eastAsia" w:ascii="宋体" w:hAnsi="宋体"/>
              </w:rPr>
              <w:t>根据《鄂尔多斯市各旗区环境管控单元分类统计表》结果显示，伊金霍洛旗管控单元总个数为</w:t>
            </w:r>
            <w:r>
              <w:rPr>
                <w:rFonts w:hint="eastAsia"/>
              </w:rPr>
              <w:t>28</w:t>
            </w:r>
            <w:r>
              <w:rPr>
                <w:rFonts w:hint="eastAsia" w:ascii="宋体" w:hAnsi="宋体"/>
              </w:rPr>
              <w:t>个，其中优先保护单元9个，重点管控单元</w:t>
            </w:r>
            <w:r>
              <w:rPr>
                <w:rFonts w:hint="eastAsia"/>
              </w:rPr>
              <w:t>18</w:t>
            </w:r>
            <w:r>
              <w:rPr>
                <w:rFonts w:hint="eastAsia" w:ascii="宋体" w:hAnsi="宋体"/>
              </w:rPr>
              <w:t>个，一般管控单元</w:t>
            </w:r>
            <w:r>
              <w:rPr>
                <w:rFonts w:hint="eastAsia"/>
              </w:rPr>
              <w:t>1</w:t>
            </w:r>
            <w:r>
              <w:rPr>
                <w:rFonts w:hint="eastAsia" w:ascii="宋体" w:hAnsi="宋体"/>
              </w:rPr>
              <w:t>个。</w:t>
            </w:r>
          </w:p>
          <w:p>
            <w:pPr>
              <w:adjustRightInd w:val="0"/>
              <w:spacing w:line="360" w:lineRule="auto"/>
              <w:ind w:firstLine="480" w:firstLineChars="200"/>
              <w:rPr>
                <w:rFonts w:hint="eastAsia" w:ascii="宋体" w:hAnsi="宋体"/>
              </w:rPr>
            </w:pPr>
            <w:r>
              <w:t>本项目</w:t>
            </w:r>
            <w:r>
              <w:rPr>
                <w:rFonts w:hint="eastAsia"/>
              </w:rPr>
              <w:t>建设地点</w:t>
            </w:r>
            <w:r>
              <w:t>位于</w:t>
            </w:r>
            <w:r>
              <w:rPr>
                <w:rFonts w:hint="eastAsia"/>
              </w:rPr>
              <w:t>鄂尔多斯市伊金霍洛旗乌兰木伦镇苏勒德霍洛村</w:t>
            </w:r>
            <w:r>
              <w:t>，属于</w:t>
            </w:r>
            <w:r>
              <w:rPr>
                <w:rFonts w:hint="eastAsia"/>
              </w:rPr>
              <w:t>重点管控单元，主要进行混凝土搅拌站的建设，</w:t>
            </w:r>
            <w:r>
              <w:rPr>
                <w:rFonts w:hint="eastAsia" w:ascii="宋体" w:hAnsi="宋体"/>
              </w:rPr>
              <w:t>不属于大规模、高强度的工业开发，同时项目各污染源均配套建设了环保设施，可确保污染物达标排放；</w:t>
            </w:r>
            <w:r>
              <w:rPr>
                <w:rFonts w:hint="eastAsia" w:ascii="宋体" w:hAnsi="宋体"/>
                <w:kern w:val="0"/>
              </w:rPr>
              <w:t>本项目厂址</w:t>
            </w:r>
            <w:r>
              <w:rPr>
                <w:rFonts w:hint="eastAsia" w:ascii="宋体" w:hAnsi="宋体"/>
              </w:rPr>
              <w:t>不在</w:t>
            </w:r>
            <w:r>
              <w:t>自然保护区、风景名胜区、基本农田保护区</w:t>
            </w:r>
            <w:r>
              <w:rPr>
                <w:rFonts w:hint="eastAsia"/>
              </w:rPr>
              <w:t>、</w:t>
            </w:r>
            <w:r>
              <w:t>饮用水源保护区</w:t>
            </w:r>
            <w:r>
              <w:rPr>
                <w:rFonts w:hint="eastAsia" w:ascii="宋体" w:hAnsi="宋体"/>
              </w:rPr>
              <w:t>等生态目标保护范围内，本项目建设满足生态保护红线相关要求；项目位于鄂尔多斯市环境管控单元图位置见附图5。</w:t>
            </w:r>
          </w:p>
          <w:p>
            <w:pPr>
              <w:pStyle w:val="56"/>
              <w:ind w:firstLine="470" w:firstLineChars="196"/>
              <w:rPr>
                <w:sz w:val="24"/>
                <w:szCs w:val="24"/>
              </w:rPr>
            </w:pPr>
            <w:r>
              <w:rPr>
                <w:rFonts w:hint="eastAsia"/>
                <w:sz w:val="24"/>
                <w:szCs w:val="24"/>
              </w:rPr>
              <w:t>②</w:t>
            </w:r>
            <w:r>
              <w:rPr>
                <w:sz w:val="24"/>
                <w:szCs w:val="24"/>
              </w:rPr>
              <w:t>资源利用上线</w:t>
            </w:r>
          </w:p>
          <w:p>
            <w:pPr>
              <w:pStyle w:val="56"/>
              <w:ind w:firstLine="470" w:firstLineChars="196"/>
              <w:rPr>
                <w:sz w:val="24"/>
                <w:szCs w:val="24"/>
              </w:rPr>
            </w:pPr>
            <w:r>
              <w:rPr>
                <w:sz w:val="24"/>
                <w:szCs w:val="24"/>
              </w:rPr>
              <w:t>本项目营运过程中消耗一定量的</w:t>
            </w:r>
            <w:r>
              <w:rPr>
                <w:rFonts w:hint="eastAsia"/>
                <w:sz w:val="24"/>
                <w:szCs w:val="24"/>
              </w:rPr>
              <w:t>电能和水资源，其</w:t>
            </w:r>
            <w:r>
              <w:rPr>
                <w:sz w:val="24"/>
                <w:szCs w:val="24"/>
              </w:rPr>
              <w:t>资源消耗量相对区域</w:t>
            </w:r>
            <w:r>
              <w:rPr>
                <w:rFonts w:hint="eastAsia"/>
                <w:sz w:val="24"/>
                <w:szCs w:val="24"/>
              </w:rPr>
              <w:t>资源</w:t>
            </w:r>
            <w:r>
              <w:rPr>
                <w:sz w:val="24"/>
                <w:szCs w:val="24"/>
              </w:rPr>
              <w:t>利用总量较小，符合资源利用上线要求。</w:t>
            </w:r>
          </w:p>
          <w:p>
            <w:pPr>
              <w:pStyle w:val="56"/>
              <w:ind w:firstLine="470" w:firstLineChars="196"/>
              <w:rPr>
                <w:sz w:val="24"/>
                <w:szCs w:val="24"/>
              </w:rPr>
            </w:pPr>
            <w:r>
              <w:rPr>
                <w:rFonts w:hint="eastAsia"/>
                <w:sz w:val="24"/>
                <w:szCs w:val="24"/>
              </w:rPr>
              <w:t>③</w:t>
            </w:r>
            <w:r>
              <w:rPr>
                <w:sz w:val="24"/>
                <w:szCs w:val="24"/>
              </w:rPr>
              <w:t>环境质量底线</w:t>
            </w:r>
          </w:p>
          <w:p>
            <w:pPr>
              <w:pStyle w:val="56"/>
              <w:ind w:firstLine="470" w:firstLineChars="196"/>
              <w:rPr>
                <w:sz w:val="24"/>
                <w:szCs w:val="24"/>
              </w:rPr>
            </w:pPr>
            <w:r>
              <w:rPr>
                <w:rFonts w:hint="eastAsia"/>
                <w:sz w:val="24"/>
                <w:szCs w:val="24"/>
              </w:rPr>
              <w:t>根据生态环境主管部门发布的环境质量公告，项目评价区域环境质量较好，有一定的环境容量；2023年3月24日~3月26日</w:t>
            </w:r>
            <w:r>
              <w:rPr>
                <w:rFonts w:hint="eastAsia" w:hAnsi="宋体" w:cs="宋体"/>
                <w:sz w:val="24"/>
                <w:lang w:bidi="ar"/>
              </w:rPr>
              <w:t>对厂区下风向TSP进行了现状监测，监测结果显示TSP现状监测达标；</w:t>
            </w:r>
            <w:r>
              <w:rPr>
                <w:rFonts w:hint="eastAsia"/>
                <w:sz w:val="24"/>
                <w:szCs w:val="24"/>
              </w:rPr>
              <w:t>2023年2月24日对项目厂界四周进行了声环境质量监测，</w:t>
            </w:r>
            <w:r>
              <w:rPr>
                <w:rFonts w:hAnsi="宋体" w:cs="宋体"/>
                <w:sz w:val="24"/>
                <w:lang w:bidi="ar"/>
              </w:rPr>
              <w:t>根据监测统计结果，各监测点噪声监测结果昼间、夜间值均符合《声环境质量标准》（GB3096-2008）</w:t>
            </w:r>
            <w:r>
              <w:rPr>
                <w:rFonts w:hint="eastAsia" w:hAnsi="宋体" w:cs="宋体"/>
                <w:sz w:val="24"/>
                <w:lang w:bidi="ar"/>
              </w:rPr>
              <w:t>2</w:t>
            </w:r>
            <w:r>
              <w:rPr>
                <w:rFonts w:hAnsi="宋体" w:cs="宋体"/>
                <w:sz w:val="24"/>
                <w:lang w:bidi="ar"/>
              </w:rPr>
              <w:t>类标准值；</w:t>
            </w:r>
            <w:r>
              <w:rPr>
                <w:rFonts w:hint="eastAsia"/>
                <w:sz w:val="24"/>
                <w:szCs w:val="24"/>
              </w:rPr>
              <w:t>同时项目建设完成后针对产生的污染物采取相应的环保治理措施后，污染物均能实现达标排放，且污染物排放量小，因此，项目建设符合环境质量底线的要求</w:t>
            </w:r>
            <w:r>
              <w:rPr>
                <w:sz w:val="24"/>
                <w:szCs w:val="24"/>
              </w:rPr>
              <w:t>。</w:t>
            </w:r>
          </w:p>
          <w:p>
            <w:pPr>
              <w:pStyle w:val="56"/>
              <w:ind w:firstLine="470" w:firstLineChars="196"/>
              <w:rPr>
                <w:sz w:val="24"/>
                <w:szCs w:val="24"/>
              </w:rPr>
            </w:pPr>
            <w:r>
              <w:rPr>
                <w:rFonts w:hint="eastAsia"/>
                <w:sz w:val="24"/>
                <w:szCs w:val="24"/>
              </w:rPr>
              <w:t>④生态</w:t>
            </w:r>
            <w:r>
              <w:rPr>
                <w:sz w:val="24"/>
                <w:szCs w:val="24"/>
              </w:rPr>
              <w:t>环境准入清单</w:t>
            </w:r>
          </w:p>
          <w:p>
            <w:pPr>
              <w:pStyle w:val="56"/>
              <w:ind w:firstLine="470" w:firstLineChars="196"/>
              <w:rPr>
                <w:sz w:val="24"/>
              </w:rPr>
            </w:pPr>
            <w:r>
              <w:rPr>
                <w:sz w:val="24"/>
              </w:rPr>
              <w:t>本项目</w:t>
            </w:r>
            <w:r>
              <w:rPr>
                <w:rFonts w:hint="eastAsia"/>
                <w:sz w:val="24"/>
              </w:rPr>
              <w:t>建设地点</w:t>
            </w:r>
            <w:r>
              <w:rPr>
                <w:sz w:val="24"/>
              </w:rPr>
              <w:t>位于</w:t>
            </w:r>
            <w:r>
              <w:rPr>
                <w:rFonts w:hint="eastAsia"/>
                <w:sz w:val="24"/>
              </w:rPr>
              <w:t>伊金霍洛旗乌兰木伦镇苏勒德霍洛村</w:t>
            </w:r>
            <w:r>
              <w:rPr>
                <w:sz w:val="24"/>
              </w:rPr>
              <w:t>，</w:t>
            </w:r>
            <w:r>
              <w:rPr>
                <w:rFonts w:hint="eastAsia"/>
                <w:sz w:val="24"/>
              </w:rPr>
              <w:t>根据《鄂尔多斯市生态环境准入清单》，本项目位于神东矿区东胜区及周边煤矿区</w:t>
            </w:r>
            <w:r>
              <w:rPr>
                <w:sz w:val="24"/>
              </w:rPr>
              <w:t>重点管控单元</w:t>
            </w:r>
            <w:r>
              <w:rPr>
                <w:rFonts w:hint="eastAsia"/>
                <w:sz w:val="24"/>
              </w:rPr>
              <w:t>，管控单元编码为：</w:t>
            </w:r>
            <w:r>
              <w:rPr>
                <w:sz w:val="24"/>
              </w:rPr>
              <w:t>ZH15062720005</w:t>
            </w:r>
            <w:r>
              <w:rPr>
                <w:rFonts w:hint="eastAsia"/>
                <w:sz w:val="24"/>
              </w:rPr>
              <w:t>。本项目与神东矿区东胜区及周边煤矿区</w:t>
            </w:r>
            <w:r>
              <w:rPr>
                <w:sz w:val="24"/>
              </w:rPr>
              <w:t>重点管控单元</w:t>
            </w:r>
            <w:r>
              <w:rPr>
                <w:rFonts w:hint="eastAsia"/>
                <w:sz w:val="24"/>
              </w:rPr>
              <w:t>态环境准入符合性分析见表1-1。</w:t>
            </w:r>
          </w:p>
          <w:p>
            <w:pPr>
              <w:pStyle w:val="56"/>
              <w:spacing w:line="240" w:lineRule="auto"/>
              <w:ind w:firstLine="954" w:firstLineChars="396"/>
              <w:rPr>
                <w:b/>
                <w:sz w:val="24"/>
                <w:szCs w:val="24"/>
              </w:rPr>
            </w:pPr>
            <w:r>
              <w:rPr>
                <w:rFonts w:hint="eastAsia"/>
                <w:b/>
                <w:sz w:val="24"/>
                <w:szCs w:val="24"/>
              </w:rPr>
              <w:t>表1-1    生态环境准入符合性分析一览表</w:t>
            </w:r>
          </w:p>
          <w:tbl>
            <w:tblPr>
              <w:tblStyle w:val="19"/>
              <w:tblW w:w="69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6"/>
              <w:gridCol w:w="631"/>
              <w:gridCol w:w="528"/>
              <w:gridCol w:w="528"/>
              <w:gridCol w:w="2673"/>
              <w:gridCol w:w="13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 w:type="dxa"/>
                  <w:vAlign w:val="center"/>
                </w:tcPr>
                <w:p>
                  <w:pPr>
                    <w:jc w:val="center"/>
                    <w:rPr>
                      <w:sz w:val="21"/>
                    </w:rPr>
                  </w:pPr>
                  <w:r>
                    <w:rPr>
                      <w:sz w:val="21"/>
                    </w:rPr>
                    <w:t>环境管控单元编码</w:t>
                  </w:r>
                </w:p>
              </w:tc>
              <w:tc>
                <w:tcPr>
                  <w:tcW w:w="709" w:type="dxa"/>
                  <w:vAlign w:val="center"/>
                </w:tcPr>
                <w:p>
                  <w:pPr>
                    <w:jc w:val="center"/>
                    <w:rPr>
                      <w:sz w:val="21"/>
                    </w:rPr>
                  </w:pPr>
                  <w:r>
                    <w:rPr>
                      <w:sz w:val="21"/>
                    </w:rPr>
                    <w:t>环境管控单元名</w:t>
                  </w:r>
                </w:p>
              </w:tc>
              <w:tc>
                <w:tcPr>
                  <w:tcW w:w="567" w:type="dxa"/>
                  <w:vAlign w:val="center"/>
                </w:tcPr>
                <w:p>
                  <w:pPr>
                    <w:jc w:val="center"/>
                    <w:rPr>
                      <w:sz w:val="21"/>
                    </w:rPr>
                  </w:pPr>
                  <w:r>
                    <w:rPr>
                      <w:sz w:val="21"/>
                    </w:rPr>
                    <w:t>管控单元类别</w:t>
                  </w:r>
                </w:p>
              </w:tc>
              <w:tc>
                <w:tcPr>
                  <w:tcW w:w="3543" w:type="dxa"/>
                  <w:gridSpan w:val="2"/>
                  <w:vAlign w:val="center"/>
                </w:tcPr>
                <w:p>
                  <w:pPr>
                    <w:jc w:val="center"/>
                    <w:rPr>
                      <w:sz w:val="21"/>
                    </w:rPr>
                  </w:pPr>
                  <w:r>
                    <w:rPr>
                      <w:sz w:val="21"/>
                    </w:rPr>
                    <w:t>管控要求</w:t>
                  </w:r>
                </w:p>
              </w:tc>
              <w:tc>
                <w:tcPr>
                  <w:tcW w:w="1371" w:type="dxa"/>
                  <w:vAlign w:val="center"/>
                </w:tcPr>
                <w:p>
                  <w:pPr>
                    <w:jc w:val="center"/>
                    <w:rPr>
                      <w:sz w:val="21"/>
                    </w:rPr>
                  </w:pPr>
                  <w:r>
                    <w:rPr>
                      <w:sz w:val="21"/>
                    </w:rPr>
                    <w:t>符合性说明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 w:type="dxa"/>
                  <w:vMerge w:val="restart"/>
                  <w:vAlign w:val="center"/>
                </w:tcPr>
                <w:p>
                  <w:pPr>
                    <w:jc w:val="center"/>
                    <w:rPr>
                      <w:sz w:val="21"/>
                      <w:szCs w:val="21"/>
                    </w:rPr>
                  </w:pPr>
                  <w:r>
                    <w:rPr>
                      <w:sz w:val="21"/>
                      <w:szCs w:val="21"/>
                    </w:rPr>
                    <w:t>ZH15062</w:t>
                  </w:r>
                </w:p>
                <w:p>
                  <w:pPr>
                    <w:jc w:val="center"/>
                    <w:rPr>
                      <w:rFonts w:hint="eastAsia" w:ascii="TimesNewRomanPSMT" w:hAnsi="TimesNewRomanPSMT"/>
                      <w:sz w:val="21"/>
                      <w:szCs w:val="21"/>
                    </w:rPr>
                  </w:pPr>
                  <w:r>
                    <w:rPr>
                      <w:sz w:val="21"/>
                      <w:szCs w:val="21"/>
                    </w:rPr>
                    <w:t>720005</w:t>
                  </w:r>
                </w:p>
              </w:tc>
              <w:tc>
                <w:tcPr>
                  <w:tcW w:w="709" w:type="dxa"/>
                  <w:vMerge w:val="restart"/>
                  <w:vAlign w:val="center"/>
                </w:tcPr>
                <w:p>
                  <w:pPr>
                    <w:jc w:val="center"/>
                    <w:rPr>
                      <w:sz w:val="21"/>
                      <w:szCs w:val="21"/>
                    </w:rPr>
                  </w:pPr>
                  <w:r>
                    <w:rPr>
                      <w:rFonts w:hint="eastAsia"/>
                      <w:sz w:val="21"/>
                      <w:szCs w:val="21"/>
                    </w:rPr>
                    <w:t>神东矿区东胜区及周边煤矿区</w:t>
                  </w:r>
                </w:p>
              </w:tc>
              <w:tc>
                <w:tcPr>
                  <w:tcW w:w="567" w:type="dxa"/>
                  <w:vMerge w:val="restart"/>
                  <w:vAlign w:val="center"/>
                </w:tcPr>
                <w:p>
                  <w:pPr>
                    <w:jc w:val="center"/>
                    <w:rPr>
                      <w:sz w:val="21"/>
                    </w:rPr>
                  </w:pPr>
                  <w:r>
                    <w:rPr>
                      <w:rFonts w:hint="eastAsia"/>
                      <w:sz w:val="21"/>
                    </w:rPr>
                    <w:t>重点管控单元</w:t>
                  </w:r>
                </w:p>
              </w:tc>
              <w:tc>
                <w:tcPr>
                  <w:tcW w:w="567" w:type="dxa"/>
                  <w:vAlign w:val="center"/>
                </w:tcPr>
                <w:p>
                  <w:pPr>
                    <w:jc w:val="center"/>
                    <w:rPr>
                      <w:sz w:val="21"/>
                    </w:rPr>
                  </w:pPr>
                  <w:r>
                    <w:rPr>
                      <w:rFonts w:hint="eastAsia"/>
                      <w:sz w:val="21"/>
                    </w:rPr>
                    <w:t>空间布局约束</w:t>
                  </w:r>
                </w:p>
              </w:tc>
              <w:tc>
                <w:tcPr>
                  <w:tcW w:w="2976" w:type="dxa"/>
                  <w:vAlign w:val="center"/>
                </w:tcPr>
                <w:p>
                  <w:pPr>
                    <w:widowControl/>
                    <w:jc w:val="left"/>
                    <w:rPr>
                      <w:rFonts w:hint="eastAsia" w:ascii="TimesNewRomanPSMT" w:hAnsi="TimesNewRomanPSMT" w:cs="宋体"/>
                      <w:kern w:val="0"/>
                      <w:sz w:val="21"/>
                      <w:szCs w:val="21"/>
                    </w:rPr>
                  </w:pPr>
                  <w:r>
                    <w:rPr>
                      <w:rFonts w:hint="eastAsia" w:ascii="TimesNewRomanPSMT" w:hAnsi="TimesNewRomanPSMT" w:cs="宋体"/>
                      <w:kern w:val="0"/>
                      <w:sz w:val="21"/>
                      <w:szCs w:val="21"/>
                    </w:rPr>
                    <w:t>1.非经国务院授权的有关主管部门同意，不得在《中华人民共和国矿产资源法（修正）》中所列的6种地区开采矿产资源。</w:t>
                  </w:r>
                </w:p>
                <w:p>
                  <w:pPr>
                    <w:widowControl/>
                    <w:jc w:val="left"/>
                    <w:rPr>
                      <w:rFonts w:hint="eastAsia" w:ascii="TimesNewRomanPSMT" w:hAnsi="TimesNewRomanPSMT" w:cs="宋体"/>
                      <w:kern w:val="0"/>
                      <w:sz w:val="21"/>
                      <w:szCs w:val="21"/>
                    </w:rPr>
                  </w:pPr>
                  <w:r>
                    <w:rPr>
                      <w:rFonts w:hint="eastAsia" w:ascii="TimesNewRomanPSMT" w:hAnsi="TimesNewRomanPSMT" w:cs="宋体"/>
                      <w:kern w:val="0"/>
                      <w:sz w:val="21"/>
                      <w:szCs w:val="21"/>
                    </w:rPr>
                    <w:t>2.禁止新建、扩建《产业结构调整指导目录（2019年本）》明确的淘汰类项目；严格执行《自治区国家重点生态功能区产业准入负面清单（试行）》（内政发〔2018〕11 号）中采矿业管控要求。</w:t>
                  </w:r>
                </w:p>
                <w:p>
                  <w:pPr>
                    <w:widowControl/>
                    <w:jc w:val="left"/>
                    <w:rPr>
                      <w:rFonts w:hint="eastAsia" w:ascii="TimesNewRomanPSMT" w:hAnsi="TimesNewRomanPSMT" w:cs="宋体"/>
                      <w:kern w:val="0"/>
                      <w:sz w:val="21"/>
                      <w:szCs w:val="21"/>
                    </w:rPr>
                  </w:pPr>
                  <w:r>
                    <w:rPr>
                      <w:rFonts w:hint="eastAsia" w:ascii="TimesNewRomanPSMT" w:hAnsi="TimesNewRomanPSMT" w:cs="宋体"/>
                      <w:kern w:val="0"/>
                      <w:sz w:val="21"/>
                      <w:szCs w:val="21"/>
                    </w:rPr>
                    <w:t>3.严格控制草原上新建矿产资源开发项目。新上矿产资源开发项目在开展前期工作时，应征求林业和草原行政主管部门意见，严格执行国家林草局草原征占用审核审批管理制度，把先预审、再立项、后建设的源头把控原则落到实处。</w:t>
                  </w:r>
                </w:p>
                <w:p>
                  <w:pPr>
                    <w:widowControl/>
                    <w:jc w:val="left"/>
                    <w:rPr>
                      <w:rFonts w:hint="eastAsia" w:ascii="TimesNewRomanPSMT" w:hAnsi="TimesNewRomanPSMT" w:cs="宋体"/>
                      <w:kern w:val="0"/>
                      <w:sz w:val="21"/>
                      <w:szCs w:val="21"/>
                    </w:rPr>
                  </w:pPr>
                  <w:r>
                    <w:rPr>
                      <w:rFonts w:hint="eastAsia" w:ascii="TimesNewRomanPSMT" w:hAnsi="TimesNewRomanPSMT" w:cs="宋体"/>
                      <w:kern w:val="0"/>
                      <w:sz w:val="21"/>
                      <w:szCs w:val="21"/>
                    </w:rPr>
                    <w:t>4.严格规范草原上已建矿产资源开发项目。对依法批准的草原上已建和在建矿产资源开发项目，不得在依法确定的矿区范围外平面增扩面积，不得未经批准由井工开采变为露天开采，严格控制排渣场、排土场、煤矸石堆场、场区道路占用草原面积。</w:t>
                  </w:r>
                </w:p>
                <w:p>
                  <w:pPr>
                    <w:widowControl/>
                    <w:jc w:val="left"/>
                    <w:rPr>
                      <w:rFonts w:hint="eastAsia" w:ascii="宋体" w:hAnsi="宋体" w:cs="宋体"/>
                      <w:kern w:val="0"/>
                      <w:sz w:val="21"/>
                    </w:rPr>
                  </w:pPr>
                  <w:r>
                    <w:rPr>
                      <w:rFonts w:hint="eastAsia" w:ascii="TimesNewRomanPSMT" w:hAnsi="TimesNewRomanPSMT" w:cs="宋体"/>
                      <w:kern w:val="0"/>
                      <w:sz w:val="21"/>
                      <w:szCs w:val="21"/>
                    </w:rPr>
                    <w:t>5. 执行《内蒙古自治区矿产资源总体规划2016~2020）》中最低开采规模相关要求。</w:t>
                  </w:r>
                </w:p>
              </w:tc>
              <w:tc>
                <w:tcPr>
                  <w:tcW w:w="1371" w:type="dxa"/>
                  <w:vAlign w:val="center"/>
                </w:tcPr>
                <w:p>
                  <w:pPr>
                    <w:jc w:val="center"/>
                    <w:rPr>
                      <w:sz w:val="21"/>
                      <w:szCs w:val="21"/>
                    </w:rPr>
                  </w:pPr>
                  <w:r>
                    <w:rPr>
                      <w:rFonts w:hint="eastAsia"/>
                      <w:sz w:val="21"/>
                      <w:szCs w:val="21"/>
                    </w:rPr>
                    <w:t>项目为混凝土搅拌站项目，不涉及采矿；本项目不属于</w:t>
                  </w:r>
                  <w:r>
                    <w:rPr>
                      <w:sz w:val="21"/>
                      <w:szCs w:val="21"/>
                    </w:rPr>
                    <w:t>《产业结构调整指导目录（20</w:t>
                  </w:r>
                  <w:r>
                    <w:rPr>
                      <w:rFonts w:hint="eastAsia"/>
                      <w:sz w:val="21"/>
                      <w:szCs w:val="21"/>
                    </w:rPr>
                    <w:t>24</w:t>
                  </w:r>
                  <w:r>
                    <w:rPr>
                      <w:sz w:val="21"/>
                      <w:szCs w:val="21"/>
                    </w:rPr>
                    <w:t>）》</w:t>
                  </w:r>
                  <w:r>
                    <w:rPr>
                      <w:rFonts w:hint="eastAsia"/>
                      <w:sz w:val="21"/>
                      <w:szCs w:val="21"/>
                    </w:rPr>
                    <w:t>中</w:t>
                  </w:r>
                  <w:r>
                    <w:rPr>
                      <w:sz w:val="21"/>
                      <w:szCs w:val="21"/>
                    </w:rPr>
                    <w:t>淘汰类项目</w:t>
                  </w:r>
                  <w:r>
                    <w:rPr>
                      <w:rFonts w:hint="eastAsia"/>
                      <w:sz w:val="21"/>
                      <w:szCs w:val="21"/>
                    </w:rPr>
                    <w:t>；</w:t>
                  </w:r>
                  <w:r>
                    <w:rPr>
                      <w:sz w:val="21"/>
                      <w:szCs w:val="21"/>
                    </w:rPr>
                    <w:t>本项目</w:t>
                  </w:r>
                  <w:r>
                    <w:rPr>
                      <w:rFonts w:hint="eastAsia"/>
                      <w:sz w:val="21"/>
                      <w:szCs w:val="21"/>
                    </w:rPr>
                    <w:t>不属于矿产资源开采类项目，符合空间布局约束。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 w:type="dxa"/>
                  <w:vMerge w:val="continue"/>
                  <w:vAlign w:val="center"/>
                </w:tcPr>
                <w:p>
                  <w:pPr>
                    <w:jc w:val="center"/>
                    <w:rPr>
                      <w:sz w:val="21"/>
                    </w:rPr>
                  </w:pPr>
                </w:p>
              </w:tc>
              <w:tc>
                <w:tcPr>
                  <w:tcW w:w="709" w:type="dxa"/>
                  <w:vMerge w:val="continue"/>
                  <w:vAlign w:val="center"/>
                </w:tcPr>
                <w:p>
                  <w:pPr>
                    <w:jc w:val="center"/>
                    <w:rPr>
                      <w:sz w:val="21"/>
                    </w:rPr>
                  </w:pPr>
                </w:p>
              </w:tc>
              <w:tc>
                <w:tcPr>
                  <w:tcW w:w="567" w:type="dxa"/>
                  <w:vMerge w:val="continue"/>
                  <w:vAlign w:val="center"/>
                </w:tcPr>
                <w:p>
                  <w:pPr>
                    <w:jc w:val="center"/>
                    <w:rPr>
                      <w:sz w:val="21"/>
                    </w:rPr>
                  </w:pPr>
                </w:p>
              </w:tc>
              <w:tc>
                <w:tcPr>
                  <w:tcW w:w="567" w:type="dxa"/>
                  <w:vAlign w:val="center"/>
                </w:tcPr>
                <w:p>
                  <w:pPr>
                    <w:jc w:val="center"/>
                    <w:rPr>
                      <w:sz w:val="21"/>
                    </w:rPr>
                  </w:pPr>
                  <w:r>
                    <w:rPr>
                      <w:rFonts w:hint="eastAsia"/>
                      <w:sz w:val="21"/>
                    </w:rPr>
                    <w:t>污染物排放管控</w:t>
                  </w:r>
                </w:p>
              </w:tc>
              <w:tc>
                <w:tcPr>
                  <w:tcW w:w="2976" w:type="dxa"/>
                  <w:vAlign w:val="center"/>
                </w:tcPr>
                <w:p>
                  <w:pPr>
                    <w:widowControl/>
                    <w:jc w:val="left"/>
                    <w:rPr>
                      <w:rFonts w:hint="eastAsia" w:ascii="TimesNewRomanPSMT" w:hAnsi="TimesNewRomanPSMT"/>
                      <w:sz w:val="21"/>
                      <w:szCs w:val="21"/>
                    </w:rPr>
                  </w:pPr>
                  <w:r>
                    <w:rPr>
                      <w:rFonts w:hint="eastAsia" w:ascii="TimesNewRomanPSMT" w:hAnsi="TimesNewRomanPSMT"/>
                      <w:sz w:val="21"/>
                      <w:szCs w:val="21"/>
                    </w:rPr>
                    <w:t>1.矿产资源勘查以及采选过程中排土场、露天采场、尾矿库、矿区专用道路、矿山工业场地、沉陷区、矸石场、矿山污染场地等的生态环境保护与治理恢复工作须满足《矿山生态环境保护与治理恢复技术规范（试行）》（HJ651-2013）要求。落实边开采、边保护、边复垦的要求，使新建、在建矿山损毁土地得到全面复垦。</w:t>
                  </w:r>
                </w:p>
                <w:p>
                  <w:pPr>
                    <w:widowControl/>
                    <w:jc w:val="left"/>
                    <w:rPr>
                      <w:rFonts w:hint="eastAsia" w:ascii="TimesNewRomanPSMT" w:hAnsi="TimesNewRomanPSMT"/>
                      <w:sz w:val="21"/>
                      <w:szCs w:val="21"/>
                    </w:rPr>
                  </w:pPr>
                  <w:r>
                    <w:rPr>
                      <w:rFonts w:hint="eastAsia" w:ascii="TimesNewRomanPSMT" w:hAnsi="TimesNewRomanPSMT"/>
                      <w:sz w:val="21"/>
                      <w:szCs w:val="21"/>
                    </w:rPr>
                    <w:t>2.生产矿山年度占用土地面积与年度治理面积基本达到平衡，“三废”排放符合环保指标要求。</w:t>
                  </w:r>
                </w:p>
                <w:p>
                  <w:pPr>
                    <w:widowControl/>
                    <w:jc w:val="left"/>
                    <w:rPr>
                      <w:rFonts w:hint="eastAsia" w:ascii="TimesNewRomanPSMT" w:hAnsi="TimesNewRomanPSMT"/>
                      <w:sz w:val="21"/>
                      <w:szCs w:val="21"/>
                    </w:rPr>
                  </w:pPr>
                  <w:r>
                    <w:rPr>
                      <w:rFonts w:hint="eastAsia" w:ascii="TimesNewRomanPSMT" w:hAnsi="TimesNewRomanPSMT"/>
                      <w:sz w:val="21"/>
                      <w:szCs w:val="21"/>
                    </w:rPr>
                    <w:t>3.煤矿地面运煤系统、运输设备、煤炭贮存场所应当全封闭。鼓励有条件的露天矿山采用密闭式皮带运输系统，煤炭企业应当负责矿权范围内和排矸场等着火点灭火工作；提高煤矸石、矿井疏干水的综合利用。</w:t>
                  </w:r>
                </w:p>
                <w:p>
                  <w:pPr>
                    <w:widowControl/>
                    <w:jc w:val="left"/>
                    <w:rPr>
                      <w:sz w:val="21"/>
                    </w:rPr>
                  </w:pPr>
                  <w:r>
                    <w:rPr>
                      <w:rFonts w:hint="eastAsia" w:ascii="TimesNewRomanPSMT" w:hAnsi="TimesNewRomanPSMT"/>
                      <w:sz w:val="21"/>
                      <w:szCs w:val="21"/>
                    </w:rPr>
                    <w:t>4.对新建硫份大于1.5%的煤矿，应配套建设煤炭洗选设施；对现有硫份大于2%的煤矿，应补建配套煤炭洗选设施。</w:t>
                  </w:r>
                </w:p>
              </w:tc>
              <w:tc>
                <w:tcPr>
                  <w:tcW w:w="1371" w:type="dxa"/>
                  <w:vAlign w:val="center"/>
                </w:tcPr>
                <w:p>
                  <w:pPr>
                    <w:jc w:val="center"/>
                    <w:rPr>
                      <w:sz w:val="21"/>
                      <w:szCs w:val="21"/>
                    </w:rPr>
                  </w:pPr>
                  <w:r>
                    <w:rPr>
                      <w:rFonts w:hint="eastAsia"/>
                      <w:sz w:val="21"/>
                      <w:szCs w:val="21"/>
                    </w:rPr>
                    <w:t>项目为混凝土搅拌站项目，不属于污染物排放管控要求指标内容，项目污染物排放量较小，符合污染物排放管控要求。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 w:type="dxa"/>
                  <w:vMerge w:val="continue"/>
                  <w:vAlign w:val="center"/>
                </w:tcPr>
                <w:p>
                  <w:pPr>
                    <w:jc w:val="center"/>
                    <w:rPr>
                      <w:sz w:val="21"/>
                    </w:rPr>
                  </w:pPr>
                </w:p>
              </w:tc>
              <w:tc>
                <w:tcPr>
                  <w:tcW w:w="709" w:type="dxa"/>
                  <w:vMerge w:val="continue"/>
                  <w:vAlign w:val="center"/>
                </w:tcPr>
                <w:p>
                  <w:pPr>
                    <w:jc w:val="center"/>
                    <w:rPr>
                      <w:sz w:val="21"/>
                    </w:rPr>
                  </w:pPr>
                </w:p>
              </w:tc>
              <w:tc>
                <w:tcPr>
                  <w:tcW w:w="567" w:type="dxa"/>
                  <w:vMerge w:val="continue"/>
                  <w:vAlign w:val="center"/>
                </w:tcPr>
                <w:p>
                  <w:pPr>
                    <w:jc w:val="center"/>
                    <w:rPr>
                      <w:sz w:val="21"/>
                    </w:rPr>
                  </w:pPr>
                </w:p>
              </w:tc>
              <w:tc>
                <w:tcPr>
                  <w:tcW w:w="567" w:type="dxa"/>
                  <w:vAlign w:val="center"/>
                </w:tcPr>
                <w:p>
                  <w:pPr>
                    <w:jc w:val="center"/>
                    <w:rPr>
                      <w:sz w:val="21"/>
                    </w:rPr>
                  </w:pPr>
                  <w:r>
                    <w:rPr>
                      <w:rFonts w:hint="eastAsia"/>
                      <w:sz w:val="21"/>
                    </w:rPr>
                    <w:t>环 境风 险防控</w:t>
                  </w:r>
                </w:p>
              </w:tc>
              <w:tc>
                <w:tcPr>
                  <w:tcW w:w="2976" w:type="dxa"/>
                  <w:vAlign w:val="center"/>
                </w:tcPr>
                <w:p>
                  <w:pPr>
                    <w:widowControl/>
                    <w:jc w:val="left"/>
                    <w:rPr>
                      <w:rFonts w:hint="eastAsia" w:ascii="TimesNewRomanPSMT" w:hAnsi="TimesNewRomanPSMT"/>
                      <w:sz w:val="21"/>
                      <w:szCs w:val="21"/>
                    </w:rPr>
                  </w:pPr>
                  <w:r>
                    <w:rPr>
                      <w:rFonts w:hint="eastAsia" w:ascii="TimesNewRomanPSMT" w:hAnsi="TimesNewRomanPSMT"/>
                      <w:sz w:val="21"/>
                      <w:szCs w:val="21"/>
                    </w:rPr>
                    <w:t>1.制定环境风险应急预案，成立应急组织机构，配备必要的应急设施和应急物资，定期开展环境风险应急演练。</w:t>
                  </w:r>
                </w:p>
                <w:p>
                  <w:pPr>
                    <w:widowControl/>
                    <w:jc w:val="left"/>
                    <w:rPr>
                      <w:rFonts w:hint="eastAsia" w:ascii="TimesNewRomanPSMT" w:hAnsi="TimesNewRomanPSMT"/>
                      <w:sz w:val="21"/>
                      <w:szCs w:val="21"/>
                    </w:rPr>
                  </w:pPr>
                  <w:r>
                    <w:rPr>
                      <w:rFonts w:hint="eastAsia" w:ascii="TimesNewRomanPSMT" w:hAnsi="TimesNewRomanPSMT"/>
                      <w:sz w:val="21"/>
                      <w:szCs w:val="21"/>
                    </w:rPr>
                    <w:t>2.加强采矿引起的滑坡、塌陷等次生地质灾害的防范和治理，及时回填废弃巷道和采空区，要充分利用采矿疏干排出的地下水，最大限度的维持矿区生态平衡。</w:t>
                  </w:r>
                </w:p>
              </w:tc>
              <w:tc>
                <w:tcPr>
                  <w:tcW w:w="1371" w:type="dxa"/>
                  <w:vAlign w:val="center"/>
                </w:tcPr>
                <w:p>
                  <w:pPr>
                    <w:jc w:val="center"/>
                    <w:rPr>
                      <w:sz w:val="21"/>
                    </w:rPr>
                  </w:pPr>
                  <w:r>
                    <w:rPr>
                      <w:rFonts w:hint="eastAsia" w:cs="仿宋" w:asciiTheme="minorEastAsia" w:hAnsiTheme="minorEastAsia" w:eastAsiaTheme="minorEastAsia"/>
                      <w:sz w:val="21"/>
                      <w:szCs w:val="21"/>
                    </w:rPr>
                    <w:t>项目后期制定突发环境事件应急预案并备案，配备必要的应急设施和应急物资。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 w:type="dxa"/>
                  <w:vMerge w:val="continue"/>
                  <w:vAlign w:val="center"/>
                </w:tcPr>
                <w:p>
                  <w:pPr>
                    <w:jc w:val="center"/>
                    <w:rPr>
                      <w:sz w:val="21"/>
                    </w:rPr>
                  </w:pPr>
                </w:p>
              </w:tc>
              <w:tc>
                <w:tcPr>
                  <w:tcW w:w="709" w:type="dxa"/>
                  <w:vMerge w:val="continue"/>
                  <w:vAlign w:val="center"/>
                </w:tcPr>
                <w:p>
                  <w:pPr>
                    <w:jc w:val="center"/>
                    <w:rPr>
                      <w:sz w:val="21"/>
                    </w:rPr>
                  </w:pPr>
                </w:p>
              </w:tc>
              <w:tc>
                <w:tcPr>
                  <w:tcW w:w="567" w:type="dxa"/>
                  <w:vMerge w:val="continue"/>
                  <w:vAlign w:val="center"/>
                </w:tcPr>
                <w:p>
                  <w:pPr>
                    <w:jc w:val="center"/>
                    <w:rPr>
                      <w:sz w:val="21"/>
                    </w:rPr>
                  </w:pPr>
                </w:p>
              </w:tc>
              <w:tc>
                <w:tcPr>
                  <w:tcW w:w="567" w:type="dxa"/>
                  <w:vAlign w:val="center"/>
                </w:tcPr>
                <w:p>
                  <w:pPr>
                    <w:jc w:val="center"/>
                    <w:rPr>
                      <w:sz w:val="21"/>
                    </w:rPr>
                  </w:pPr>
                  <w:r>
                    <w:rPr>
                      <w:rFonts w:hint="eastAsia"/>
                      <w:sz w:val="21"/>
                    </w:rPr>
                    <w:t>资源利用效率要求</w:t>
                  </w:r>
                </w:p>
              </w:tc>
              <w:tc>
                <w:tcPr>
                  <w:tcW w:w="2976" w:type="dxa"/>
                  <w:vAlign w:val="center"/>
                </w:tcPr>
                <w:p>
                  <w:pPr>
                    <w:widowControl/>
                    <w:jc w:val="left"/>
                    <w:rPr>
                      <w:rFonts w:hint="eastAsia" w:ascii="TimesNewRomanPSMT" w:hAnsi="TimesNewRomanPSMT"/>
                      <w:sz w:val="21"/>
                      <w:szCs w:val="21"/>
                    </w:rPr>
                  </w:pPr>
                  <w:r>
                    <w:rPr>
                      <w:rFonts w:hint="eastAsia" w:ascii="TimesNewRomanPSMT" w:hAnsi="TimesNewRomanPSMT"/>
                      <w:sz w:val="21"/>
                      <w:szCs w:val="21"/>
                    </w:rPr>
                    <w:t>1.原煤入选率不低于75%；煤矸石综合利用率应达到75%以上；矿井疏干水、疏干水应采用洁净化、资源化技术和工艺进行合理处置，处置率达到100%。</w:t>
                  </w:r>
                </w:p>
                <w:p>
                  <w:pPr>
                    <w:widowControl/>
                    <w:jc w:val="left"/>
                    <w:rPr>
                      <w:sz w:val="21"/>
                    </w:rPr>
                  </w:pPr>
                  <w:r>
                    <w:rPr>
                      <w:rFonts w:hint="eastAsia" w:ascii="TimesNewRomanPSMT" w:hAnsi="TimesNewRomanPSMT"/>
                      <w:sz w:val="21"/>
                      <w:szCs w:val="21"/>
                    </w:rPr>
                    <w:t>2.煤矿采区回采率、原煤入选率、煤矸石与共伴生矿产资源综合利用率等三项指标符合自然资源部发布的《煤炭资源合理开发利用“三率”指标要求（试行）》。</w:t>
                  </w:r>
                </w:p>
              </w:tc>
              <w:tc>
                <w:tcPr>
                  <w:tcW w:w="1371" w:type="dxa"/>
                  <w:vAlign w:val="center"/>
                </w:tcPr>
                <w:p>
                  <w:pPr>
                    <w:jc w:val="center"/>
                    <w:rPr>
                      <w:sz w:val="21"/>
                      <w:szCs w:val="21"/>
                    </w:rPr>
                  </w:pPr>
                  <w:r>
                    <w:rPr>
                      <w:rFonts w:hint="eastAsia"/>
                      <w:sz w:val="21"/>
                      <w:szCs w:val="21"/>
                    </w:rPr>
                    <w:t>项目为混凝土搅拌站项目，不属于资源利用效率要求中的项目类型，符合资源利用效率要求。</w:t>
                  </w:r>
                </w:p>
              </w:tc>
            </w:tr>
          </w:tbl>
          <w:p>
            <w:pPr>
              <w:pStyle w:val="56"/>
              <w:spacing w:line="240" w:lineRule="auto"/>
              <w:ind w:left="5250" w:firstLine="470" w:firstLineChars="196"/>
              <w:rPr>
                <w:sz w:val="24"/>
                <w:szCs w:val="24"/>
              </w:rPr>
            </w:pPr>
          </w:p>
          <w:p>
            <w:pPr>
              <w:pStyle w:val="56"/>
              <w:ind w:firstLine="470" w:firstLineChars="196"/>
              <w:rPr>
                <w:sz w:val="24"/>
                <w:szCs w:val="24"/>
              </w:rPr>
            </w:pPr>
            <w:r>
              <w:rPr>
                <w:rFonts w:hint="eastAsia"/>
                <w:sz w:val="24"/>
                <w:szCs w:val="24"/>
              </w:rPr>
              <w:t>根据上表分析可知，项目符合生态环境准入清单要求。</w:t>
            </w:r>
          </w:p>
          <w:p>
            <w:pPr>
              <w:pStyle w:val="10"/>
              <w:ind w:firstLine="480"/>
              <w:rPr>
                <w:szCs w:val="24"/>
              </w:rPr>
            </w:pPr>
            <w:r>
              <w:rPr>
                <w:rFonts w:hint="eastAsia"/>
                <w:szCs w:val="24"/>
              </w:rPr>
              <w:t>综上所述，项目的建设符合</w:t>
            </w:r>
            <w:r>
              <w:rPr>
                <w:szCs w:val="24"/>
              </w:rPr>
              <w:t>“</w:t>
            </w:r>
            <w:r>
              <w:rPr>
                <w:rFonts w:hint="eastAsia"/>
                <w:szCs w:val="24"/>
              </w:rPr>
              <w:t>三线一单</w:t>
            </w:r>
            <w:r>
              <w:rPr>
                <w:szCs w:val="24"/>
              </w:rPr>
              <w:t>”</w:t>
            </w:r>
            <w:r>
              <w:rPr>
                <w:rFonts w:hint="eastAsia"/>
                <w:szCs w:val="24"/>
              </w:rPr>
              <w:t>的相关要求</w:t>
            </w:r>
            <w:r>
              <w:rPr>
                <w:szCs w:val="24"/>
              </w:rPr>
              <w:t>。</w:t>
            </w: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tc>
      </w:tr>
    </w:tbl>
    <w:p>
      <w:pPr>
        <w:spacing w:line="360" w:lineRule="auto"/>
        <w:outlineLvl w:val="0"/>
        <w:rPr>
          <w:rFonts w:eastAsia="黑体"/>
          <w:sz w:val="30"/>
        </w:rPr>
        <w:sectPr>
          <w:footerReference r:id="rId6" w:type="default"/>
          <w:pgSz w:w="11906" w:h="16838"/>
          <w:pgMar w:top="1701" w:right="1531" w:bottom="1701" w:left="1531" w:header="851" w:footer="1077" w:gutter="0"/>
          <w:pgNumType w:start="1"/>
          <w:cols w:space="720" w:num="1"/>
          <w:docGrid w:linePitch="312" w:charSpace="0"/>
        </w:sectPr>
      </w:pPr>
    </w:p>
    <w:p>
      <w:pPr>
        <w:pStyle w:val="17"/>
        <w:spacing w:before="0" w:beforeAutospacing="0" w:after="0" w:afterAutospacing="0"/>
        <w:jc w:val="center"/>
        <w:outlineLvl w:val="0"/>
        <w:rPr>
          <w:rFonts w:hint="eastAsia" w:ascii="黑体" w:hAnsi="黑体" w:eastAsia="黑体"/>
          <w:snapToGrid w:val="0"/>
          <w:sz w:val="30"/>
          <w:szCs w:val="30"/>
        </w:rPr>
      </w:pPr>
      <w:r>
        <w:rPr>
          <w:rFonts w:hint="eastAsia" w:ascii="黑体" w:hAnsi="黑体" w:eastAsia="黑体"/>
          <w:snapToGrid w:val="0"/>
          <w:sz w:val="30"/>
          <w:szCs w:val="30"/>
        </w:rPr>
        <w:t>二、建设项目工程分析</w:t>
      </w:r>
    </w:p>
    <w:tbl>
      <w:tblPr>
        <w:tblStyle w:val="1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86"/>
        <w:gridCol w:w="857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23" w:type="dxa"/>
            <w:vAlign w:val="center"/>
          </w:tcPr>
          <w:p>
            <w:pPr>
              <w:pStyle w:val="17"/>
              <w:adjustRightInd w:val="0"/>
              <w:snapToGrid w:val="0"/>
              <w:spacing w:before="0" w:beforeAutospacing="0" w:after="0" w:afterAutospacing="0"/>
              <w:jc w:val="center"/>
              <w:rPr>
                <w:rFonts w:hint="eastAsia" w:cs="宋体"/>
                <w:sz w:val="21"/>
                <w:szCs w:val="21"/>
              </w:rPr>
            </w:pPr>
            <w:r>
              <w:rPr>
                <w:rFonts w:hint="eastAsia" w:cs="宋体"/>
                <w:szCs w:val="24"/>
              </w:rPr>
              <w:t>建设内容</w:t>
            </w:r>
          </w:p>
        </w:tc>
        <w:tc>
          <w:tcPr>
            <w:tcW w:w="8161" w:type="dxa"/>
          </w:tcPr>
          <w:p>
            <w:pPr>
              <w:pStyle w:val="5"/>
              <w:ind w:firstLine="481" w:firstLineChars="200"/>
              <w:rPr>
                <w:color w:val="auto"/>
              </w:rPr>
            </w:pPr>
            <w:r>
              <w:rPr>
                <w:rFonts w:hint="eastAsia"/>
                <w:color w:val="auto"/>
              </w:rPr>
              <w:t>1、项目由来</w:t>
            </w:r>
          </w:p>
          <w:p>
            <w:pPr>
              <w:pStyle w:val="10"/>
              <w:ind w:firstLine="480"/>
              <w:rPr>
                <w:szCs w:val="21"/>
              </w:rPr>
            </w:pPr>
            <w:r>
              <w:rPr>
                <w:rFonts w:hint="eastAsia"/>
                <w:szCs w:val="21"/>
              </w:rPr>
              <w:t>鄂尔多斯市诚凯商贸有限公司于2021建设了物料储棚1座，用于仓储木料；后由于市场情况不好项目仓储棚搁置。</w:t>
            </w:r>
          </w:p>
          <w:p>
            <w:pPr>
              <w:pStyle w:val="10"/>
              <w:ind w:firstLine="480"/>
            </w:pPr>
            <w:r>
              <w:rPr>
                <w:rFonts w:hint="eastAsia"/>
                <w:szCs w:val="21"/>
              </w:rPr>
              <w:t>为充分利用已建物料储棚，</w:t>
            </w:r>
            <w:r>
              <w:rPr>
                <w:rFonts w:hint="eastAsia" w:ascii="宋体" w:hAnsi="宋体" w:cs="宋体"/>
              </w:rPr>
              <w:t>建设单位拟投资380万元建设鄂尔多斯市诚凯商贸有限公司年产7万立方混凝土搅拌站建设项目。</w:t>
            </w:r>
          </w:p>
          <w:p>
            <w:pPr>
              <w:pStyle w:val="10"/>
              <w:ind w:firstLine="480"/>
            </w:pPr>
            <w:r>
              <w:rPr>
                <w:rFonts w:hint="eastAsia"/>
              </w:rPr>
              <w:t>混凝土能够节约水泥、减少环境污染、提高劳动生产力、保证质量，加快施工进度，节约施工堆放用地，实现文明施工。为加快发展散装水泥和推广使用混凝土和水泥、延伸水泥工业产业链、节约资源、保护环境，发展推广预拌混凝土是美化城市环境的一个重要举措，具有重要的社会效益，因此，发展商品混凝土对提高建筑工程质量也有着重大的意义。</w:t>
            </w:r>
          </w:p>
          <w:p>
            <w:pPr>
              <w:pStyle w:val="10"/>
              <w:ind w:firstLine="480"/>
            </w:pPr>
            <w:r>
              <w:rPr>
                <w:rFonts w:hint="eastAsia"/>
              </w:rPr>
              <w:t>根据《中华人民共和国环境保护法》、《中华人民共和国环境影响评价法》(2018.12.29修订实施)、《建设项目环境保护管理条例》(中华人民共和国国务院令第682号)和内蒙古自治区《建设项目环境保护管理办法》实施细则及国家有关法律法规要求，本项目需进行环境影响评价工作。对照《建设项目环境影响评价分类管理名录》(2021年版)，本项目属于“二十七、非金属矿物制品业55 石膏、水泥制品及类似制品制造302商品混凝土；”类别，应编制环境影响报告表。受鄂尔多斯市诚凯商贸有限公司委托(委托书见附件1)，内蒙古首环环保技术有限公司承担了“</w:t>
            </w:r>
            <w:r>
              <w:rPr>
                <w:rFonts w:hint="eastAsia" w:ascii="宋体" w:hAnsi="宋体" w:cs="宋体"/>
              </w:rPr>
              <w:t>鄂尔多斯市诚凯商贸有限公司年产7万立方混凝土搅拌站建设项目</w:t>
            </w:r>
            <w:r>
              <w:rPr>
                <w:rFonts w:hint="eastAsia"/>
              </w:rPr>
              <w:t>”的环境影响报告表编制工作。评价单位在接受委托后，组织专业技术人员到建设项目场地及其周围进行了实地勘察与调研，并收集了项目有关的工程资料，依据《建设项目环境影响报告表编制技术指南（污染影响类）》（试行）的有关要求，编制完成《</w:t>
            </w:r>
            <w:r>
              <w:rPr>
                <w:rFonts w:hint="eastAsia" w:ascii="宋体" w:hAnsi="宋体" w:cs="宋体"/>
              </w:rPr>
              <w:t>鄂尔多斯市诚凯商贸有限公司年产7万立方混凝土搅拌站建设项目</w:t>
            </w:r>
            <w:r>
              <w:rPr>
                <w:rFonts w:hint="eastAsia"/>
              </w:rPr>
              <w:t>环境影响报告表》，呈请审查。</w:t>
            </w:r>
          </w:p>
          <w:p>
            <w:pPr>
              <w:spacing w:line="360" w:lineRule="auto"/>
              <w:ind w:firstLine="480" w:firstLineChars="200"/>
              <w:jc w:val="left"/>
            </w:pPr>
            <w:r>
              <w:rPr>
                <w:rFonts w:hint="eastAsia"/>
              </w:rPr>
              <w:t>1.2项目基本情况</w:t>
            </w:r>
          </w:p>
          <w:p>
            <w:pPr>
              <w:spacing w:line="360" w:lineRule="auto"/>
              <w:ind w:firstLine="480" w:firstLineChars="200"/>
            </w:pPr>
            <w:r>
              <w:rPr>
                <w:rFonts w:ascii="宋体" w:hAnsi="宋体"/>
              </w:rPr>
              <w:t>项目名称</w:t>
            </w:r>
            <w:r>
              <w:rPr>
                <w:rFonts w:hint="eastAsia" w:ascii="宋体" w:hAnsi="宋体"/>
              </w:rPr>
              <w:t>：</w:t>
            </w:r>
            <w:r>
              <w:rPr>
                <w:rFonts w:hint="eastAsia" w:ascii="宋体" w:hAnsi="宋体" w:cs="宋体"/>
              </w:rPr>
              <w:t>鄂尔多斯市诚凯商贸有限公司年产7万立方混凝土搅拌站建设项目</w:t>
            </w:r>
            <w:r>
              <w:rPr>
                <w:rFonts w:hint="eastAsia" w:ascii="宋体" w:hAnsi="宋体"/>
              </w:rPr>
              <w:t>。</w:t>
            </w:r>
          </w:p>
          <w:p>
            <w:pPr>
              <w:spacing w:line="360" w:lineRule="auto"/>
              <w:ind w:firstLine="480" w:firstLineChars="200"/>
              <w:jc w:val="left"/>
              <w:rPr>
                <w:rFonts w:hint="eastAsia" w:ascii="宋体" w:hAnsi="宋体"/>
              </w:rPr>
            </w:pPr>
            <w:r>
              <w:rPr>
                <w:rFonts w:ascii="宋体" w:hAnsi="宋体"/>
              </w:rPr>
              <w:t>建设单位</w:t>
            </w:r>
            <w:r>
              <w:rPr>
                <w:rFonts w:hint="eastAsia" w:ascii="宋体" w:hAnsi="宋体"/>
              </w:rPr>
              <w:t>：</w:t>
            </w:r>
            <w:r>
              <w:rPr>
                <w:rFonts w:hint="eastAsia"/>
              </w:rPr>
              <w:t>鄂尔多斯市诚凯商贸有限公司</w:t>
            </w:r>
            <w:r>
              <w:rPr>
                <w:rFonts w:hint="eastAsia" w:ascii="宋体" w:hAnsi="宋体"/>
              </w:rPr>
              <w:t>。</w:t>
            </w:r>
          </w:p>
          <w:p>
            <w:pPr>
              <w:spacing w:line="360" w:lineRule="auto"/>
              <w:ind w:firstLine="480" w:firstLineChars="200"/>
              <w:jc w:val="left"/>
            </w:pPr>
            <w:r>
              <w:t>建设地点</w:t>
            </w:r>
            <w:r>
              <w:rPr>
                <w:rFonts w:hint="eastAsia"/>
              </w:rPr>
              <w:t>：鄂尔多斯市伊金霍洛旗乌兰木伦镇苏勒德霍洛村，厂址中心坐标为N：</w:t>
            </w:r>
            <w:r>
              <w:rPr>
                <w:rFonts w:hint="eastAsia" w:ascii="宋体" w:hAnsi="宋体" w:cs="宋体"/>
                <w:u w:val="single"/>
              </w:rPr>
              <w:t>39</w:t>
            </w:r>
            <w:r>
              <w:rPr>
                <w:rFonts w:hint="eastAsia" w:ascii="宋体" w:hAnsi="宋体" w:cs="宋体"/>
              </w:rPr>
              <w:t>度</w:t>
            </w:r>
            <w:r>
              <w:rPr>
                <w:rFonts w:hint="eastAsia" w:ascii="宋体" w:hAnsi="宋体" w:cs="宋体"/>
                <w:u w:val="single"/>
              </w:rPr>
              <w:t>25</w:t>
            </w:r>
            <w:r>
              <w:rPr>
                <w:rFonts w:hint="eastAsia" w:ascii="宋体" w:hAnsi="宋体" w:cs="宋体"/>
              </w:rPr>
              <w:t>分</w:t>
            </w:r>
            <w:r>
              <w:rPr>
                <w:rFonts w:hint="eastAsia" w:ascii="宋体" w:hAnsi="宋体" w:cs="宋体"/>
                <w:u w:val="single"/>
              </w:rPr>
              <w:t>37.878</w:t>
            </w:r>
            <w:r>
              <w:rPr>
                <w:rFonts w:hint="eastAsia" w:ascii="宋体" w:hAnsi="宋体" w:cs="宋体"/>
              </w:rPr>
              <w:t>秒</w:t>
            </w:r>
            <w:r>
              <w:rPr>
                <w:rFonts w:hint="eastAsia"/>
              </w:rPr>
              <w:t>，E：</w:t>
            </w:r>
            <w:r>
              <w:rPr>
                <w:rFonts w:hint="eastAsia" w:ascii="宋体" w:hAnsi="宋体" w:cs="宋体"/>
                <w:u w:val="single"/>
              </w:rPr>
              <w:t>110</w:t>
            </w:r>
            <w:r>
              <w:rPr>
                <w:rFonts w:hint="eastAsia" w:ascii="宋体" w:hAnsi="宋体" w:cs="宋体"/>
              </w:rPr>
              <w:t>度</w:t>
            </w:r>
            <w:r>
              <w:rPr>
                <w:rFonts w:hint="eastAsia" w:ascii="宋体" w:hAnsi="宋体" w:cs="宋体"/>
                <w:u w:val="single"/>
              </w:rPr>
              <w:t>06</w:t>
            </w:r>
            <w:r>
              <w:rPr>
                <w:rFonts w:hint="eastAsia" w:ascii="宋体" w:hAnsi="宋体" w:cs="宋体"/>
              </w:rPr>
              <w:t>分</w:t>
            </w:r>
            <w:r>
              <w:rPr>
                <w:rFonts w:hint="eastAsia" w:ascii="宋体" w:hAnsi="宋体" w:cs="宋体"/>
                <w:u w:val="single"/>
              </w:rPr>
              <w:t>40.938</w:t>
            </w:r>
            <w:r>
              <w:rPr>
                <w:rFonts w:hint="eastAsia" w:ascii="宋体" w:hAnsi="宋体" w:cs="宋体"/>
              </w:rPr>
              <w:t>秒</w:t>
            </w:r>
            <w:r>
              <w:rPr>
                <w:rFonts w:hint="eastAsia"/>
              </w:rPr>
              <w:t>，项目东侧、南侧、西侧、北侧均为空地。项目厂区拐点坐标见表2-1。</w:t>
            </w:r>
          </w:p>
          <w:p>
            <w:pPr>
              <w:spacing w:line="360" w:lineRule="auto"/>
              <w:ind w:firstLine="480" w:firstLineChars="200"/>
              <w:jc w:val="left"/>
            </w:pPr>
            <w:r>
              <w:rPr>
                <w:rFonts w:hint="eastAsia"/>
              </w:rPr>
              <w:t>占地面积：16016m</w:t>
            </w:r>
            <w:r>
              <w:rPr>
                <w:rFonts w:hint="eastAsia"/>
                <w:vertAlign w:val="superscript"/>
              </w:rPr>
              <w:t>2</w:t>
            </w:r>
            <w:r>
              <w:rPr>
                <w:rFonts w:hint="eastAsia"/>
              </w:rPr>
              <w:t>。</w:t>
            </w:r>
          </w:p>
          <w:p>
            <w:pPr>
              <w:spacing w:line="360" w:lineRule="auto"/>
              <w:ind w:firstLine="480" w:firstLineChars="200"/>
              <w:jc w:val="left"/>
              <w:rPr>
                <w:bCs/>
                <w:spacing w:val="-6"/>
              </w:rPr>
            </w:pPr>
            <w:r>
              <w:t>项目投资</w:t>
            </w:r>
            <w:r>
              <w:rPr>
                <w:rFonts w:hint="eastAsia"/>
              </w:rPr>
              <w:t>：项目</w:t>
            </w:r>
            <w:r>
              <w:t>总投资</w:t>
            </w:r>
            <w:r>
              <w:rPr>
                <w:rFonts w:hint="eastAsia"/>
              </w:rPr>
              <w:t>380万</w:t>
            </w:r>
            <w:r>
              <w:t>元</w:t>
            </w:r>
            <w:r>
              <w:rPr>
                <w:rFonts w:hint="eastAsia"/>
              </w:rPr>
              <w:t>，</w:t>
            </w:r>
            <w:r>
              <w:rPr>
                <w:bCs/>
                <w:spacing w:val="-6"/>
              </w:rPr>
              <w:t>环保投资</w:t>
            </w:r>
            <w:r>
              <w:rPr>
                <w:rFonts w:hint="eastAsia"/>
                <w:bCs/>
                <w:spacing w:val="-6"/>
              </w:rPr>
              <w:t>90</w:t>
            </w:r>
            <w:r>
              <w:rPr>
                <w:bCs/>
                <w:spacing w:val="-6"/>
              </w:rPr>
              <w:t>万元，占总投资的</w:t>
            </w:r>
            <w:r>
              <w:rPr>
                <w:rFonts w:hint="eastAsia"/>
                <w:bCs/>
                <w:spacing w:val="-6"/>
              </w:rPr>
              <w:t>23.7%</w:t>
            </w:r>
            <w:r>
              <w:rPr>
                <w:bCs/>
                <w:spacing w:val="-6"/>
              </w:rPr>
              <w:t>。</w:t>
            </w:r>
          </w:p>
          <w:p>
            <w:pPr>
              <w:pStyle w:val="56"/>
              <w:spacing w:line="240" w:lineRule="auto"/>
              <w:ind w:left="2313" w:firstLine="0" w:firstLineChars="0"/>
              <w:outlineLvl w:val="1"/>
              <w:rPr>
                <w:rFonts w:hint="eastAsia" w:ascii="宋体" w:hAnsi="宋体"/>
                <w:b/>
                <w:bCs/>
                <w:sz w:val="24"/>
                <w:szCs w:val="24"/>
              </w:rPr>
            </w:pPr>
            <w:r>
              <w:tab/>
            </w:r>
            <w:r>
              <w:rPr>
                <w:rFonts w:hint="eastAsia" w:ascii="宋体" w:hAnsi="宋体"/>
                <w:b/>
                <w:bCs/>
                <w:sz w:val="24"/>
                <w:szCs w:val="24"/>
              </w:rPr>
              <w:t>表2-1         项目厂区拐点坐标</w:t>
            </w:r>
          </w:p>
          <w:tbl>
            <w:tblPr>
              <w:tblStyle w:val="19"/>
              <w:tblW w:w="4905" w:type="pct"/>
              <w:jc w:val="center"/>
              <w:tblLayout w:type="autofit"/>
              <w:tblCellMar>
                <w:top w:w="0" w:type="dxa"/>
                <w:left w:w="108" w:type="dxa"/>
                <w:bottom w:w="0" w:type="dxa"/>
                <w:right w:w="108" w:type="dxa"/>
              </w:tblCellMar>
            </w:tblPr>
            <w:tblGrid>
              <w:gridCol w:w="1477"/>
              <w:gridCol w:w="3435"/>
              <w:gridCol w:w="3287"/>
            </w:tblGrid>
            <w:tr>
              <w:tblPrEx>
                <w:tblCellMar>
                  <w:top w:w="0" w:type="dxa"/>
                  <w:left w:w="108" w:type="dxa"/>
                  <w:bottom w:w="0" w:type="dxa"/>
                  <w:right w:w="108" w:type="dxa"/>
                </w:tblCellMar>
              </w:tblPrEx>
              <w:trPr>
                <w:trHeight w:val="308" w:hRule="atLeast"/>
                <w:jc w:val="center"/>
              </w:trPr>
              <w:tc>
                <w:tcPr>
                  <w:tcW w:w="901" w:type="pct"/>
                  <w:vMerge w:val="restart"/>
                  <w:tcBorders>
                    <w:top w:val="single" w:color="000000" w:sz="4" w:space="0"/>
                    <w:left w:val="single" w:color="000000" w:sz="8" w:space="0"/>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序号</w:t>
                  </w:r>
                </w:p>
              </w:tc>
              <w:tc>
                <w:tcPr>
                  <w:tcW w:w="4099" w:type="pct"/>
                  <w:gridSpan w:val="2"/>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坐标</w:t>
                  </w:r>
                </w:p>
              </w:tc>
            </w:tr>
            <w:tr>
              <w:tblPrEx>
                <w:tblCellMar>
                  <w:top w:w="0" w:type="dxa"/>
                  <w:left w:w="108" w:type="dxa"/>
                  <w:bottom w:w="0" w:type="dxa"/>
                  <w:right w:w="108" w:type="dxa"/>
                </w:tblCellMar>
              </w:tblPrEx>
              <w:trPr>
                <w:trHeight w:val="308" w:hRule="atLeast"/>
                <w:jc w:val="center"/>
              </w:trPr>
              <w:tc>
                <w:tcPr>
                  <w:tcW w:w="901" w:type="pct"/>
                  <w:vMerge w:val="continue"/>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p>
              </w:tc>
              <w:tc>
                <w:tcPr>
                  <w:tcW w:w="2095" w:type="pct"/>
                  <w:tcBorders>
                    <w:top w:val="nil"/>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x(m)</w:t>
                  </w:r>
                </w:p>
              </w:tc>
              <w:tc>
                <w:tcPr>
                  <w:tcW w:w="2005" w:type="pct"/>
                  <w:tcBorders>
                    <w:top w:val="nil"/>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y(m)</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1</w:t>
                  </w:r>
                </w:p>
              </w:tc>
              <w:tc>
                <w:tcPr>
                  <w:tcW w:w="2095" w:type="pct"/>
                  <w:tcBorders>
                    <w:top w:val="nil"/>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4366385.486</w:t>
                  </w:r>
                </w:p>
              </w:tc>
              <w:tc>
                <w:tcPr>
                  <w:tcW w:w="2005" w:type="pct"/>
                  <w:tcBorders>
                    <w:top w:val="nil"/>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3742447.88</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2</w:t>
                  </w:r>
                </w:p>
              </w:tc>
              <w:tc>
                <w:tcPr>
                  <w:tcW w:w="2095" w:type="pct"/>
                  <w:tcBorders>
                    <w:top w:val="nil"/>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4366392.233</w:t>
                  </w:r>
                </w:p>
              </w:tc>
              <w:tc>
                <w:tcPr>
                  <w:tcW w:w="2005" w:type="pct"/>
                  <w:tcBorders>
                    <w:top w:val="nil"/>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37423458.99</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3</w:t>
                  </w:r>
                </w:p>
              </w:tc>
              <w:tc>
                <w:tcPr>
                  <w:tcW w:w="2095" w:type="pct"/>
                  <w:tcBorders>
                    <w:top w:val="nil"/>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4366394.614</w:t>
                  </w:r>
                </w:p>
              </w:tc>
              <w:tc>
                <w:tcPr>
                  <w:tcW w:w="2005" w:type="pct"/>
                  <w:tcBorders>
                    <w:top w:val="nil"/>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37423466.53</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4</w:t>
                  </w:r>
                </w:p>
              </w:tc>
              <w:tc>
                <w:tcPr>
                  <w:tcW w:w="209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4366390.249</w:t>
                  </w:r>
                </w:p>
              </w:tc>
              <w:tc>
                <w:tcPr>
                  <w:tcW w:w="200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37423477.25</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5</w:t>
                  </w:r>
                </w:p>
              </w:tc>
              <w:tc>
                <w:tcPr>
                  <w:tcW w:w="209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4366383.555</w:t>
                  </w:r>
                </w:p>
              </w:tc>
              <w:tc>
                <w:tcPr>
                  <w:tcW w:w="200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37423481</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6</w:t>
                  </w:r>
                </w:p>
              </w:tc>
              <w:tc>
                <w:tcPr>
                  <w:tcW w:w="209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4366373.977</w:t>
                  </w:r>
                </w:p>
              </w:tc>
              <w:tc>
                <w:tcPr>
                  <w:tcW w:w="200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37423486.38</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7</w:t>
                  </w:r>
                </w:p>
              </w:tc>
              <w:tc>
                <w:tcPr>
                  <w:tcW w:w="209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4366354.927</w:t>
                  </w:r>
                </w:p>
              </w:tc>
              <w:tc>
                <w:tcPr>
                  <w:tcW w:w="200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37423497.89</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8</w:t>
                  </w:r>
                </w:p>
              </w:tc>
              <w:tc>
                <w:tcPr>
                  <w:tcW w:w="209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4366333.892</w:t>
                  </w:r>
                </w:p>
              </w:tc>
              <w:tc>
                <w:tcPr>
                  <w:tcW w:w="200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37423509</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9</w:t>
                  </w:r>
                </w:p>
              </w:tc>
              <w:tc>
                <w:tcPr>
                  <w:tcW w:w="209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4366315.239</w:t>
                  </w:r>
                </w:p>
              </w:tc>
              <w:tc>
                <w:tcPr>
                  <w:tcW w:w="200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37423515.74</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10</w:t>
                  </w:r>
                </w:p>
              </w:tc>
              <w:tc>
                <w:tcPr>
                  <w:tcW w:w="209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4366285.87</w:t>
                  </w:r>
                </w:p>
              </w:tc>
              <w:tc>
                <w:tcPr>
                  <w:tcW w:w="200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37423532.41</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11</w:t>
                  </w:r>
                </w:p>
              </w:tc>
              <w:tc>
                <w:tcPr>
                  <w:tcW w:w="209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4366268.805</w:t>
                  </w:r>
                </w:p>
              </w:tc>
              <w:tc>
                <w:tcPr>
                  <w:tcW w:w="200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37423542.73</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12</w:t>
                  </w:r>
                </w:p>
              </w:tc>
              <w:tc>
                <w:tcPr>
                  <w:tcW w:w="209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4366256.898</w:t>
                  </w:r>
                </w:p>
              </w:tc>
              <w:tc>
                <w:tcPr>
                  <w:tcW w:w="200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37423551.46</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13</w:t>
                  </w:r>
                </w:p>
              </w:tc>
              <w:tc>
                <w:tcPr>
                  <w:tcW w:w="209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4366246.183</w:t>
                  </w:r>
                </w:p>
              </w:tc>
              <w:tc>
                <w:tcPr>
                  <w:tcW w:w="200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37423551.07</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14</w:t>
                  </w:r>
                </w:p>
              </w:tc>
              <w:tc>
                <w:tcPr>
                  <w:tcW w:w="209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4366231.895</w:t>
                  </w:r>
                </w:p>
              </w:tc>
              <w:tc>
                <w:tcPr>
                  <w:tcW w:w="200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37423551.07</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15</w:t>
                  </w:r>
                </w:p>
              </w:tc>
              <w:tc>
                <w:tcPr>
                  <w:tcW w:w="209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4366223.164</w:t>
                  </w:r>
                </w:p>
              </w:tc>
              <w:tc>
                <w:tcPr>
                  <w:tcW w:w="200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37423540.35</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16</w:t>
                  </w:r>
                </w:p>
              </w:tc>
              <w:tc>
                <w:tcPr>
                  <w:tcW w:w="209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4366223.164</w:t>
                  </w:r>
                </w:p>
              </w:tc>
              <w:tc>
                <w:tcPr>
                  <w:tcW w:w="200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37423528.25</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17</w:t>
                  </w:r>
                </w:p>
              </w:tc>
              <w:tc>
                <w:tcPr>
                  <w:tcW w:w="209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4366223.958</w:t>
                  </w:r>
                </w:p>
              </w:tc>
              <w:tc>
                <w:tcPr>
                  <w:tcW w:w="200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37423513.76</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18</w:t>
                  </w:r>
                </w:p>
              </w:tc>
              <w:tc>
                <w:tcPr>
                  <w:tcW w:w="209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4366229.117</w:t>
                  </w:r>
                </w:p>
              </w:tc>
              <w:tc>
                <w:tcPr>
                  <w:tcW w:w="200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37423499.47</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19</w:t>
                  </w:r>
                </w:p>
              </w:tc>
              <w:tc>
                <w:tcPr>
                  <w:tcW w:w="209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4366239.039</w:t>
                  </w:r>
                </w:p>
              </w:tc>
              <w:tc>
                <w:tcPr>
                  <w:tcW w:w="200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37423485.98</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20</w:t>
                  </w:r>
                </w:p>
              </w:tc>
              <w:tc>
                <w:tcPr>
                  <w:tcW w:w="209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4366250.945</w:t>
                  </w:r>
                </w:p>
              </w:tc>
              <w:tc>
                <w:tcPr>
                  <w:tcW w:w="200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37423464.55</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21</w:t>
                  </w:r>
                </w:p>
              </w:tc>
              <w:tc>
                <w:tcPr>
                  <w:tcW w:w="209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4366254.517</w:t>
                  </w:r>
                </w:p>
              </w:tc>
              <w:tc>
                <w:tcPr>
                  <w:tcW w:w="200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37423449.86</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22</w:t>
                  </w:r>
                </w:p>
              </w:tc>
              <w:tc>
                <w:tcPr>
                  <w:tcW w:w="209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4366258.486</w:t>
                  </w:r>
                </w:p>
              </w:tc>
              <w:tc>
                <w:tcPr>
                  <w:tcW w:w="200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37423443.12</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23</w:t>
                  </w:r>
                </w:p>
              </w:tc>
              <w:tc>
                <w:tcPr>
                  <w:tcW w:w="209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4366270.392</w:t>
                  </w:r>
                </w:p>
              </w:tc>
              <w:tc>
                <w:tcPr>
                  <w:tcW w:w="200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37423436.77</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24</w:t>
                  </w:r>
                </w:p>
              </w:tc>
              <w:tc>
                <w:tcPr>
                  <w:tcW w:w="209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4366296.586</w:t>
                  </w:r>
                </w:p>
              </w:tc>
              <w:tc>
                <w:tcPr>
                  <w:tcW w:w="200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37423440.34</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25</w:t>
                  </w:r>
                </w:p>
              </w:tc>
              <w:tc>
                <w:tcPr>
                  <w:tcW w:w="209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4366305.714</w:t>
                  </w:r>
                </w:p>
              </w:tc>
              <w:tc>
                <w:tcPr>
                  <w:tcW w:w="200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37423442.72</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26</w:t>
                  </w:r>
                </w:p>
              </w:tc>
              <w:tc>
                <w:tcPr>
                  <w:tcW w:w="209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4366315.636</w:t>
                  </w:r>
                </w:p>
              </w:tc>
              <w:tc>
                <w:tcPr>
                  <w:tcW w:w="200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37423440.34</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27</w:t>
                  </w:r>
                </w:p>
              </w:tc>
              <w:tc>
                <w:tcPr>
                  <w:tcW w:w="209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4366320.345</w:t>
                  </w:r>
                </w:p>
              </w:tc>
              <w:tc>
                <w:tcPr>
                  <w:tcW w:w="200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37423434.9</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28</w:t>
                  </w:r>
                </w:p>
              </w:tc>
              <w:tc>
                <w:tcPr>
                  <w:tcW w:w="209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4366335.083</w:t>
                  </w:r>
                </w:p>
              </w:tc>
              <w:tc>
                <w:tcPr>
                  <w:tcW w:w="200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37423438.35</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29</w:t>
                  </w:r>
                </w:p>
              </w:tc>
              <w:tc>
                <w:tcPr>
                  <w:tcW w:w="209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4366347.783</w:t>
                  </w:r>
                </w:p>
              </w:tc>
              <w:tc>
                <w:tcPr>
                  <w:tcW w:w="200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3723437.35</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30</w:t>
                  </w:r>
                </w:p>
              </w:tc>
              <w:tc>
                <w:tcPr>
                  <w:tcW w:w="209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4366362.467</w:t>
                  </w:r>
                </w:p>
              </w:tc>
              <w:tc>
                <w:tcPr>
                  <w:tcW w:w="200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37423441.13</w:t>
                  </w:r>
                </w:p>
              </w:tc>
            </w:tr>
            <w:tr>
              <w:tblPrEx>
                <w:tblCellMar>
                  <w:top w:w="0" w:type="dxa"/>
                  <w:left w:w="108" w:type="dxa"/>
                  <w:bottom w:w="0" w:type="dxa"/>
                  <w:right w:w="108" w:type="dxa"/>
                </w:tblCellMar>
              </w:tblPrEx>
              <w:trPr>
                <w:trHeight w:val="308" w:hRule="atLeast"/>
                <w:jc w:val="center"/>
              </w:trPr>
              <w:tc>
                <w:tcPr>
                  <w:tcW w:w="901" w:type="pct"/>
                  <w:tcBorders>
                    <w:top w:val="single" w:color="000000" w:sz="4" w:space="0"/>
                    <w:left w:val="single" w:color="000000" w:sz="8" w:space="0"/>
                    <w:bottom w:val="single" w:color="000000" w:sz="4" w:space="0"/>
                    <w:right w:val="single" w:color="000000" w:sz="4" w:space="0"/>
                  </w:tcBorders>
                  <w:vAlign w:val="center"/>
                </w:tcPr>
                <w:p>
                  <w:pPr>
                    <w:pStyle w:val="56"/>
                    <w:spacing w:line="240" w:lineRule="auto"/>
                    <w:ind w:firstLine="0" w:firstLineChars="0"/>
                    <w:jc w:val="center"/>
                    <w:outlineLvl w:val="1"/>
                    <w:rPr>
                      <w:sz w:val="21"/>
                      <w:szCs w:val="21"/>
                    </w:rPr>
                  </w:pPr>
                  <w:r>
                    <w:rPr>
                      <w:rFonts w:hint="eastAsia"/>
                      <w:sz w:val="21"/>
                      <w:szCs w:val="21"/>
                    </w:rPr>
                    <w:t>31</w:t>
                  </w:r>
                </w:p>
              </w:tc>
              <w:tc>
                <w:tcPr>
                  <w:tcW w:w="209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4366371.992</w:t>
                  </w:r>
                </w:p>
              </w:tc>
              <w:tc>
                <w:tcPr>
                  <w:tcW w:w="2005" w:type="pct"/>
                  <w:tcBorders>
                    <w:top w:val="single" w:color="000000" w:sz="4" w:space="0"/>
                    <w:left w:val="nil"/>
                    <w:bottom w:val="single" w:color="000000" w:sz="4" w:space="0"/>
                    <w:right w:val="single" w:color="000000" w:sz="4" w:space="0"/>
                  </w:tcBorders>
                  <w:shd w:val="clear" w:color="auto" w:fill="auto"/>
                  <w:noWrap/>
                  <w:vAlign w:val="center"/>
                </w:tcPr>
                <w:p>
                  <w:pPr>
                    <w:pStyle w:val="56"/>
                    <w:spacing w:line="240" w:lineRule="auto"/>
                    <w:ind w:firstLine="0" w:firstLineChars="0"/>
                    <w:jc w:val="center"/>
                    <w:outlineLvl w:val="1"/>
                    <w:rPr>
                      <w:sz w:val="21"/>
                      <w:szCs w:val="21"/>
                    </w:rPr>
                  </w:pPr>
                  <w:r>
                    <w:rPr>
                      <w:rFonts w:hint="eastAsia"/>
                      <w:sz w:val="21"/>
                      <w:szCs w:val="21"/>
                    </w:rPr>
                    <w:t>37423443.91</w:t>
                  </w:r>
                </w:p>
              </w:tc>
            </w:tr>
          </w:tbl>
          <w:p>
            <w:pPr>
              <w:pStyle w:val="10"/>
              <w:ind w:firstLine="480"/>
            </w:pPr>
          </w:p>
          <w:p>
            <w:pPr>
              <w:pStyle w:val="10"/>
              <w:ind w:firstLine="480"/>
            </w:pPr>
            <w:r>
              <w:rPr>
                <w:rFonts w:hint="eastAsia"/>
              </w:rPr>
              <w:t>1.3、项目建设内容</w:t>
            </w:r>
          </w:p>
          <w:p>
            <w:pPr>
              <w:pStyle w:val="10"/>
              <w:ind w:firstLine="480"/>
            </w:pPr>
            <w:r>
              <w:rPr>
                <w:rFonts w:hint="eastAsia"/>
              </w:rPr>
              <w:t>本项目建设内容主要包括混凝土搅拌系统、原料储库、水泥筒仓、粉煤灰筒仓及配套的生活办公区，同时配套建设相关公辅工程及环保工程。</w:t>
            </w:r>
          </w:p>
          <w:p>
            <w:pPr>
              <w:pStyle w:val="10"/>
              <w:ind w:firstLine="480"/>
            </w:pPr>
            <w:r>
              <w:rPr>
                <w:rFonts w:hint="eastAsia"/>
              </w:rPr>
              <w:t>项目具体建设内容见表2-2。</w:t>
            </w:r>
          </w:p>
          <w:p>
            <w:pPr>
              <w:pStyle w:val="10"/>
              <w:ind w:firstLine="480"/>
            </w:pPr>
          </w:p>
          <w:p>
            <w:pPr>
              <w:pStyle w:val="10"/>
              <w:spacing w:line="240" w:lineRule="auto"/>
              <w:ind w:firstLine="0" w:firstLineChars="0"/>
              <w:jc w:val="center"/>
            </w:pPr>
            <w:r>
              <w:rPr>
                <w:rFonts w:hint="eastAsia"/>
                <w:b/>
                <w:bCs/>
              </w:rPr>
              <w:t>表2-2       项目主要建设内容一览表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7"/>
              <w:gridCol w:w="853"/>
              <w:gridCol w:w="1159"/>
              <w:gridCol w:w="3934"/>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 w:type="pct"/>
                  <w:vAlign w:val="center"/>
                </w:tcPr>
                <w:p>
                  <w:pPr>
                    <w:pStyle w:val="10"/>
                    <w:spacing w:line="240" w:lineRule="auto"/>
                    <w:ind w:firstLine="0" w:firstLineChars="0"/>
                    <w:jc w:val="center"/>
                    <w:rPr>
                      <w:sz w:val="21"/>
                      <w:szCs w:val="21"/>
                    </w:rPr>
                  </w:pPr>
                  <w:r>
                    <w:rPr>
                      <w:rFonts w:hint="eastAsia"/>
                      <w:sz w:val="21"/>
                      <w:szCs w:val="21"/>
                    </w:rPr>
                    <w:t>类别</w:t>
                  </w:r>
                </w:p>
              </w:tc>
              <w:tc>
                <w:tcPr>
                  <w:tcW w:w="511" w:type="pct"/>
                  <w:vAlign w:val="center"/>
                </w:tcPr>
                <w:p>
                  <w:pPr>
                    <w:pStyle w:val="10"/>
                    <w:spacing w:line="240" w:lineRule="auto"/>
                    <w:ind w:firstLine="0" w:firstLineChars="0"/>
                    <w:jc w:val="center"/>
                    <w:rPr>
                      <w:sz w:val="21"/>
                      <w:szCs w:val="21"/>
                    </w:rPr>
                  </w:pPr>
                  <w:r>
                    <w:rPr>
                      <w:rFonts w:hint="eastAsia"/>
                      <w:sz w:val="21"/>
                      <w:szCs w:val="21"/>
                    </w:rPr>
                    <w:t>项目</w:t>
                  </w:r>
                </w:p>
              </w:tc>
              <w:tc>
                <w:tcPr>
                  <w:tcW w:w="3050" w:type="pct"/>
                  <w:gridSpan w:val="2"/>
                  <w:vAlign w:val="center"/>
                </w:tcPr>
                <w:p>
                  <w:pPr>
                    <w:pStyle w:val="10"/>
                    <w:spacing w:line="240" w:lineRule="auto"/>
                    <w:ind w:firstLine="0" w:firstLineChars="0"/>
                    <w:jc w:val="center"/>
                    <w:rPr>
                      <w:sz w:val="21"/>
                      <w:szCs w:val="21"/>
                    </w:rPr>
                  </w:pPr>
                  <w:r>
                    <w:rPr>
                      <w:rFonts w:hint="eastAsia"/>
                      <w:sz w:val="21"/>
                      <w:szCs w:val="21"/>
                    </w:rPr>
                    <w:t>建设内容</w:t>
                  </w:r>
                </w:p>
              </w:tc>
              <w:tc>
                <w:tcPr>
                  <w:tcW w:w="1045" w:type="pct"/>
                  <w:vAlign w:val="center"/>
                </w:tcPr>
                <w:p>
                  <w:pPr>
                    <w:pStyle w:val="10"/>
                    <w:spacing w:line="240" w:lineRule="auto"/>
                    <w:ind w:firstLine="0" w:firstLineChars="0"/>
                    <w:jc w:val="center"/>
                    <w:rPr>
                      <w:sz w:val="21"/>
                      <w:szCs w:val="21"/>
                    </w:rPr>
                  </w:pPr>
                  <w:r>
                    <w:rPr>
                      <w:rFonts w:hint="eastAsia"/>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 w:type="pct"/>
                  <w:vAlign w:val="center"/>
                </w:tcPr>
                <w:p>
                  <w:pPr>
                    <w:pStyle w:val="10"/>
                    <w:spacing w:line="240" w:lineRule="auto"/>
                    <w:ind w:firstLine="0" w:firstLineChars="0"/>
                    <w:jc w:val="center"/>
                    <w:rPr>
                      <w:sz w:val="21"/>
                      <w:szCs w:val="21"/>
                    </w:rPr>
                  </w:pPr>
                  <w:r>
                    <w:rPr>
                      <w:rFonts w:hint="eastAsia"/>
                      <w:sz w:val="21"/>
                      <w:szCs w:val="21"/>
                    </w:rPr>
                    <w:t>主体工程</w:t>
                  </w:r>
                </w:p>
              </w:tc>
              <w:tc>
                <w:tcPr>
                  <w:tcW w:w="511" w:type="pct"/>
                  <w:vAlign w:val="center"/>
                </w:tcPr>
                <w:p>
                  <w:pPr>
                    <w:pStyle w:val="10"/>
                    <w:spacing w:line="240" w:lineRule="auto"/>
                    <w:ind w:firstLine="0" w:firstLineChars="0"/>
                    <w:jc w:val="center"/>
                    <w:rPr>
                      <w:sz w:val="21"/>
                      <w:szCs w:val="21"/>
                    </w:rPr>
                  </w:pPr>
                  <w:r>
                    <w:rPr>
                      <w:rFonts w:hint="eastAsia"/>
                      <w:sz w:val="21"/>
                      <w:szCs w:val="21"/>
                    </w:rPr>
                    <w:t>混凝土搅拌系统</w:t>
                  </w:r>
                </w:p>
              </w:tc>
              <w:tc>
                <w:tcPr>
                  <w:tcW w:w="3050" w:type="pct"/>
                  <w:gridSpan w:val="2"/>
                  <w:vAlign w:val="center"/>
                </w:tcPr>
                <w:p>
                  <w:pPr>
                    <w:pStyle w:val="10"/>
                    <w:spacing w:line="240" w:lineRule="auto"/>
                    <w:ind w:firstLine="0" w:firstLineChars="0"/>
                    <w:rPr>
                      <w:b/>
                      <w:sz w:val="21"/>
                      <w:szCs w:val="21"/>
                    </w:rPr>
                  </w:pPr>
                  <w:r>
                    <w:rPr>
                      <w:rFonts w:hint="eastAsia"/>
                      <w:sz w:val="21"/>
                      <w:szCs w:val="21"/>
                    </w:rPr>
                    <w:t>混凝土搅拌区域占地面积3727.53m</w:t>
                  </w:r>
                  <w:r>
                    <w:rPr>
                      <w:rFonts w:hint="eastAsia"/>
                      <w:sz w:val="21"/>
                      <w:szCs w:val="21"/>
                      <w:vertAlign w:val="superscript"/>
                    </w:rPr>
                    <w:t>2</w:t>
                  </w:r>
                  <w:r>
                    <w:rPr>
                      <w:rFonts w:hint="eastAsia"/>
                      <w:sz w:val="21"/>
                      <w:szCs w:val="21"/>
                    </w:rPr>
                    <w:t>，主要安装搅拌机、螺旋输送机、输送带、计量斗等设备，地面采用混凝土硬化，厚度：10cm。</w:t>
                  </w:r>
                </w:p>
              </w:tc>
              <w:tc>
                <w:tcPr>
                  <w:tcW w:w="1045" w:type="pct"/>
                  <w:vMerge w:val="restart"/>
                  <w:vAlign w:val="center"/>
                </w:tcPr>
                <w:p>
                  <w:pPr>
                    <w:pStyle w:val="10"/>
                    <w:spacing w:line="240" w:lineRule="auto"/>
                    <w:ind w:firstLine="0" w:firstLineChars="0"/>
                    <w:jc w:val="center"/>
                    <w:rPr>
                      <w:sz w:val="21"/>
                      <w:szCs w:val="21"/>
                    </w:rPr>
                  </w:pPr>
                  <w:r>
                    <w:rPr>
                      <w:rFonts w:hint="eastAsia"/>
                      <w:sz w:val="21"/>
                      <w:szCs w:val="21"/>
                    </w:rPr>
                    <w:t>利用鄂尔多斯市诚凯商贸有限公司木料仓储项目已建成物料储棚进行内部区域划分及改建。该储棚主体结构已建成，储棚高13m，储棚占地面积11211.2m</w:t>
                  </w:r>
                  <w:r>
                    <w:rPr>
                      <w:rFonts w:hint="eastAsia"/>
                      <w:sz w:val="21"/>
                      <w:szCs w:val="21"/>
                      <w:vertAlign w:val="superscript"/>
                    </w:rPr>
                    <w:t>2</w:t>
                  </w:r>
                  <w:r>
                    <w:rPr>
                      <w:rFonts w:hint="eastAsia"/>
                      <w:sz w:val="21"/>
                      <w:szCs w:val="21"/>
                    </w:rPr>
                    <w:t>，棚内地面尚未硬化，不存在环境问题。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5" w:hRule="atLeast"/>
              </w:trPr>
              <w:tc>
                <w:tcPr>
                  <w:tcW w:w="394" w:type="pct"/>
                  <w:vMerge w:val="restart"/>
                  <w:vAlign w:val="center"/>
                </w:tcPr>
                <w:p>
                  <w:pPr>
                    <w:pStyle w:val="10"/>
                    <w:spacing w:line="240" w:lineRule="auto"/>
                    <w:ind w:firstLine="0" w:firstLineChars="0"/>
                    <w:jc w:val="center"/>
                    <w:rPr>
                      <w:sz w:val="21"/>
                      <w:szCs w:val="21"/>
                    </w:rPr>
                  </w:pPr>
                  <w:r>
                    <w:rPr>
                      <w:rFonts w:hint="eastAsia"/>
                      <w:sz w:val="21"/>
                      <w:szCs w:val="21"/>
                    </w:rPr>
                    <w:t>储运工程</w:t>
                  </w:r>
                </w:p>
              </w:tc>
              <w:tc>
                <w:tcPr>
                  <w:tcW w:w="511" w:type="pct"/>
                  <w:vAlign w:val="center"/>
                </w:tcPr>
                <w:p>
                  <w:pPr>
                    <w:pStyle w:val="10"/>
                    <w:spacing w:line="240" w:lineRule="auto"/>
                    <w:ind w:firstLine="0" w:firstLineChars="0"/>
                    <w:jc w:val="center"/>
                    <w:rPr>
                      <w:sz w:val="21"/>
                      <w:szCs w:val="21"/>
                    </w:rPr>
                  </w:pPr>
                  <w:r>
                    <w:rPr>
                      <w:rFonts w:hint="eastAsia"/>
                      <w:sz w:val="21"/>
                      <w:szCs w:val="21"/>
                    </w:rPr>
                    <w:t>原料储库</w:t>
                  </w:r>
                </w:p>
              </w:tc>
              <w:tc>
                <w:tcPr>
                  <w:tcW w:w="3050" w:type="pct"/>
                  <w:gridSpan w:val="2"/>
                  <w:vAlign w:val="center"/>
                </w:tcPr>
                <w:p>
                  <w:pPr>
                    <w:pStyle w:val="10"/>
                    <w:spacing w:line="240" w:lineRule="auto"/>
                    <w:ind w:firstLine="0" w:firstLineChars="0"/>
                    <w:rPr>
                      <w:sz w:val="21"/>
                      <w:szCs w:val="21"/>
                    </w:rPr>
                  </w:pPr>
                  <w:r>
                    <w:rPr>
                      <w:rFonts w:hint="eastAsia"/>
                      <w:sz w:val="21"/>
                      <w:szCs w:val="21"/>
                    </w:rPr>
                    <w:t>项目利用现有储棚改造1座全封闭轻钢结构原料储库，总面积为7203.41m</w:t>
                  </w:r>
                  <w:r>
                    <w:rPr>
                      <w:rFonts w:hint="eastAsia"/>
                      <w:sz w:val="21"/>
                      <w:szCs w:val="21"/>
                      <w:vertAlign w:val="superscript"/>
                    </w:rPr>
                    <w:t>2</w:t>
                  </w:r>
                  <w:r>
                    <w:rPr>
                      <w:rFonts w:hint="eastAsia"/>
                      <w:sz w:val="21"/>
                      <w:szCs w:val="21"/>
                    </w:rPr>
                    <w:t>，棚内采取洒水抑尘措施，仅留车辆进出口，用于暂存石料，同时内部设有3台破碎机。地面采用混凝土硬化，厚度：10cm。</w:t>
                  </w:r>
                </w:p>
              </w:tc>
              <w:tc>
                <w:tcPr>
                  <w:tcW w:w="1045" w:type="pct"/>
                  <w:vMerge w:val="continue"/>
                  <w:vAlign w:val="center"/>
                </w:tcPr>
                <w:p>
                  <w:pPr>
                    <w:pStyle w:val="10"/>
                    <w:spacing w:line="240" w:lineRule="auto"/>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394" w:type="pct"/>
                  <w:vMerge w:val="continue"/>
                  <w:vAlign w:val="center"/>
                </w:tcPr>
                <w:p>
                  <w:pPr>
                    <w:pStyle w:val="10"/>
                    <w:spacing w:line="240" w:lineRule="auto"/>
                    <w:ind w:firstLine="0" w:firstLineChars="0"/>
                    <w:jc w:val="center"/>
                    <w:rPr>
                      <w:sz w:val="21"/>
                      <w:szCs w:val="21"/>
                    </w:rPr>
                  </w:pPr>
                </w:p>
              </w:tc>
              <w:tc>
                <w:tcPr>
                  <w:tcW w:w="511" w:type="pct"/>
                  <w:vAlign w:val="center"/>
                </w:tcPr>
                <w:p>
                  <w:pPr>
                    <w:pStyle w:val="10"/>
                    <w:spacing w:line="240" w:lineRule="auto"/>
                    <w:ind w:firstLine="0" w:firstLineChars="0"/>
                    <w:jc w:val="center"/>
                    <w:rPr>
                      <w:sz w:val="21"/>
                      <w:szCs w:val="21"/>
                    </w:rPr>
                  </w:pPr>
                  <w:r>
                    <w:rPr>
                      <w:rFonts w:hint="eastAsia"/>
                      <w:sz w:val="21"/>
                      <w:szCs w:val="21"/>
                    </w:rPr>
                    <w:t>水泥储罐</w:t>
                  </w:r>
                </w:p>
              </w:tc>
              <w:tc>
                <w:tcPr>
                  <w:tcW w:w="3050" w:type="pct"/>
                  <w:gridSpan w:val="2"/>
                  <w:vAlign w:val="center"/>
                </w:tcPr>
                <w:p>
                  <w:pPr>
                    <w:pStyle w:val="10"/>
                    <w:spacing w:line="240" w:lineRule="auto"/>
                    <w:ind w:firstLine="0" w:firstLineChars="0"/>
                    <w:rPr>
                      <w:sz w:val="21"/>
                      <w:szCs w:val="21"/>
                    </w:rPr>
                  </w:pPr>
                  <w:r>
                    <w:rPr>
                      <w:rFonts w:hint="eastAsia" w:hAnsi="宋体"/>
                      <w:sz w:val="21"/>
                      <w:szCs w:val="21"/>
                    </w:rPr>
                    <w:t>水泥</w:t>
                  </w:r>
                  <w:r>
                    <w:rPr>
                      <w:rFonts w:hint="eastAsia"/>
                      <w:sz w:val="21"/>
                      <w:szCs w:val="21"/>
                    </w:rPr>
                    <w:t>储罐</w:t>
                  </w:r>
                  <w:r>
                    <w:rPr>
                      <w:rFonts w:hint="eastAsia" w:hAnsi="宋体"/>
                      <w:sz w:val="21"/>
                      <w:szCs w:val="21"/>
                    </w:rPr>
                    <w:t>区占地60m</w:t>
                  </w:r>
                  <w:r>
                    <w:rPr>
                      <w:rFonts w:hint="eastAsia" w:hAnsi="宋体"/>
                      <w:sz w:val="21"/>
                      <w:szCs w:val="21"/>
                      <w:vertAlign w:val="superscript"/>
                    </w:rPr>
                    <w:t>2</w:t>
                  </w:r>
                  <w:r>
                    <w:rPr>
                      <w:rFonts w:hint="eastAsia" w:hAnsi="宋体"/>
                      <w:sz w:val="21"/>
                      <w:szCs w:val="21"/>
                    </w:rPr>
                    <w:t>，设2座容积为150m</w:t>
                  </w:r>
                  <w:r>
                    <w:rPr>
                      <w:rFonts w:hint="eastAsia" w:hAnsi="宋体"/>
                      <w:sz w:val="21"/>
                      <w:szCs w:val="21"/>
                      <w:vertAlign w:val="superscript"/>
                    </w:rPr>
                    <w:t>3</w:t>
                  </w:r>
                  <w:r>
                    <w:rPr>
                      <w:rFonts w:hint="eastAsia" w:hAnsi="宋体"/>
                      <w:sz w:val="21"/>
                      <w:szCs w:val="21"/>
                    </w:rPr>
                    <w:t>的立式水泥筒仓，为封闭式结构，用于储存原料水泥，储存量300t。</w:t>
                  </w:r>
                </w:p>
              </w:tc>
              <w:tc>
                <w:tcPr>
                  <w:tcW w:w="1045" w:type="pct"/>
                  <w:vAlign w:val="center"/>
                </w:tcPr>
                <w:p>
                  <w:pPr>
                    <w:pStyle w:val="10"/>
                    <w:spacing w:line="240" w:lineRule="auto"/>
                    <w:ind w:firstLine="0" w:firstLineChars="0"/>
                    <w:jc w:val="center"/>
                    <w:rPr>
                      <w:sz w:val="21"/>
                      <w:szCs w:val="21"/>
                    </w:rPr>
                  </w:pPr>
                  <w:r>
                    <w:rPr>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394" w:type="pct"/>
                  <w:vMerge w:val="continue"/>
                  <w:vAlign w:val="center"/>
                </w:tcPr>
                <w:p>
                  <w:pPr>
                    <w:pStyle w:val="10"/>
                    <w:spacing w:line="240" w:lineRule="auto"/>
                    <w:ind w:firstLine="0" w:firstLineChars="0"/>
                    <w:jc w:val="center"/>
                    <w:rPr>
                      <w:sz w:val="21"/>
                      <w:szCs w:val="21"/>
                    </w:rPr>
                  </w:pPr>
                </w:p>
              </w:tc>
              <w:tc>
                <w:tcPr>
                  <w:tcW w:w="511" w:type="pct"/>
                  <w:vAlign w:val="center"/>
                </w:tcPr>
                <w:p>
                  <w:pPr>
                    <w:pStyle w:val="10"/>
                    <w:spacing w:line="240" w:lineRule="auto"/>
                    <w:ind w:firstLine="0" w:firstLineChars="0"/>
                    <w:jc w:val="center"/>
                    <w:rPr>
                      <w:sz w:val="21"/>
                      <w:szCs w:val="21"/>
                    </w:rPr>
                  </w:pPr>
                  <w:r>
                    <w:rPr>
                      <w:rFonts w:hint="eastAsia"/>
                      <w:sz w:val="21"/>
                      <w:szCs w:val="21"/>
                    </w:rPr>
                    <w:t>粉煤灰储罐</w:t>
                  </w:r>
                </w:p>
              </w:tc>
              <w:tc>
                <w:tcPr>
                  <w:tcW w:w="3050" w:type="pct"/>
                  <w:gridSpan w:val="2"/>
                  <w:vAlign w:val="center"/>
                </w:tcPr>
                <w:p>
                  <w:pPr>
                    <w:pStyle w:val="10"/>
                    <w:spacing w:line="240" w:lineRule="auto"/>
                    <w:ind w:firstLine="0" w:firstLineChars="0"/>
                    <w:rPr>
                      <w:sz w:val="21"/>
                      <w:szCs w:val="21"/>
                    </w:rPr>
                  </w:pPr>
                  <w:r>
                    <w:rPr>
                      <w:rFonts w:hint="eastAsia" w:hAnsi="宋体"/>
                      <w:sz w:val="21"/>
                      <w:szCs w:val="21"/>
                    </w:rPr>
                    <w:t>粉煤灰</w:t>
                  </w:r>
                  <w:r>
                    <w:rPr>
                      <w:rFonts w:hint="eastAsia"/>
                      <w:sz w:val="21"/>
                      <w:szCs w:val="21"/>
                    </w:rPr>
                    <w:t>储罐</w:t>
                  </w:r>
                  <w:r>
                    <w:rPr>
                      <w:rFonts w:hint="eastAsia" w:hAnsi="宋体"/>
                      <w:sz w:val="21"/>
                      <w:szCs w:val="21"/>
                    </w:rPr>
                    <w:t>区占地60m</w:t>
                  </w:r>
                  <w:r>
                    <w:rPr>
                      <w:rFonts w:hint="eastAsia" w:hAnsi="宋体"/>
                      <w:sz w:val="21"/>
                      <w:szCs w:val="21"/>
                      <w:vertAlign w:val="superscript"/>
                    </w:rPr>
                    <w:t>2</w:t>
                  </w:r>
                  <w:r>
                    <w:rPr>
                      <w:rFonts w:hint="eastAsia" w:hAnsi="宋体"/>
                      <w:sz w:val="21"/>
                      <w:szCs w:val="21"/>
                    </w:rPr>
                    <w:t>，设2座容积为150m</w:t>
                  </w:r>
                  <w:r>
                    <w:rPr>
                      <w:rFonts w:hint="eastAsia" w:hAnsi="宋体"/>
                      <w:sz w:val="21"/>
                      <w:szCs w:val="21"/>
                      <w:vertAlign w:val="superscript"/>
                    </w:rPr>
                    <w:t>3</w:t>
                  </w:r>
                  <w:r>
                    <w:rPr>
                      <w:rFonts w:hint="eastAsia" w:hAnsi="宋体"/>
                      <w:sz w:val="21"/>
                      <w:szCs w:val="21"/>
                    </w:rPr>
                    <w:t>的立式粉煤灰筒仓，为封闭式结构，用于储存原料粉煤灰，储存量300t。</w:t>
                  </w:r>
                </w:p>
              </w:tc>
              <w:tc>
                <w:tcPr>
                  <w:tcW w:w="1045" w:type="pct"/>
                  <w:vAlign w:val="center"/>
                </w:tcPr>
                <w:p>
                  <w:pPr>
                    <w:pStyle w:val="10"/>
                    <w:spacing w:line="240" w:lineRule="auto"/>
                    <w:ind w:firstLine="0" w:firstLineChars="0"/>
                    <w:jc w:val="center"/>
                    <w:rPr>
                      <w:sz w:val="21"/>
                      <w:szCs w:val="21"/>
                    </w:rPr>
                  </w:pPr>
                  <w:r>
                    <w:rPr>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394" w:type="pct"/>
                  <w:vMerge w:val="continue"/>
                  <w:vAlign w:val="center"/>
                </w:tcPr>
                <w:p>
                  <w:pPr>
                    <w:pStyle w:val="10"/>
                    <w:spacing w:line="240" w:lineRule="auto"/>
                    <w:ind w:firstLine="0" w:firstLineChars="0"/>
                    <w:jc w:val="center"/>
                    <w:rPr>
                      <w:sz w:val="21"/>
                      <w:szCs w:val="21"/>
                    </w:rPr>
                  </w:pPr>
                </w:p>
              </w:tc>
              <w:tc>
                <w:tcPr>
                  <w:tcW w:w="511" w:type="pct"/>
                  <w:vAlign w:val="center"/>
                </w:tcPr>
                <w:p>
                  <w:pPr>
                    <w:autoSpaceDE w:val="0"/>
                    <w:autoSpaceDN w:val="0"/>
                    <w:jc w:val="center"/>
                    <w:rPr>
                      <w:rFonts w:hint="eastAsia" w:cs="宋体" w:asciiTheme="minorEastAsia" w:hAnsiTheme="minorEastAsia" w:eastAsiaTheme="minorEastAsia"/>
                      <w:kern w:val="0"/>
                      <w:sz w:val="21"/>
                    </w:rPr>
                  </w:pPr>
                  <w:r>
                    <w:rPr>
                      <w:rFonts w:hint="eastAsia" w:cs="宋体" w:asciiTheme="minorEastAsia" w:hAnsiTheme="minorEastAsia" w:eastAsiaTheme="minorEastAsia"/>
                      <w:kern w:val="0"/>
                      <w:sz w:val="21"/>
                    </w:rPr>
                    <w:t>储水罐</w:t>
                  </w:r>
                </w:p>
              </w:tc>
              <w:tc>
                <w:tcPr>
                  <w:tcW w:w="3050" w:type="pct"/>
                  <w:gridSpan w:val="2"/>
                  <w:vAlign w:val="center"/>
                </w:tcPr>
                <w:p>
                  <w:pPr>
                    <w:autoSpaceDE w:val="0"/>
                    <w:autoSpaceDN w:val="0"/>
                    <w:rPr>
                      <w:rFonts w:hint="eastAsia" w:cs="宋体" w:asciiTheme="minorEastAsia" w:hAnsiTheme="minorEastAsia" w:eastAsiaTheme="minorEastAsia"/>
                      <w:sz w:val="21"/>
                    </w:rPr>
                  </w:pPr>
                  <w:r>
                    <w:rPr>
                      <w:rFonts w:hint="eastAsia" w:cs="宋体" w:asciiTheme="minorEastAsia" w:hAnsiTheme="minorEastAsia" w:eastAsiaTheme="minorEastAsia"/>
                      <w:sz w:val="21"/>
                    </w:rPr>
                    <w:t>项目设置一个</w:t>
                  </w:r>
                  <w:r>
                    <w:rPr>
                      <w:rFonts w:hint="eastAsia"/>
                      <w:kern w:val="0"/>
                      <w:sz w:val="21"/>
                      <w:szCs w:val="21"/>
                    </w:rPr>
                    <w:t>30</w:t>
                  </w:r>
                  <w:r>
                    <w:rPr>
                      <w:rFonts w:hint="eastAsia" w:cs="宋体" w:asciiTheme="minorEastAsia" w:hAnsiTheme="minorEastAsia" w:eastAsiaTheme="minorEastAsia"/>
                      <w:sz w:val="21"/>
                    </w:rPr>
                    <w:t>m³的地下储水罐，用于项目生产用水的存放。</w:t>
                  </w:r>
                </w:p>
              </w:tc>
              <w:tc>
                <w:tcPr>
                  <w:tcW w:w="1045" w:type="pct"/>
                  <w:vAlign w:val="center"/>
                </w:tcPr>
                <w:p>
                  <w:pPr>
                    <w:autoSpaceDE w:val="0"/>
                    <w:autoSpaceDN w:val="0"/>
                    <w:jc w:val="center"/>
                    <w:rPr>
                      <w:rFonts w:hint="eastAsia" w:cs="宋体" w:asciiTheme="minorEastAsia" w:hAnsiTheme="minorEastAsia" w:eastAsiaTheme="minorEastAsia"/>
                      <w:sz w:val="21"/>
                    </w:rPr>
                  </w:pPr>
                  <w:r>
                    <w:rPr>
                      <w:rFonts w:hint="eastAsia" w:cs="宋体" w:asciiTheme="minorEastAsia" w:hAnsiTheme="minorEastAsia" w:eastAsiaTheme="minorEastAsia"/>
                      <w:sz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 w:type="pct"/>
                  <w:vMerge w:val="restart"/>
                  <w:vAlign w:val="center"/>
                </w:tcPr>
                <w:p>
                  <w:pPr>
                    <w:pStyle w:val="10"/>
                    <w:spacing w:line="240" w:lineRule="auto"/>
                    <w:ind w:firstLine="0" w:firstLineChars="0"/>
                    <w:jc w:val="center"/>
                    <w:rPr>
                      <w:sz w:val="21"/>
                      <w:szCs w:val="21"/>
                    </w:rPr>
                  </w:pPr>
                  <w:r>
                    <w:rPr>
                      <w:rFonts w:hint="eastAsia"/>
                      <w:sz w:val="21"/>
                      <w:szCs w:val="21"/>
                    </w:rPr>
                    <w:t>辅助工程</w:t>
                  </w:r>
                </w:p>
              </w:tc>
              <w:tc>
                <w:tcPr>
                  <w:tcW w:w="511" w:type="pct"/>
                  <w:vAlign w:val="center"/>
                </w:tcPr>
                <w:p>
                  <w:pPr>
                    <w:pStyle w:val="10"/>
                    <w:spacing w:line="240" w:lineRule="auto"/>
                    <w:ind w:firstLine="0" w:firstLineChars="0"/>
                    <w:jc w:val="center"/>
                    <w:rPr>
                      <w:sz w:val="21"/>
                      <w:szCs w:val="21"/>
                    </w:rPr>
                  </w:pPr>
                  <w:r>
                    <w:rPr>
                      <w:rFonts w:hint="eastAsia"/>
                      <w:sz w:val="21"/>
                      <w:szCs w:val="21"/>
                    </w:rPr>
                    <w:t>生活办公区</w:t>
                  </w:r>
                </w:p>
              </w:tc>
              <w:tc>
                <w:tcPr>
                  <w:tcW w:w="3050" w:type="pct"/>
                  <w:gridSpan w:val="2"/>
                  <w:vAlign w:val="center"/>
                </w:tcPr>
                <w:p>
                  <w:pPr>
                    <w:pStyle w:val="10"/>
                    <w:spacing w:line="240" w:lineRule="auto"/>
                    <w:ind w:firstLine="0" w:firstLineChars="0"/>
                    <w:rPr>
                      <w:sz w:val="21"/>
                      <w:szCs w:val="21"/>
                    </w:rPr>
                  </w:pPr>
                  <w:r>
                    <w:rPr>
                      <w:rFonts w:hint="eastAsia"/>
                      <w:sz w:val="21"/>
                      <w:szCs w:val="21"/>
                    </w:rPr>
                    <w:t>办公生活区建筑面积300m</w:t>
                  </w:r>
                  <w:r>
                    <w:rPr>
                      <w:rFonts w:hint="eastAsia"/>
                      <w:sz w:val="21"/>
                      <w:szCs w:val="21"/>
                      <w:vertAlign w:val="superscript"/>
                    </w:rPr>
                    <w:t>2</w:t>
                  </w:r>
                  <w:r>
                    <w:rPr>
                      <w:rFonts w:hint="eastAsia"/>
                      <w:sz w:val="21"/>
                      <w:szCs w:val="21"/>
                    </w:rPr>
                    <w:t>，主要功能为员工办公、休息区，冬季采暖采用电采暖。</w:t>
                  </w:r>
                </w:p>
              </w:tc>
              <w:tc>
                <w:tcPr>
                  <w:tcW w:w="1045" w:type="pct"/>
                  <w:vAlign w:val="center"/>
                </w:tcPr>
                <w:p>
                  <w:pPr>
                    <w:pStyle w:val="10"/>
                    <w:spacing w:line="240" w:lineRule="auto"/>
                    <w:ind w:firstLine="0" w:firstLineChars="0"/>
                    <w:jc w:val="center"/>
                    <w:rPr>
                      <w:sz w:val="21"/>
                      <w:szCs w:val="21"/>
                    </w:rPr>
                  </w:pPr>
                  <w:r>
                    <w:rPr>
                      <w:rFonts w:hint="eastAsia"/>
                      <w:sz w:val="21"/>
                      <w:szCs w:val="21"/>
                    </w:rPr>
                    <w:t>租用鄂尔多斯市诚凯商贸有限公司法人自建房屋。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94" w:type="pct"/>
                  <w:vMerge w:val="continue"/>
                  <w:vAlign w:val="center"/>
                </w:tcPr>
                <w:p>
                  <w:pPr>
                    <w:pStyle w:val="10"/>
                    <w:spacing w:line="240" w:lineRule="auto"/>
                    <w:ind w:firstLine="0" w:firstLineChars="0"/>
                    <w:jc w:val="center"/>
                    <w:rPr>
                      <w:sz w:val="21"/>
                      <w:szCs w:val="21"/>
                    </w:rPr>
                  </w:pPr>
                </w:p>
              </w:tc>
              <w:tc>
                <w:tcPr>
                  <w:tcW w:w="511" w:type="pct"/>
                  <w:vAlign w:val="center"/>
                </w:tcPr>
                <w:p>
                  <w:pPr>
                    <w:pStyle w:val="10"/>
                    <w:spacing w:line="240" w:lineRule="auto"/>
                    <w:ind w:firstLine="0" w:firstLineChars="0"/>
                    <w:jc w:val="center"/>
                    <w:rPr>
                      <w:sz w:val="21"/>
                      <w:szCs w:val="21"/>
                    </w:rPr>
                  </w:pPr>
                  <w:r>
                    <w:rPr>
                      <w:rFonts w:hint="eastAsia"/>
                      <w:sz w:val="21"/>
                      <w:szCs w:val="21"/>
                    </w:rPr>
                    <w:t>厂区道路</w:t>
                  </w:r>
                </w:p>
              </w:tc>
              <w:tc>
                <w:tcPr>
                  <w:tcW w:w="3050" w:type="pct"/>
                  <w:gridSpan w:val="2"/>
                  <w:vAlign w:val="center"/>
                </w:tcPr>
                <w:p>
                  <w:pPr>
                    <w:pStyle w:val="10"/>
                    <w:spacing w:line="240" w:lineRule="auto"/>
                    <w:ind w:firstLine="0" w:firstLineChars="0"/>
                    <w:rPr>
                      <w:sz w:val="21"/>
                      <w:szCs w:val="21"/>
                    </w:rPr>
                  </w:pPr>
                  <w:r>
                    <w:rPr>
                      <w:rFonts w:hint="eastAsia"/>
                      <w:sz w:val="21"/>
                      <w:szCs w:val="21"/>
                    </w:rPr>
                    <w:t>厂区内设厂区道路，道路长约15m，宽3m，路面采用混凝土硬化。</w:t>
                  </w:r>
                </w:p>
              </w:tc>
              <w:tc>
                <w:tcPr>
                  <w:tcW w:w="1045" w:type="pct"/>
                  <w:vAlign w:val="center"/>
                </w:tcPr>
                <w:p>
                  <w:pPr>
                    <w:pStyle w:val="10"/>
                    <w:spacing w:line="240" w:lineRule="auto"/>
                    <w:ind w:firstLine="0" w:firstLineChars="0"/>
                    <w:jc w:val="center"/>
                    <w:rPr>
                      <w:sz w:val="21"/>
                      <w:szCs w:val="21"/>
                    </w:rPr>
                  </w:pPr>
                  <w:r>
                    <w:rPr>
                      <w:rFonts w:hint="eastAsia"/>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394" w:type="pct"/>
                  <w:vMerge w:val="restart"/>
                  <w:vAlign w:val="center"/>
                </w:tcPr>
                <w:p>
                  <w:pPr>
                    <w:pStyle w:val="10"/>
                    <w:spacing w:line="240" w:lineRule="auto"/>
                    <w:ind w:firstLine="0" w:firstLineChars="0"/>
                    <w:jc w:val="center"/>
                    <w:rPr>
                      <w:sz w:val="21"/>
                      <w:szCs w:val="21"/>
                    </w:rPr>
                  </w:pPr>
                  <w:r>
                    <w:rPr>
                      <w:rFonts w:hint="eastAsia"/>
                      <w:sz w:val="21"/>
                      <w:szCs w:val="21"/>
                    </w:rPr>
                    <w:t>公用工程</w:t>
                  </w:r>
                </w:p>
              </w:tc>
              <w:tc>
                <w:tcPr>
                  <w:tcW w:w="511" w:type="pct"/>
                  <w:vAlign w:val="center"/>
                </w:tcPr>
                <w:p>
                  <w:pPr>
                    <w:pStyle w:val="10"/>
                    <w:spacing w:line="240" w:lineRule="auto"/>
                    <w:ind w:firstLine="0" w:firstLineChars="0"/>
                    <w:jc w:val="center"/>
                    <w:rPr>
                      <w:sz w:val="21"/>
                      <w:szCs w:val="21"/>
                    </w:rPr>
                  </w:pPr>
                  <w:r>
                    <w:rPr>
                      <w:rFonts w:hint="eastAsia"/>
                      <w:sz w:val="21"/>
                      <w:szCs w:val="21"/>
                    </w:rPr>
                    <w:t>供水</w:t>
                  </w:r>
                </w:p>
              </w:tc>
              <w:tc>
                <w:tcPr>
                  <w:tcW w:w="3050" w:type="pct"/>
                  <w:gridSpan w:val="2"/>
                  <w:vAlign w:val="center"/>
                </w:tcPr>
                <w:p>
                  <w:pPr>
                    <w:pStyle w:val="10"/>
                    <w:spacing w:line="240" w:lineRule="auto"/>
                    <w:ind w:firstLine="0" w:firstLineChars="0"/>
                    <w:rPr>
                      <w:sz w:val="21"/>
                      <w:szCs w:val="21"/>
                    </w:rPr>
                  </w:pPr>
                  <w:r>
                    <w:rPr>
                      <w:rFonts w:hint="eastAsia"/>
                      <w:sz w:val="21"/>
                      <w:szCs w:val="21"/>
                    </w:rPr>
                    <w:t>本项目生活用水拟外购，生产用水由鄂尔多斯市圣园水务集团有限责任公司供给。</w:t>
                  </w:r>
                </w:p>
              </w:tc>
              <w:tc>
                <w:tcPr>
                  <w:tcW w:w="1045" w:type="pct"/>
                  <w:vAlign w:val="center"/>
                </w:tcPr>
                <w:p>
                  <w:pPr>
                    <w:pStyle w:val="10"/>
                    <w:spacing w:line="240" w:lineRule="auto"/>
                    <w:ind w:firstLine="0" w:firstLineChars="0"/>
                    <w:jc w:val="center"/>
                    <w:rPr>
                      <w:sz w:val="21"/>
                      <w:szCs w:val="21"/>
                    </w:rPr>
                  </w:pPr>
                  <w:r>
                    <w:rPr>
                      <w:rFonts w:hint="eastAsia"/>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 w:type="pct"/>
                  <w:vMerge w:val="continue"/>
                  <w:vAlign w:val="center"/>
                </w:tcPr>
                <w:p>
                  <w:pPr>
                    <w:pStyle w:val="10"/>
                    <w:spacing w:line="240" w:lineRule="auto"/>
                    <w:ind w:firstLine="0" w:firstLineChars="0"/>
                    <w:jc w:val="center"/>
                    <w:rPr>
                      <w:sz w:val="21"/>
                      <w:szCs w:val="21"/>
                    </w:rPr>
                  </w:pPr>
                </w:p>
              </w:tc>
              <w:tc>
                <w:tcPr>
                  <w:tcW w:w="511" w:type="pct"/>
                  <w:vAlign w:val="center"/>
                </w:tcPr>
                <w:p>
                  <w:pPr>
                    <w:pStyle w:val="10"/>
                    <w:spacing w:line="240" w:lineRule="auto"/>
                    <w:ind w:firstLine="0" w:firstLineChars="0"/>
                    <w:jc w:val="center"/>
                    <w:rPr>
                      <w:sz w:val="21"/>
                      <w:szCs w:val="21"/>
                    </w:rPr>
                  </w:pPr>
                  <w:r>
                    <w:rPr>
                      <w:rFonts w:hint="eastAsia"/>
                      <w:sz w:val="21"/>
                      <w:szCs w:val="21"/>
                    </w:rPr>
                    <w:t>供电</w:t>
                  </w:r>
                </w:p>
              </w:tc>
              <w:tc>
                <w:tcPr>
                  <w:tcW w:w="3050" w:type="pct"/>
                  <w:gridSpan w:val="2"/>
                  <w:vAlign w:val="center"/>
                </w:tcPr>
                <w:p>
                  <w:pPr>
                    <w:pStyle w:val="10"/>
                    <w:spacing w:line="240" w:lineRule="auto"/>
                    <w:ind w:firstLine="0" w:firstLineChars="0"/>
                    <w:rPr>
                      <w:sz w:val="21"/>
                      <w:szCs w:val="21"/>
                    </w:rPr>
                  </w:pPr>
                  <w:r>
                    <w:rPr>
                      <w:rFonts w:hint="eastAsia"/>
                      <w:sz w:val="21"/>
                      <w:szCs w:val="21"/>
                    </w:rPr>
                    <w:t>项目用电由周边供电系统供给。</w:t>
                  </w:r>
                </w:p>
              </w:tc>
              <w:tc>
                <w:tcPr>
                  <w:tcW w:w="1045" w:type="pct"/>
                  <w:vAlign w:val="center"/>
                </w:tcPr>
                <w:p>
                  <w:pPr>
                    <w:pStyle w:val="10"/>
                    <w:spacing w:line="240" w:lineRule="auto"/>
                    <w:ind w:firstLine="0" w:firstLineChars="0"/>
                    <w:jc w:val="center"/>
                    <w:rPr>
                      <w:sz w:val="21"/>
                      <w:szCs w:val="21"/>
                    </w:rPr>
                  </w:pPr>
                  <w:r>
                    <w:rPr>
                      <w:rFonts w:hint="eastAsia"/>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394" w:type="pct"/>
                  <w:vMerge w:val="continue"/>
                  <w:vAlign w:val="center"/>
                </w:tcPr>
                <w:p>
                  <w:pPr>
                    <w:pStyle w:val="10"/>
                    <w:spacing w:line="240" w:lineRule="auto"/>
                    <w:ind w:firstLine="0" w:firstLineChars="0"/>
                    <w:jc w:val="center"/>
                    <w:rPr>
                      <w:sz w:val="21"/>
                      <w:szCs w:val="21"/>
                    </w:rPr>
                  </w:pPr>
                </w:p>
              </w:tc>
              <w:tc>
                <w:tcPr>
                  <w:tcW w:w="511" w:type="pct"/>
                  <w:vAlign w:val="center"/>
                </w:tcPr>
                <w:p>
                  <w:pPr>
                    <w:pStyle w:val="10"/>
                    <w:spacing w:line="240" w:lineRule="auto"/>
                    <w:ind w:firstLine="0" w:firstLineChars="0"/>
                    <w:jc w:val="center"/>
                    <w:rPr>
                      <w:sz w:val="21"/>
                      <w:szCs w:val="21"/>
                    </w:rPr>
                  </w:pPr>
                  <w:r>
                    <w:rPr>
                      <w:rFonts w:hint="eastAsia"/>
                      <w:sz w:val="21"/>
                      <w:szCs w:val="21"/>
                    </w:rPr>
                    <w:t>供暖</w:t>
                  </w:r>
                </w:p>
              </w:tc>
              <w:tc>
                <w:tcPr>
                  <w:tcW w:w="3050" w:type="pct"/>
                  <w:gridSpan w:val="2"/>
                  <w:vAlign w:val="center"/>
                </w:tcPr>
                <w:p>
                  <w:pPr>
                    <w:pStyle w:val="10"/>
                    <w:spacing w:line="240" w:lineRule="auto"/>
                    <w:ind w:firstLine="0" w:firstLineChars="0"/>
                    <w:rPr>
                      <w:sz w:val="21"/>
                      <w:szCs w:val="21"/>
                    </w:rPr>
                  </w:pPr>
                  <w:r>
                    <w:rPr>
                      <w:rFonts w:hint="eastAsia"/>
                      <w:sz w:val="21"/>
                      <w:szCs w:val="21"/>
                    </w:rPr>
                    <w:t>本项目冬季供暖采用电暖气。</w:t>
                  </w:r>
                </w:p>
              </w:tc>
              <w:tc>
                <w:tcPr>
                  <w:tcW w:w="1045" w:type="pct"/>
                  <w:vAlign w:val="center"/>
                </w:tcPr>
                <w:p>
                  <w:pPr>
                    <w:pStyle w:val="10"/>
                    <w:spacing w:line="240" w:lineRule="auto"/>
                    <w:ind w:firstLine="0" w:firstLineChars="0"/>
                    <w:jc w:val="center"/>
                    <w:rPr>
                      <w:sz w:val="21"/>
                      <w:szCs w:val="21"/>
                    </w:rPr>
                  </w:pPr>
                  <w:r>
                    <w:rPr>
                      <w:rFonts w:hint="eastAsia"/>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94" w:type="pct"/>
                  <w:vMerge w:val="restart"/>
                  <w:vAlign w:val="center"/>
                </w:tcPr>
                <w:p>
                  <w:pPr>
                    <w:pStyle w:val="10"/>
                    <w:spacing w:line="240" w:lineRule="auto"/>
                    <w:ind w:firstLine="0" w:firstLineChars="0"/>
                    <w:jc w:val="center"/>
                    <w:rPr>
                      <w:sz w:val="21"/>
                      <w:szCs w:val="21"/>
                    </w:rPr>
                  </w:pPr>
                  <w:r>
                    <w:rPr>
                      <w:rFonts w:hint="eastAsia"/>
                      <w:sz w:val="21"/>
                      <w:szCs w:val="21"/>
                    </w:rPr>
                    <w:t>环保工程</w:t>
                  </w:r>
                </w:p>
              </w:tc>
              <w:tc>
                <w:tcPr>
                  <w:tcW w:w="511" w:type="pct"/>
                  <w:vMerge w:val="restart"/>
                  <w:vAlign w:val="center"/>
                </w:tcPr>
                <w:p>
                  <w:pPr>
                    <w:pStyle w:val="10"/>
                    <w:spacing w:line="240" w:lineRule="auto"/>
                    <w:ind w:firstLine="0" w:firstLineChars="0"/>
                    <w:jc w:val="center"/>
                    <w:rPr>
                      <w:sz w:val="21"/>
                      <w:szCs w:val="21"/>
                    </w:rPr>
                  </w:pPr>
                  <w:r>
                    <w:rPr>
                      <w:rFonts w:hint="eastAsia"/>
                      <w:sz w:val="21"/>
                      <w:szCs w:val="21"/>
                    </w:rPr>
                    <w:t>废气</w:t>
                  </w:r>
                </w:p>
              </w:tc>
              <w:tc>
                <w:tcPr>
                  <w:tcW w:w="694" w:type="pct"/>
                  <w:vAlign w:val="center"/>
                </w:tcPr>
                <w:p>
                  <w:pPr>
                    <w:jc w:val="center"/>
                    <w:rPr>
                      <w:rFonts w:hint="eastAsia" w:hAnsi="宋体" w:cs="宋体"/>
                      <w:sz w:val="21"/>
                      <w:szCs w:val="21"/>
                    </w:rPr>
                  </w:pPr>
                  <w:r>
                    <w:rPr>
                      <w:rFonts w:hAnsi="宋体" w:cs="宋体"/>
                      <w:sz w:val="21"/>
                      <w:szCs w:val="21"/>
                    </w:rPr>
                    <w:t>石料储存、装卸及</w:t>
                  </w:r>
                  <w:r>
                    <w:rPr>
                      <w:rFonts w:hint="eastAsia" w:hAnsi="宋体" w:cs="宋体"/>
                      <w:sz w:val="21"/>
                      <w:szCs w:val="21"/>
                    </w:rPr>
                    <w:t>转运</w:t>
                  </w:r>
                  <w:r>
                    <w:rPr>
                      <w:rFonts w:hAnsi="宋体" w:cs="宋体"/>
                      <w:sz w:val="21"/>
                      <w:szCs w:val="21"/>
                    </w:rPr>
                    <w:t>时产生的粉尘</w:t>
                  </w:r>
                </w:p>
              </w:tc>
              <w:tc>
                <w:tcPr>
                  <w:tcW w:w="2356" w:type="pct"/>
                  <w:vAlign w:val="center"/>
                </w:tcPr>
                <w:p>
                  <w:pPr>
                    <w:rPr>
                      <w:rFonts w:hint="eastAsia" w:hAnsi="宋体" w:cs="宋体"/>
                      <w:sz w:val="21"/>
                      <w:szCs w:val="21"/>
                    </w:rPr>
                  </w:pPr>
                  <w:r>
                    <w:rPr>
                      <w:rFonts w:hint="eastAsia" w:hAnsi="宋体" w:cs="宋体"/>
                      <w:sz w:val="21"/>
                      <w:szCs w:val="21"/>
                    </w:rPr>
                    <w:t xml:space="preserve">原料储库为全封闭结构，同时装卸及储存时采取洒水抑尘措施，可有效抑制粉尘的产生。 </w:t>
                  </w:r>
                </w:p>
              </w:tc>
              <w:tc>
                <w:tcPr>
                  <w:tcW w:w="1045" w:type="pct"/>
                  <w:vAlign w:val="center"/>
                </w:tcPr>
                <w:p>
                  <w:pPr>
                    <w:pStyle w:val="10"/>
                    <w:spacing w:line="240" w:lineRule="auto"/>
                    <w:ind w:firstLine="0" w:firstLineChars="0"/>
                    <w:jc w:val="center"/>
                    <w:rPr>
                      <w:sz w:val="21"/>
                      <w:szCs w:val="21"/>
                    </w:rPr>
                  </w:pPr>
                  <w:r>
                    <w:rPr>
                      <w:rFonts w:hint="eastAsia"/>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 w:type="pct"/>
                  <w:vMerge w:val="continue"/>
                  <w:vAlign w:val="center"/>
                </w:tcPr>
                <w:p>
                  <w:pPr>
                    <w:pStyle w:val="10"/>
                    <w:spacing w:line="240" w:lineRule="auto"/>
                    <w:ind w:firstLine="0" w:firstLineChars="0"/>
                    <w:jc w:val="center"/>
                    <w:rPr>
                      <w:sz w:val="21"/>
                      <w:szCs w:val="21"/>
                    </w:rPr>
                  </w:pPr>
                </w:p>
              </w:tc>
              <w:tc>
                <w:tcPr>
                  <w:tcW w:w="511" w:type="pct"/>
                  <w:vMerge w:val="continue"/>
                  <w:vAlign w:val="center"/>
                </w:tcPr>
                <w:p>
                  <w:pPr>
                    <w:pStyle w:val="10"/>
                    <w:spacing w:line="240" w:lineRule="auto"/>
                    <w:ind w:firstLine="0" w:firstLineChars="0"/>
                    <w:jc w:val="center"/>
                    <w:rPr>
                      <w:sz w:val="21"/>
                      <w:szCs w:val="21"/>
                    </w:rPr>
                  </w:pPr>
                </w:p>
              </w:tc>
              <w:tc>
                <w:tcPr>
                  <w:tcW w:w="694" w:type="pct"/>
                  <w:vAlign w:val="center"/>
                </w:tcPr>
                <w:p>
                  <w:pPr>
                    <w:rPr>
                      <w:rFonts w:hint="eastAsia" w:hAnsi="宋体" w:cs="宋体"/>
                      <w:sz w:val="21"/>
                      <w:szCs w:val="21"/>
                    </w:rPr>
                  </w:pPr>
                  <w:r>
                    <w:rPr>
                      <w:rFonts w:hint="eastAsia" w:hAnsi="宋体" w:cs="宋体"/>
                      <w:sz w:val="21"/>
                      <w:szCs w:val="21"/>
                    </w:rPr>
                    <w:t>物料输送及进料口</w:t>
                  </w:r>
                </w:p>
              </w:tc>
              <w:tc>
                <w:tcPr>
                  <w:tcW w:w="2356" w:type="pct"/>
                  <w:vAlign w:val="center"/>
                </w:tcPr>
                <w:p>
                  <w:pPr>
                    <w:rPr>
                      <w:rFonts w:hint="eastAsia" w:hAnsi="宋体" w:cs="宋体"/>
                      <w:sz w:val="21"/>
                      <w:szCs w:val="21"/>
                    </w:rPr>
                  </w:pPr>
                  <w:r>
                    <w:rPr>
                      <w:rFonts w:hint="eastAsia" w:hAnsi="宋体" w:cs="宋体"/>
                      <w:sz w:val="21"/>
                      <w:szCs w:val="21"/>
                    </w:rPr>
                    <w:t>物料输送采用全封闭皮带输送机；进料口与主体设备密闭连接，废气由主体设备排放。</w:t>
                  </w:r>
                </w:p>
              </w:tc>
              <w:tc>
                <w:tcPr>
                  <w:tcW w:w="1045" w:type="pct"/>
                  <w:vAlign w:val="center"/>
                </w:tcPr>
                <w:p>
                  <w:pPr>
                    <w:pStyle w:val="10"/>
                    <w:spacing w:line="240" w:lineRule="auto"/>
                    <w:ind w:firstLine="0" w:firstLineChars="0"/>
                    <w:jc w:val="center"/>
                    <w:rPr>
                      <w:sz w:val="21"/>
                      <w:szCs w:val="21"/>
                    </w:rPr>
                  </w:pPr>
                  <w:r>
                    <w:rPr>
                      <w:rFonts w:hint="eastAsia"/>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 w:type="pct"/>
                  <w:vMerge w:val="continue"/>
                  <w:vAlign w:val="center"/>
                </w:tcPr>
                <w:p>
                  <w:pPr>
                    <w:pStyle w:val="10"/>
                    <w:spacing w:line="240" w:lineRule="auto"/>
                    <w:ind w:firstLine="0" w:firstLineChars="0"/>
                    <w:jc w:val="center"/>
                    <w:rPr>
                      <w:sz w:val="21"/>
                      <w:szCs w:val="21"/>
                    </w:rPr>
                  </w:pPr>
                </w:p>
              </w:tc>
              <w:tc>
                <w:tcPr>
                  <w:tcW w:w="511" w:type="pct"/>
                  <w:vMerge w:val="continue"/>
                  <w:vAlign w:val="center"/>
                </w:tcPr>
                <w:p>
                  <w:pPr>
                    <w:pStyle w:val="10"/>
                    <w:spacing w:line="240" w:lineRule="auto"/>
                    <w:ind w:firstLine="0" w:firstLineChars="0"/>
                    <w:jc w:val="center"/>
                    <w:rPr>
                      <w:sz w:val="21"/>
                      <w:szCs w:val="21"/>
                    </w:rPr>
                  </w:pPr>
                </w:p>
              </w:tc>
              <w:tc>
                <w:tcPr>
                  <w:tcW w:w="694" w:type="pct"/>
                  <w:vAlign w:val="center"/>
                </w:tcPr>
                <w:p>
                  <w:pPr>
                    <w:pStyle w:val="56"/>
                    <w:autoSpaceDN w:val="0"/>
                    <w:spacing w:line="240" w:lineRule="auto"/>
                    <w:ind w:firstLine="0" w:firstLineChars="0"/>
                    <w:jc w:val="center"/>
                    <w:outlineLvl w:val="1"/>
                    <w:rPr>
                      <w:bCs/>
                      <w:sz w:val="21"/>
                      <w:szCs w:val="21"/>
                    </w:rPr>
                  </w:pPr>
                  <w:r>
                    <w:rPr>
                      <w:rFonts w:hint="eastAsia"/>
                      <w:bCs/>
                      <w:sz w:val="21"/>
                      <w:szCs w:val="21"/>
                    </w:rPr>
                    <w:t>水泥、粉煤灰转运粉尘</w:t>
                  </w:r>
                </w:p>
              </w:tc>
              <w:tc>
                <w:tcPr>
                  <w:tcW w:w="2356" w:type="pct"/>
                  <w:vAlign w:val="center"/>
                </w:tcPr>
                <w:p>
                  <w:pPr>
                    <w:rPr>
                      <w:bCs/>
                      <w:sz w:val="21"/>
                      <w:szCs w:val="21"/>
                    </w:rPr>
                  </w:pPr>
                  <w:r>
                    <w:rPr>
                      <w:rFonts w:hint="eastAsia" w:hAnsi="宋体" w:cs="宋体"/>
                      <w:sz w:val="21"/>
                      <w:szCs w:val="21"/>
                    </w:rPr>
                    <w:t>水泥、粉煤灰储罐罐顶配备布袋除尘器，转运粉尘经布袋除尘器处理后由罐顶排气口排放。由于储罐不具备监测条件，按无组织进行监控。</w:t>
                  </w:r>
                </w:p>
              </w:tc>
              <w:tc>
                <w:tcPr>
                  <w:tcW w:w="1045" w:type="pct"/>
                  <w:vAlign w:val="center"/>
                </w:tcPr>
                <w:p>
                  <w:pPr>
                    <w:pStyle w:val="10"/>
                    <w:spacing w:line="240" w:lineRule="auto"/>
                    <w:ind w:firstLine="0" w:firstLineChars="0"/>
                    <w:jc w:val="center"/>
                    <w:rPr>
                      <w:sz w:val="21"/>
                      <w:szCs w:val="21"/>
                    </w:rPr>
                  </w:pPr>
                  <w:r>
                    <w:rPr>
                      <w:rFonts w:hint="eastAsia"/>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 w:type="pct"/>
                  <w:vMerge w:val="continue"/>
                  <w:vAlign w:val="center"/>
                </w:tcPr>
                <w:p>
                  <w:pPr>
                    <w:pStyle w:val="10"/>
                    <w:spacing w:line="240" w:lineRule="auto"/>
                    <w:ind w:firstLine="0" w:firstLineChars="0"/>
                    <w:jc w:val="center"/>
                    <w:rPr>
                      <w:sz w:val="21"/>
                      <w:szCs w:val="21"/>
                    </w:rPr>
                  </w:pPr>
                </w:p>
              </w:tc>
              <w:tc>
                <w:tcPr>
                  <w:tcW w:w="511" w:type="pct"/>
                  <w:vMerge w:val="continue"/>
                  <w:vAlign w:val="center"/>
                </w:tcPr>
                <w:p>
                  <w:pPr>
                    <w:pStyle w:val="10"/>
                    <w:spacing w:line="240" w:lineRule="auto"/>
                    <w:ind w:firstLine="0" w:firstLineChars="0"/>
                    <w:jc w:val="center"/>
                    <w:rPr>
                      <w:sz w:val="21"/>
                      <w:szCs w:val="21"/>
                    </w:rPr>
                  </w:pPr>
                </w:p>
              </w:tc>
              <w:tc>
                <w:tcPr>
                  <w:tcW w:w="694" w:type="pct"/>
                  <w:vAlign w:val="center"/>
                </w:tcPr>
                <w:p>
                  <w:pPr>
                    <w:pStyle w:val="56"/>
                    <w:autoSpaceDN w:val="0"/>
                    <w:spacing w:line="240" w:lineRule="auto"/>
                    <w:ind w:firstLine="0" w:firstLineChars="0"/>
                    <w:jc w:val="center"/>
                    <w:outlineLvl w:val="1"/>
                    <w:rPr>
                      <w:bCs/>
                      <w:sz w:val="21"/>
                      <w:szCs w:val="21"/>
                    </w:rPr>
                  </w:pPr>
                  <w:r>
                    <w:rPr>
                      <w:rFonts w:hint="eastAsia"/>
                      <w:bCs/>
                      <w:sz w:val="21"/>
                      <w:szCs w:val="21"/>
                    </w:rPr>
                    <w:t>石料破碎粉尘</w:t>
                  </w:r>
                </w:p>
              </w:tc>
              <w:tc>
                <w:tcPr>
                  <w:tcW w:w="2356" w:type="pct"/>
                  <w:vAlign w:val="center"/>
                </w:tcPr>
                <w:p>
                  <w:pPr>
                    <w:rPr>
                      <w:rFonts w:hint="eastAsia" w:hAnsi="宋体" w:cs="宋体"/>
                      <w:sz w:val="21"/>
                      <w:szCs w:val="21"/>
                    </w:rPr>
                  </w:pPr>
                  <w:r>
                    <w:rPr>
                      <w:rFonts w:hint="eastAsia" w:hAnsi="宋体" w:cs="宋体"/>
                      <w:sz w:val="21"/>
                      <w:szCs w:val="21"/>
                    </w:rPr>
                    <w:t>石料破碎粉尘经引风管道汇集至1台布袋除尘器处理，经布袋除尘器处理后由1根15m高排气筒排放。</w:t>
                  </w:r>
                </w:p>
              </w:tc>
              <w:tc>
                <w:tcPr>
                  <w:tcW w:w="1045" w:type="pct"/>
                  <w:vAlign w:val="center"/>
                </w:tcPr>
                <w:p>
                  <w:pPr>
                    <w:pStyle w:val="10"/>
                    <w:spacing w:line="240" w:lineRule="auto"/>
                    <w:ind w:firstLine="0" w:firstLineChars="0"/>
                    <w:jc w:val="center"/>
                    <w:rPr>
                      <w:sz w:val="21"/>
                      <w:szCs w:val="21"/>
                    </w:rPr>
                  </w:pPr>
                  <w:r>
                    <w:rPr>
                      <w:rFonts w:hint="eastAsia"/>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94" w:type="pct"/>
                  <w:vMerge w:val="continue"/>
                  <w:vAlign w:val="center"/>
                </w:tcPr>
                <w:p>
                  <w:pPr>
                    <w:pStyle w:val="10"/>
                    <w:spacing w:line="240" w:lineRule="auto"/>
                    <w:ind w:firstLine="0" w:firstLineChars="0"/>
                    <w:jc w:val="center"/>
                    <w:rPr>
                      <w:sz w:val="21"/>
                      <w:szCs w:val="21"/>
                    </w:rPr>
                  </w:pPr>
                </w:p>
              </w:tc>
              <w:tc>
                <w:tcPr>
                  <w:tcW w:w="511" w:type="pct"/>
                  <w:vMerge w:val="continue"/>
                  <w:vAlign w:val="center"/>
                </w:tcPr>
                <w:p>
                  <w:pPr>
                    <w:pStyle w:val="10"/>
                    <w:spacing w:line="240" w:lineRule="auto"/>
                    <w:ind w:firstLine="0" w:firstLineChars="0"/>
                    <w:jc w:val="center"/>
                    <w:rPr>
                      <w:sz w:val="21"/>
                      <w:szCs w:val="21"/>
                    </w:rPr>
                  </w:pPr>
                </w:p>
              </w:tc>
              <w:tc>
                <w:tcPr>
                  <w:tcW w:w="694" w:type="pct"/>
                  <w:vAlign w:val="center"/>
                </w:tcPr>
                <w:p>
                  <w:pPr>
                    <w:pStyle w:val="56"/>
                    <w:autoSpaceDN w:val="0"/>
                    <w:spacing w:line="240" w:lineRule="auto"/>
                    <w:ind w:firstLine="0" w:firstLineChars="0"/>
                    <w:jc w:val="center"/>
                    <w:outlineLvl w:val="1"/>
                    <w:rPr>
                      <w:bCs/>
                      <w:sz w:val="21"/>
                      <w:szCs w:val="21"/>
                    </w:rPr>
                  </w:pPr>
                  <w:r>
                    <w:rPr>
                      <w:rFonts w:hint="eastAsia"/>
                      <w:bCs/>
                      <w:sz w:val="21"/>
                      <w:szCs w:val="21"/>
                    </w:rPr>
                    <w:t>混料粉尘</w:t>
                  </w:r>
                </w:p>
              </w:tc>
              <w:tc>
                <w:tcPr>
                  <w:tcW w:w="2356" w:type="pct"/>
                  <w:vAlign w:val="center"/>
                </w:tcPr>
                <w:p>
                  <w:pPr>
                    <w:rPr>
                      <w:bCs/>
                      <w:szCs w:val="21"/>
                    </w:rPr>
                  </w:pPr>
                  <w:r>
                    <w:rPr>
                      <w:rFonts w:hint="eastAsia" w:hAnsi="宋体" w:cs="宋体"/>
                      <w:sz w:val="21"/>
                      <w:szCs w:val="21"/>
                    </w:rPr>
                    <w:t>物料混料粉尘采取布袋除尘器处理，布袋除尘器与搅拌主机连接，粉尘经布袋除尘器处理后由搅拌塔楼塔顶排气口排放。由于搅拌塔楼不具备监测条件，按无组织进行监控。</w:t>
                  </w:r>
                </w:p>
              </w:tc>
              <w:tc>
                <w:tcPr>
                  <w:tcW w:w="1045" w:type="pct"/>
                  <w:vAlign w:val="center"/>
                </w:tcPr>
                <w:p>
                  <w:pPr>
                    <w:pStyle w:val="10"/>
                    <w:spacing w:line="240" w:lineRule="auto"/>
                    <w:ind w:firstLine="0" w:firstLineChars="0"/>
                    <w:jc w:val="center"/>
                    <w:rPr>
                      <w:sz w:val="21"/>
                      <w:szCs w:val="21"/>
                    </w:rPr>
                  </w:pPr>
                  <w:r>
                    <w:rPr>
                      <w:rFonts w:hint="eastAsia"/>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 w:type="pct"/>
                  <w:vMerge w:val="continue"/>
                  <w:vAlign w:val="center"/>
                </w:tcPr>
                <w:p>
                  <w:pPr>
                    <w:pStyle w:val="10"/>
                    <w:spacing w:line="240" w:lineRule="auto"/>
                    <w:ind w:firstLine="0" w:firstLineChars="0"/>
                    <w:jc w:val="center"/>
                    <w:rPr>
                      <w:sz w:val="21"/>
                      <w:szCs w:val="21"/>
                    </w:rPr>
                  </w:pPr>
                </w:p>
              </w:tc>
              <w:tc>
                <w:tcPr>
                  <w:tcW w:w="511" w:type="pct"/>
                  <w:vAlign w:val="center"/>
                </w:tcPr>
                <w:p>
                  <w:pPr>
                    <w:pStyle w:val="10"/>
                    <w:spacing w:line="240" w:lineRule="auto"/>
                    <w:ind w:firstLine="0" w:firstLineChars="0"/>
                    <w:jc w:val="center"/>
                    <w:rPr>
                      <w:sz w:val="21"/>
                      <w:szCs w:val="21"/>
                    </w:rPr>
                  </w:pPr>
                  <w:r>
                    <w:rPr>
                      <w:rFonts w:hint="eastAsia"/>
                      <w:sz w:val="21"/>
                      <w:szCs w:val="21"/>
                    </w:rPr>
                    <w:t>废水</w:t>
                  </w:r>
                </w:p>
              </w:tc>
              <w:tc>
                <w:tcPr>
                  <w:tcW w:w="3050" w:type="pct"/>
                  <w:gridSpan w:val="2"/>
                  <w:vAlign w:val="center"/>
                </w:tcPr>
                <w:p>
                  <w:pPr>
                    <w:pStyle w:val="10"/>
                    <w:spacing w:line="240" w:lineRule="auto"/>
                    <w:ind w:firstLine="0" w:firstLineChars="0"/>
                    <w:rPr>
                      <w:sz w:val="21"/>
                      <w:szCs w:val="21"/>
                    </w:rPr>
                  </w:pPr>
                  <w:r>
                    <w:rPr>
                      <w:rFonts w:hint="eastAsia"/>
                      <w:bCs/>
                      <w:sz w:val="21"/>
                      <w:szCs w:val="21"/>
                    </w:rPr>
                    <w:t>设备及车辆清洗废水经沉淀池（有效容积60m</w:t>
                  </w:r>
                  <w:r>
                    <w:rPr>
                      <w:rFonts w:hint="eastAsia"/>
                      <w:bCs/>
                      <w:sz w:val="21"/>
                      <w:szCs w:val="21"/>
                      <w:vertAlign w:val="superscript"/>
                    </w:rPr>
                    <w:t>3</w:t>
                  </w:r>
                  <w:r>
                    <w:rPr>
                      <w:rFonts w:hint="eastAsia"/>
                      <w:bCs/>
                      <w:sz w:val="21"/>
                      <w:szCs w:val="21"/>
                    </w:rPr>
                    <w:t>）处理，处理后回用于设备清洗用水，</w:t>
                  </w:r>
                  <w:r>
                    <w:rPr>
                      <w:rFonts w:hint="eastAsia" w:ascii="宋体" w:hAnsi="宋体" w:cs="宋体"/>
                      <w:sz w:val="21"/>
                      <w:szCs w:val="21"/>
                    </w:rPr>
                    <w:t>利用循环泵产生的高压水对设备设施进行冲洗，</w:t>
                  </w:r>
                  <w:r>
                    <w:rPr>
                      <w:rFonts w:hint="eastAsia"/>
                      <w:bCs/>
                      <w:sz w:val="21"/>
                      <w:szCs w:val="21"/>
                    </w:rPr>
                    <w:t>不外排；</w:t>
                  </w:r>
                  <w:r>
                    <w:rPr>
                      <w:rFonts w:hint="eastAsia" w:ascii="宋体" w:hAnsi="宋体" w:cs="宋体"/>
                      <w:sz w:val="21"/>
                      <w:szCs w:val="21"/>
                    </w:rPr>
                    <w:t>生活污水排入化粪池处理，</w:t>
                  </w:r>
                  <w:r>
                    <w:rPr>
                      <w:rFonts w:hint="eastAsia"/>
                      <w:bCs/>
                      <w:sz w:val="21"/>
                      <w:szCs w:val="21"/>
                    </w:rPr>
                    <w:t>定期拉运至内蒙古神东天隆集团股份有限公司霍洛湾煤矿处理。沉淀池、化粪池采取防渗措施，</w:t>
                  </w:r>
                  <w:r>
                    <w:rPr>
                      <w:sz w:val="21"/>
                      <w:szCs w:val="21"/>
                    </w:rPr>
                    <w:t>防渗技术要求为：等效黏土防渗层Mb≥1.5m，K≤1×10</w:t>
                  </w:r>
                  <w:r>
                    <w:rPr>
                      <w:sz w:val="21"/>
                      <w:szCs w:val="21"/>
                      <w:vertAlign w:val="superscript"/>
                    </w:rPr>
                    <w:t>-7</w:t>
                  </w:r>
                  <w:r>
                    <w:rPr>
                      <w:sz w:val="21"/>
                      <w:szCs w:val="21"/>
                    </w:rPr>
                    <w:t>cm/s。</w:t>
                  </w:r>
                </w:p>
              </w:tc>
              <w:tc>
                <w:tcPr>
                  <w:tcW w:w="1045" w:type="pct"/>
                  <w:vAlign w:val="center"/>
                </w:tcPr>
                <w:p>
                  <w:pPr>
                    <w:pStyle w:val="10"/>
                    <w:spacing w:line="240" w:lineRule="auto"/>
                    <w:ind w:firstLine="0" w:firstLineChars="0"/>
                    <w:jc w:val="center"/>
                    <w:rPr>
                      <w:sz w:val="21"/>
                      <w:szCs w:val="21"/>
                    </w:rPr>
                  </w:pPr>
                  <w:r>
                    <w:rPr>
                      <w:rFonts w:hint="eastAsia"/>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 w:type="pct"/>
                  <w:vMerge w:val="continue"/>
                  <w:vAlign w:val="center"/>
                </w:tcPr>
                <w:p>
                  <w:pPr>
                    <w:pStyle w:val="10"/>
                    <w:spacing w:line="240" w:lineRule="auto"/>
                    <w:ind w:firstLine="0" w:firstLineChars="0"/>
                    <w:jc w:val="center"/>
                    <w:rPr>
                      <w:sz w:val="21"/>
                      <w:szCs w:val="21"/>
                    </w:rPr>
                  </w:pPr>
                </w:p>
              </w:tc>
              <w:tc>
                <w:tcPr>
                  <w:tcW w:w="511" w:type="pct"/>
                  <w:vAlign w:val="center"/>
                </w:tcPr>
                <w:p>
                  <w:pPr>
                    <w:pStyle w:val="10"/>
                    <w:spacing w:line="240" w:lineRule="auto"/>
                    <w:ind w:firstLine="0" w:firstLineChars="0"/>
                    <w:jc w:val="center"/>
                    <w:rPr>
                      <w:sz w:val="21"/>
                      <w:szCs w:val="21"/>
                    </w:rPr>
                  </w:pPr>
                  <w:r>
                    <w:rPr>
                      <w:rFonts w:hint="eastAsia"/>
                      <w:sz w:val="21"/>
                      <w:szCs w:val="21"/>
                    </w:rPr>
                    <w:t>噪声</w:t>
                  </w:r>
                </w:p>
              </w:tc>
              <w:tc>
                <w:tcPr>
                  <w:tcW w:w="3050" w:type="pct"/>
                  <w:gridSpan w:val="2"/>
                  <w:vAlign w:val="center"/>
                </w:tcPr>
                <w:p>
                  <w:pPr>
                    <w:pStyle w:val="10"/>
                    <w:spacing w:line="240" w:lineRule="auto"/>
                    <w:ind w:firstLine="0" w:firstLineChars="0"/>
                    <w:rPr>
                      <w:sz w:val="21"/>
                      <w:szCs w:val="21"/>
                    </w:rPr>
                  </w:pPr>
                  <w:r>
                    <w:rPr>
                      <w:rFonts w:hint="eastAsia"/>
                      <w:sz w:val="21"/>
                      <w:szCs w:val="21"/>
                    </w:rPr>
                    <w:t>选用低噪设备、基础减振、车间隔声等治理措施。</w:t>
                  </w:r>
                </w:p>
              </w:tc>
              <w:tc>
                <w:tcPr>
                  <w:tcW w:w="1045" w:type="pct"/>
                  <w:vAlign w:val="center"/>
                </w:tcPr>
                <w:p>
                  <w:pPr>
                    <w:pStyle w:val="10"/>
                    <w:spacing w:line="240" w:lineRule="auto"/>
                    <w:ind w:firstLine="0" w:firstLineChars="0"/>
                    <w:jc w:val="center"/>
                    <w:rPr>
                      <w:sz w:val="21"/>
                      <w:szCs w:val="21"/>
                    </w:rPr>
                  </w:pPr>
                  <w:r>
                    <w:rPr>
                      <w:rFonts w:hint="eastAsia"/>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394" w:type="pct"/>
                  <w:vMerge w:val="continue"/>
                  <w:vAlign w:val="center"/>
                </w:tcPr>
                <w:p>
                  <w:pPr>
                    <w:pStyle w:val="10"/>
                    <w:spacing w:line="240" w:lineRule="auto"/>
                    <w:ind w:firstLine="0" w:firstLineChars="0"/>
                    <w:jc w:val="center"/>
                    <w:rPr>
                      <w:sz w:val="21"/>
                      <w:szCs w:val="21"/>
                    </w:rPr>
                  </w:pPr>
                </w:p>
              </w:tc>
              <w:tc>
                <w:tcPr>
                  <w:tcW w:w="511" w:type="pct"/>
                  <w:vAlign w:val="center"/>
                </w:tcPr>
                <w:p>
                  <w:pPr>
                    <w:pStyle w:val="10"/>
                    <w:spacing w:line="240" w:lineRule="auto"/>
                    <w:ind w:firstLine="0" w:firstLineChars="0"/>
                    <w:jc w:val="center"/>
                    <w:rPr>
                      <w:sz w:val="21"/>
                      <w:szCs w:val="21"/>
                    </w:rPr>
                  </w:pPr>
                  <w:r>
                    <w:rPr>
                      <w:rFonts w:hint="eastAsia"/>
                      <w:sz w:val="21"/>
                      <w:szCs w:val="21"/>
                    </w:rPr>
                    <w:t>固体废物</w:t>
                  </w:r>
                </w:p>
              </w:tc>
              <w:tc>
                <w:tcPr>
                  <w:tcW w:w="3050" w:type="pct"/>
                  <w:gridSpan w:val="2"/>
                  <w:vAlign w:val="center"/>
                </w:tcPr>
                <w:p>
                  <w:pPr>
                    <w:pStyle w:val="56"/>
                    <w:autoSpaceDN w:val="0"/>
                    <w:spacing w:line="240" w:lineRule="auto"/>
                    <w:ind w:firstLine="0" w:firstLineChars="0"/>
                    <w:outlineLvl w:val="1"/>
                    <w:rPr>
                      <w:bCs/>
                      <w:sz w:val="21"/>
                      <w:szCs w:val="21"/>
                    </w:rPr>
                  </w:pPr>
                  <w:r>
                    <w:rPr>
                      <w:rFonts w:hint="eastAsia"/>
                      <w:bCs/>
                      <w:sz w:val="21"/>
                      <w:szCs w:val="21"/>
                    </w:rPr>
                    <w:t>布袋除尘器收集的粉尘均返回工艺用作原料，不外排；沉淀池定期清理的沉淀砂石收集后返回工艺用作原料，不外排</w:t>
                  </w:r>
                  <w:r>
                    <w:rPr>
                      <w:rFonts w:hint="eastAsia"/>
                      <w:sz w:val="21"/>
                      <w:szCs w:val="21"/>
                    </w:rPr>
                    <w:t>；</w:t>
                  </w:r>
                  <w:r>
                    <w:rPr>
                      <w:rFonts w:hint="eastAsia" w:ascii="宋体" w:hAnsi="宋体"/>
                      <w:sz w:val="21"/>
                      <w:szCs w:val="21"/>
                    </w:rPr>
                    <w:t>除尘器定期更换的废旧布袋集中收集，收集后由厂家回收利用，不外排。</w:t>
                  </w:r>
                </w:p>
                <w:p>
                  <w:pPr>
                    <w:pStyle w:val="10"/>
                    <w:spacing w:line="240" w:lineRule="auto"/>
                    <w:ind w:firstLine="0" w:firstLineChars="0"/>
                    <w:rPr>
                      <w:sz w:val="21"/>
                      <w:szCs w:val="21"/>
                    </w:rPr>
                  </w:pPr>
                  <w:r>
                    <w:rPr>
                      <w:rFonts w:hint="eastAsia"/>
                      <w:bCs/>
                      <w:sz w:val="21"/>
                      <w:szCs w:val="21"/>
                    </w:rPr>
                    <w:t>生活垃圾统一</w:t>
                  </w:r>
                  <w:r>
                    <w:rPr>
                      <w:rFonts w:hint="eastAsia"/>
                      <w:sz w:val="21"/>
                      <w:szCs w:val="21"/>
                    </w:rPr>
                    <w:t>收集于垃圾桶内，定期交由环卫部门清理处置。</w:t>
                  </w:r>
                </w:p>
              </w:tc>
              <w:tc>
                <w:tcPr>
                  <w:tcW w:w="1045" w:type="pct"/>
                  <w:vAlign w:val="center"/>
                </w:tcPr>
                <w:p>
                  <w:pPr>
                    <w:pStyle w:val="10"/>
                    <w:spacing w:line="240" w:lineRule="auto"/>
                    <w:ind w:firstLine="0" w:firstLineChars="0"/>
                    <w:jc w:val="center"/>
                    <w:rPr>
                      <w:sz w:val="21"/>
                      <w:szCs w:val="21"/>
                    </w:rPr>
                  </w:pPr>
                  <w:r>
                    <w:rPr>
                      <w:rFonts w:hint="eastAsia"/>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394" w:type="pct"/>
                  <w:vMerge w:val="continue"/>
                  <w:vAlign w:val="center"/>
                </w:tcPr>
                <w:p>
                  <w:pPr>
                    <w:pStyle w:val="10"/>
                    <w:spacing w:line="240" w:lineRule="auto"/>
                    <w:ind w:firstLine="0" w:firstLineChars="0"/>
                    <w:jc w:val="center"/>
                    <w:rPr>
                      <w:sz w:val="21"/>
                      <w:szCs w:val="21"/>
                    </w:rPr>
                  </w:pPr>
                </w:p>
              </w:tc>
              <w:tc>
                <w:tcPr>
                  <w:tcW w:w="511" w:type="pct"/>
                  <w:vAlign w:val="center"/>
                </w:tcPr>
                <w:p>
                  <w:pPr>
                    <w:pStyle w:val="10"/>
                    <w:spacing w:line="240" w:lineRule="auto"/>
                    <w:ind w:firstLine="0" w:firstLineChars="0"/>
                    <w:jc w:val="center"/>
                    <w:rPr>
                      <w:sz w:val="21"/>
                      <w:szCs w:val="21"/>
                    </w:rPr>
                  </w:pPr>
                  <w:r>
                    <w:rPr>
                      <w:rFonts w:hint="eastAsia"/>
                      <w:sz w:val="21"/>
                      <w:szCs w:val="21"/>
                    </w:rPr>
                    <w:t>防渗</w:t>
                  </w:r>
                </w:p>
              </w:tc>
              <w:tc>
                <w:tcPr>
                  <w:tcW w:w="3050" w:type="pct"/>
                  <w:gridSpan w:val="2"/>
                  <w:vAlign w:val="center"/>
                </w:tcPr>
                <w:p>
                  <w:pPr>
                    <w:pStyle w:val="10"/>
                    <w:spacing w:line="240" w:lineRule="auto"/>
                    <w:ind w:firstLine="0" w:firstLineChars="0"/>
                    <w:rPr>
                      <w:sz w:val="21"/>
                      <w:szCs w:val="21"/>
                    </w:rPr>
                  </w:pPr>
                  <w:r>
                    <w:rPr>
                      <w:rFonts w:hint="eastAsia" w:ascii="宋体" w:hAnsi="宋体" w:cs="Arial"/>
                      <w:bCs/>
                      <w:sz w:val="21"/>
                      <w:szCs w:val="21"/>
                    </w:rPr>
                    <w:t>化粪池、</w:t>
                  </w:r>
                  <w:r>
                    <w:rPr>
                      <w:rFonts w:hint="eastAsia" w:ascii="Arial" w:hAnsi="Arial" w:cs="Arial"/>
                      <w:bCs/>
                      <w:sz w:val="21"/>
                      <w:szCs w:val="21"/>
                    </w:rPr>
                    <w:t>沉淀池</w:t>
                  </w:r>
                  <w:r>
                    <w:rPr>
                      <w:rFonts w:hint="eastAsia"/>
                      <w:sz w:val="21"/>
                      <w:szCs w:val="21"/>
                    </w:rPr>
                    <w:t>采取防渗措施，达到一般防渗要求，</w:t>
                  </w:r>
                  <w:r>
                    <w:rPr>
                      <w:sz w:val="21"/>
                      <w:szCs w:val="21"/>
                    </w:rPr>
                    <w:t>防渗技术要求为：等效黏土防渗层Mb≥1.5m，K≤1×10</w:t>
                  </w:r>
                  <w:r>
                    <w:rPr>
                      <w:sz w:val="21"/>
                      <w:szCs w:val="21"/>
                      <w:vertAlign w:val="superscript"/>
                    </w:rPr>
                    <w:t>-7</w:t>
                  </w:r>
                  <w:r>
                    <w:rPr>
                      <w:sz w:val="21"/>
                      <w:szCs w:val="21"/>
                    </w:rPr>
                    <w:t>cm/s</w:t>
                  </w:r>
                  <w:r>
                    <w:rPr>
                      <w:rFonts w:hint="eastAsia"/>
                      <w:sz w:val="21"/>
                      <w:szCs w:val="21"/>
                    </w:rPr>
                    <w:t>；对储棚内地面进行一般地面硬化（混凝土硬化）。</w:t>
                  </w:r>
                </w:p>
              </w:tc>
              <w:tc>
                <w:tcPr>
                  <w:tcW w:w="1045" w:type="pct"/>
                  <w:vAlign w:val="center"/>
                </w:tcPr>
                <w:p>
                  <w:pPr>
                    <w:pStyle w:val="10"/>
                    <w:spacing w:line="240" w:lineRule="auto"/>
                    <w:ind w:firstLine="0" w:firstLineChars="0"/>
                    <w:jc w:val="center"/>
                    <w:rPr>
                      <w:rFonts w:hint="eastAsia" w:ascii="宋体" w:hAnsi="宋体" w:cs="Arial"/>
                      <w:bCs/>
                      <w:sz w:val="21"/>
                      <w:szCs w:val="21"/>
                    </w:rPr>
                  </w:pPr>
                  <w:r>
                    <w:rPr>
                      <w:rFonts w:hint="eastAsia"/>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394" w:type="pct"/>
                  <w:vMerge w:val="continue"/>
                  <w:vAlign w:val="center"/>
                </w:tcPr>
                <w:p>
                  <w:pPr>
                    <w:pStyle w:val="10"/>
                    <w:spacing w:line="240" w:lineRule="auto"/>
                    <w:ind w:firstLine="0" w:firstLineChars="0"/>
                    <w:jc w:val="center"/>
                    <w:rPr>
                      <w:sz w:val="21"/>
                      <w:szCs w:val="21"/>
                    </w:rPr>
                  </w:pPr>
                </w:p>
              </w:tc>
              <w:tc>
                <w:tcPr>
                  <w:tcW w:w="511" w:type="pct"/>
                  <w:vAlign w:val="center"/>
                </w:tcPr>
                <w:p>
                  <w:pPr>
                    <w:pStyle w:val="10"/>
                    <w:spacing w:line="240" w:lineRule="auto"/>
                    <w:ind w:firstLine="0" w:firstLineChars="0"/>
                    <w:jc w:val="center"/>
                    <w:rPr>
                      <w:sz w:val="21"/>
                      <w:szCs w:val="21"/>
                    </w:rPr>
                  </w:pPr>
                  <w:r>
                    <w:rPr>
                      <w:rFonts w:hint="eastAsia"/>
                      <w:sz w:val="21"/>
                      <w:szCs w:val="21"/>
                    </w:rPr>
                    <w:t>绿化</w:t>
                  </w:r>
                </w:p>
              </w:tc>
              <w:tc>
                <w:tcPr>
                  <w:tcW w:w="3050" w:type="pct"/>
                  <w:gridSpan w:val="2"/>
                  <w:vAlign w:val="center"/>
                </w:tcPr>
                <w:p>
                  <w:pPr>
                    <w:pStyle w:val="10"/>
                    <w:spacing w:line="240" w:lineRule="auto"/>
                    <w:ind w:firstLine="0" w:firstLineChars="0"/>
                    <w:rPr>
                      <w:rFonts w:hint="eastAsia" w:ascii="宋体" w:hAnsi="宋体" w:cs="Arial"/>
                      <w:bCs/>
                      <w:sz w:val="21"/>
                      <w:szCs w:val="21"/>
                    </w:rPr>
                  </w:pPr>
                  <w:r>
                    <w:rPr>
                      <w:rFonts w:hint="eastAsia" w:ascii="宋体" w:hAnsi="宋体" w:cs="Arial"/>
                      <w:bCs/>
                      <w:sz w:val="21"/>
                      <w:szCs w:val="21"/>
                    </w:rPr>
                    <w:t>厂区采取绿化措施，绿化面积为200m</w:t>
                  </w:r>
                  <w:r>
                    <w:rPr>
                      <w:rFonts w:hint="eastAsia" w:ascii="宋体" w:hAnsi="宋体" w:cs="Arial"/>
                      <w:bCs/>
                      <w:sz w:val="21"/>
                      <w:szCs w:val="21"/>
                      <w:vertAlign w:val="superscript"/>
                    </w:rPr>
                    <w:t>2</w:t>
                  </w:r>
                  <w:r>
                    <w:rPr>
                      <w:rFonts w:hint="eastAsia"/>
                      <w:sz w:val="21"/>
                      <w:szCs w:val="21"/>
                    </w:rPr>
                    <w:t>。</w:t>
                  </w:r>
                </w:p>
              </w:tc>
              <w:tc>
                <w:tcPr>
                  <w:tcW w:w="1045" w:type="pct"/>
                  <w:vAlign w:val="center"/>
                </w:tcPr>
                <w:p>
                  <w:pPr>
                    <w:pStyle w:val="10"/>
                    <w:spacing w:line="240" w:lineRule="auto"/>
                    <w:ind w:firstLine="0" w:firstLineChars="0"/>
                    <w:jc w:val="center"/>
                    <w:rPr>
                      <w:sz w:val="21"/>
                      <w:szCs w:val="21"/>
                    </w:rPr>
                  </w:pPr>
                  <w:r>
                    <w:rPr>
                      <w:rFonts w:hint="eastAsia"/>
                      <w:sz w:val="21"/>
                      <w:szCs w:val="21"/>
                    </w:rPr>
                    <w:t>新建</w:t>
                  </w:r>
                </w:p>
              </w:tc>
            </w:tr>
          </w:tbl>
          <w:p>
            <w:pPr>
              <w:autoSpaceDE w:val="0"/>
              <w:autoSpaceDN w:val="0"/>
              <w:adjustRightInd w:val="0"/>
              <w:snapToGrid w:val="0"/>
              <w:ind w:firstLine="1686" w:firstLineChars="700"/>
              <w:rPr>
                <w:b/>
                <w:kern w:val="0"/>
              </w:rPr>
            </w:pPr>
          </w:p>
          <w:p>
            <w:pPr>
              <w:autoSpaceDE w:val="0"/>
              <w:autoSpaceDN w:val="0"/>
              <w:adjustRightInd w:val="0"/>
              <w:snapToGrid w:val="0"/>
              <w:ind w:firstLine="1686" w:firstLineChars="700"/>
              <w:rPr>
                <w:b/>
                <w:kern w:val="0"/>
              </w:rPr>
            </w:pPr>
            <w:r>
              <w:rPr>
                <w:b/>
                <w:kern w:val="0"/>
              </w:rPr>
              <w:t>表</w:t>
            </w:r>
            <w:r>
              <w:rPr>
                <w:rFonts w:hint="eastAsia"/>
                <w:b/>
                <w:kern w:val="0"/>
              </w:rPr>
              <w:t>2-3</w:t>
            </w:r>
            <w:r>
              <w:rPr>
                <w:b/>
                <w:kern w:val="0"/>
              </w:rPr>
              <w:t xml:space="preserve">      </w:t>
            </w:r>
            <w:r>
              <w:rPr>
                <w:rFonts w:hint="eastAsia"/>
                <w:b/>
                <w:kern w:val="0"/>
              </w:rPr>
              <w:t xml:space="preserve">  </w:t>
            </w:r>
            <w:r>
              <w:rPr>
                <w:b/>
                <w:kern w:val="0"/>
              </w:rPr>
              <w:t>项目</w:t>
            </w:r>
            <w:r>
              <w:rPr>
                <w:rFonts w:hint="eastAsia"/>
                <w:b/>
                <w:kern w:val="0"/>
              </w:rPr>
              <w:t>主要</w:t>
            </w:r>
            <w:r>
              <w:rPr>
                <w:b/>
                <w:kern w:val="0"/>
              </w:rPr>
              <w:t>技术经济指标一览表</w:t>
            </w:r>
          </w:p>
          <w:tbl>
            <w:tblPr>
              <w:tblStyle w:val="19"/>
              <w:tblW w:w="83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7"/>
              <w:gridCol w:w="2535"/>
              <w:gridCol w:w="2401"/>
              <w:gridCol w:w="21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blHeader/>
                <w:jc w:val="center"/>
              </w:trPr>
              <w:tc>
                <w:tcPr>
                  <w:tcW w:w="1237" w:type="dxa"/>
                  <w:vAlign w:val="center"/>
                </w:tcPr>
                <w:p>
                  <w:pPr>
                    <w:widowControl/>
                    <w:jc w:val="center"/>
                    <w:rPr>
                      <w:rFonts w:hint="eastAsia" w:ascii="宋体" w:hAnsi="宋体"/>
                      <w:b/>
                      <w:szCs w:val="21"/>
                    </w:rPr>
                  </w:pPr>
                  <w:r>
                    <w:rPr>
                      <w:rFonts w:hint="eastAsia" w:ascii="宋体" w:hAnsi="宋体"/>
                      <w:b/>
                      <w:szCs w:val="21"/>
                    </w:rPr>
                    <w:t>序号</w:t>
                  </w:r>
                </w:p>
              </w:tc>
              <w:tc>
                <w:tcPr>
                  <w:tcW w:w="2535" w:type="dxa"/>
                  <w:vAlign w:val="center"/>
                </w:tcPr>
                <w:p>
                  <w:pPr>
                    <w:widowControl/>
                    <w:jc w:val="center"/>
                    <w:rPr>
                      <w:rFonts w:hint="eastAsia" w:ascii="宋体" w:hAnsi="宋体"/>
                      <w:b/>
                      <w:szCs w:val="21"/>
                    </w:rPr>
                  </w:pPr>
                  <w:r>
                    <w:rPr>
                      <w:rFonts w:hint="eastAsia" w:ascii="宋体" w:hAnsi="宋体"/>
                      <w:b/>
                      <w:szCs w:val="21"/>
                    </w:rPr>
                    <w:t>项目</w:t>
                  </w:r>
                </w:p>
              </w:tc>
              <w:tc>
                <w:tcPr>
                  <w:tcW w:w="2401" w:type="dxa"/>
                  <w:vAlign w:val="center"/>
                </w:tcPr>
                <w:p>
                  <w:pPr>
                    <w:widowControl/>
                    <w:jc w:val="center"/>
                    <w:rPr>
                      <w:rFonts w:hint="eastAsia" w:ascii="宋体" w:hAnsi="宋体"/>
                      <w:b/>
                      <w:szCs w:val="21"/>
                    </w:rPr>
                  </w:pPr>
                  <w:r>
                    <w:rPr>
                      <w:rFonts w:hint="eastAsia" w:ascii="宋体" w:hAnsi="宋体"/>
                      <w:b/>
                      <w:szCs w:val="21"/>
                    </w:rPr>
                    <w:t>单位</w:t>
                  </w:r>
                </w:p>
              </w:tc>
              <w:tc>
                <w:tcPr>
                  <w:tcW w:w="2175" w:type="dxa"/>
                  <w:vAlign w:val="center"/>
                </w:tcPr>
                <w:p>
                  <w:pPr>
                    <w:widowControl/>
                    <w:jc w:val="center"/>
                    <w:rPr>
                      <w:rFonts w:hint="eastAsia" w:ascii="宋体" w:hAnsi="宋体"/>
                      <w:b/>
                      <w:szCs w:val="21"/>
                    </w:rPr>
                  </w:pPr>
                  <w:r>
                    <w:rPr>
                      <w:rFonts w:hint="eastAsia" w:ascii="宋体" w:hAnsi="宋体"/>
                      <w:b/>
                      <w:szCs w:val="21"/>
                    </w:rPr>
                    <w:t>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jc w:val="center"/>
              </w:trPr>
              <w:tc>
                <w:tcPr>
                  <w:tcW w:w="1237" w:type="dxa"/>
                  <w:vAlign w:val="center"/>
                </w:tcPr>
                <w:p>
                  <w:pPr>
                    <w:pStyle w:val="10"/>
                    <w:spacing w:line="240" w:lineRule="auto"/>
                    <w:ind w:firstLine="0" w:firstLineChars="0"/>
                    <w:jc w:val="center"/>
                    <w:rPr>
                      <w:sz w:val="21"/>
                      <w:szCs w:val="21"/>
                    </w:rPr>
                  </w:pPr>
                  <w:r>
                    <w:rPr>
                      <w:rFonts w:hint="eastAsia"/>
                      <w:sz w:val="21"/>
                      <w:szCs w:val="21"/>
                    </w:rPr>
                    <w:t>1</w:t>
                  </w:r>
                </w:p>
              </w:tc>
              <w:tc>
                <w:tcPr>
                  <w:tcW w:w="7111" w:type="dxa"/>
                  <w:gridSpan w:val="3"/>
                  <w:vAlign w:val="center"/>
                </w:tcPr>
                <w:p>
                  <w:pPr>
                    <w:pStyle w:val="10"/>
                    <w:spacing w:line="240" w:lineRule="auto"/>
                    <w:ind w:firstLine="0" w:firstLineChars="0"/>
                    <w:jc w:val="center"/>
                    <w:rPr>
                      <w:sz w:val="21"/>
                      <w:szCs w:val="21"/>
                    </w:rPr>
                  </w:pPr>
                  <w:r>
                    <w:rPr>
                      <w:rFonts w:hint="eastAsia"/>
                      <w:sz w:val="21"/>
                      <w:szCs w:val="21"/>
                    </w:rPr>
                    <w:t>生产规模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jc w:val="center"/>
              </w:trPr>
              <w:tc>
                <w:tcPr>
                  <w:tcW w:w="1237" w:type="dxa"/>
                  <w:vAlign w:val="center"/>
                </w:tcPr>
                <w:p>
                  <w:pPr>
                    <w:pStyle w:val="10"/>
                    <w:spacing w:line="240" w:lineRule="auto"/>
                    <w:ind w:firstLine="0" w:firstLineChars="0"/>
                    <w:jc w:val="center"/>
                    <w:rPr>
                      <w:sz w:val="21"/>
                      <w:szCs w:val="21"/>
                    </w:rPr>
                  </w:pPr>
                  <w:r>
                    <w:rPr>
                      <w:rFonts w:hint="eastAsia"/>
                      <w:sz w:val="21"/>
                      <w:szCs w:val="21"/>
                    </w:rPr>
                    <w:t>1.1</w:t>
                  </w:r>
                </w:p>
              </w:tc>
              <w:tc>
                <w:tcPr>
                  <w:tcW w:w="2535" w:type="dxa"/>
                  <w:vAlign w:val="center"/>
                </w:tcPr>
                <w:p>
                  <w:pPr>
                    <w:pStyle w:val="10"/>
                    <w:spacing w:line="240" w:lineRule="auto"/>
                    <w:ind w:firstLine="0" w:firstLineChars="0"/>
                    <w:jc w:val="center"/>
                    <w:rPr>
                      <w:sz w:val="21"/>
                      <w:szCs w:val="21"/>
                    </w:rPr>
                  </w:pPr>
                  <w:r>
                    <w:rPr>
                      <w:rFonts w:hint="eastAsia"/>
                      <w:sz w:val="21"/>
                      <w:szCs w:val="21"/>
                    </w:rPr>
                    <w:t>商品混凝土</w:t>
                  </w:r>
                </w:p>
              </w:tc>
              <w:tc>
                <w:tcPr>
                  <w:tcW w:w="2401" w:type="dxa"/>
                  <w:vAlign w:val="center"/>
                </w:tcPr>
                <w:p>
                  <w:pPr>
                    <w:widowControl/>
                    <w:jc w:val="center"/>
                    <w:rPr>
                      <w:rFonts w:hint="eastAsia" w:ascii="宋体" w:hAnsi="宋体"/>
                      <w:sz w:val="21"/>
                      <w:szCs w:val="21"/>
                    </w:rPr>
                  </w:pPr>
                  <w:r>
                    <w:rPr>
                      <w:rFonts w:hint="eastAsia"/>
                      <w:sz w:val="21"/>
                      <w:szCs w:val="21"/>
                    </w:rPr>
                    <w:t>万m</w:t>
                  </w:r>
                  <w:r>
                    <w:rPr>
                      <w:rFonts w:hint="eastAsia"/>
                      <w:sz w:val="21"/>
                      <w:szCs w:val="21"/>
                      <w:vertAlign w:val="superscript"/>
                    </w:rPr>
                    <w:t>3</w:t>
                  </w:r>
                  <w:r>
                    <w:rPr>
                      <w:rFonts w:hint="eastAsia"/>
                      <w:sz w:val="21"/>
                      <w:szCs w:val="21"/>
                    </w:rPr>
                    <w:t>/a</w:t>
                  </w:r>
                </w:p>
              </w:tc>
              <w:tc>
                <w:tcPr>
                  <w:tcW w:w="2175" w:type="dxa"/>
                  <w:vAlign w:val="center"/>
                </w:tcPr>
                <w:p>
                  <w:pPr>
                    <w:widowControl/>
                    <w:jc w:val="center"/>
                    <w:rPr>
                      <w:sz w:val="21"/>
                      <w:szCs w:val="21"/>
                    </w:rPr>
                  </w:pPr>
                  <w:r>
                    <w:rPr>
                      <w:rFonts w:hint="eastAsia"/>
                      <w:sz w:val="21"/>
                      <w:szCs w:val="21"/>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jc w:val="center"/>
              </w:trPr>
              <w:tc>
                <w:tcPr>
                  <w:tcW w:w="1237" w:type="dxa"/>
                  <w:vAlign w:val="center"/>
                </w:tcPr>
                <w:p>
                  <w:pPr>
                    <w:pStyle w:val="10"/>
                    <w:spacing w:line="240" w:lineRule="auto"/>
                    <w:ind w:firstLine="0" w:firstLineChars="0"/>
                    <w:jc w:val="center"/>
                    <w:rPr>
                      <w:sz w:val="21"/>
                      <w:szCs w:val="21"/>
                    </w:rPr>
                  </w:pPr>
                  <w:r>
                    <w:rPr>
                      <w:rFonts w:hint="eastAsia"/>
                      <w:sz w:val="21"/>
                      <w:szCs w:val="21"/>
                    </w:rPr>
                    <w:t>2</w:t>
                  </w:r>
                </w:p>
              </w:tc>
              <w:tc>
                <w:tcPr>
                  <w:tcW w:w="7111" w:type="dxa"/>
                  <w:gridSpan w:val="3"/>
                  <w:vAlign w:val="center"/>
                </w:tcPr>
                <w:p>
                  <w:pPr>
                    <w:pStyle w:val="10"/>
                    <w:spacing w:line="240" w:lineRule="auto"/>
                    <w:ind w:firstLine="0" w:firstLineChars="0"/>
                    <w:jc w:val="center"/>
                    <w:rPr>
                      <w:sz w:val="21"/>
                      <w:szCs w:val="21"/>
                    </w:rPr>
                  </w:pPr>
                  <w:r>
                    <w:rPr>
                      <w:rFonts w:hint="eastAsia"/>
                      <w:sz w:val="21"/>
                      <w:szCs w:val="21"/>
                    </w:rPr>
                    <w:t>主要原辅料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1237" w:type="dxa"/>
                  <w:vAlign w:val="center"/>
                </w:tcPr>
                <w:p>
                  <w:pPr>
                    <w:pStyle w:val="10"/>
                    <w:spacing w:line="240" w:lineRule="auto"/>
                    <w:ind w:firstLine="0" w:firstLineChars="0"/>
                    <w:jc w:val="center"/>
                    <w:rPr>
                      <w:sz w:val="21"/>
                      <w:szCs w:val="21"/>
                    </w:rPr>
                  </w:pPr>
                  <w:r>
                    <w:rPr>
                      <w:rFonts w:hint="eastAsia"/>
                      <w:sz w:val="21"/>
                      <w:szCs w:val="21"/>
                    </w:rPr>
                    <w:t>2.1</w:t>
                  </w:r>
                </w:p>
              </w:tc>
              <w:tc>
                <w:tcPr>
                  <w:tcW w:w="2535" w:type="dxa"/>
                  <w:vAlign w:val="center"/>
                </w:tcPr>
                <w:p>
                  <w:pPr>
                    <w:pStyle w:val="10"/>
                    <w:spacing w:line="240" w:lineRule="auto"/>
                    <w:ind w:firstLine="0" w:firstLineChars="0"/>
                    <w:jc w:val="center"/>
                    <w:rPr>
                      <w:sz w:val="21"/>
                      <w:szCs w:val="21"/>
                    </w:rPr>
                  </w:pPr>
                  <w:r>
                    <w:rPr>
                      <w:rFonts w:hint="eastAsia"/>
                      <w:sz w:val="21"/>
                      <w:szCs w:val="21"/>
                    </w:rPr>
                    <w:t>石料</w:t>
                  </w:r>
                </w:p>
              </w:tc>
              <w:tc>
                <w:tcPr>
                  <w:tcW w:w="2401" w:type="dxa"/>
                  <w:vAlign w:val="center"/>
                </w:tcPr>
                <w:p>
                  <w:pPr>
                    <w:pStyle w:val="10"/>
                    <w:spacing w:line="240" w:lineRule="auto"/>
                    <w:ind w:firstLine="0" w:firstLineChars="0"/>
                    <w:jc w:val="center"/>
                    <w:rPr>
                      <w:sz w:val="21"/>
                      <w:szCs w:val="21"/>
                    </w:rPr>
                  </w:pPr>
                  <w:r>
                    <w:rPr>
                      <w:rFonts w:hint="eastAsia"/>
                      <w:sz w:val="21"/>
                      <w:szCs w:val="21"/>
                    </w:rPr>
                    <w:t>t/a</w:t>
                  </w:r>
                </w:p>
              </w:tc>
              <w:tc>
                <w:tcPr>
                  <w:tcW w:w="2175" w:type="dxa"/>
                  <w:vAlign w:val="center"/>
                </w:tcPr>
                <w:p>
                  <w:pPr>
                    <w:pStyle w:val="10"/>
                    <w:spacing w:line="240" w:lineRule="auto"/>
                    <w:ind w:firstLine="0" w:firstLineChars="0"/>
                    <w:jc w:val="center"/>
                    <w:rPr>
                      <w:sz w:val="21"/>
                      <w:szCs w:val="21"/>
                    </w:rPr>
                  </w:pPr>
                  <w:r>
                    <w:rPr>
                      <w:rFonts w:hint="eastAsia"/>
                      <w:sz w:val="21"/>
                      <w:szCs w:val="21"/>
                    </w:rPr>
                    <w:t>91000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1237" w:type="dxa"/>
                  <w:vAlign w:val="center"/>
                </w:tcPr>
                <w:p>
                  <w:pPr>
                    <w:pStyle w:val="10"/>
                    <w:spacing w:line="240" w:lineRule="auto"/>
                    <w:ind w:firstLine="0" w:firstLineChars="0"/>
                    <w:jc w:val="center"/>
                    <w:rPr>
                      <w:sz w:val="21"/>
                      <w:szCs w:val="21"/>
                    </w:rPr>
                  </w:pPr>
                  <w:r>
                    <w:rPr>
                      <w:rFonts w:hint="eastAsia"/>
                      <w:sz w:val="21"/>
                      <w:szCs w:val="21"/>
                    </w:rPr>
                    <w:t>2.2</w:t>
                  </w:r>
                </w:p>
              </w:tc>
              <w:tc>
                <w:tcPr>
                  <w:tcW w:w="2535" w:type="dxa"/>
                  <w:vAlign w:val="center"/>
                </w:tcPr>
                <w:p>
                  <w:pPr>
                    <w:pStyle w:val="10"/>
                    <w:spacing w:line="240" w:lineRule="auto"/>
                    <w:ind w:firstLine="0" w:firstLineChars="0"/>
                    <w:jc w:val="center"/>
                    <w:rPr>
                      <w:sz w:val="21"/>
                      <w:szCs w:val="21"/>
                    </w:rPr>
                  </w:pPr>
                  <w:r>
                    <w:rPr>
                      <w:rFonts w:hint="eastAsia"/>
                      <w:sz w:val="21"/>
                      <w:szCs w:val="21"/>
                    </w:rPr>
                    <w:t>水泥</w:t>
                  </w:r>
                </w:p>
              </w:tc>
              <w:tc>
                <w:tcPr>
                  <w:tcW w:w="2401" w:type="dxa"/>
                  <w:vAlign w:val="center"/>
                </w:tcPr>
                <w:p>
                  <w:pPr>
                    <w:pStyle w:val="10"/>
                    <w:spacing w:line="240" w:lineRule="auto"/>
                    <w:ind w:firstLine="0" w:firstLineChars="0"/>
                    <w:jc w:val="center"/>
                    <w:rPr>
                      <w:sz w:val="21"/>
                      <w:szCs w:val="21"/>
                    </w:rPr>
                  </w:pPr>
                  <w:r>
                    <w:rPr>
                      <w:rFonts w:hint="eastAsia"/>
                      <w:sz w:val="21"/>
                      <w:szCs w:val="21"/>
                    </w:rPr>
                    <w:t>t/a</w:t>
                  </w:r>
                </w:p>
              </w:tc>
              <w:tc>
                <w:tcPr>
                  <w:tcW w:w="2175" w:type="dxa"/>
                  <w:vAlign w:val="center"/>
                </w:tcPr>
                <w:p>
                  <w:pPr>
                    <w:pStyle w:val="10"/>
                    <w:spacing w:line="240" w:lineRule="auto"/>
                    <w:ind w:firstLine="0" w:firstLineChars="0"/>
                    <w:jc w:val="center"/>
                    <w:rPr>
                      <w:sz w:val="21"/>
                      <w:szCs w:val="21"/>
                    </w:rPr>
                  </w:pPr>
                  <w:r>
                    <w:rPr>
                      <w:rFonts w:hint="eastAsia"/>
                      <w:sz w:val="21"/>
                      <w:szCs w:val="21"/>
                    </w:rPr>
                    <w:t>17000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1237" w:type="dxa"/>
                  <w:vAlign w:val="center"/>
                </w:tcPr>
                <w:p>
                  <w:pPr>
                    <w:pStyle w:val="10"/>
                    <w:spacing w:line="240" w:lineRule="auto"/>
                    <w:ind w:firstLine="0" w:firstLineChars="0"/>
                    <w:jc w:val="center"/>
                    <w:rPr>
                      <w:sz w:val="21"/>
                      <w:szCs w:val="21"/>
                    </w:rPr>
                  </w:pPr>
                  <w:r>
                    <w:rPr>
                      <w:rFonts w:hint="eastAsia"/>
                      <w:sz w:val="21"/>
                      <w:szCs w:val="21"/>
                    </w:rPr>
                    <w:t>2.3</w:t>
                  </w:r>
                </w:p>
              </w:tc>
              <w:tc>
                <w:tcPr>
                  <w:tcW w:w="2535" w:type="dxa"/>
                  <w:vAlign w:val="center"/>
                </w:tcPr>
                <w:p>
                  <w:pPr>
                    <w:pStyle w:val="10"/>
                    <w:spacing w:line="240" w:lineRule="auto"/>
                    <w:ind w:firstLine="0" w:firstLineChars="0"/>
                    <w:jc w:val="center"/>
                    <w:rPr>
                      <w:sz w:val="21"/>
                      <w:szCs w:val="21"/>
                    </w:rPr>
                  </w:pPr>
                  <w:r>
                    <w:rPr>
                      <w:rFonts w:hint="eastAsia"/>
                      <w:sz w:val="21"/>
                      <w:szCs w:val="21"/>
                    </w:rPr>
                    <w:t>粉煤灰</w:t>
                  </w:r>
                </w:p>
              </w:tc>
              <w:tc>
                <w:tcPr>
                  <w:tcW w:w="2401" w:type="dxa"/>
                  <w:vAlign w:val="center"/>
                </w:tcPr>
                <w:p>
                  <w:pPr>
                    <w:pStyle w:val="10"/>
                    <w:spacing w:line="240" w:lineRule="auto"/>
                    <w:ind w:firstLine="0" w:firstLineChars="0"/>
                    <w:jc w:val="center"/>
                    <w:rPr>
                      <w:sz w:val="21"/>
                      <w:szCs w:val="21"/>
                    </w:rPr>
                  </w:pPr>
                  <w:r>
                    <w:rPr>
                      <w:rFonts w:hint="eastAsia"/>
                      <w:sz w:val="21"/>
                      <w:szCs w:val="21"/>
                    </w:rPr>
                    <w:t>t/a</w:t>
                  </w:r>
                </w:p>
              </w:tc>
              <w:tc>
                <w:tcPr>
                  <w:tcW w:w="2175" w:type="dxa"/>
                  <w:vAlign w:val="center"/>
                </w:tcPr>
                <w:p>
                  <w:pPr>
                    <w:pStyle w:val="10"/>
                    <w:spacing w:line="240" w:lineRule="auto"/>
                    <w:ind w:firstLine="0" w:firstLineChars="0"/>
                    <w:jc w:val="center"/>
                    <w:rPr>
                      <w:sz w:val="21"/>
                      <w:szCs w:val="21"/>
                    </w:rPr>
                  </w:pPr>
                  <w:r>
                    <w:rPr>
                      <w:rFonts w:hint="eastAsia"/>
                      <w:sz w:val="21"/>
                      <w:szCs w:val="21"/>
                    </w:rPr>
                    <w:t>19000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1237" w:type="dxa"/>
                  <w:vAlign w:val="center"/>
                </w:tcPr>
                <w:p>
                  <w:pPr>
                    <w:pStyle w:val="10"/>
                    <w:spacing w:line="240" w:lineRule="auto"/>
                    <w:ind w:firstLine="0" w:firstLineChars="0"/>
                    <w:jc w:val="center"/>
                    <w:rPr>
                      <w:sz w:val="21"/>
                      <w:szCs w:val="21"/>
                    </w:rPr>
                  </w:pPr>
                  <w:r>
                    <w:rPr>
                      <w:rFonts w:hint="eastAsia"/>
                      <w:sz w:val="21"/>
                      <w:szCs w:val="21"/>
                    </w:rPr>
                    <w:t>2.4</w:t>
                  </w:r>
                </w:p>
              </w:tc>
              <w:tc>
                <w:tcPr>
                  <w:tcW w:w="2535" w:type="dxa"/>
                  <w:vAlign w:val="center"/>
                </w:tcPr>
                <w:p>
                  <w:pPr>
                    <w:pStyle w:val="10"/>
                    <w:spacing w:line="240" w:lineRule="auto"/>
                    <w:ind w:firstLine="0" w:firstLineChars="0"/>
                    <w:jc w:val="center"/>
                    <w:rPr>
                      <w:sz w:val="21"/>
                      <w:szCs w:val="21"/>
                    </w:rPr>
                  </w:pPr>
                  <w:r>
                    <w:rPr>
                      <w:rFonts w:hint="eastAsia"/>
                      <w:sz w:val="21"/>
                      <w:szCs w:val="21"/>
                    </w:rPr>
                    <w:t>外加剂</w:t>
                  </w:r>
                </w:p>
              </w:tc>
              <w:tc>
                <w:tcPr>
                  <w:tcW w:w="2401" w:type="dxa"/>
                  <w:vAlign w:val="center"/>
                </w:tcPr>
                <w:p>
                  <w:pPr>
                    <w:pStyle w:val="10"/>
                    <w:spacing w:line="240" w:lineRule="auto"/>
                    <w:ind w:firstLine="0" w:firstLineChars="0"/>
                    <w:jc w:val="center"/>
                    <w:rPr>
                      <w:sz w:val="21"/>
                      <w:szCs w:val="21"/>
                    </w:rPr>
                  </w:pPr>
                  <w:r>
                    <w:rPr>
                      <w:rFonts w:hint="eastAsia"/>
                      <w:sz w:val="21"/>
                      <w:szCs w:val="21"/>
                    </w:rPr>
                    <w:t>t/a</w:t>
                  </w:r>
                </w:p>
              </w:tc>
              <w:tc>
                <w:tcPr>
                  <w:tcW w:w="2175" w:type="dxa"/>
                  <w:vAlign w:val="center"/>
                </w:tcPr>
                <w:p>
                  <w:pPr>
                    <w:pStyle w:val="10"/>
                    <w:spacing w:line="240" w:lineRule="auto"/>
                    <w:ind w:firstLine="0" w:firstLineChars="0"/>
                    <w:jc w:val="center"/>
                    <w:rPr>
                      <w:sz w:val="21"/>
                      <w:szCs w:val="21"/>
                    </w:rPr>
                  </w:pPr>
                  <w:r>
                    <w:rPr>
                      <w:rFonts w:hint="eastAsia"/>
                      <w:sz w:val="21"/>
                      <w:szCs w:val="21"/>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jc w:val="center"/>
              </w:trPr>
              <w:tc>
                <w:tcPr>
                  <w:tcW w:w="1237" w:type="dxa"/>
                  <w:vAlign w:val="center"/>
                </w:tcPr>
                <w:p>
                  <w:pPr>
                    <w:pStyle w:val="10"/>
                    <w:spacing w:line="240" w:lineRule="auto"/>
                    <w:ind w:firstLine="0" w:firstLineChars="0"/>
                    <w:jc w:val="center"/>
                    <w:rPr>
                      <w:sz w:val="21"/>
                      <w:szCs w:val="21"/>
                    </w:rPr>
                  </w:pPr>
                  <w:r>
                    <w:rPr>
                      <w:rFonts w:hint="eastAsia"/>
                      <w:sz w:val="21"/>
                      <w:szCs w:val="21"/>
                    </w:rPr>
                    <w:t>3</w:t>
                  </w:r>
                </w:p>
              </w:tc>
              <w:tc>
                <w:tcPr>
                  <w:tcW w:w="7111" w:type="dxa"/>
                  <w:gridSpan w:val="3"/>
                  <w:vAlign w:val="center"/>
                </w:tcPr>
                <w:p>
                  <w:pPr>
                    <w:widowControl/>
                    <w:jc w:val="center"/>
                    <w:rPr>
                      <w:rFonts w:hint="eastAsia" w:asciiTheme="majorEastAsia" w:hAnsiTheme="majorEastAsia" w:eastAsiaTheme="majorEastAsia"/>
                      <w:sz w:val="21"/>
                      <w:szCs w:val="21"/>
                    </w:rPr>
                  </w:pPr>
                  <w:r>
                    <w:rPr>
                      <w:rFonts w:hint="eastAsia" w:asciiTheme="majorEastAsia" w:hAnsiTheme="majorEastAsia" w:eastAsiaTheme="majorEastAsia"/>
                      <w:sz w:val="21"/>
                      <w:szCs w:val="21"/>
                    </w:rPr>
                    <w:t>动力消耗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jc w:val="center"/>
              </w:trPr>
              <w:tc>
                <w:tcPr>
                  <w:tcW w:w="1237" w:type="dxa"/>
                  <w:vAlign w:val="center"/>
                </w:tcPr>
                <w:p>
                  <w:pPr>
                    <w:pStyle w:val="10"/>
                    <w:spacing w:line="240" w:lineRule="auto"/>
                    <w:ind w:firstLine="0" w:firstLineChars="0"/>
                    <w:jc w:val="center"/>
                    <w:rPr>
                      <w:sz w:val="21"/>
                      <w:szCs w:val="21"/>
                    </w:rPr>
                  </w:pPr>
                  <w:r>
                    <w:rPr>
                      <w:rFonts w:hint="eastAsia"/>
                      <w:sz w:val="21"/>
                      <w:szCs w:val="21"/>
                    </w:rPr>
                    <w:t>3.1</w:t>
                  </w:r>
                </w:p>
              </w:tc>
              <w:tc>
                <w:tcPr>
                  <w:tcW w:w="2535" w:type="dxa"/>
                  <w:vAlign w:val="center"/>
                </w:tcPr>
                <w:p>
                  <w:pPr>
                    <w:widowControl/>
                    <w:jc w:val="center"/>
                    <w:rPr>
                      <w:rFonts w:hint="eastAsia" w:asciiTheme="majorEastAsia" w:hAnsiTheme="majorEastAsia" w:eastAsiaTheme="majorEastAsia"/>
                      <w:sz w:val="21"/>
                      <w:szCs w:val="21"/>
                    </w:rPr>
                  </w:pPr>
                  <w:r>
                    <w:rPr>
                      <w:rFonts w:hint="eastAsia" w:asciiTheme="majorEastAsia" w:hAnsiTheme="majorEastAsia" w:eastAsiaTheme="majorEastAsia"/>
                      <w:sz w:val="21"/>
                      <w:szCs w:val="21"/>
                    </w:rPr>
                    <w:t>新鲜水</w:t>
                  </w:r>
                </w:p>
              </w:tc>
              <w:tc>
                <w:tcPr>
                  <w:tcW w:w="2401" w:type="dxa"/>
                  <w:vAlign w:val="center"/>
                </w:tcPr>
                <w:p>
                  <w:pPr>
                    <w:widowControl/>
                    <w:jc w:val="center"/>
                    <w:rPr>
                      <w:rFonts w:hint="eastAsia" w:asciiTheme="majorEastAsia" w:hAnsiTheme="majorEastAsia" w:eastAsiaTheme="majorEastAsia"/>
                      <w:sz w:val="21"/>
                      <w:szCs w:val="21"/>
                    </w:rPr>
                  </w:pPr>
                  <w:r>
                    <w:rPr>
                      <w:rFonts w:asciiTheme="majorEastAsia" w:hAnsiTheme="majorEastAsia" w:eastAsiaTheme="majorEastAsia"/>
                      <w:sz w:val="21"/>
                      <w:szCs w:val="21"/>
                    </w:rPr>
                    <w:t>m</w:t>
                  </w:r>
                  <w:r>
                    <w:rPr>
                      <w:rFonts w:hint="eastAsia" w:asciiTheme="majorEastAsia" w:hAnsiTheme="majorEastAsia" w:eastAsiaTheme="majorEastAsia"/>
                      <w:sz w:val="21"/>
                      <w:szCs w:val="21"/>
                      <w:vertAlign w:val="superscript"/>
                    </w:rPr>
                    <w:t>3</w:t>
                  </w:r>
                  <w:r>
                    <w:rPr>
                      <w:rFonts w:asciiTheme="majorEastAsia" w:hAnsiTheme="majorEastAsia" w:eastAsiaTheme="majorEastAsia"/>
                      <w:sz w:val="21"/>
                      <w:szCs w:val="21"/>
                    </w:rPr>
                    <w:t>/</w:t>
                  </w:r>
                  <w:r>
                    <w:rPr>
                      <w:rFonts w:hint="eastAsia" w:asciiTheme="majorEastAsia" w:hAnsiTheme="majorEastAsia" w:eastAsiaTheme="majorEastAsia"/>
                      <w:sz w:val="21"/>
                      <w:szCs w:val="21"/>
                    </w:rPr>
                    <w:t>a</w:t>
                  </w:r>
                </w:p>
              </w:tc>
              <w:tc>
                <w:tcPr>
                  <w:tcW w:w="2175" w:type="dxa"/>
                  <w:vAlign w:val="center"/>
                </w:tcPr>
                <w:p>
                  <w:pPr>
                    <w:widowControl/>
                    <w:jc w:val="center"/>
                    <w:rPr>
                      <w:rFonts w:hint="eastAsia" w:asciiTheme="majorEastAsia" w:hAnsiTheme="majorEastAsia" w:eastAsiaTheme="majorEastAsia"/>
                      <w:sz w:val="21"/>
                      <w:szCs w:val="21"/>
                    </w:rPr>
                  </w:pPr>
                  <w:r>
                    <w:rPr>
                      <w:rFonts w:hint="eastAsia" w:asciiTheme="majorEastAsia" w:hAnsiTheme="majorEastAsia" w:eastAsiaTheme="majorEastAsia"/>
                      <w:sz w:val="21"/>
                      <w:szCs w:val="21"/>
                    </w:rPr>
                    <w:t>252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237" w:type="dxa"/>
                  <w:vAlign w:val="center"/>
                </w:tcPr>
                <w:p>
                  <w:pPr>
                    <w:pStyle w:val="10"/>
                    <w:spacing w:line="240" w:lineRule="auto"/>
                    <w:ind w:firstLine="0" w:firstLineChars="0"/>
                    <w:jc w:val="center"/>
                    <w:rPr>
                      <w:sz w:val="21"/>
                      <w:szCs w:val="21"/>
                    </w:rPr>
                  </w:pPr>
                  <w:r>
                    <w:rPr>
                      <w:rFonts w:hint="eastAsia"/>
                      <w:sz w:val="21"/>
                      <w:szCs w:val="21"/>
                    </w:rPr>
                    <w:t>3.2</w:t>
                  </w:r>
                </w:p>
              </w:tc>
              <w:tc>
                <w:tcPr>
                  <w:tcW w:w="2535" w:type="dxa"/>
                  <w:vAlign w:val="center"/>
                </w:tcPr>
                <w:p>
                  <w:pPr>
                    <w:widowControl/>
                    <w:jc w:val="center"/>
                    <w:rPr>
                      <w:rFonts w:hint="eastAsia" w:asciiTheme="majorEastAsia" w:hAnsiTheme="majorEastAsia" w:eastAsiaTheme="majorEastAsia"/>
                      <w:sz w:val="21"/>
                      <w:szCs w:val="21"/>
                    </w:rPr>
                  </w:pPr>
                  <w:r>
                    <w:rPr>
                      <w:rFonts w:hint="eastAsia" w:asciiTheme="majorEastAsia" w:hAnsiTheme="majorEastAsia" w:eastAsiaTheme="majorEastAsia"/>
                      <w:sz w:val="21"/>
                      <w:szCs w:val="21"/>
                    </w:rPr>
                    <w:t>矿井疏干水</w:t>
                  </w:r>
                </w:p>
              </w:tc>
              <w:tc>
                <w:tcPr>
                  <w:tcW w:w="2401" w:type="dxa"/>
                  <w:vAlign w:val="center"/>
                </w:tcPr>
                <w:p>
                  <w:pPr>
                    <w:widowControl/>
                    <w:jc w:val="center"/>
                    <w:rPr>
                      <w:rFonts w:hint="eastAsia" w:asciiTheme="majorEastAsia" w:hAnsiTheme="majorEastAsia" w:eastAsiaTheme="majorEastAsia"/>
                      <w:sz w:val="21"/>
                      <w:szCs w:val="21"/>
                    </w:rPr>
                  </w:pPr>
                  <w:r>
                    <w:rPr>
                      <w:rFonts w:asciiTheme="majorEastAsia" w:hAnsiTheme="majorEastAsia" w:eastAsiaTheme="majorEastAsia"/>
                      <w:sz w:val="21"/>
                      <w:szCs w:val="21"/>
                    </w:rPr>
                    <w:t>m</w:t>
                  </w:r>
                  <w:r>
                    <w:rPr>
                      <w:rFonts w:asciiTheme="majorEastAsia" w:hAnsiTheme="majorEastAsia" w:eastAsiaTheme="majorEastAsia"/>
                      <w:sz w:val="21"/>
                      <w:szCs w:val="21"/>
                      <w:vertAlign w:val="superscript"/>
                    </w:rPr>
                    <w:t>3</w:t>
                  </w:r>
                  <w:r>
                    <w:rPr>
                      <w:rFonts w:asciiTheme="majorEastAsia" w:hAnsiTheme="majorEastAsia" w:eastAsiaTheme="majorEastAsia"/>
                      <w:sz w:val="21"/>
                      <w:szCs w:val="21"/>
                    </w:rPr>
                    <w:t>/a</w:t>
                  </w:r>
                </w:p>
              </w:tc>
              <w:tc>
                <w:tcPr>
                  <w:tcW w:w="2175" w:type="dxa"/>
                  <w:vAlign w:val="center"/>
                </w:tcPr>
                <w:p>
                  <w:pPr>
                    <w:widowControl/>
                    <w:jc w:val="center"/>
                    <w:rPr>
                      <w:rFonts w:hint="eastAsia" w:asciiTheme="majorEastAsia" w:hAnsiTheme="majorEastAsia" w:eastAsiaTheme="majorEastAsia"/>
                      <w:sz w:val="21"/>
                      <w:szCs w:val="21"/>
                    </w:rPr>
                  </w:pPr>
                  <w:r>
                    <w:rPr>
                      <w:rFonts w:hint="eastAsia" w:asciiTheme="majorEastAsia" w:hAnsiTheme="majorEastAsia" w:eastAsiaTheme="majorEastAsia"/>
                      <w:sz w:val="21"/>
                      <w:szCs w:val="21"/>
                    </w:rPr>
                    <w:t>18544.64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jc w:val="center"/>
              </w:trPr>
              <w:tc>
                <w:tcPr>
                  <w:tcW w:w="1237" w:type="dxa"/>
                  <w:vAlign w:val="center"/>
                </w:tcPr>
                <w:p>
                  <w:pPr>
                    <w:pStyle w:val="10"/>
                    <w:spacing w:line="240" w:lineRule="auto"/>
                    <w:ind w:firstLine="0" w:firstLineChars="0"/>
                    <w:jc w:val="center"/>
                    <w:rPr>
                      <w:sz w:val="21"/>
                      <w:szCs w:val="21"/>
                    </w:rPr>
                  </w:pPr>
                  <w:r>
                    <w:rPr>
                      <w:rFonts w:hint="eastAsia"/>
                      <w:sz w:val="21"/>
                      <w:szCs w:val="21"/>
                    </w:rPr>
                    <w:t>3.3</w:t>
                  </w:r>
                </w:p>
              </w:tc>
              <w:tc>
                <w:tcPr>
                  <w:tcW w:w="2535" w:type="dxa"/>
                  <w:vAlign w:val="center"/>
                </w:tcPr>
                <w:p>
                  <w:pPr>
                    <w:widowControl/>
                    <w:jc w:val="center"/>
                    <w:rPr>
                      <w:rFonts w:hint="eastAsia" w:asciiTheme="majorEastAsia" w:hAnsiTheme="majorEastAsia" w:eastAsiaTheme="majorEastAsia"/>
                      <w:sz w:val="21"/>
                      <w:szCs w:val="21"/>
                    </w:rPr>
                  </w:pPr>
                  <w:r>
                    <w:rPr>
                      <w:rFonts w:hint="eastAsia" w:asciiTheme="majorEastAsia" w:hAnsiTheme="majorEastAsia" w:eastAsiaTheme="majorEastAsia"/>
                      <w:sz w:val="21"/>
                      <w:szCs w:val="21"/>
                    </w:rPr>
                    <w:t>电</w:t>
                  </w:r>
                </w:p>
              </w:tc>
              <w:tc>
                <w:tcPr>
                  <w:tcW w:w="2401" w:type="dxa"/>
                  <w:vAlign w:val="center"/>
                </w:tcPr>
                <w:p>
                  <w:pPr>
                    <w:widowControl/>
                    <w:jc w:val="center"/>
                    <w:rPr>
                      <w:rFonts w:hint="eastAsia" w:asciiTheme="majorEastAsia" w:hAnsiTheme="majorEastAsia" w:eastAsiaTheme="majorEastAsia"/>
                      <w:sz w:val="21"/>
                      <w:szCs w:val="21"/>
                    </w:rPr>
                  </w:pPr>
                  <w:r>
                    <w:rPr>
                      <w:rFonts w:asciiTheme="majorEastAsia" w:hAnsiTheme="majorEastAsia" w:eastAsiaTheme="majorEastAsia"/>
                      <w:sz w:val="21"/>
                      <w:szCs w:val="21"/>
                    </w:rPr>
                    <w:t>万kWh/a</w:t>
                  </w:r>
                </w:p>
              </w:tc>
              <w:tc>
                <w:tcPr>
                  <w:tcW w:w="2175" w:type="dxa"/>
                  <w:vAlign w:val="center"/>
                </w:tcPr>
                <w:p>
                  <w:pPr>
                    <w:widowControl/>
                    <w:jc w:val="center"/>
                    <w:rPr>
                      <w:rFonts w:hint="eastAsia" w:asciiTheme="majorEastAsia" w:hAnsiTheme="majorEastAsia" w:eastAsiaTheme="majorEastAsia"/>
                      <w:sz w:val="21"/>
                      <w:szCs w:val="21"/>
                      <w:highlight w:val="yellow"/>
                    </w:rPr>
                  </w:pPr>
                  <w:r>
                    <w:rPr>
                      <w:rFonts w:hint="eastAsia" w:asciiTheme="majorEastAsia" w:hAnsiTheme="majorEastAsia" w:eastAsiaTheme="majorEastAsia"/>
                      <w:sz w:val="21"/>
                      <w:szCs w:val="21"/>
                    </w:rPr>
                    <w:t>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jc w:val="center"/>
              </w:trPr>
              <w:tc>
                <w:tcPr>
                  <w:tcW w:w="1237" w:type="dxa"/>
                  <w:vAlign w:val="center"/>
                </w:tcPr>
                <w:p>
                  <w:pPr>
                    <w:pStyle w:val="10"/>
                    <w:spacing w:line="240" w:lineRule="auto"/>
                    <w:ind w:firstLine="0" w:firstLineChars="0"/>
                    <w:jc w:val="center"/>
                    <w:rPr>
                      <w:sz w:val="21"/>
                      <w:szCs w:val="21"/>
                    </w:rPr>
                  </w:pPr>
                  <w:r>
                    <w:rPr>
                      <w:rFonts w:hint="eastAsia"/>
                      <w:sz w:val="21"/>
                      <w:szCs w:val="21"/>
                    </w:rPr>
                    <w:t>4</w:t>
                  </w:r>
                </w:p>
              </w:tc>
              <w:tc>
                <w:tcPr>
                  <w:tcW w:w="2535" w:type="dxa"/>
                  <w:vAlign w:val="center"/>
                </w:tcPr>
                <w:p>
                  <w:pPr>
                    <w:widowControl/>
                    <w:jc w:val="center"/>
                    <w:rPr>
                      <w:rFonts w:hint="eastAsia" w:asciiTheme="majorEastAsia" w:hAnsiTheme="majorEastAsia" w:eastAsiaTheme="majorEastAsia"/>
                      <w:sz w:val="21"/>
                      <w:szCs w:val="21"/>
                    </w:rPr>
                  </w:pPr>
                  <w:r>
                    <w:rPr>
                      <w:rFonts w:hint="eastAsia" w:asciiTheme="majorEastAsia" w:hAnsiTheme="majorEastAsia" w:eastAsiaTheme="majorEastAsia"/>
                      <w:sz w:val="21"/>
                      <w:szCs w:val="21"/>
                    </w:rPr>
                    <w:t>年生产天数</w:t>
                  </w:r>
                </w:p>
              </w:tc>
              <w:tc>
                <w:tcPr>
                  <w:tcW w:w="2401" w:type="dxa"/>
                  <w:vAlign w:val="center"/>
                </w:tcPr>
                <w:p>
                  <w:pPr>
                    <w:widowControl/>
                    <w:jc w:val="center"/>
                    <w:rPr>
                      <w:rFonts w:hint="eastAsia" w:asciiTheme="majorEastAsia" w:hAnsiTheme="majorEastAsia" w:eastAsiaTheme="majorEastAsia"/>
                      <w:sz w:val="21"/>
                      <w:szCs w:val="21"/>
                    </w:rPr>
                  </w:pPr>
                  <w:r>
                    <w:rPr>
                      <w:rFonts w:hint="eastAsia" w:asciiTheme="majorEastAsia" w:hAnsiTheme="majorEastAsia" w:eastAsiaTheme="majorEastAsia"/>
                      <w:sz w:val="21"/>
                      <w:szCs w:val="21"/>
                    </w:rPr>
                    <w:t>天</w:t>
                  </w:r>
                </w:p>
              </w:tc>
              <w:tc>
                <w:tcPr>
                  <w:tcW w:w="2175" w:type="dxa"/>
                  <w:vAlign w:val="center"/>
                </w:tcPr>
                <w:p>
                  <w:pPr>
                    <w:widowControl/>
                    <w:jc w:val="center"/>
                    <w:rPr>
                      <w:rFonts w:hint="eastAsia" w:asciiTheme="majorEastAsia" w:hAnsiTheme="majorEastAsia" w:eastAsiaTheme="majorEastAsia"/>
                      <w:sz w:val="21"/>
                      <w:szCs w:val="21"/>
                      <w:highlight w:val="yellow"/>
                    </w:rPr>
                  </w:pPr>
                  <w:r>
                    <w:rPr>
                      <w:rFonts w:hint="eastAsia" w:asciiTheme="majorEastAsia" w:hAnsiTheme="majorEastAsia" w:eastAsiaTheme="majorEastAsia"/>
                      <w:sz w:val="21"/>
                      <w:szCs w:val="21"/>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jc w:val="center"/>
              </w:trPr>
              <w:tc>
                <w:tcPr>
                  <w:tcW w:w="1237" w:type="dxa"/>
                  <w:vAlign w:val="center"/>
                </w:tcPr>
                <w:p>
                  <w:pPr>
                    <w:pStyle w:val="10"/>
                    <w:spacing w:line="240" w:lineRule="auto"/>
                    <w:ind w:firstLine="0" w:firstLineChars="0"/>
                    <w:jc w:val="center"/>
                    <w:rPr>
                      <w:sz w:val="21"/>
                      <w:szCs w:val="21"/>
                    </w:rPr>
                  </w:pPr>
                  <w:r>
                    <w:rPr>
                      <w:rFonts w:hint="eastAsia"/>
                      <w:sz w:val="21"/>
                      <w:szCs w:val="21"/>
                    </w:rPr>
                    <w:t>5</w:t>
                  </w:r>
                </w:p>
              </w:tc>
              <w:tc>
                <w:tcPr>
                  <w:tcW w:w="2535" w:type="dxa"/>
                  <w:vAlign w:val="center"/>
                </w:tcPr>
                <w:p>
                  <w:pPr>
                    <w:widowControl/>
                    <w:jc w:val="center"/>
                    <w:rPr>
                      <w:rFonts w:hint="eastAsia" w:asciiTheme="majorEastAsia" w:hAnsiTheme="majorEastAsia" w:eastAsiaTheme="majorEastAsia"/>
                      <w:sz w:val="21"/>
                      <w:szCs w:val="21"/>
                    </w:rPr>
                  </w:pPr>
                  <w:r>
                    <w:rPr>
                      <w:rFonts w:hint="eastAsia" w:asciiTheme="majorEastAsia" w:hAnsiTheme="majorEastAsia" w:eastAsiaTheme="majorEastAsia"/>
                      <w:sz w:val="21"/>
                      <w:szCs w:val="21"/>
                    </w:rPr>
                    <w:t>劳动定员</w:t>
                  </w:r>
                </w:p>
              </w:tc>
              <w:tc>
                <w:tcPr>
                  <w:tcW w:w="2401" w:type="dxa"/>
                  <w:vAlign w:val="center"/>
                </w:tcPr>
                <w:p>
                  <w:pPr>
                    <w:widowControl/>
                    <w:jc w:val="center"/>
                    <w:rPr>
                      <w:rFonts w:hint="eastAsia" w:asciiTheme="majorEastAsia" w:hAnsiTheme="majorEastAsia" w:eastAsiaTheme="majorEastAsia"/>
                      <w:sz w:val="21"/>
                      <w:szCs w:val="21"/>
                    </w:rPr>
                  </w:pPr>
                  <w:r>
                    <w:rPr>
                      <w:rFonts w:hint="eastAsia" w:asciiTheme="majorEastAsia" w:hAnsiTheme="majorEastAsia" w:eastAsiaTheme="majorEastAsia"/>
                      <w:sz w:val="21"/>
                      <w:szCs w:val="21"/>
                    </w:rPr>
                    <w:t>人</w:t>
                  </w:r>
                </w:p>
              </w:tc>
              <w:tc>
                <w:tcPr>
                  <w:tcW w:w="2175" w:type="dxa"/>
                  <w:vAlign w:val="center"/>
                </w:tcPr>
                <w:p>
                  <w:pPr>
                    <w:widowControl/>
                    <w:jc w:val="center"/>
                    <w:rPr>
                      <w:rFonts w:hint="eastAsia" w:asciiTheme="majorEastAsia" w:hAnsiTheme="majorEastAsia" w:eastAsiaTheme="majorEastAsia"/>
                      <w:sz w:val="21"/>
                      <w:szCs w:val="21"/>
                    </w:rPr>
                  </w:pPr>
                  <w:r>
                    <w:rPr>
                      <w:rFonts w:hint="eastAsia" w:asciiTheme="majorEastAsia" w:hAnsiTheme="majorEastAsia" w:eastAsiaTheme="majorEastAsia"/>
                      <w:sz w:val="21"/>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237" w:type="dxa"/>
                  <w:vAlign w:val="center"/>
                </w:tcPr>
                <w:p>
                  <w:pPr>
                    <w:pStyle w:val="10"/>
                    <w:spacing w:line="240" w:lineRule="auto"/>
                    <w:ind w:firstLine="0" w:firstLineChars="0"/>
                    <w:jc w:val="center"/>
                    <w:rPr>
                      <w:sz w:val="21"/>
                      <w:szCs w:val="21"/>
                    </w:rPr>
                  </w:pPr>
                  <w:r>
                    <w:rPr>
                      <w:rFonts w:hint="eastAsia"/>
                      <w:sz w:val="21"/>
                      <w:szCs w:val="21"/>
                    </w:rPr>
                    <w:t>6</w:t>
                  </w:r>
                </w:p>
              </w:tc>
              <w:tc>
                <w:tcPr>
                  <w:tcW w:w="2535" w:type="dxa"/>
                  <w:vAlign w:val="center"/>
                </w:tcPr>
                <w:p>
                  <w:pPr>
                    <w:widowControl/>
                    <w:jc w:val="center"/>
                    <w:rPr>
                      <w:rFonts w:hint="eastAsia" w:asciiTheme="majorEastAsia" w:hAnsiTheme="majorEastAsia" w:eastAsiaTheme="majorEastAsia"/>
                      <w:sz w:val="21"/>
                      <w:szCs w:val="21"/>
                    </w:rPr>
                  </w:pPr>
                  <w:r>
                    <w:rPr>
                      <w:rFonts w:hint="eastAsia" w:asciiTheme="majorEastAsia" w:hAnsiTheme="majorEastAsia" w:eastAsiaTheme="majorEastAsia"/>
                      <w:sz w:val="21"/>
                      <w:szCs w:val="21"/>
                    </w:rPr>
                    <w:t>厂区总占地面积</w:t>
                  </w:r>
                </w:p>
              </w:tc>
              <w:tc>
                <w:tcPr>
                  <w:tcW w:w="2401" w:type="dxa"/>
                  <w:vAlign w:val="center"/>
                </w:tcPr>
                <w:p>
                  <w:pPr>
                    <w:widowControl/>
                    <w:jc w:val="center"/>
                    <w:rPr>
                      <w:rFonts w:hint="eastAsia" w:asciiTheme="majorEastAsia" w:hAnsiTheme="majorEastAsia" w:eastAsiaTheme="majorEastAsia"/>
                      <w:sz w:val="21"/>
                      <w:szCs w:val="21"/>
                    </w:rPr>
                  </w:pPr>
                  <w:r>
                    <w:rPr>
                      <w:rFonts w:asciiTheme="majorEastAsia" w:hAnsiTheme="majorEastAsia" w:eastAsiaTheme="majorEastAsia"/>
                      <w:sz w:val="21"/>
                      <w:szCs w:val="21"/>
                    </w:rPr>
                    <w:t>m</w:t>
                  </w:r>
                  <w:r>
                    <w:rPr>
                      <w:rFonts w:hint="eastAsia" w:asciiTheme="majorEastAsia" w:hAnsiTheme="majorEastAsia" w:eastAsiaTheme="majorEastAsia"/>
                      <w:sz w:val="21"/>
                      <w:szCs w:val="21"/>
                      <w:vertAlign w:val="superscript"/>
                    </w:rPr>
                    <w:t>2</w:t>
                  </w:r>
                </w:p>
              </w:tc>
              <w:tc>
                <w:tcPr>
                  <w:tcW w:w="2175" w:type="dxa"/>
                  <w:vAlign w:val="center"/>
                </w:tcPr>
                <w:p>
                  <w:pPr>
                    <w:widowControl/>
                    <w:jc w:val="center"/>
                    <w:rPr>
                      <w:rFonts w:hint="eastAsia" w:asciiTheme="majorEastAsia" w:hAnsiTheme="majorEastAsia" w:eastAsiaTheme="majorEastAsia"/>
                      <w:sz w:val="21"/>
                      <w:szCs w:val="21"/>
                    </w:rPr>
                  </w:pPr>
                  <w:r>
                    <w:rPr>
                      <w:rFonts w:hint="eastAsia" w:asciiTheme="majorEastAsia" w:hAnsiTheme="majorEastAsia" w:eastAsiaTheme="majorEastAsia"/>
                      <w:sz w:val="21"/>
                      <w:szCs w:val="21"/>
                    </w:rPr>
                    <w:t>16016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jc w:val="center"/>
              </w:trPr>
              <w:tc>
                <w:tcPr>
                  <w:tcW w:w="1237" w:type="dxa"/>
                  <w:vAlign w:val="center"/>
                </w:tcPr>
                <w:p>
                  <w:pPr>
                    <w:pStyle w:val="10"/>
                    <w:spacing w:line="240" w:lineRule="auto"/>
                    <w:ind w:firstLine="0" w:firstLineChars="0"/>
                    <w:jc w:val="center"/>
                    <w:rPr>
                      <w:sz w:val="21"/>
                      <w:szCs w:val="21"/>
                    </w:rPr>
                  </w:pPr>
                  <w:r>
                    <w:rPr>
                      <w:rFonts w:hint="eastAsia"/>
                      <w:sz w:val="21"/>
                      <w:szCs w:val="21"/>
                    </w:rPr>
                    <w:t>7</w:t>
                  </w:r>
                </w:p>
              </w:tc>
              <w:tc>
                <w:tcPr>
                  <w:tcW w:w="2535" w:type="dxa"/>
                  <w:vAlign w:val="center"/>
                </w:tcPr>
                <w:p>
                  <w:pPr>
                    <w:widowControl/>
                    <w:jc w:val="center"/>
                    <w:rPr>
                      <w:rFonts w:hint="eastAsia" w:asciiTheme="majorEastAsia" w:hAnsiTheme="majorEastAsia" w:eastAsiaTheme="majorEastAsia"/>
                      <w:sz w:val="21"/>
                      <w:szCs w:val="21"/>
                    </w:rPr>
                  </w:pPr>
                  <w:r>
                    <w:rPr>
                      <w:rFonts w:hint="eastAsia" w:asciiTheme="majorEastAsia" w:hAnsiTheme="majorEastAsia" w:eastAsiaTheme="majorEastAsia"/>
                      <w:sz w:val="21"/>
                      <w:szCs w:val="21"/>
                    </w:rPr>
                    <w:t>项目总投资</w:t>
                  </w:r>
                </w:p>
              </w:tc>
              <w:tc>
                <w:tcPr>
                  <w:tcW w:w="2401" w:type="dxa"/>
                  <w:vAlign w:val="center"/>
                </w:tcPr>
                <w:p>
                  <w:pPr>
                    <w:widowControl/>
                    <w:jc w:val="center"/>
                    <w:rPr>
                      <w:rFonts w:hint="eastAsia" w:asciiTheme="majorEastAsia" w:hAnsiTheme="majorEastAsia" w:eastAsiaTheme="majorEastAsia"/>
                      <w:sz w:val="21"/>
                      <w:szCs w:val="21"/>
                    </w:rPr>
                  </w:pPr>
                  <w:r>
                    <w:rPr>
                      <w:rFonts w:hint="eastAsia" w:asciiTheme="majorEastAsia" w:hAnsiTheme="majorEastAsia" w:eastAsiaTheme="majorEastAsia"/>
                      <w:sz w:val="21"/>
                      <w:szCs w:val="21"/>
                    </w:rPr>
                    <w:t>万元</w:t>
                  </w:r>
                </w:p>
              </w:tc>
              <w:tc>
                <w:tcPr>
                  <w:tcW w:w="2175" w:type="dxa"/>
                  <w:vAlign w:val="center"/>
                </w:tcPr>
                <w:p>
                  <w:pPr>
                    <w:widowControl/>
                    <w:jc w:val="center"/>
                    <w:rPr>
                      <w:rFonts w:hint="eastAsia" w:asciiTheme="majorEastAsia" w:hAnsiTheme="majorEastAsia" w:eastAsiaTheme="majorEastAsia"/>
                      <w:sz w:val="21"/>
                      <w:szCs w:val="21"/>
                    </w:rPr>
                  </w:pPr>
                  <w:r>
                    <w:rPr>
                      <w:rFonts w:hint="eastAsia" w:asciiTheme="majorEastAsia" w:hAnsiTheme="majorEastAsia" w:eastAsiaTheme="majorEastAsia"/>
                      <w:sz w:val="21"/>
                      <w:szCs w:val="21"/>
                    </w:rPr>
                    <w:t>380</w:t>
                  </w:r>
                </w:p>
              </w:tc>
            </w:tr>
          </w:tbl>
          <w:p>
            <w:pPr>
              <w:pStyle w:val="5"/>
              <w:spacing w:line="240" w:lineRule="auto"/>
              <w:ind w:firstLine="481" w:firstLineChars="200"/>
              <w:rPr>
                <w:color w:val="auto"/>
              </w:rPr>
            </w:pPr>
          </w:p>
          <w:p>
            <w:pPr>
              <w:pStyle w:val="5"/>
              <w:ind w:firstLine="481" w:firstLineChars="200"/>
              <w:rPr>
                <w:color w:val="auto"/>
              </w:rPr>
            </w:pPr>
            <w:r>
              <w:rPr>
                <w:rFonts w:hint="eastAsia"/>
                <w:color w:val="auto"/>
              </w:rPr>
              <w:t>2、项目主要生产设备设施</w:t>
            </w:r>
          </w:p>
          <w:p>
            <w:pPr>
              <w:pStyle w:val="10"/>
              <w:ind w:firstLine="480"/>
            </w:pPr>
            <w:r>
              <w:rPr>
                <w:rFonts w:hint="eastAsia"/>
              </w:rPr>
              <w:t>本项目主要生产设备设施见表2-4。</w:t>
            </w:r>
          </w:p>
          <w:p>
            <w:pPr>
              <w:pStyle w:val="10"/>
              <w:spacing w:line="240" w:lineRule="auto"/>
              <w:ind w:firstLine="0" w:firstLineChars="0"/>
              <w:jc w:val="center"/>
            </w:pPr>
            <w:r>
              <w:rPr>
                <w:rFonts w:hint="eastAsia"/>
                <w:b/>
                <w:bCs/>
              </w:rPr>
              <w:t>表2-4       主要生产设备设施一览表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2226"/>
              <w:gridCol w:w="2782"/>
              <w:gridCol w:w="25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序号</w:t>
                  </w:r>
                </w:p>
              </w:tc>
              <w:tc>
                <w:tcPr>
                  <w:tcW w:w="1333" w:type="pct"/>
                  <w:vAlign w:val="center"/>
                </w:tcPr>
                <w:p>
                  <w:pPr>
                    <w:pStyle w:val="10"/>
                    <w:spacing w:line="240" w:lineRule="auto"/>
                    <w:ind w:firstLine="0" w:firstLineChars="0"/>
                    <w:jc w:val="center"/>
                    <w:rPr>
                      <w:sz w:val="21"/>
                      <w:szCs w:val="21"/>
                    </w:rPr>
                  </w:pPr>
                  <w:r>
                    <w:rPr>
                      <w:rFonts w:hint="eastAsia"/>
                      <w:sz w:val="21"/>
                      <w:szCs w:val="21"/>
                    </w:rPr>
                    <w:t>设备名称</w:t>
                  </w:r>
                </w:p>
              </w:tc>
              <w:tc>
                <w:tcPr>
                  <w:tcW w:w="1666" w:type="pct"/>
                  <w:vAlign w:val="center"/>
                </w:tcPr>
                <w:p>
                  <w:pPr>
                    <w:pStyle w:val="10"/>
                    <w:spacing w:line="240" w:lineRule="auto"/>
                    <w:ind w:firstLine="0" w:firstLineChars="0"/>
                    <w:jc w:val="center"/>
                    <w:rPr>
                      <w:sz w:val="21"/>
                      <w:szCs w:val="21"/>
                    </w:rPr>
                  </w:pPr>
                  <w:r>
                    <w:rPr>
                      <w:sz w:val="21"/>
                      <w:szCs w:val="21"/>
                    </w:rPr>
                    <w:t>型号规格</w:t>
                  </w:r>
                </w:p>
              </w:tc>
              <w:tc>
                <w:tcPr>
                  <w:tcW w:w="1500" w:type="pct"/>
                  <w:vAlign w:val="center"/>
                </w:tcPr>
                <w:p>
                  <w:pPr>
                    <w:pStyle w:val="10"/>
                    <w:spacing w:line="240" w:lineRule="auto"/>
                    <w:ind w:firstLine="0" w:firstLineChars="0"/>
                    <w:jc w:val="center"/>
                    <w:rPr>
                      <w:sz w:val="21"/>
                      <w:szCs w:val="21"/>
                    </w:rPr>
                  </w:pPr>
                  <w:r>
                    <w:rPr>
                      <w:rFonts w:hint="eastAsia"/>
                      <w:sz w:val="21"/>
                      <w:szCs w:val="21"/>
                    </w:rPr>
                    <w:t>数量（台、条、各）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4"/>
                  <w:vAlign w:val="center"/>
                </w:tcPr>
                <w:p>
                  <w:pPr>
                    <w:pStyle w:val="10"/>
                    <w:spacing w:line="240" w:lineRule="auto"/>
                    <w:ind w:firstLine="0" w:firstLineChars="0"/>
                    <w:jc w:val="center"/>
                    <w:rPr>
                      <w:sz w:val="21"/>
                      <w:szCs w:val="21"/>
                    </w:rPr>
                  </w:pPr>
                  <w:r>
                    <w:rPr>
                      <w:rFonts w:hint="eastAsia"/>
                      <w:sz w:val="21"/>
                      <w:szCs w:val="21"/>
                    </w:rPr>
                    <w:t>搅拌主机及配套设施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1</w:t>
                  </w:r>
                </w:p>
              </w:tc>
              <w:tc>
                <w:tcPr>
                  <w:tcW w:w="1333" w:type="pct"/>
                  <w:vAlign w:val="center"/>
                </w:tcPr>
                <w:p>
                  <w:pPr>
                    <w:jc w:val="center"/>
                    <w:rPr>
                      <w:kern w:val="0"/>
                      <w:sz w:val="21"/>
                      <w:szCs w:val="21"/>
                    </w:rPr>
                  </w:pPr>
                  <w:r>
                    <w:rPr>
                      <w:kern w:val="0"/>
                      <w:sz w:val="21"/>
                      <w:szCs w:val="21"/>
                    </w:rPr>
                    <w:t>搅拌机</w:t>
                  </w:r>
                </w:p>
              </w:tc>
              <w:tc>
                <w:tcPr>
                  <w:tcW w:w="1666" w:type="pct"/>
                  <w:vAlign w:val="center"/>
                </w:tcPr>
                <w:p>
                  <w:pPr>
                    <w:jc w:val="center"/>
                    <w:rPr>
                      <w:kern w:val="0"/>
                      <w:sz w:val="21"/>
                      <w:szCs w:val="21"/>
                    </w:rPr>
                  </w:pPr>
                  <w:r>
                    <w:rPr>
                      <w:rFonts w:hint="eastAsia"/>
                      <w:kern w:val="0"/>
                      <w:sz w:val="21"/>
                      <w:szCs w:val="21"/>
                    </w:rPr>
                    <w:t>HZS240</w:t>
                  </w:r>
                </w:p>
              </w:tc>
              <w:tc>
                <w:tcPr>
                  <w:tcW w:w="1500" w:type="pct"/>
                  <w:vAlign w:val="center"/>
                </w:tcPr>
                <w:p>
                  <w:pPr>
                    <w:pStyle w:val="10"/>
                    <w:spacing w:line="240" w:lineRule="auto"/>
                    <w:ind w:firstLine="0" w:firstLineChars="0"/>
                    <w:jc w:val="center"/>
                    <w:rPr>
                      <w:sz w:val="21"/>
                      <w:szCs w:val="21"/>
                    </w:rPr>
                  </w:pPr>
                  <w:r>
                    <w:rPr>
                      <w:rFonts w:hint="eastAsia"/>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2</w:t>
                  </w:r>
                </w:p>
              </w:tc>
              <w:tc>
                <w:tcPr>
                  <w:tcW w:w="1333" w:type="pct"/>
                  <w:vAlign w:val="center"/>
                </w:tcPr>
                <w:p>
                  <w:pPr>
                    <w:jc w:val="center"/>
                    <w:rPr>
                      <w:kern w:val="0"/>
                      <w:sz w:val="21"/>
                      <w:szCs w:val="21"/>
                    </w:rPr>
                  </w:pPr>
                  <w:r>
                    <w:rPr>
                      <w:kern w:val="0"/>
                      <w:sz w:val="21"/>
                      <w:szCs w:val="21"/>
                    </w:rPr>
                    <w:t>皮带</w:t>
                  </w:r>
                </w:p>
              </w:tc>
              <w:tc>
                <w:tcPr>
                  <w:tcW w:w="1666" w:type="pct"/>
                  <w:vAlign w:val="center"/>
                </w:tcPr>
                <w:p>
                  <w:pPr>
                    <w:jc w:val="center"/>
                    <w:rPr>
                      <w:kern w:val="0"/>
                      <w:sz w:val="21"/>
                      <w:szCs w:val="21"/>
                    </w:rPr>
                  </w:pPr>
                  <w:r>
                    <w:rPr>
                      <w:rFonts w:hint="eastAsia"/>
                      <w:kern w:val="0"/>
                      <w:sz w:val="21"/>
                      <w:szCs w:val="21"/>
                    </w:rPr>
                    <w:t>1400t/h</w:t>
                  </w:r>
                </w:p>
              </w:tc>
              <w:tc>
                <w:tcPr>
                  <w:tcW w:w="1500" w:type="pct"/>
                  <w:vAlign w:val="center"/>
                </w:tcPr>
                <w:p>
                  <w:pPr>
                    <w:pStyle w:val="10"/>
                    <w:spacing w:line="240" w:lineRule="auto"/>
                    <w:ind w:firstLine="0" w:firstLineChars="0"/>
                    <w:jc w:val="center"/>
                    <w:rPr>
                      <w:sz w:val="21"/>
                      <w:szCs w:val="21"/>
                    </w:rPr>
                  </w:pPr>
                  <w:r>
                    <w:rPr>
                      <w:rFonts w:hint="eastAsia"/>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3</w:t>
                  </w:r>
                </w:p>
              </w:tc>
              <w:tc>
                <w:tcPr>
                  <w:tcW w:w="1333" w:type="pct"/>
                  <w:vAlign w:val="center"/>
                </w:tcPr>
                <w:p>
                  <w:pPr>
                    <w:jc w:val="center"/>
                    <w:rPr>
                      <w:kern w:val="0"/>
                      <w:sz w:val="21"/>
                      <w:szCs w:val="21"/>
                    </w:rPr>
                  </w:pPr>
                  <w:r>
                    <w:rPr>
                      <w:kern w:val="0"/>
                      <w:sz w:val="21"/>
                      <w:szCs w:val="21"/>
                    </w:rPr>
                    <w:t>螺旋输送机</w:t>
                  </w:r>
                </w:p>
              </w:tc>
              <w:tc>
                <w:tcPr>
                  <w:tcW w:w="1666" w:type="pct"/>
                  <w:vAlign w:val="center"/>
                </w:tcPr>
                <w:p>
                  <w:pPr>
                    <w:jc w:val="center"/>
                    <w:rPr>
                      <w:kern w:val="0"/>
                      <w:sz w:val="21"/>
                      <w:szCs w:val="21"/>
                    </w:rPr>
                  </w:pPr>
                  <w:r>
                    <w:rPr>
                      <w:rFonts w:hint="eastAsia"/>
                      <w:kern w:val="0"/>
                      <w:sz w:val="21"/>
                      <w:szCs w:val="21"/>
                    </w:rPr>
                    <w:t>180t/h</w:t>
                  </w:r>
                </w:p>
              </w:tc>
              <w:tc>
                <w:tcPr>
                  <w:tcW w:w="1500" w:type="pct"/>
                  <w:vAlign w:val="center"/>
                </w:tcPr>
                <w:p>
                  <w:pPr>
                    <w:pStyle w:val="10"/>
                    <w:spacing w:line="240" w:lineRule="auto"/>
                    <w:ind w:firstLine="0" w:firstLineChars="0"/>
                    <w:jc w:val="center"/>
                    <w:rPr>
                      <w:sz w:val="21"/>
                      <w:szCs w:val="21"/>
                    </w:rPr>
                  </w:pPr>
                  <w:r>
                    <w:rPr>
                      <w:rFonts w:hint="eastAsia"/>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4"/>
                  <w:vAlign w:val="center"/>
                </w:tcPr>
                <w:p>
                  <w:pPr>
                    <w:pStyle w:val="10"/>
                    <w:spacing w:line="240" w:lineRule="auto"/>
                    <w:ind w:firstLine="0" w:firstLineChars="0"/>
                    <w:jc w:val="center"/>
                    <w:rPr>
                      <w:sz w:val="21"/>
                      <w:szCs w:val="21"/>
                    </w:rPr>
                  </w:pPr>
                  <w:r>
                    <w:rPr>
                      <w:rFonts w:hint="eastAsia"/>
                      <w:sz w:val="21"/>
                      <w:szCs w:val="21"/>
                    </w:rPr>
                    <w:t>附属设备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1</w:t>
                  </w:r>
                </w:p>
              </w:tc>
              <w:tc>
                <w:tcPr>
                  <w:tcW w:w="1333" w:type="pct"/>
                  <w:vAlign w:val="center"/>
                </w:tcPr>
                <w:p>
                  <w:pPr>
                    <w:jc w:val="center"/>
                    <w:rPr>
                      <w:kern w:val="0"/>
                      <w:sz w:val="21"/>
                      <w:szCs w:val="21"/>
                    </w:rPr>
                  </w:pPr>
                  <w:r>
                    <w:rPr>
                      <w:kern w:val="0"/>
                      <w:sz w:val="21"/>
                      <w:szCs w:val="21"/>
                    </w:rPr>
                    <w:t>储料仓</w:t>
                  </w:r>
                </w:p>
              </w:tc>
              <w:tc>
                <w:tcPr>
                  <w:tcW w:w="1666" w:type="pct"/>
                  <w:vAlign w:val="center"/>
                </w:tcPr>
                <w:p>
                  <w:pPr>
                    <w:jc w:val="center"/>
                    <w:rPr>
                      <w:kern w:val="0"/>
                      <w:sz w:val="21"/>
                      <w:szCs w:val="21"/>
                    </w:rPr>
                  </w:pPr>
                  <w:r>
                    <w:rPr>
                      <w:rFonts w:hint="eastAsia"/>
                      <w:kern w:val="0"/>
                      <w:sz w:val="21"/>
                      <w:szCs w:val="21"/>
                    </w:rPr>
                    <w:t>/</w:t>
                  </w:r>
                </w:p>
              </w:tc>
              <w:tc>
                <w:tcPr>
                  <w:tcW w:w="1500" w:type="pct"/>
                  <w:vAlign w:val="center"/>
                </w:tcPr>
                <w:p>
                  <w:pPr>
                    <w:pStyle w:val="10"/>
                    <w:spacing w:line="240" w:lineRule="auto"/>
                    <w:ind w:firstLine="0" w:firstLineChars="0"/>
                    <w:jc w:val="center"/>
                    <w:rPr>
                      <w:sz w:val="21"/>
                      <w:szCs w:val="21"/>
                    </w:rPr>
                  </w:pPr>
                  <w:r>
                    <w:rPr>
                      <w:rFonts w:hint="eastAsia"/>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2</w:t>
                  </w:r>
                </w:p>
              </w:tc>
              <w:tc>
                <w:tcPr>
                  <w:tcW w:w="1333" w:type="pct"/>
                  <w:vAlign w:val="center"/>
                </w:tcPr>
                <w:p>
                  <w:pPr>
                    <w:jc w:val="center"/>
                    <w:rPr>
                      <w:kern w:val="0"/>
                      <w:sz w:val="21"/>
                      <w:szCs w:val="21"/>
                    </w:rPr>
                  </w:pPr>
                  <w:r>
                    <w:rPr>
                      <w:kern w:val="0"/>
                      <w:sz w:val="21"/>
                      <w:szCs w:val="21"/>
                    </w:rPr>
                    <w:t>称重传感器</w:t>
                  </w:r>
                </w:p>
              </w:tc>
              <w:tc>
                <w:tcPr>
                  <w:tcW w:w="1666" w:type="pct"/>
                  <w:vAlign w:val="center"/>
                </w:tcPr>
                <w:p>
                  <w:pPr>
                    <w:jc w:val="center"/>
                    <w:rPr>
                      <w:kern w:val="0"/>
                      <w:sz w:val="21"/>
                      <w:szCs w:val="21"/>
                    </w:rPr>
                  </w:pPr>
                  <w:r>
                    <w:rPr>
                      <w:rFonts w:hint="eastAsia"/>
                      <w:kern w:val="0"/>
                      <w:sz w:val="21"/>
                      <w:szCs w:val="21"/>
                    </w:rPr>
                    <w:t>/</w:t>
                  </w:r>
                </w:p>
              </w:tc>
              <w:tc>
                <w:tcPr>
                  <w:tcW w:w="1500" w:type="pct"/>
                  <w:vAlign w:val="center"/>
                </w:tcPr>
                <w:p>
                  <w:pPr>
                    <w:pStyle w:val="10"/>
                    <w:spacing w:line="240" w:lineRule="auto"/>
                    <w:ind w:firstLine="0" w:firstLineChars="0"/>
                    <w:jc w:val="center"/>
                    <w:rPr>
                      <w:sz w:val="21"/>
                      <w:szCs w:val="21"/>
                    </w:rPr>
                  </w:pPr>
                  <w:r>
                    <w:rPr>
                      <w:rFonts w:hint="eastAsia"/>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3</w:t>
                  </w:r>
                </w:p>
              </w:tc>
              <w:tc>
                <w:tcPr>
                  <w:tcW w:w="1333" w:type="pct"/>
                  <w:vAlign w:val="center"/>
                </w:tcPr>
                <w:p>
                  <w:pPr>
                    <w:jc w:val="center"/>
                    <w:rPr>
                      <w:kern w:val="0"/>
                      <w:sz w:val="21"/>
                      <w:szCs w:val="21"/>
                    </w:rPr>
                  </w:pPr>
                  <w:r>
                    <w:rPr>
                      <w:kern w:val="0"/>
                      <w:sz w:val="21"/>
                      <w:szCs w:val="21"/>
                    </w:rPr>
                    <w:t>气缸</w:t>
                  </w:r>
                </w:p>
              </w:tc>
              <w:tc>
                <w:tcPr>
                  <w:tcW w:w="1666" w:type="pct"/>
                  <w:vAlign w:val="center"/>
                </w:tcPr>
                <w:p>
                  <w:pPr>
                    <w:jc w:val="center"/>
                    <w:rPr>
                      <w:kern w:val="0"/>
                      <w:sz w:val="21"/>
                      <w:szCs w:val="21"/>
                    </w:rPr>
                  </w:pPr>
                  <w:r>
                    <w:rPr>
                      <w:rFonts w:hint="eastAsia"/>
                      <w:kern w:val="0"/>
                      <w:sz w:val="21"/>
                      <w:szCs w:val="21"/>
                    </w:rPr>
                    <w:t>/</w:t>
                  </w:r>
                </w:p>
              </w:tc>
              <w:tc>
                <w:tcPr>
                  <w:tcW w:w="1500" w:type="pct"/>
                  <w:vAlign w:val="center"/>
                </w:tcPr>
                <w:p>
                  <w:pPr>
                    <w:pStyle w:val="10"/>
                    <w:spacing w:line="240" w:lineRule="auto"/>
                    <w:ind w:firstLine="0" w:firstLineChars="0"/>
                    <w:jc w:val="center"/>
                    <w:rPr>
                      <w:sz w:val="21"/>
                      <w:szCs w:val="21"/>
                    </w:rPr>
                  </w:pPr>
                  <w:r>
                    <w:rPr>
                      <w:rFonts w:hint="eastAsia"/>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4</w:t>
                  </w:r>
                </w:p>
              </w:tc>
              <w:tc>
                <w:tcPr>
                  <w:tcW w:w="1333" w:type="pct"/>
                  <w:vAlign w:val="center"/>
                </w:tcPr>
                <w:p>
                  <w:pPr>
                    <w:jc w:val="center"/>
                    <w:rPr>
                      <w:kern w:val="0"/>
                      <w:sz w:val="21"/>
                      <w:szCs w:val="21"/>
                    </w:rPr>
                  </w:pPr>
                  <w:r>
                    <w:rPr>
                      <w:kern w:val="0"/>
                      <w:sz w:val="21"/>
                      <w:szCs w:val="21"/>
                    </w:rPr>
                    <w:t>振动器</w:t>
                  </w:r>
                </w:p>
              </w:tc>
              <w:tc>
                <w:tcPr>
                  <w:tcW w:w="1666" w:type="pct"/>
                  <w:vAlign w:val="center"/>
                </w:tcPr>
                <w:p>
                  <w:pPr>
                    <w:jc w:val="center"/>
                    <w:rPr>
                      <w:kern w:val="0"/>
                      <w:sz w:val="21"/>
                      <w:szCs w:val="21"/>
                    </w:rPr>
                  </w:pPr>
                  <w:r>
                    <w:rPr>
                      <w:rFonts w:hint="eastAsia"/>
                      <w:kern w:val="0"/>
                      <w:sz w:val="21"/>
                      <w:szCs w:val="21"/>
                    </w:rPr>
                    <w:t>/</w:t>
                  </w:r>
                </w:p>
              </w:tc>
              <w:tc>
                <w:tcPr>
                  <w:tcW w:w="1500" w:type="pct"/>
                  <w:vAlign w:val="center"/>
                </w:tcPr>
                <w:p>
                  <w:pPr>
                    <w:pStyle w:val="10"/>
                    <w:spacing w:line="240" w:lineRule="auto"/>
                    <w:ind w:firstLine="0" w:firstLineChars="0"/>
                    <w:jc w:val="center"/>
                    <w:rPr>
                      <w:sz w:val="21"/>
                      <w:szCs w:val="21"/>
                    </w:rPr>
                  </w:pPr>
                  <w:r>
                    <w:rPr>
                      <w:rFonts w:hint="eastAsia"/>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5</w:t>
                  </w:r>
                </w:p>
              </w:tc>
              <w:tc>
                <w:tcPr>
                  <w:tcW w:w="1333" w:type="pct"/>
                  <w:vAlign w:val="center"/>
                </w:tcPr>
                <w:p>
                  <w:pPr>
                    <w:jc w:val="center"/>
                    <w:rPr>
                      <w:kern w:val="0"/>
                      <w:sz w:val="21"/>
                      <w:szCs w:val="21"/>
                    </w:rPr>
                  </w:pPr>
                  <w:r>
                    <w:rPr>
                      <w:kern w:val="0"/>
                      <w:sz w:val="21"/>
                      <w:szCs w:val="21"/>
                    </w:rPr>
                    <w:t>皮带秤</w:t>
                  </w:r>
                </w:p>
              </w:tc>
              <w:tc>
                <w:tcPr>
                  <w:tcW w:w="1666" w:type="pct"/>
                  <w:vAlign w:val="center"/>
                </w:tcPr>
                <w:p>
                  <w:pPr>
                    <w:jc w:val="center"/>
                    <w:rPr>
                      <w:kern w:val="0"/>
                      <w:sz w:val="21"/>
                      <w:szCs w:val="21"/>
                    </w:rPr>
                  </w:pPr>
                  <w:r>
                    <w:rPr>
                      <w:rFonts w:hint="eastAsia"/>
                      <w:kern w:val="0"/>
                      <w:sz w:val="21"/>
                      <w:szCs w:val="21"/>
                    </w:rPr>
                    <w:t>/</w:t>
                  </w:r>
                </w:p>
              </w:tc>
              <w:tc>
                <w:tcPr>
                  <w:tcW w:w="1500" w:type="pct"/>
                  <w:vAlign w:val="center"/>
                </w:tcPr>
                <w:p>
                  <w:pPr>
                    <w:pStyle w:val="10"/>
                    <w:spacing w:line="240" w:lineRule="auto"/>
                    <w:ind w:firstLine="0" w:firstLineChars="0"/>
                    <w:jc w:val="center"/>
                    <w:rPr>
                      <w:sz w:val="21"/>
                      <w:szCs w:val="21"/>
                    </w:rPr>
                  </w:pPr>
                  <w:r>
                    <w:rPr>
                      <w:rFonts w:hint="eastAsia"/>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6</w:t>
                  </w:r>
                </w:p>
              </w:tc>
              <w:tc>
                <w:tcPr>
                  <w:tcW w:w="1333" w:type="pct"/>
                  <w:vAlign w:val="center"/>
                </w:tcPr>
                <w:p>
                  <w:pPr>
                    <w:jc w:val="center"/>
                    <w:rPr>
                      <w:kern w:val="0"/>
                      <w:sz w:val="21"/>
                      <w:szCs w:val="21"/>
                    </w:rPr>
                  </w:pPr>
                  <w:r>
                    <w:rPr>
                      <w:kern w:val="0"/>
                      <w:sz w:val="21"/>
                      <w:szCs w:val="21"/>
                    </w:rPr>
                    <w:t>机架</w:t>
                  </w:r>
                </w:p>
              </w:tc>
              <w:tc>
                <w:tcPr>
                  <w:tcW w:w="1666" w:type="pct"/>
                  <w:vAlign w:val="center"/>
                </w:tcPr>
                <w:p>
                  <w:pPr>
                    <w:jc w:val="center"/>
                    <w:rPr>
                      <w:kern w:val="0"/>
                      <w:sz w:val="21"/>
                      <w:szCs w:val="21"/>
                    </w:rPr>
                  </w:pPr>
                  <w:r>
                    <w:rPr>
                      <w:rFonts w:hint="eastAsia"/>
                      <w:kern w:val="0"/>
                      <w:sz w:val="21"/>
                      <w:szCs w:val="21"/>
                    </w:rPr>
                    <w:t>/</w:t>
                  </w:r>
                </w:p>
              </w:tc>
              <w:tc>
                <w:tcPr>
                  <w:tcW w:w="1500" w:type="pct"/>
                  <w:vAlign w:val="center"/>
                </w:tcPr>
                <w:p>
                  <w:pPr>
                    <w:pStyle w:val="10"/>
                    <w:spacing w:line="240" w:lineRule="auto"/>
                    <w:ind w:firstLine="0" w:firstLineChars="0"/>
                    <w:jc w:val="center"/>
                    <w:rPr>
                      <w:sz w:val="21"/>
                      <w:szCs w:val="21"/>
                    </w:rPr>
                  </w:pPr>
                  <w:r>
                    <w:rPr>
                      <w:rFonts w:hint="eastAsia"/>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7</w:t>
                  </w:r>
                </w:p>
              </w:tc>
              <w:tc>
                <w:tcPr>
                  <w:tcW w:w="1333" w:type="pct"/>
                  <w:vAlign w:val="center"/>
                </w:tcPr>
                <w:p>
                  <w:pPr>
                    <w:jc w:val="center"/>
                    <w:rPr>
                      <w:kern w:val="0"/>
                      <w:sz w:val="21"/>
                      <w:szCs w:val="21"/>
                    </w:rPr>
                  </w:pPr>
                  <w:r>
                    <w:rPr>
                      <w:kern w:val="0"/>
                      <w:sz w:val="21"/>
                      <w:szCs w:val="21"/>
                    </w:rPr>
                    <w:t>输送带</w:t>
                  </w:r>
                </w:p>
              </w:tc>
              <w:tc>
                <w:tcPr>
                  <w:tcW w:w="1666" w:type="pct"/>
                  <w:vAlign w:val="center"/>
                </w:tcPr>
                <w:p>
                  <w:pPr>
                    <w:jc w:val="center"/>
                    <w:rPr>
                      <w:kern w:val="0"/>
                      <w:sz w:val="21"/>
                      <w:szCs w:val="21"/>
                    </w:rPr>
                  </w:pPr>
                  <w:r>
                    <w:rPr>
                      <w:rFonts w:hint="eastAsia"/>
                      <w:kern w:val="0"/>
                      <w:sz w:val="21"/>
                      <w:szCs w:val="21"/>
                    </w:rPr>
                    <w:t>/</w:t>
                  </w:r>
                </w:p>
              </w:tc>
              <w:tc>
                <w:tcPr>
                  <w:tcW w:w="1500" w:type="pct"/>
                  <w:vAlign w:val="center"/>
                </w:tcPr>
                <w:p>
                  <w:pPr>
                    <w:pStyle w:val="10"/>
                    <w:spacing w:line="240" w:lineRule="auto"/>
                    <w:ind w:firstLine="0" w:firstLineChars="0"/>
                    <w:jc w:val="center"/>
                    <w:rPr>
                      <w:sz w:val="21"/>
                      <w:szCs w:val="21"/>
                    </w:rPr>
                  </w:pPr>
                  <w:r>
                    <w:rPr>
                      <w:rFonts w:hint="eastAsia"/>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8</w:t>
                  </w:r>
                </w:p>
              </w:tc>
              <w:tc>
                <w:tcPr>
                  <w:tcW w:w="1333" w:type="pct"/>
                  <w:vAlign w:val="center"/>
                </w:tcPr>
                <w:p>
                  <w:pPr>
                    <w:jc w:val="center"/>
                    <w:rPr>
                      <w:kern w:val="0"/>
                      <w:sz w:val="21"/>
                      <w:szCs w:val="21"/>
                    </w:rPr>
                  </w:pPr>
                  <w:r>
                    <w:rPr>
                      <w:kern w:val="0"/>
                      <w:sz w:val="21"/>
                      <w:szCs w:val="21"/>
                    </w:rPr>
                    <w:t>减速滚筒</w:t>
                  </w:r>
                </w:p>
              </w:tc>
              <w:tc>
                <w:tcPr>
                  <w:tcW w:w="1666" w:type="pct"/>
                  <w:vAlign w:val="center"/>
                </w:tcPr>
                <w:p>
                  <w:pPr>
                    <w:jc w:val="center"/>
                    <w:rPr>
                      <w:kern w:val="0"/>
                      <w:sz w:val="21"/>
                      <w:szCs w:val="21"/>
                    </w:rPr>
                  </w:pPr>
                  <w:r>
                    <w:rPr>
                      <w:rFonts w:hint="eastAsia"/>
                      <w:kern w:val="0"/>
                      <w:sz w:val="21"/>
                      <w:szCs w:val="21"/>
                    </w:rPr>
                    <w:t>/</w:t>
                  </w:r>
                </w:p>
              </w:tc>
              <w:tc>
                <w:tcPr>
                  <w:tcW w:w="1500" w:type="pct"/>
                  <w:vAlign w:val="center"/>
                </w:tcPr>
                <w:p>
                  <w:pPr>
                    <w:pStyle w:val="10"/>
                    <w:spacing w:line="240" w:lineRule="auto"/>
                    <w:ind w:firstLine="0" w:firstLineChars="0"/>
                    <w:jc w:val="center"/>
                    <w:rPr>
                      <w:sz w:val="21"/>
                      <w:szCs w:val="21"/>
                    </w:rPr>
                  </w:pPr>
                  <w:r>
                    <w:rPr>
                      <w:rFonts w:hint="eastAsia"/>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9</w:t>
                  </w:r>
                </w:p>
              </w:tc>
              <w:tc>
                <w:tcPr>
                  <w:tcW w:w="1333" w:type="pct"/>
                  <w:vAlign w:val="center"/>
                </w:tcPr>
                <w:p>
                  <w:pPr>
                    <w:jc w:val="center"/>
                    <w:rPr>
                      <w:kern w:val="0"/>
                      <w:sz w:val="21"/>
                      <w:szCs w:val="21"/>
                    </w:rPr>
                  </w:pPr>
                  <w:r>
                    <w:rPr>
                      <w:kern w:val="0"/>
                      <w:sz w:val="21"/>
                      <w:szCs w:val="21"/>
                    </w:rPr>
                    <w:t>托锟</w:t>
                  </w:r>
                </w:p>
              </w:tc>
              <w:tc>
                <w:tcPr>
                  <w:tcW w:w="1666" w:type="pct"/>
                  <w:vAlign w:val="center"/>
                </w:tcPr>
                <w:p>
                  <w:pPr>
                    <w:jc w:val="center"/>
                    <w:rPr>
                      <w:kern w:val="0"/>
                      <w:sz w:val="21"/>
                      <w:szCs w:val="21"/>
                    </w:rPr>
                  </w:pPr>
                  <w:r>
                    <w:rPr>
                      <w:rFonts w:hint="eastAsia"/>
                      <w:kern w:val="0"/>
                      <w:sz w:val="21"/>
                      <w:szCs w:val="21"/>
                    </w:rPr>
                    <w:t>/</w:t>
                  </w:r>
                </w:p>
              </w:tc>
              <w:tc>
                <w:tcPr>
                  <w:tcW w:w="1500" w:type="pct"/>
                  <w:vAlign w:val="center"/>
                </w:tcPr>
                <w:p>
                  <w:pPr>
                    <w:pStyle w:val="10"/>
                    <w:spacing w:line="240" w:lineRule="auto"/>
                    <w:ind w:firstLine="0" w:firstLineChars="0"/>
                    <w:jc w:val="center"/>
                    <w:rPr>
                      <w:sz w:val="21"/>
                      <w:szCs w:val="21"/>
                    </w:rPr>
                  </w:pPr>
                  <w:r>
                    <w:rPr>
                      <w:rFonts w:hint="eastAsia"/>
                      <w:sz w:val="21"/>
                      <w:szCs w:val="21"/>
                    </w:rPr>
                    <w:t>1set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10</w:t>
                  </w:r>
                </w:p>
              </w:tc>
              <w:tc>
                <w:tcPr>
                  <w:tcW w:w="1333" w:type="pct"/>
                  <w:vAlign w:val="center"/>
                </w:tcPr>
                <w:p>
                  <w:pPr>
                    <w:jc w:val="center"/>
                    <w:rPr>
                      <w:kern w:val="0"/>
                      <w:sz w:val="21"/>
                      <w:szCs w:val="21"/>
                    </w:rPr>
                  </w:pPr>
                  <w:r>
                    <w:rPr>
                      <w:kern w:val="0"/>
                      <w:sz w:val="21"/>
                      <w:szCs w:val="21"/>
                    </w:rPr>
                    <w:t>粉料计量斗</w:t>
                  </w:r>
                </w:p>
              </w:tc>
              <w:tc>
                <w:tcPr>
                  <w:tcW w:w="1666" w:type="pct"/>
                  <w:vAlign w:val="center"/>
                </w:tcPr>
                <w:p>
                  <w:pPr>
                    <w:jc w:val="center"/>
                    <w:rPr>
                      <w:kern w:val="0"/>
                      <w:sz w:val="21"/>
                      <w:szCs w:val="21"/>
                    </w:rPr>
                  </w:pPr>
                  <w:r>
                    <w:rPr>
                      <w:rFonts w:hint="eastAsia"/>
                      <w:kern w:val="0"/>
                      <w:sz w:val="21"/>
                      <w:szCs w:val="21"/>
                    </w:rPr>
                    <w:t>/</w:t>
                  </w:r>
                </w:p>
              </w:tc>
              <w:tc>
                <w:tcPr>
                  <w:tcW w:w="1500" w:type="pct"/>
                  <w:vAlign w:val="center"/>
                </w:tcPr>
                <w:p>
                  <w:pPr>
                    <w:pStyle w:val="10"/>
                    <w:spacing w:line="240" w:lineRule="auto"/>
                    <w:ind w:firstLine="0" w:firstLineChars="0"/>
                    <w:jc w:val="center"/>
                    <w:rPr>
                      <w:sz w:val="21"/>
                      <w:szCs w:val="21"/>
                    </w:rPr>
                  </w:pPr>
                  <w:r>
                    <w:rPr>
                      <w:rFonts w:hint="eastAsia"/>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11</w:t>
                  </w:r>
                </w:p>
              </w:tc>
              <w:tc>
                <w:tcPr>
                  <w:tcW w:w="1333" w:type="pct"/>
                  <w:vAlign w:val="center"/>
                </w:tcPr>
                <w:p>
                  <w:pPr>
                    <w:jc w:val="center"/>
                    <w:rPr>
                      <w:kern w:val="0"/>
                      <w:sz w:val="21"/>
                      <w:szCs w:val="21"/>
                    </w:rPr>
                  </w:pPr>
                  <w:r>
                    <w:rPr>
                      <w:kern w:val="0"/>
                      <w:sz w:val="21"/>
                      <w:szCs w:val="21"/>
                    </w:rPr>
                    <w:t>称重传感器</w:t>
                  </w:r>
                </w:p>
              </w:tc>
              <w:tc>
                <w:tcPr>
                  <w:tcW w:w="1666" w:type="pct"/>
                  <w:vAlign w:val="center"/>
                </w:tcPr>
                <w:p>
                  <w:pPr>
                    <w:jc w:val="center"/>
                    <w:rPr>
                      <w:kern w:val="0"/>
                      <w:sz w:val="21"/>
                      <w:szCs w:val="21"/>
                    </w:rPr>
                  </w:pPr>
                  <w:r>
                    <w:rPr>
                      <w:rFonts w:hint="eastAsia"/>
                      <w:kern w:val="0"/>
                      <w:sz w:val="21"/>
                      <w:szCs w:val="21"/>
                    </w:rPr>
                    <w:t>/</w:t>
                  </w:r>
                </w:p>
              </w:tc>
              <w:tc>
                <w:tcPr>
                  <w:tcW w:w="1500" w:type="pct"/>
                  <w:vAlign w:val="center"/>
                </w:tcPr>
                <w:p>
                  <w:pPr>
                    <w:pStyle w:val="10"/>
                    <w:spacing w:line="240" w:lineRule="auto"/>
                    <w:ind w:firstLine="0" w:firstLineChars="0"/>
                    <w:jc w:val="center"/>
                    <w:rPr>
                      <w:sz w:val="21"/>
                      <w:szCs w:val="21"/>
                    </w:rPr>
                  </w:pPr>
                  <w:r>
                    <w:rPr>
                      <w:rFonts w:hint="eastAsia"/>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12</w:t>
                  </w:r>
                </w:p>
              </w:tc>
              <w:tc>
                <w:tcPr>
                  <w:tcW w:w="1333" w:type="pct"/>
                  <w:vAlign w:val="center"/>
                </w:tcPr>
                <w:p>
                  <w:pPr>
                    <w:jc w:val="center"/>
                    <w:rPr>
                      <w:kern w:val="0"/>
                      <w:sz w:val="21"/>
                      <w:szCs w:val="21"/>
                    </w:rPr>
                  </w:pPr>
                  <w:r>
                    <w:rPr>
                      <w:kern w:val="0"/>
                      <w:sz w:val="21"/>
                      <w:szCs w:val="21"/>
                    </w:rPr>
                    <w:t>气动蝶阀</w:t>
                  </w:r>
                </w:p>
              </w:tc>
              <w:tc>
                <w:tcPr>
                  <w:tcW w:w="1666" w:type="pct"/>
                  <w:vAlign w:val="center"/>
                </w:tcPr>
                <w:p>
                  <w:pPr>
                    <w:jc w:val="center"/>
                    <w:rPr>
                      <w:kern w:val="0"/>
                      <w:sz w:val="21"/>
                      <w:szCs w:val="21"/>
                    </w:rPr>
                  </w:pPr>
                  <w:r>
                    <w:rPr>
                      <w:rFonts w:hint="eastAsia"/>
                      <w:kern w:val="0"/>
                      <w:sz w:val="21"/>
                      <w:szCs w:val="21"/>
                    </w:rPr>
                    <w:t>/</w:t>
                  </w:r>
                </w:p>
              </w:tc>
              <w:tc>
                <w:tcPr>
                  <w:tcW w:w="1500" w:type="pct"/>
                  <w:vAlign w:val="center"/>
                </w:tcPr>
                <w:p>
                  <w:pPr>
                    <w:pStyle w:val="10"/>
                    <w:spacing w:line="240" w:lineRule="auto"/>
                    <w:ind w:firstLine="0" w:firstLineChars="0"/>
                    <w:jc w:val="center"/>
                    <w:rPr>
                      <w:sz w:val="21"/>
                      <w:szCs w:val="21"/>
                    </w:rPr>
                  </w:pPr>
                  <w:r>
                    <w:rPr>
                      <w:rFonts w:hint="eastAsia"/>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13</w:t>
                  </w:r>
                </w:p>
              </w:tc>
              <w:tc>
                <w:tcPr>
                  <w:tcW w:w="1333" w:type="pct"/>
                  <w:vAlign w:val="center"/>
                </w:tcPr>
                <w:p>
                  <w:pPr>
                    <w:jc w:val="center"/>
                    <w:rPr>
                      <w:kern w:val="0"/>
                      <w:sz w:val="21"/>
                      <w:szCs w:val="21"/>
                    </w:rPr>
                  </w:pPr>
                  <w:r>
                    <w:rPr>
                      <w:kern w:val="0"/>
                      <w:sz w:val="21"/>
                      <w:szCs w:val="21"/>
                    </w:rPr>
                    <w:t>振动电机</w:t>
                  </w:r>
                </w:p>
              </w:tc>
              <w:tc>
                <w:tcPr>
                  <w:tcW w:w="1666" w:type="pct"/>
                  <w:vAlign w:val="center"/>
                </w:tcPr>
                <w:p>
                  <w:pPr>
                    <w:jc w:val="center"/>
                    <w:rPr>
                      <w:kern w:val="0"/>
                      <w:sz w:val="21"/>
                      <w:szCs w:val="21"/>
                    </w:rPr>
                  </w:pPr>
                  <w:r>
                    <w:rPr>
                      <w:rFonts w:hint="eastAsia"/>
                      <w:kern w:val="0"/>
                      <w:sz w:val="21"/>
                      <w:szCs w:val="21"/>
                    </w:rPr>
                    <w:t>/</w:t>
                  </w:r>
                </w:p>
              </w:tc>
              <w:tc>
                <w:tcPr>
                  <w:tcW w:w="1500" w:type="pct"/>
                  <w:vAlign w:val="center"/>
                </w:tcPr>
                <w:p>
                  <w:pPr>
                    <w:pStyle w:val="10"/>
                    <w:spacing w:line="240" w:lineRule="auto"/>
                    <w:ind w:firstLine="0" w:firstLineChars="0"/>
                    <w:jc w:val="center"/>
                    <w:rPr>
                      <w:sz w:val="21"/>
                      <w:szCs w:val="21"/>
                    </w:rPr>
                  </w:pPr>
                  <w:r>
                    <w:rPr>
                      <w:rFonts w:hint="eastAsia"/>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14</w:t>
                  </w:r>
                </w:p>
              </w:tc>
              <w:tc>
                <w:tcPr>
                  <w:tcW w:w="1333" w:type="pct"/>
                  <w:vAlign w:val="center"/>
                </w:tcPr>
                <w:p>
                  <w:pPr>
                    <w:jc w:val="center"/>
                    <w:rPr>
                      <w:kern w:val="0"/>
                      <w:sz w:val="21"/>
                      <w:szCs w:val="21"/>
                    </w:rPr>
                  </w:pPr>
                  <w:r>
                    <w:rPr>
                      <w:kern w:val="0"/>
                      <w:sz w:val="21"/>
                      <w:szCs w:val="21"/>
                    </w:rPr>
                    <w:t>水计量斗</w:t>
                  </w:r>
                </w:p>
              </w:tc>
              <w:tc>
                <w:tcPr>
                  <w:tcW w:w="1666" w:type="pct"/>
                  <w:vAlign w:val="center"/>
                </w:tcPr>
                <w:p>
                  <w:pPr>
                    <w:jc w:val="center"/>
                    <w:rPr>
                      <w:kern w:val="0"/>
                      <w:sz w:val="21"/>
                      <w:szCs w:val="21"/>
                    </w:rPr>
                  </w:pPr>
                  <w:r>
                    <w:rPr>
                      <w:rFonts w:hint="eastAsia"/>
                      <w:kern w:val="0"/>
                      <w:sz w:val="21"/>
                      <w:szCs w:val="21"/>
                    </w:rPr>
                    <w:t>/</w:t>
                  </w:r>
                </w:p>
              </w:tc>
              <w:tc>
                <w:tcPr>
                  <w:tcW w:w="1500" w:type="pct"/>
                  <w:vAlign w:val="center"/>
                </w:tcPr>
                <w:p>
                  <w:pPr>
                    <w:pStyle w:val="10"/>
                    <w:spacing w:line="240" w:lineRule="auto"/>
                    <w:ind w:firstLine="0" w:firstLineChars="0"/>
                    <w:jc w:val="center"/>
                    <w:rPr>
                      <w:sz w:val="21"/>
                      <w:szCs w:val="21"/>
                    </w:rPr>
                  </w:pPr>
                  <w:r>
                    <w:rPr>
                      <w:rFonts w:hint="eastAsia"/>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15</w:t>
                  </w:r>
                </w:p>
              </w:tc>
              <w:tc>
                <w:tcPr>
                  <w:tcW w:w="1333" w:type="pct"/>
                  <w:vAlign w:val="center"/>
                </w:tcPr>
                <w:p>
                  <w:pPr>
                    <w:jc w:val="center"/>
                    <w:rPr>
                      <w:kern w:val="0"/>
                      <w:sz w:val="21"/>
                      <w:szCs w:val="21"/>
                    </w:rPr>
                  </w:pPr>
                  <w:r>
                    <w:rPr>
                      <w:kern w:val="0"/>
                      <w:sz w:val="21"/>
                      <w:szCs w:val="21"/>
                    </w:rPr>
                    <w:t>称重传感器</w:t>
                  </w:r>
                </w:p>
              </w:tc>
              <w:tc>
                <w:tcPr>
                  <w:tcW w:w="1666" w:type="pct"/>
                  <w:vAlign w:val="center"/>
                </w:tcPr>
                <w:p>
                  <w:pPr>
                    <w:jc w:val="center"/>
                    <w:rPr>
                      <w:kern w:val="0"/>
                      <w:sz w:val="21"/>
                      <w:szCs w:val="21"/>
                    </w:rPr>
                  </w:pPr>
                  <w:r>
                    <w:rPr>
                      <w:rFonts w:hint="eastAsia"/>
                      <w:kern w:val="0"/>
                      <w:sz w:val="21"/>
                      <w:szCs w:val="21"/>
                    </w:rPr>
                    <w:t>/</w:t>
                  </w:r>
                </w:p>
              </w:tc>
              <w:tc>
                <w:tcPr>
                  <w:tcW w:w="1500" w:type="pct"/>
                  <w:vAlign w:val="center"/>
                </w:tcPr>
                <w:p>
                  <w:pPr>
                    <w:pStyle w:val="10"/>
                    <w:spacing w:line="240" w:lineRule="auto"/>
                    <w:ind w:firstLine="0" w:firstLineChars="0"/>
                    <w:jc w:val="center"/>
                    <w:rPr>
                      <w:sz w:val="21"/>
                      <w:szCs w:val="21"/>
                    </w:rPr>
                  </w:pPr>
                  <w:r>
                    <w:rPr>
                      <w:rFonts w:hint="eastAsia"/>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16</w:t>
                  </w:r>
                </w:p>
              </w:tc>
              <w:tc>
                <w:tcPr>
                  <w:tcW w:w="1333" w:type="pct"/>
                  <w:vAlign w:val="center"/>
                </w:tcPr>
                <w:p>
                  <w:pPr>
                    <w:jc w:val="center"/>
                    <w:rPr>
                      <w:kern w:val="0"/>
                      <w:sz w:val="21"/>
                      <w:szCs w:val="21"/>
                    </w:rPr>
                  </w:pPr>
                  <w:r>
                    <w:rPr>
                      <w:kern w:val="0"/>
                      <w:sz w:val="21"/>
                      <w:szCs w:val="21"/>
                    </w:rPr>
                    <w:t>气动蝶阀</w:t>
                  </w:r>
                </w:p>
              </w:tc>
              <w:tc>
                <w:tcPr>
                  <w:tcW w:w="1666" w:type="pct"/>
                  <w:vAlign w:val="center"/>
                </w:tcPr>
                <w:p>
                  <w:pPr>
                    <w:jc w:val="center"/>
                    <w:rPr>
                      <w:kern w:val="0"/>
                      <w:sz w:val="21"/>
                      <w:szCs w:val="21"/>
                    </w:rPr>
                  </w:pPr>
                  <w:r>
                    <w:rPr>
                      <w:rFonts w:hint="eastAsia"/>
                      <w:kern w:val="0"/>
                      <w:sz w:val="21"/>
                      <w:szCs w:val="21"/>
                    </w:rPr>
                    <w:t>/</w:t>
                  </w:r>
                </w:p>
              </w:tc>
              <w:tc>
                <w:tcPr>
                  <w:tcW w:w="1500" w:type="pct"/>
                  <w:vAlign w:val="center"/>
                </w:tcPr>
                <w:p>
                  <w:pPr>
                    <w:pStyle w:val="10"/>
                    <w:spacing w:line="240" w:lineRule="auto"/>
                    <w:ind w:firstLine="0" w:firstLineChars="0"/>
                    <w:jc w:val="center"/>
                    <w:rPr>
                      <w:sz w:val="21"/>
                      <w:szCs w:val="21"/>
                    </w:rPr>
                  </w:pPr>
                  <w:r>
                    <w:rPr>
                      <w:rFonts w:hint="eastAsia"/>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17</w:t>
                  </w:r>
                </w:p>
              </w:tc>
              <w:tc>
                <w:tcPr>
                  <w:tcW w:w="1333" w:type="pct"/>
                  <w:vAlign w:val="center"/>
                </w:tcPr>
                <w:p>
                  <w:pPr>
                    <w:jc w:val="center"/>
                    <w:rPr>
                      <w:kern w:val="0"/>
                      <w:sz w:val="21"/>
                      <w:szCs w:val="21"/>
                    </w:rPr>
                  </w:pPr>
                  <w:r>
                    <w:rPr>
                      <w:kern w:val="0"/>
                      <w:sz w:val="21"/>
                      <w:szCs w:val="21"/>
                    </w:rPr>
                    <w:t>外加剂计量斗</w:t>
                  </w:r>
                </w:p>
              </w:tc>
              <w:tc>
                <w:tcPr>
                  <w:tcW w:w="1666" w:type="pct"/>
                  <w:vAlign w:val="center"/>
                </w:tcPr>
                <w:p>
                  <w:pPr>
                    <w:jc w:val="center"/>
                    <w:rPr>
                      <w:kern w:val="0"/>
                      <w:sz w:val="21"/>
                      <w:szCs w:val="21"/>
                    </w:rPr>
                  </w:pPr>
                  <w:r>
                    <w:rPr>
                      <w:rFonts w:hint="eastAsia"/>
                      <w:kern w:val="0"/>
                      <w:sz w:val="21"/>
                      <w:szCs w:val="21"/>
                    </w:rPr>
                    <w:t>/</w:t>
                  </w:r>
                </w:p>
              </w:tc>
              <w:tc>
                <w:tcPr>
                  <w:tcW w:w="1500" w:type="pct"/>
                  <w:vAlign w:val="center"/>
                </w:tcPr>
                <w:p>
                  <w:pPr>
                    <w:pStyle w:val="10"/>
                    <w:spacing w:line="240" w:lineRule="auto"/>
                    <w:ind w:firstLine="0" w:firstLineChars="0"/>
                    <w:jc w:val="center"/>
                    <w:rPr>
                      <w:sz w:val="21"/>
                      <w:szCs w:val="21"/>
                    </w:rPr>
                  </w:pPr>
                  <w:r>
                    <w:rPr>
                      <w:rFonts w:hint="eastAsia"/>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18</w:t>
                  </w:r>
                </w:p>
              </w:tc>
              <w:tc>
                <w:tcPr>
                  <w:tcW w:w="1333" w:type="pct"/>
                  <w:vAlign w:val="center"/>
                </w:tcPr>
                <w:p>
                  <w:pPr>
                    <w:jc w:val="center"/>
                    <w:rPr>
                      <w:kern w:val="0"/>
                      <w:sz w:val="21"/>
                      <w:szCs w:val="21"/>
                    </w:rPr>
                  </w:pPr>
                  <w:r>
                    <w:rPr>
                      <w:kern w:val="0"/>
                      <w:sz w:val="21"/>
                      <w:szCs w:val="21"/>
                    </w:rPr>
                    <w:t>外加剂箱（含泵）</w:t>
                  </w:r>
                </w:p>
              </w:tc>
              <w:tc>
                <w:tcPr>
                  <w:tcW w:w="1666" w:type="pct"/>
                  <w:vAlign w:val="center"/>
                </w:tcPr>
                <w:p>
                  <w:pPr>
                    <w:jc w:val="center"/>
                    <w:rPr>
                      <w:kern w:val="0"/>
                      <w:sz w:val="21"/>
                      <w:szCs w:val="21"/>
                    </w:rPr>
                  </w:pPr>
                  <w:r>
                    <w:rPr>
                      <w:rFonts w:hint="eastAsia"/>
                      <w:kern w:val="0"/>
                      <w:sz w:val="21"/>
                      <w:szCs w:val="21"/>
                    </w:rPr>
                    <w:t>/</w:t>
                  </w:r>
                </w:p>
              </w:tc>
              <w:tc>
                <w:tcPr>
                  <w:tcW w:w="1500" w:type="pct"/>
                  <w:vAlign w:val="center"/>
                </w:tcPr>
                <w:p>
                  <w:pPr>
                    <w:pStyle w:val="10"/>
                    <w:spacing w:line="240" w:lineRule="auto"/>
                    <w:ind w:firstLine="0" w:firstLineChars="0"/>
                    <w:jc w:val="center"/>
                    <w:rPr>
                      <w:sz w:val="21"/>
                      <w:szCs w:val="21"/>
                    </w:rPr>
                  </w:pPr>
                  <w:r>
                    <w:rPr>
                      <w:rFonts w:hint="eastAsia"/>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19</w:t>
                  </w:r>
                </w:p>
              </w:tc>
              <w:tc>
                <w:tcPr>
                  <w:tcW w:w="1333" w:type="pct"/>
                  <w:vAlign w:val="center"/>
                </w:tcPr>
                <w:p>
                  <w:pPr>
                    <w:jc w:val="center"/>
                    <w:rPr>
                      <w:kern w:val="0"/>
                      <w:sz w:val="21"/>
                      <w:szCs w:val="21"/>
                    </w:rPr>
                  </w:pPr>
                  <w:r>
                    <w:rPr>
                      <w:kern w:val="0"/>
                      <w:sz w:val="21"/>
                      <w:szCs w:val="21"/>
                    </w:rPr>
                    <w:t>称重传感器</w:t>
                  </w:r>
                </w:p>
              </w:tc>
              <w:tc>
                <w:tcPr>
                  <w:tcW w:w="1666" w:type="pct"/>
                  <w:vAlign w:val="center"/>
                </w:tcPr>
                <w:p>
                  <w:pPr>
                    <w:jc w:val="center"/>
                    <w:rPr>
                      <w:kern w:val="0"/>
                      <w:sz w:val="21"/>
                      <w:szCs w:val="21"/>
                    </w:rPr>
                  </w:pPr>
                  <w:r>
                    <w:rPr>
                      <w:rFonts w:hint="eastAsia"/>
                      <w:kern w:val="0"/>
                      <w:sz w:val="21"/>
                      <w:szCs w:val="21"/>
                    </w:rPr>
                    <w:t>/</w:t>
                  </w:r>
                </w:p>
              </w:tc>
              <w:tc>
                <w:tcPr>
                  <w:tcW w:w="1500" w:type="pct"/>
                  <w:vAlign w:val="center"/>
                </w:tcPr>
                <w:p>
                  <w:pPr>
                    <w:pStyle w:val="10"/>
                    <w:spacing w:line="240" w:lineRule="auto"/>
                    <w:ind w:firstLine="0" w:firstLineChars="0"/>
                    <w:jc w:val="center"/>
                    <w:rPr>
                      <w:sz w:val="21"/>
                      <w:szCs w:val="21"/>
                    </w:rPr>
                  </w:pPr>
                  <w:r>
                    <w:rPr>
                      <w:rFonts w:hint="eastAsia"/>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20</w:t>
                  </w:r>
                </w:p>
              </w:tc>
              <w:tc>
                <w:tcPr>
                  <w:tcW w:w="1333" w:type="pct"/>
                  <w:vAlign w:val="center"/>
                </w:tcPr>
                <w:p>
                  <w:pPr>
                    <w:jc w:val="center"/>
                    <w:rPr>
                      <w:kern w:val="0"/>
                      <w:sz w:val="21"/>
                      <w:szCs w:val="21"/>
                    </w:rPr>
                  </w:pPr>
                  <w:r>
                    <w:rPr>
                      <w:kern w:val="0"/>
                      <w:sz w:val="21"/>
                      <w:szCs w:val="21"/>
                    </w:rPr>
                    <w:t>气动蝶阀</w:t>
                  </w:r>
                </w:p>
              </w:tc>
              <w:tc>
                <w:tcPr>
                  <w:tcW w:w="1666" w:type="pct"/>
                  <w:vAlign w:val="center"/>
                </w:tcPr>
                <w:p>
                  <w:pPr>
                    <w:jc w:val="center"/>
                    <w:rPr>
                      <w:kern w:val="0"/>
                      <w:sz w:val="21"/>
                      <w:szCs w:val="21"/>
                    </w:rPr>
                  </w:pPr>
                  <w:r>
                    <w:rPr>
                      <w:rFonts w:hint="eastAsia"/>
                      <w:kern w:val="0"/>
                      <w:sz w:val="21"/>
                      <w:szCs w:val="21"/>
                    </w:rPr>
                    <w:t>/</w:t>
                  </w:r>
                </w:p>
              </w:tc>
              <w:tc>
                <w:tcPr>
                  <w:tcW w:w="1500" w:type="pct"/>
                  <w:vAlign w:val="center"/>
                </w:tcPr>
                <w:p>
                  <w:pPr>
                    <w:pStyle w:val="10"/>
                    <w:spacing w:line="240" w:lineRule="auto"/>
                    <w:ind w:firstLine="0" w:firstLineChars="0"/>
                    <w:jc w:val="center"/>
                    <w:rPr>
                      <w:sz w:val="21"/>
                      <w:szCs w:val="21"/>
                    </w:rPr>
                  </w:pPr>
                  <w:r>
                    <w:rPr>
                      <w:rFonts w:hint="eastAsia"/>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21</w:t>
                  </w:r>
                </w:p>
              </w:tc>
              <w:tc>
                <w:tcPr>
                  <w:tcW w:w="1333" w:type="pct"/>
                  <w:vAlign w:val="center"/>
                </w:tcPr>
                <w:p>
                  <w:pPr>
                    <w:jc w:val="center"/>
                    <w:rPr>
                      <w:kern w:val="0"/>
                      <w:sz w:val="21"/>
                      <w:szCs w:val="21"/>
                    </w:rPr>
                  </w:pPr>
                  <w:r>
                    <w:rPr>
                      <w:kern w:val="0"/>
                      <w:sz w:val="21"/>
                      <w:szCs w:val="21"/>
                    </w:rPr>
                    <w:t>空气压缩机</w:t>
                  </w:r>
                </w:p>
              </w:tc>
              <w:tc>
                <w:tcPr>
                  <w:tcW w:w="1666" w:type="pct"/>
                  <w:vAlign w:val="center"/>
                </w:tcPr>
                <w:p>
                  <w:pPr>
                    <w:jc w:val="center"/>
                    <w:rPr>
                      <w:kern w:val="0"/>
                      <w:sz w:val="21"/>
                      <w:szCs w:val="21"/>
                    </w:rPr>
                  </w:pPr>
                  <w:r>
                    <w:rPr>
                      <w:rFonts w:hint="eastAsia"/>
                      <w:kern w:val="0"/>
                      <w:sz w:val="21"/>
                      <w:szCs w:val="21"/>
                    </w:rPr>
                    <w:t>/</w:t>
                  </w:r>
                </w:p>
              </w:tc>
              <w:tc>
                <w:tcPr>
                  <w:tcW w:w="1500" w:type="pct"/>
                  <w:vAlign w:val="center"/>
                </w:tcPr>
                <w:p>
                  <w:pPr>
                    <w:pStyle w:val="10"/>
                    <w:spacing w:line="240" w:lineRule="auto"/>
                    <w:ind w:firstLine="0" w:firstLineChars="0"/>
                    <w:jc w:val="center"/>
                    <w:rPr>
                      <w:sz w:val="21"/>
                      <w:szCs w:val="21"/>
                    </w:rPr>
                  </w:pPr>
                  <w:r>
                    <w:rPr>
                      <w:rFonts w:hint="eastAsia"/>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22</w:t>
                  </w:r>
                </w:p>
              </w:tc>
              <w:tc>
                <w:tcPr>
                  <w:tcW w:w="1333" w:type="pct"/>
                  <w:vAlign w:val="center"/>
                </w:tcPr>
                <w:p>
                  <w:pPr>
                    <w:jc w:val="center"/>
                    <w:rPr>
                      <w:kern w:val="0"/>
                      <w:sz w:val="21"/>
                      <w:szCs w:val="21"/>
                    </w:rPr>
                  </w:pPr>
                  <w:r>
                    <w:rPr>
                      <w:kern w:val="0"/>
                      <w:sz w:val="21"/>
                      <w:szCs w:val="21"/>
                    </w:rPr>
                    <w:t>储气罐</w:t>
                  </w:r>
                </w:p>
              </w:tc>
              <w:tc>
                <w:tcPr>
                  <w:tcW w:w="1666" w:type="pct"/>
                  <w:vAlign w:val="center"/>
                </w:tcPr>
                <w:p>
                  <w:pPr>
                    <w:jc w:val="center"/>
                    <w:rPr>
                      <w:kern w:val="0"/>
                      <w:sz w:val="21"/>
                      <w:szCs w:val="21"/>
                    </w:rPr>
                  </w:pPr>
                  <w:r>
                    <w:rPr>
                      <w:rFonts w:hint="eastAsia"/>
                      <w:kern w:val="0"/>
                      <w:sz w:val="21"/>
                      <w:szCs w:val="21"/>
                    </w:rPr>
                    <w:t>/</w:t>
                  </w:r>
                </w:p>
              </w:tc>
              <w:tc>
                <w:tcPr>
                  <w:tcW w:w="1500" w:type="pct"/>
                  <w:vAlign w:val="center"/>
                </w:tcPr>
                <w:p>
                  <w:pPr>
                    <w:pStyle w:val="10"/>
                    <w:spacing w:line="240" w:lineRule="auto"/>
                    <w:ind w:firstLine="0" w:firstLineChars="0"/>
                    <w:jc w:val="center"/>
                    <w:rPr>
                      <w:sz w:val="21"/>
                      <w:szCs w:val="21"/>
                    </w:rPr>
                  </w:pPr>
                  <w:r>
                    <w:rPr>
                      <w:rFonts w:hint="eastAsia"/>
                      <w:sz w:val="21"/>
                      <w:szCs w:val="21"/>
                    </w:rPr>
                    <w:t>1sct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23</w:t>
                  </w:r>
                </w:p>
              </w:tc>
              <w:tc>
                <w:tcPr>
                  <w:tcW w:w="1333" w:type="pct"/>
                  <w:vAlign w:val="center"/>
                </w:tcPr>
                <w:p>
                  <w:pPr>
                    <w:jc w:val="center"/>
                    <w:rPr>
                      <w:kern w:val="0"/>
                      <w:sz w:val="21"/>
                      <w:szCs w:val="21"/>
                    </w:rPr>
                  </w:pPr>
                  <w:r>
                    <w:rPr>
                      <w:kern w:val="0"/>
                      <w:sz w:val="21"/>
                      <w:szCs w:val="21"/>
                    </w:rPr>
                    <w:t>卸料斗</w:t>
                  </w:r>
                </w:p>
              </w:tc>
              <w:tc>
                <w:tcPr>
                  <w:tcW w:w="1666" w:type="pct"/>
                  <w:vAlign w:val="center"/>
                </w:tcPr>
                <w:p>
                  <w:pPr>
                    <w:jc w:val="center"/>
                    <w:rPr>
                      <w:kern w:val="0"/>
                      <w:sz w:val="21"/>
                      <w:szCs w:val="21"/>
                    </w:rPr>
                  </w:pPr>
                  <w:r>
                    <w:rPr>
                      <w:rFonts w:hint="eastAsia"/>
                      <w:kern w:val="0"/>
                      <w:sz w:val="21"/>
                      <w:szCs w:val="21"/>
                    </w:rPr>
                    <w:t>/</w:t>
                  </w:r>
                </w:p>
              </w:tc>
              <w:tc>
                <w:tcPr>
                  <w:tcW w:w="1500" w:type="pct"/>
                  <w:vAlign w:val="center"/>
                </w:tcPr>
                <w:p>
                  <w:pPr>
                    <w:pStyle w:val="10"/>
                    <w:spacing w:line="240" w:lineRule="auto"/>
                    <w:ind w:firstLine="0" w:firstLineChars="0"/>
                    <w:jc w:val="center"/>
                    <w:rPr>
                      <w:sz w:val="21"/>
                      <w:szCs w:val="21"/>
                    </w:rPr>
                  </w:pPr>
                  <w:r>
                    <w:rPr>
                      <w:rFonts w:hint="eastAsia"/>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24</w:t>
                  </w:r>
                </w:p>
              </w:tc>
              <w:tc>
                <w:tcPr>
                  <w:tcW w:w="1333" w:type="pct"/>
                  <w:vAlign w:val="center"/>
                </w:tcPr>
                <w:p>
                  <w:pPr>
                    <w:jc w:val="center"/>
                    <w:rPr>
                      <w:kern w:val="0"/>
                      <w:sz w:val="21"/>
                      <w:szCs w:val="21"/>
                    </w:rPr>
                  </w:pPr>
                  <w:r>
                    <w:rPr>
                      <w:kern w:val="0"/>
                      <w:sz w:val="21"/>
                      <w:szCs w:val="21"/>
                    </w:rPr>
                    <w:t>料位检测与报警控制</w:t>
                  </w:r>
                </w:p>
              </w:tc>
              <w:tc>
                <w:tcPr>
                  <w:tcW w:w="1666" w:type="pct"/>
                  <w:vAlign w:val="center"/>
                </w:tcPr>
                <w:p>
                  <w:pPr>
                    <w:jc w:val="center"/>
                    <w:rPr>
                      <w:kern w:val="0"/>
                      <w:sz w:val="21"/>
                      <w:szCs w:val="21"/>
                    </w:rPr>
                  </w:pPr>
                  <w:r>
                    <w:rPr>
                      <w:rFonts w:hint="eastAsia"/>
                      <w:kern w:val="0"/>
                      <w:sz w:val="21"/>
                      <w:szCs w:val="21"/>
                    </w:rPr>
                    <w:t>/</w:t>
                  </w:r>
                </w:p>
              </w:tc>
              <w:tc>
                <w:tcPr>
                  <w:tcW w:w="1500" w:type="pct"/>
                  <w:vAlign w:val="center"/>
                </w:tcPr>
                <w:p>
                  <w:pPr>
                    <w:pStyle w:val="10"/>
                    <w:spacing w:line="240" w:lineRule="auto"/>
                    <w:ind w:firstLine="0" w:firstLineChars="0"/>
                    <w:jc w:val="center"/>
                    <w:rPr>
                      <w:sz w:val="21"/>
                      <w:szCs w:val="21"/>
                    </w:rPr>
                  </w:pPr>
                  <w:r>
                    <w:rPr>
                      <w:rFonts w:hint="eastAsia"/>
                      <w:sz w:val="21"/>
                      <w:szCs w:val="21"/>
                    </w:rPr>
                    <w:t>1sct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25</w:t>
                  </w:r>
                </w:p>
              </w:tc>
              <w:tc>
                <w:tcPr>
                  <w:tcW w:w="1333" w:type="pct"/>
                  <w:vAlign w:val="center"/>
                </w:tcPr>
                <w:p>
                  <w:pPr>
                    <w:jc w:val="center"/>
                    <w:rPr>
                      <w:kern w:val="0"/>
                      <w:sz w:val="21"/>
                      <w:szCs w:val="21"/>
                    </w:rPr>
                  </w:pPr>
                  <w:r>
                    <w:rPr>
                      <w:kern w:val="0"/>
                      <w:sz w:val="21"/>
                      <w:szCs w:val="21"/>
                    </w:rPr>
                    <w:t>压力安全阀</w:t>
                  </w:r>
                </w:p>
              </w:tc>
              <w:tc>
                <w:tcPr>
                  <w:tcW w:w="1666" w:type="pct"/>
                  <w:vAlign w:val="center"/>
                </w:tcPr>
                <w:p>
                  <w:pPr>
                    <w:jc w:val="center"/>
                    <w:rPr>
                      <w:kern w:val="0"/>
                      <w:sz w:val="21"/>
                      <w:szCs w:val="21"/>
                    </w:rPr>
                  </w:pPr>
                  <w:r>
                    <w:rPr>
                      <w:rFonts w:hint="eastAsia"/>
                      <w:kern w:val="0"/>
                      <w:sz w:val="21"/>
                      <w:szCs w:val="21"/>
                    </w:rPr>
                    <w:t>/</w:t>
                  </w:r>
                </w:p>
              </w:tc>
              <w:tc>
                <w:tcPr>
                  <w:tcW w:w="1500" w:type="pct"/>
                  <w:vAlign w:val="center"/>
                </w:tcPr>
                <w:p>
                  <w:pPr>
                    <w:pStyle w:val="10"/>
                    <w:spacing w:line="240" w:lineRule="auto"/>
                    <w:ind w:firstLine="0" w:firstLineChars="0"/>
                    <w:jc w:val="center"/>
                    <w:rPr>
                      <w:sz w:val="21"/>
                      <w:szCs w:val="21"/>
                    </w:rPr>
                  </w:pPr>
                  <w:r>
                    <w:rPr>
                      <w:rFonts w:hint="eastAsia"/>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26</w:t>
                  </w:r>
                </w:p>
              </w:tc>
              <w:tc>
                <w:tcPr>
                  <w:tcW w:w="1333" w:type="pct"/>
                  <w:vAlign w:val="center"/>
                </w:tcPr>
                <w:p>
                  <w:pPr>
                    <w:jc w:val="center"/>
                    <w:rPr>
                      <w:kern w:val="0"/>
                      <w:sz w:val="21"/>
                      <w:szCs w:val="21"/>
                    </w:rPr>
                  </w:pPr>
                  <w:r>
                    <w:rPr>
                      <w:kern w:val="0"/>
                      <w:sz w:val="21"/>
                      <w:szCs w:val="21"/>
                    </w:rPr>
                    <w:t>破拱助流装置</w:t>
                  </w:r>
                </w:p>
              </w:tc>
              <w:tc>
                <w:tcPr>
                  <w:tcW w:w="1666" w:type="pct"/>
                  <w:vAlign w:val="center"/>
                </w:tcPr>
                <w:p>
                  <w:pPr>
                    <w:jc w:val="center"/>
                    <w:rPr>
                      <w:kern w:val="0"/>
                      <w:sz w:val="21"/>
                      <w:szCs w:val="21"/>
                    </w:rPr>
                  </w:pPr>
                  <w:r>
                    <w:rPr>
                      <w:rFonts w:hint="eastAsia"/>
                      <w:kern w:val="0"/>
                      <w:sz w:val="21"/>
                      <w:szCs w:val="21"/>
                    </w:rPr>
                    <w:t>/</w:t>
                  </w:r>
                </w:p>
              </w:tc>
              <w:tc>
                <w:tcPr>
                  <w:tcW w:w="1500" w:type="pct"/>
                  <w:vAlign w:val="center"/>
                </w:tcPr>
                <w:p>
                  <w:pPr>
                    <w:pStyle w:val="10"/>
                    <w:spacing w:line="240" w:lineRule="auto"/>
                    <w:ind w:firstLine="0" w:firstLineChars="0"/>
                    <w:jc w:val="center"/>
                    <w:rPr>
                      <w:sz w:val="21"/>
                      <w:szCs w:val="21"/>
                    </w:rPr>
                  </w:pPr>
                  <w:r>
                    <w:rPr>
                      <w:rFonts w:hint="eastAsia"/>
                      <w:sz w:val="21"/>
                      <w:szCs w:val="21"/>
                    </w:rPr>
                    <w:t>2sct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27</w:t>
                  </w:r>
                </w:p>
              </w:tc>
              <w:tc>
                <w:tcPr>
                  <w:tcW w:w="1333" w:type="pct"/>
                  <w:vAlign w:val="center"/>
                </w:tcPr>
                <w:p>
                  <w:pPr>
                    <w:jc w:val="center"/>
                    <w:rPr>
                      <w:kern w:val="0"/>
                      <w:sz w:val="21"/>
                      <w:szCs w:val="21"/>
                    </w:rPr>
                  </w:pPr>
                  <w:r>
                    <w:rPr>
                      <w:kern w:val="0"/>
                      <w:sz w:val="21"/>
                      <w:szCs w:val="21"/>
                    </w:rPr>
                    <w:t>螺旋输送机</w:t>
                  </w:r>
                </w:p>
              </w:tc>
              <w:tc>
                <w:tcPr>
                  <w:tcW w:w="1666" w:type="pct"/>
                  <w:vAlign w:val="center"/>
                </w:tcPr>
                <w:p>
                  <w:pPr>
                    <w:jc w:val="center"/>
                    <w:rPr>
                      <w:kern w:val="0"/>
                      <w:sz w:val="21"/>
                      <w:szCs w:val="21"/>
                    </w:rPr>
                  </w:pPr>
                  <w:r>
                    <w:rPr>
                      <w:rFonts w:hint="eastAsia"/>
                      <w:kern w:val="0"/>
                      <w:sz w:val="21"/>
                      <w:szCs w:val="21"/>
                    </w:rPr>
                    <w:t>/</w:t>
                  </w:r>
                </w:p>
              </w:tc>
              <w:tc>
                <w:tcPr>
                  <w:tcW w:w="1500" w:type="pct"/>
                  <w:vAlign w:val="center"/>
                </w:tcPr>
                <w:p>
                  <w:pPr>
                    <w:pStyle w:val="10"/>
                    <w:spacing w:line="240" w:lineRule="auto"/>
                    <w:ind w:firstLine="0" w:firstLineChars="0"/>
                    <w:jc w:val="center"/>
                    <w:rPr>
                      <w:sz w:val="21"/>
                      <w:szCs w:val="21"/>
                    </w:rPr>
                  </w:pPr>
                  <w:r>
                    <w:rPr>
                      <w:rFonts w:hint="eastAsia"/>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28</w:t>
                  </w:r>
                </w:p>
              </w:tc>
              <w:tc>
                <w:tcPr>
                  <w:tcW w:w="1333" w:type="pct"/>
                  <w:vAlign w:val="center"/>
                </w:tcPr>
                <w:p>
                  <w:pPr>
                    <w:jc w:val="center"/>
                    <w:rPr>
                      <w:kern w:val="0"/>
                      <w:sz w:val="21"/>
                      <w:szCs w:val="21"/>
                    </w:rPr>
                  </w:pPr>
                  <w:r>
                    <w:rPr>
                      <w:kern w:val="0"/>
                      <w:sz w:val="21"/>
                      <w:szCs w:val="21"/>
                    </w:rPr>
                    <w:t>空气压缩机</w:t>
                  </w:r>
                </w:p>
              </w:tc>
              <w:tc>
                <w:tcPr>
                  <w:tcW w:w="1666" w:type="pct"/>
                  <w:vAlign w:val="center"/>
                </w:tcPr>
                <w:p>
                  <w:pPr>
                    <w:jc w:val="center"/>
                    <w:rPr>
                      <w:kern w:val="0"/>
                      <w:sz w:val="21"/>
                      <w:szCs w:val="21"/>
                    </w:rPr>
                  </w:pPr>
                  <w:r>
                    <w:rPr>
                      <w:rFonts w:hint="eastAsia"/>
                      <w:kern w:val="0"/>
                      <w:sz w:val="21"/>
                      <w:szCs w:val="21"/>
                    </w:rPr>
                    <w:t>/</w:t>
                  </w:r>
                </w:p>
              </w:tc>
              <w:tc>
                <w:tcPr>
                  <w:tcW w:w="1500" w:type="pct"/>
                  <w:vAlign w:val="center"/>
                </w:tcPr>
                <w:p>
                  <w:pPr>
                    <w:pStyle w:val="10"/>
                    <w:spacing w:line="240" w:lineRule="auto"/>
                    <w:ind w:firstLine="0" w:firstLineChars="0"/>
                    <w:jc w:val="center"/>
                    <w:rPr>
                      <w:sz w:val="21"/>
                      <w:szCs w:val="21"/>
                    </w:rPr>
                  </w:pPr>
                  <w:r>
                    <w:rPr>
                      <w:rFonts w:hint="eastAsia"/>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29</w:t>
                  </w:r>
                </w:p>
              </w:tc>
              <w:tc>
                <w:tcPr>
                  <w:tcW w:w="1333" w:type="pct"/>
                  <w:vAlign w:val="center"/>
                </w:tcPr>
                <w:p>
                  <w:pPr>
                    <w:jc w:val="center"/>
                    <w:rPr>
                      <w:kern w:val="0"/>
                      <w:sz w:val="21"/>
                      <w:szCs w:val="21"/>
                    </w:rPr>
                  </w:pPr>
                  <w:r>
                    <w:rPr>
                      <w:kern w:val="0"/>
                      <w:sz w:val="21"/>
                      <w:szCs w:val="21"/>
                    </w:rPr>
                    <w:t>圆锥破碎机</w:t>
                  </w:r>
                </w:p>
              </w:tc>
              <w:tc>
                <w:tcPr>
                  <w:tcW w:w="1666" w:type="pct"/>
                  <w:vAlign w:val="center"/>
                </w:tcPr>
                <w:p>
                  <w:pPr>
                    <w:jc w:val="center"/>
                    <w:rPr>
                      <w:kern w:val="0"/>
                      <w:sz w:val="21"/>
                      <w:szCs w:val="21"/>
                    </w:rPr>
                  </w:pPr>
                  <w:r>
                    <w:rPr>
                      <w:kern w:val="0"/>
                      <w:sz w:val="21"/>
                      <w:szCs w:val="21"/>
                    </w:rPr>
                    <w:t xml:space="preserve">GPM </w:t>
                  </w:r>
                  <w:r>
                    <w:rPr>
                      <w:rFonts w:hint="eastAsia"/>
                      <w:kern w:val="0"/>
                      <w:sz w:val="21"/>
                      <w:szCs w:val="21"/>
                    </w:rPr>
                    <w:t>250</w:t>
                  </w:r>
                </w:p>
              </w:tc>
              <w:tc>
                <w:tcPr>
                  <w:tcW w:w="1500" w:type="pct"/>
                  <w:vAlign w:val="center"/>
                </w:tcPr>
                <w:p>
                  <w:pPr>
                    <w:pStyle w:val="10"/>
                    <w:spacing w:line="240" w:lineRule="auto"/>
                    <w:ind w:firstLine="0" w:firstLineChars="0"/>
                    <w:jc w:val="center"/>
                    <w:rPr>
                      <w:sz w:val="21"/>
                      <w:szCs w:val="21"/>
                    </w:rPr>
                  </w:pPr>
                  <w:r>
                    <w:rPr>
                      <w:rFonts w:hint="eastAsia"/>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30</w:t>
                  </w:r>
                </w:p>
              </w:tc>
              <w:tc>
                <w:tcPr>
                  <w:tcW w:w="1333" w:type="pct"/>
                  <w:vAlign w:val="center"/>
                </w:tcPr>
                <w:p>
                  <w:pPr>
                    <w:jc w:val="center"/>
                    <w:rPr>
                      <w:kern w:val="0"/>
                      <w:sz w:val="21"/>
                      <w:szCs w:val="21"/>
                    </w:rPr>
                  </w:pPr>
                  <w:r>
                    <w:rPr>
                      <w:rFonts w:hint="eastAsia"/>
                      <w:kern w:val="0"/>
                      <w:sz w:val="21"/>
                      <w:szCs w:val="21"/>
                    </w:rPr>
                    <w:t>立轴锤式破碎机</w:t>
                  </w:r>
                </w:p>
              </w:tc>
              <w:tc>
                <w:tcPr>
                  <w:tcW w:w="1666" w:type="pct"/>
                  <w:vAlign w:val="center"/>
                </w:tcPr>
                <w:p>
                  <w:pPr>
                    <w:jc w:val="center"/>
                    <w:rPr>
                      <w:kern w:val="0"/>
                      <w:sz w:val="21"/>
                      <w:szCs w:val="21"/>
                    </w:rPr>
                  </w:pPr>
                  <w:r>
                    <w:rPr>
                      <w:rFonts w:hint="eastAsia"/>
                      <w:kern w:val="0"/>
                      <w:sz w:val="21"/>
                      <w:szCs w:val="21"/>
                    </w:rPr>
                    <w:t>PCL</w:t>
                  </w:r>
                </w:p>
              </w:tc>
              <w:tc>
                <w:tcPr>
                  <w:tcW w:w="1500" w:type="pct"/>
                  <w:vAlign w:val="center"/>
                </w:tcPr>
                <w:p>
                  <w:pPr>
                    <w:pStyle w:val="10"/>
                    <w:spacing w:line="240" w:lineRule="auto"/>
                    <w:ind w:firstLine="0" w:firstLineChars="0"/>
                    <w:jc w:val="center"/>
                    <w:rPr>
                      <w:sz w:val="21"/>
                      <w:szCs w:val="21"/>
                    </w:rPr>
                  </w:pPr>
                  <w:r>
                    <w:rPr>
                      <w:rFonts w:hint="eastAsia"/>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501" w:type="pct"/>
                  <w:vAlign w:val="center"/>
                </w:tcPr>
                <w:p>
                  <w:pPr>
                    <w:pStyle w:val="10"/>
                    <w:spacing w:line="240" w:lineRule="auto"/>
                    <w:ind w:firstLine="0" w:firstLineChars="0"/>
                    <w:jc w:val="center"/>
                    <w:rPr>
                      <w:sz w:val="21"/>
                      <w:szCs w:val="21"/>
                    </w:rPr>
                  </w:pPr>
                  <w:r>
                    <w:rPr>
                      <w:rFonts w:hint="eastAsia"/>
                      <w:sz w:val="21"/>
                      <w:szCs w:val="21"/>
                    </w:rPr>
                    <w:t>31</w:t>
                  </w:r>
                </w:p>
              </w:tc>
              <w:tc>
                <w:tcPr>
                  <w:tcW w:w="1333" w:type="pct"/>
                  <w:vAlign w:val="center"/>
                </w:tcPr>
                <w:p>
                  <w:pPr>
                    <w:jc w:val="center"/>
                    <w:rPr>
                      <w:kern w:val="0"/>
                      <w:sz w:val="21"/>
                      <w:szCs w:val="21"/>
                    </w:rPr>
                  </w:pPr>
                  <w:r>
                    <w:rPr>
                      <w:kern w:val="0"/>
                      <w:sz w:val="21"/>
                      <w:szCs w:val="21"/>
                    </w:rPr>
                    <w:t>多辊破碎机</w:t>
                  </w:r>
                </w:p>
              </w:tc>
              <w:tc>
                <w:tcPr>
                  <w:tcW w:w="1666" w:type="pct"/>
                  <w:vAlign w:val="center"/>
                </w:tcPr>
                <w:p>
                  <w:pPr>
                    <w:jc w:val="center"/>
                    <w:rPr>
                      <w:kern w:val="0"/>
                      <w:sz w:val="21"/>
                      <w:szCs w:val="21"/>
                    </w:rPr>
                  </w:pPr>
                  <w:r>
                    <w:rPr>
                      <w:rFonts w:hint="eastAsia"/>
                      <w:kern w:val="0"/>
                      <w:sz w:val="21"/>
                      <w:szCs w:val="21"/>
                    </w:rPr>
                    <w:t>CG 0818</w:t>
                  </w:r>
                </w:p>
              </w:tc>
              <w:tc>
                <w:tcPr>
                  <w:tcW w:w="1500" w:type="pct"/>
                  <w:vAlign w:val="center"/>
                </w:tcPr>
                <w:p>
                  <w:pPr>
                    <w:pStyle w:val="10"/>
                    <w:spacing w:line="240" w:lineRule="auto"/>
                    <w:ind w:firstLine="0" w:firstLineChars="0"/>
                    <w:jc w:val="center"/>
                    <w:rPr>
                      <w:sz w:val="21"/>
                      <w:szCs w:val="21"/>
                    </w:rPr>
                  </w:pPr>
                  <w:r>
                    <w:rPr>
                      <w:rFonts w:hint="eastAsia"/>
                      <w:sz w:val="21"/>
                      <w:szCs w:val="21"/>
                    </w:rPr>
                    <w:t>1</w:t>
                  </w:r>
                </w:p>
              </w:tc>
            </w:tr>
          </w:tbl>
          <w:p>
            <w:pPr>
              <w:pStyle w:val="2"/>
              <w:ind w:firstLine="0"/>
              <w:jc w:val="center"/>
              <w:rPr>
                <w:b/>
                <w:bCs/>
                <w:kern w:val="0"/>
                <w:szCs w:val="21"/>
              </w:rPr>
            </w:pPr>
          </w:p>
          <w:p>
            <w:pPr>
              <w:pStyle w:val="2"/>
              <w:ind w:firstLine="0"/>
              <w:jc w:val="center"/>
              <w:rPr>
                <w:b/>
              </w:rPr>
            </w:pPr>
            <w:r>
              <w:rPr>
                <w:rFonts w:hint="eastAsia"/>
                <w:b/>
                <w:bCs/>
                <w:kern w:val="0"/>
                <w:szCs w:val="21"/>
              </w:rPr>
              <w:t>表2-5     其他配套设施</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1"/>
              <w:gridCol w:w="1770"/>
              <w:gridCol w:w="2227"/>
              <w:gridCol w:w="1650"/>
              <w:gridCol w:w="1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30" w:type="pct"/>
                  <w:vAlign w:val="center"/>
                </w:tcPr>
                <w:p>
                  <w:pPr>
                    <w:autoSpaceDE w:val="0"/>
                    <w:autoSpaceDN w:val="0"/>
                    <w:adjustRightInd w:val="0"/>
                    <w:snapToGrid w:val="0"/>
                    <w:jc w:val="center"/>
                    <w:rPr>
                      <w:bCs/>
                      <w:kern w:val="0"/>
                      <w:sz w:val="21"/>
                      <w:szCs w:val="21"/>
                    </w:rPr>
                  </w:pPr>
                  <w:r>
                    <w:rPr>
                      <w:rFonts w:hint="eastAsia"/>
                      <w:bCs/>
                      <w:kern w:val="0"/>
                      <w:sz w:val="21"/>
                      <w:szCs w:val="21"/>
                    </w:rPr>
                    <w:t>1</w:t>
                  </w:r>
                </w:p>
              </w:tc>
              <w:tc>
                <w:tcPr>
                  <w:tcW w:w="1060" w:type="pct"/>
                  <w:vAlign w:val="center"/>
                </w:tcPr>
                <w:p>
                  <w:pPr>
                    <w:autoSpaceDE w:val="0"/>
                    <w:autoSpaceDN w:val="0"/>
                    <w:adjustRightInd w:val="0"/>
                    <w:snapToGrid w:val="0"/>
                    <w:jc w:val="center"/>
                    <w:rPr>
                      <w:bCs/>
                      <w:kern w:val="0"/>
                      <w:sz w:val="21"/>
                      <w:szCs w:val="21"/>
                    </w:rPr>
                  </w:pPr>
                  <w:r>
                    <w:rPr>
                      <w:rFonts w:hint="eastAsia"/>
                      <w:bCs/>
                      <w:kern w:val="0"/>
                      <w:sz w:val="21"/>
                      <w:szCs w:val="21"/>
                    </w:rPr>
                    <w:t>布袋除尘器</w:t>
                  </w:r>
                </w:p>
              </w:tc>
              <w:tc>
                <w:tcPr>
                  <w:tcW w:w="1334" w:type="pct"/>
                  <w:vAlign w:val="center"/>
                </w:tcPr>
                <w:p>
                  <w:pPr>
                    <w:autoSpaceDE w:val="0"/>
                    <w:autoSpaceDN w:val="0"/>
                    <w:adjustRightInd w:val="0"/>
                    <w:snapToGrid w:val="0"/>
                    <w:jc w:val="center"/>
                    <w:rPr>
                      <w:bCs/>
                      <w:kern w:val="0"/>
                      <w:sz w:val="21"/>
                      <w:szCs w:val="21"/>
                    </w:rPr>
                  </w:pPr>
                  <w:r>
                    <w:rPr>
                      <w:rFonts w:hint="eastAsia"/>
                      <w:bCs/>
                      <w:kern w:val="0"/>
                      <w:sz w:val="21"/>
                      <w:szCs w:val="21"/>
                    </w:rPr>
                    <w:t>/</w:t>
                  </w:r>
                </w:p>
              </w:tc>
              <w:tc>
                <w:tcPr>
                  <w:tcW w:w="988" w:type="pct"/>
                  <w:vAlign w:val="center"/>
                </w:tcPr>
                <w:p>
                  <w:pPr>
                    <w:autoSpaceDE w:val="0"/>
                    <w:autoSpaceDN w:val="0"/>
                    <w:adjustRightInd w:val="0"/>
                    <w:snapToGrid w:val="0"/>
                    <w:jc w:val="center"/>
                    <w:rPr>
                      <w:bCs/>
                      <w:kern w:val="0"/>
                      <w:sz w:val="21"/>
                      <w:szCs w:val="21"/>
                    </w:rPr>
                  </w:pPr>
                  <w:r>
                    <w:rPr>
                      <w:rFonts w:hint="eastAsia"/>
                      <w:bCs/>
                      <w:kern w:val="0"/>
                      <w:sz w:val="21"/>
                      <w:szCs w:val="21"/>
                    </w:rPr>
                    <w:t>套</w:t>
                  </w:r>
                </w:p>
              </w:tc>
              <w:tc>
                <w:tcPr>
                  <w:tcW w:w="988" w:type="pct"/>
                  <w:vAlign w:val="center"/>
                </w:tcPr>
                <w:p>
                  <w:pPr>
                    <w:autoSpaceDE w:val="0"/>
                    <w:autoSpaceDN w:val="0"/>
                    <w:adjustRightInd w:val="0"/>
                    <w:snapToGrid w:val="0"/>
                    <w:jc w:val="center"/>
                    <w:rPr>
                      <w:bCs/>
                      <w:kern w:val="0"/>
                      <w:sz w:val="21"/>
                      <w:szCs w:val="21"/>
                    </w:rPr>
                  </w:pPr>
                  <w:r>
                    <w:rPr>
                      <w:rFonts w:hint="eastAsia"/>
                      <w:bCs/>
                      <w:kern w:val="0"/>
                      <w:sz w:val="21"/>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pct"/>
                  <w:vAlign w:val="center"/>
                </w:tcPr>
                <w:p>
                  <w:pPr>
                    <w:autoSpaceDE w:val="0"/>
                    <w:autoSpaceDN w:val="0"/>
                    <w:adjustRightInd w:val="0"/>
                    <w:snapToGrid w:val="0"/>
                    <w:jc w:val="center"/>
                    <w:rPr>
                      <w:bCs/>
                      <w:kern w:val="0"/>
                      <w:sz w:val="21"/>
                      <w:szCs w:val="21"/>
                    </w:rPr>
                  </w:pPr>
                  <w:r>
                    <w:rPr>
                      <w:rFonts w:hint="eastAsia"/>
                      <w:bCs/>
                      <w:kern w:val="0"/>
                      <w:sz w:val="21"/>
                      <w:szCs w:val="21"/>
                    </w:rPr>
                    <w:t>2</w:t>
                  </w:r>
                </w:p>
              </w:tc>
              <w:tc>
                <w:tcPr>
                  <w:tcW w:w="1060" w:type="pct"/>
                  <w:vAlign w:val="center"/>
                </w:tcPr>
                <w:p>
                  <w:pPr>
                    <w:autoSpaceDE w:val="0"/>
                    <w:autoSpaceDN w:val="0"/>
                    <w:adjustRightInd w:val="0"/>
                    <w:snapToGrid w:val="0"/>
                    <w:jc w:val="center"/>
                    <w:rPr>
                      <w:bCs/>
                      <w:kern w:val="0"/>
                      <w:sz w:val="21"/>
                      <w:szCs w:val="21"/>
                    </w:rPr>
                  </w:pPr>
                  <w:r>
                    <w:rPr>
                      <w:rFonts w:hint="eastAsia"/>
                      <w:bCs/>
                      <w:kern w:val="0"/>
                      <w:sz w:val="21"/>
                      <w:szCs w:val="21"/>
                    </w:rPr>
                    <w:t>沉淀池</w:t>
                  </w:r>
                </w:p>
              </w:tc>
              <w:tc>
                <w:tcPr>
                  <w:tcW w:w="1334" w:type="pct"/>
                  <w:vAlign w:val="center"/>
                </w:tcPr>
                <w:p>
                  <w:pPr>
                    <w:autoSpaceDE w:val="0"/>
                    <w:autoSpaceDN w:val="0"/>
                    <w:adjustRightInd w:val="0"/>
                    <w:snapToGrid w:val="0"/>
                    <w:jc w:val="center"/>
                    <w:rPr>
                      <w:bCs/>
                      <w:kern w:val="0"/>
                      <w:sz w:val="21"/>
                      <w:szCs w:val="21"/>
                    </w:rPr>
                  </w:pPr>
                  <w:r>
                    <w:rPr>
                      <w:rFonts w:hint="eastAsia"/>
                      <w:bCs/>
                      <w:kern w:val="0"/>
                      <w:sz w:val="21"/>
                      <w:szCs w:val="21"/>
                    </w:rPr>
                    <w:t>60m</w:t>
                  </w:r>
                  <w:r>
                    <w:rPr>
                      <w:rFonts w:hint="eastAsia"/>
                      <w:bCs/>
                      <w:kern w:val="0"/>
                      <w:sz w:val="21"/>
                      <w:szCs w:val="21"/>
                      <w:vertAlign w:val="superscript"/>
                    </w:rPr>
                    <w:t>3</w:t>
                  </w:r>
                </w:p>
              </w:tc>
              <w:tc>
                <w:tcPr>
                  <w:tcW w:w="988" w:type="pct"/>
                  <w:vAlign w:val="center"/>
                </w:tcPr>
                <w:p>
                  <w:pPr>
                    <w:autoSpaceDE w:val="0"/>
                    <w:autoSpaceDN w:val="0"/>
                    <w:adjustRightInd w:val="0"/>
                    <w:snapToGrid w:val="0"/>
                    <w:jc w:val="center"/>
                    <w:rPr>
                      <w:bCs/>
                      <w:kern w:val="0"/>
                      <w:sz w:val="21"/>
                      <w:szCs w:val="21"/>
                    </w:rPr>
                  </w:pPr>
                  <w:r>
                    <w:rPr>
                      <w:rFonts w:hint="eastAsia"/>
                      <w:bCs/>
                      <w:kern w:val="0"/>
                      <w:sz w:val="21"/>
                      <w:szCs w:val="21"/>
                    </w:rPr>
                    <w:t>座</w:t>
                  </w:r>
                </w:p>
              </w:tc>
              <w:tc>
                <w:tcPr>
                  <w:tcW w:w="988" w:type="pct"/>
                  <w:vAlign w:val="center"/>
                </w:tcPr>
                <w:p>
                  <w:pPr>
                    <w:autoSpaceDE w:val="0"/>
                    <w:autoSpaceDN w:val="0"/>
                    <w:adjustRightInd w:val="0"/>
                    <w:snapToGrid w:val="0"/>
                    <w:jc w:val="center"/>
                    <w:rPr>
                      <w:bCs/>
                      <w:kern w:val="0"/>
                      <w:sz w:val="21"/>
                      <w:szCs w:val="21"/>
                    </w:rPr>
                  </w:pPr>
                  <w:r>
                    <w:rPr>
                      <w:rFonts w:hint="eastAsia"/>
                      <w:bCs/>
                      <w:kern w:val="0"/>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pct"/>
                  <w:vAlign w:val="center"/>
                </w:tcPr>
                <w:p>
                  <w:pPr>
                    <w:autoSpaceDE w:val="0"/>
                    <w:autoSpaceDN w:val="0"/>
                    <w:adjustRightInd w:val="0"/>
                    <w:snapToGrid w:val="0"/>
                    <w:jc w:val="center"/>
                    <w:rPr>
                      <w:bCs/>
                      <w:kern w:val="0"/>
                      <w:sz w:val="21"/>
                      <w:szCs w:val="21"/>
                    </w:rPr>
                  </w:pPr>
                  <w:r>
                    <w:rPr>
                      <w:rFonts w:hint="eastAsia"/>
                      <w:bCs/>
                      <w:kern w:val="0"/>
                      <w:sz w:val="21"/>
                      <w:szCs w:val="21"/>
                    </w:rPr>
                    <w:t>3</w:t>
                  </w:r>
                </w:p>
              </w:tc>
              <w:tc>
                <w:tcPr>
                  <w:tcW w:w="1060" w:type="pct"/>
                  <w:vAlign w:val="center"/>
                </w:tcPr>
                <w:p>
                  <w:pPr>
                    <w:autoSpaceDE w:val="0"/>
                    <w:autoSpaceDN w:val="0"/>
                    <w:adjustRightInd w:val="0"/>
                    <w:snapToGrid w:val="0"/>
                    <w:jc w:val="center"/>
                    <w:rPr>
                      <w:bCs/>
                      <w:kern w:val="0"/>
                      <w:sz w:val="21"/>
                      <w:szCs w:val="21"/>
                    </w:rPr>
                  </w:pPr>
                  <w:r>
                    <w:rPr>
                      <w:rFonts w:hint="eastAsia"/>
                      <w:bCs/>
                      <w:kern w:val="0"/>
                      <w:sz w:val="21"/>
                      <w:szCs w:val="21"/>
                    </w:rPr>
                    <w:t>化粪池</w:t>
                  </w:r>
                </w:p>
              </w:tc>
              <w:tc>
                <w:tcPr>
                  <w:tcW w:w="1334" w:type="pct"/>
                  <w:vAlign w:val="center"/>
                </w:tcPr>
                <w:p>
                  <w:pPr>
                    <w:autoSpaceDE w:val="0"/>
                    <w:autoSpaceDN w:val="0"/>
                    <w:adjustRightInd w:val="0"/>
                    <w:snapToGrid w:val="0"/>
                    <w:jc w:val="center"/>
                    <w:rPr>
                      <w:bCs/>
                      <w:kern w:val="0"/>
                      <w:sz w:val="21"/>
                      <w:szCs w:val="21"/>
                    </w:rPr>
                  </w:pPr>
                  <w:r>
                    <w:rPr>
                      <w:rFonts w:hint="eastAsia"/>
                      <w:bCs/>
                      <w:kern w:val="0"/>
                      <w:sz w:val="21"/>
                      <w:szCs w:val="21"/>
                    </w:rPr>
                    <w:t>10m</w:t>
                  </w:r>
                  <w:r>
                    <w:rPr>
                      <w:rFonts w:hint="eastAsia"/>
                      <w:bCs/>
                      <w:kern w:val="0"/>
                      <w:sz w:val="21"/>
                      <w:szCs w:val="21"/>
                      <w:vertAlign w:val="superscript"/>
                    </w:rPr>
                    <w:t>3</w:t>
                  </w:r>
                </w:p>
              </w:tc>
              <w:tc>
                <w:tcPr>
                  <w:tcW w:w="988" w:type="pct"/>
                  <w:vAlign w:val="center"/>
                </w:tcPr>
                <w:p>
                  <w:pPr>
                    <w:autoSpaceDE w:val="0"/>
                    <w:autoSpaceDN w:val="0"/>
                    <w:adjustRightInd w:val="0"/>
                    <w:snapToGrid w:val="0"/>
                    <w:jc w:val="center"/>
                    <w:rPr>
                      <w:bCs/>
                      <w:kern w:val="0"/>
                      <w:sz w:val="21"/>
                      <w:szCs w:val="21"/>
                    </w:rPr>
                  </w:pPr>
                  <w:r>
                    <w:rPr>
                      <w:rFonts w:hint="eastAsia"/>
                      <w:bCs/>
                      <w:kern w:val="0"/>
                      <w:sz w:val="21"/>
                      <w:szCs w:val="21"/>
                    </w:rPr>
                    <w:t>座</w:t>
                  </w:r>
                </w:p>
              </w:tc>
              <w:tc>
                <w:tcPr>
                  <w:tcW w:w="988" w:type="pct"/>
                  <w:vAlign w:val="center"/>
                </w:tcPr>
                <w:p>
                  <w:pPr>
                    <w:autoSpaceDE w:val="0"/>
                    <w:autoSpaceDN w:val="0"/>
                    <w:adjustRightInd w:val="0"/>
                    <w:snapToGrid w:val="0"/>
                    <w:jc w:val="center"/>
                    <w:rPr>
                      <w:bCs/>
                      <w:kern w:val="0"/>
                      <w:sz w:val="21"/>
                      <w:szCs w:val="21"/>
                    </w:rPr>
                  </w:pPr>
                  <w:r>
                    <w:rPr>
                      <w:rFonts w:hint="eastAsia"/>
                      <w:bCs/>
                      <w:kern w:val="0"/>
                      <w:sz w:val="21"/>
                      <w:szCs w:val="21"/>
                    </w:rPr>
                    <w:t>1</w:t>
                  </w:r>
                </w:p>
              </w:tc>
            </w:tr>
          </w:tbl>
          <w:p/>
          <w:p>
            <w:pPr>
              <w:spacing w:line="360" w:lineRule="auto"/>
              <w:ind w:firstLine="481" w:firstLineChars="200"/>
              <w:rPr>
                <w:b/>
                <w:bCs/>
              </w:rPr>
            </w:pPr>
            <w:r>
              <w:rPr>
                <w:rFonts w:hint="eastAsia"/>
                <w:b/>
                <w:bCs/>
              </w:rPr>
              <w:t>3、产品方案</w:t>
            </w:r>
          </w:p>
          <w:p>
            <w:pPr>
              <w:spacing w:line="360" w:lineRule="auto"/>
              <w:ind w:firstLine="480" w:firstLineChars="200"/>
              <w:jc w:val="left"/>
            </w:pPr>
            <w:r>
              <w:rPr>
                <w:rFonts w:hint="eastAsia"/>
              </w:rPr>
              <w:t>项目产品混凝土执行《混凝土质量控制标准》（GB50164-2011），项目产品方案见表2-6。</w:t>
            </w:r>
          </w:p>
          <w:p>
            <w:pPr>
              <w:spacing w:line="440" w:lineRule="exact"/>
              <w:ind w:firstLine="1927" w:firstLineChars="800"/>
              <w:rPr>
                <w:b/>
              </w:rPr>
            </w:pPr>
            <w:r>
              <w:rPr>
                <w:rFonts w:hint="eastAsia"/>
                <w:b/>
              </w:rPr>
              <w:t>表2-6       项目产品方案一览表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1549"/>
              <w:gridCol w:w="1568"/>
              <w:gridCol w:w="1336"/>
              <w:gridCol w:w="28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650" w:type="pct"/>
                  <w:vAlign w:val="center"/>
                </w:tcPr>
                <w:p>
                  <w:pPr>
                    <w:jc w:val="center"/>
                    <w:rPr>
                      <w:sz w:val="21"/>
                      <w:szCs w:val="21"/>
                    </w:rPr>
                  </w:pPr>
                  <w:r>
                    <w:rPr>
                      <w:rFonts w:hint="eastAsia"/>
                      <w:sz w:val="21"/>
                      <w:szCs w:val="21"/>
                    </w:rPr>
                    <w:t>序号</w:t>
                  </w:r>
                </w:p>
              </w:tc>
              <w:tc>
                <w:tcPr>
                  <w:tcW w:w="928" w:type="pct"/>
                  <w:vAlign w:val="center"/>
                </w:tcPr>
                <w:p>
                  <w:pPr>
                    <w:jc w:val="center"/>
                    <w:rPr>
                      <w:sz w:val="21"/>
                      <w:szCs w:val="21"/>
                    </w:rPr>
                  </w:pPr>
                  <w:r>
                    <w:rPr>
                      <w:rFonts w:hint="eastAsia"/>
                      <w:sz w:val="21"/>
                      <w:szCs w:val="21"/>
                    </w:rPr>
                    <w:t>产品名称</w:t>
                  </w:r>
                </w:p>
              </w:tc>
              <w:tc>
                <w:tcPr>
                  <w:tcW w:w="939" w:type="pct"/>
                  <w:vAlign w:val="center"/>
                </w:tcPr>
                <w:p>
                  <w:pPr>
                    <w:jc w:val="center"/>
                    <w:rPr>
                      <w:sz w:val="21"/>
                      <w:szCs w:val="21"/>
                    </w:rPr>
                  </w:pPr>
                  <w:r>
                    <w:rPr>
                      <w:rFonts w:hint="eastAsia"/>
                      <w:sz w:val="21"/>
                      <w:szCs w:val="21"/>
                    </w:rPr>
                    <w:t>单位</w:t>
                  </w:r>
                </w:p>
              </w:tc>
              <w:tc>
                <w:tcPr>
                  <w:tcW w:w="800" w:type="pct"/>
                  <w:vAlign w:val="center"/>
                </w:tcPr>
                <w:p>
                  <w:pPr>
                    <w:jc w:val="center"/>
                    <w:rPr>
                      <w:sz w:val="21"/>
                      <w:szCs w:val="21"/>
                    </w:rPr>
                  </w:pPr>
                  <w:r>
                    <w:rPr>
                      <w:rFonts w:hint="eastAsia"/>
                      <w:sz w:val="21"/>
                      <w:szCs w:val="21"/>
                    </w:rPr>
                    <w:t>产品产量</w:t>
                  </w:r>
                </w:p>
              </w:tc>
              <w:tc>
                <w:tcPr>
                  <w:tcW w:w="1683" w:type="pct"/>
                  <w:vAlign w:val="center"/>
                </w:tcPr>
                <w:p>
                  <w:pPr>
                    <w:jc w:val="center"/>
                    <w:rPr>
                      <w:sz w:val="21"/>
                      <w:szCs w:val="21"/>
                    </w:rPr>
                  </w:pPr>
                  <w:r>
                    <w:rPr>
                      <w:rFonts w:hint="eastAsia"/>
                      <w:sz w:val="21"/>
                      <w:szCs w:val="21"/>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650" w:type="pct"/>
                  <w:vAlign w:val="center"/>
                </w:tcPr>
                <w:p>
                  <w:pPr>
                    <w:jc w:val="center"/>
                    <w:rPr>
                      <w:sz w:val="21"/>
                      <w:szCs w:val="21"/>
                    </w:rPr>
                  </w:pPr>
                  <w:r>
                    <w:rPr>
                      <w:rFonts w:hint="eastAsia"/>
                      <w:sz w:val="21"/>
                      <w:szCs w:val="21"/>
                    </w:rPr>
                    <w:t>1</w:t>
                  </w:r>
                </w:p>
              </w:tc>
              <w:tc>
                <w:tcPr>
                  <w:tcW w:w="928" w:type="pct"/>
                  <w:vAlign w:val="center"/>
                </w:tcPr>
                <w:p>
                  <w:pPr>
                    <w:jc w:val="center"/>
                    <w:rPr>
                      <w:sz w:val="21"/>
                      <w:szCs w:val="21"/>
                    </w:rPr>
                  </w:pPr>
                  <w:r>
                    <w:rPr>
                      <w:rFonts w:hint="eastAsia"/>
                      <w:sz w:val="21"/>
                      <w:szCs w:val="21"/>
                    </w:rPr>
                    <w:t>混凝土</w:t>
                  </w:r>
                </w:p>
              </w:tc>
              <w:tc>
                <w:tcPr>
                  <w:tcW w:w="939" w:type="pct"/>
                  <w:vAlign w:val="center"/>
                </w:tcPr>
                <w:p>
                  <w:pPr>
                    <w:jc w:val="center"/>
                    <w:rPr>
                      <w:sz w:val="21"/>
                      <w:szCs w:val="21"/>
                    </w:rPr>
                  </w:pPr>
                  <w:r>
                    <w:rPr>
                      <w:rFonts w:hint="eastAsia"/>
                      <w:sz w:val="21"/>
                      <w:szCs w:val="21"/>
                    </w:rPr>
                    <w:t>万m</w:t>
                  </w:r>
                  <w:r>
                    <w:rPr>
                      <w:rFonts w:hint="eastAsia"/>
                      <w:sz w:val="21"/>
                      <w:szCs w:val="21"/>
                      <w:vertAlign w:val="superscript"/>
                    </w:rPr>
                    <w:t>3</w:t>
                  </w:r>
                  <w:r>
                    <w:rPr>
                      <w:rFonts w:hint="eastAsia"/>
                      <w:sz w:val="21"/>
                      <w:szCs w:val="21"/>
                    </w:rPr>
                    <w:t>/a</w:t>
                  </w:r>
                </w:p>
              </w:tc>
              <w:tc>
                <w:tcPr>
                  <w:tcW w:w="800" w:type="pct"/>
                  <w:vAlign w:val="center"/>
                </w:tcPr>
                <w:p>
                  <w:pPr>
                    <w:jc w:val="center"/>
                    <w:rPr>
                      <w:sz w:val="21"/>
                      <w:szCs w:val="21"/>
                    </w:rPr>
                  </w:pPr>
                  <w:r>
                    <w:rPr>
                      <w:rFonts w:hint="eastAsia"/>
                      <w:sz w:val="21"/>
                      <w:szCs w:val="21"/>
                    </w:rPr>
                    <w:t>7</w:t>
                  </w:r>
                </w:p>
              </w:tc>
              <w:tc>
                <w:tcPr>
                  <w:tcW w:w="1683" w:type="pct"/>
                  <w:vAlign w:val="center"/>
                </w:tcPr>
                <w:p>
                  <w:pPr>
                    <w:jc w:val="center"/>
                    <w:rPr>
                      <w:sz w:val="21"/>
                      <w:szCs w:val="21"/>
                    </w:rPr>
                  </w:pPr>
                  <w:r>
                    <w:rPr>
                      <w:rFonts w:hint="eastAsia"/>
                      <w:sz w:val="21"/>
                    </w:rPr>
                    <w:t>《混凝土质量控制标准》（GB50164-2011）</w:t>
                  </w:r>
                </w:p>
              </w:tc>
            </w:tr>
          </w:tbl>
          <w:p>
            <w:pPr>
              <w:pStyle w:val="5"/>
              <w:ind w:firstLine="481" w:firstLineChars="200"/>
              <w:rPr>
                <w:color w:val="auto"/>
              </w:rPr>
            </w:pPr>
          </w:p>
          <w:p>
            <w:pPr>
              <w:pStyle w:val="5"/>
              <w:ind w:firstLine="481" w:firstLineChars="200"/>
              <w:rPr>
                <w:color w:val="auto"/>
              </w:rPr>
            </w:pPr>
            <w:r>
              <w:rPr>
                <w:rFonts w:hint="eastAsia"/>
                <w:color w:val="auto"/>
              </w:rPr>
              <w:t>4、原辅材料</w:t>
            </w:r>
          </w:p>
          <w:p>
            <w:pPr>
              <w:spacing w:line="360" w:lineRule="auto"/>
              <w:ind w:firstLine="470" w:firstLineChars="196"/>
              <w:outlineLvl w:val="0"/>
            </w:pPr>
            <w:r>
              <w:rPr>
                <w:rFonts w:hint="eastAsia"/>
              </w:rPr>
              <w:t>项目原料主要为石料、水泥、粉煤灰、外加剂，上述原料均为市场购买，原料来源有保障。</w:t>
            </w:r>
          </w:p>
          <w:p>
            <w:pPr>
              <w:pStyle w:val="10"/>
              <w:ind w:firstLine="480"/>
            </w:pPr>
            <w:r>
              <w:rPr>
                <w:rFonts w:hint="eastAsia"/>
              </w:rPr>
              <w:t>本项目主要原辅材料见表2-7。</w:t>
            </w:r>
          </w:p>
          <w:p>
            <w:pPr>
              <w:pStyle w:val="10"/>
              <w:spacing w:line="240" w:lineRule="auto"/>
              <w:ind w:firstLine="480"/>
            </w:pPr>
          </w:p>
          <w:p>
            <w:pPr>
              <w:pStyle w:val="10"/>
              <w:spacing w:line="240" w:lineRule="auto"/>
              <w:ind w:firstLine="0" w:firstLineChars="0"/>
              <w:jc w:val="center"/>
            </w:pPr>
            <w:r>
              <w:rPr>
                <w:rFonts w:hint="eastAsia"/>
                <w:b/>
                <w:bCs/>
              </w:rPr>
              <w:t>表2-7       项目主要原辅材料一览表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7"/>
              <w:gridCol w:w="1141"/>
              <w:gridCol w:w="1996"/>
              <w:gridCol w:w="1715"/>
              <w:gridCol w:w="2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407" w:type="pct"/>
                  <w:vAlign w:val="center"/>
                </w:tcPr>
                <w:p>
                  <w:pPr>
                    <w:jc w:val="center"/>
                    <w:rPr>
                      <w:sz w:val="21"/>
                      <w:szCs w:val="21"/>
                    </w:rPr>
                  </w:pPr>
                  <w:r>
                    <w:rPr>
                      <w:sz w:val="21"/>
                      <w:szCs w:val="21"/>
                    </w:rPr>
                    <w:t>序号</w:t>
                  </w:r>
                </w:p>
              </w:tc>
              <w:tc>
                <w:tcPr>
                  <w:tcW w:w="733" w:type="pct"/>
                  <w:vAlign w:val="center"/>
                </w:tcPr>
                <w:p>
                  <w:pPr>
                    <w:jc w:val="center"/>
                    <w:rPr>
                      <w:sz w:val="21"/>
                      <w:szCs w:val="21"/>
                    </w:rPr>
                  </w:pPr>
                  <w:r>
                    <w:rPr>
                      <w:sz w:val="21"/>
                      <w:szCs w:val="21"/>
                    </w:rPr>
                    <w:t>物料</w:t>
                  </w:r>
                </w:p>
              </w:tc>
              <w:tc>
                <w:tcPr>
                  <w:tcW w:w="1245" w:type="pct"/>
                  <w:vAlign w:val="center"/>
                </w:tcPr>
                <w:p>
                  <w:pPr>
                    <w:jc w:val="center"/>
                    <w:rPr>
                      <w:sz w:val="21"/>
                      <w:szCs w:val="21"/>
                    </w:rPr>
                  </w:pPr>
                  <w:r>
                    <w:rPr>
                      <w:sz w:val="21"/>
                      <w:szCs w:val="21"/>
                    </w:rPr>
                    <w:t>来源</w:t>
                  </w:r>
                </w:p>
              </w:tc>
              <w:tc>
                <w:tcPr>
                  <w:tcW w:w="829" w:type="pct"/>
                  <w:vAlign w:val="center"/>
                </w:tcPr>
                <w:p>
                  <w:pPr>
                    <w:jc w:val="center"/>
                    <w:rPr>
                      <w:sz w:val="21"/>
                      <w:szCs w:val="21"/>
                    </w:rPr>
                  </w:pPr>
                  <w:r>
                    <w:rPr>
                      <w:sz w:val="21"/>
                      <w:szCs w:val="21"/>
                    </w:rPr>
                    <w:t>用量</w:t>
                  </w:r>
                </w:p>
              </w:tc>
              <w:tc>
                <w:tcPr>
                  <w:tcW w:w="1786" w:type="pct"/>
                  <w:vAlign w:val="center"/>
                </w:tcPr>
                <w:p>
                  <w:pPr>
                    <w:jc w:val="center"/>
                    <w:rPr>
                      <w:sz w:val="21"/>
                      <w:szCs w:val="21"/>
                    </w:rPr>
                  </w:pPr>
                  <w:r>
                    <w:rPr>
                      <w:rFonts w:hint="eastAsia"/>
                      <w:sz w:val="21"/>
                      <w:szCs w:val="21"/>
                    </w:rPr>
                    <w:t>储存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407" w:type="pct"/>
                  <w:vAlign w:val="center"/>
                </w:tcPr>
                <w:p>
                  <w:pPr>
                    <w:jc w:val="center"/>
                    <w:rPr>
                      <w:sz w:val="21"/>
                      <w:szCs w:val="21"/>
                    </w:rPr>
                  </w:pPr>
                  <w:r>
                    <w:rPr>
                      <w:rFonts w:hint="eastAsia"/>
                      <w:sz w:val="21"/>
                      <w:szCs w:val="21"/>
                    </w:rPr>
                    <w:t>1</w:t>
                  </w:r>
                </w:p>
              </w:tc>
              <w:tc>
                <w:tcPr>
                  <w:tcW w:w="733" w:type="pct"/>
                  <w:vAlign w:val="center"/>
                </w:tcPr>
                <w:p>
                  <w:pPr>
                    <w:widowControl/>
                    <w:jc w:val="center"/>
                    <w:rPr>
                      <w:rFonts w:hint="eastAsia" w:ascii="宋体" w:hAnsi="宋体"/>
                      <w:sz w:val="21"/>
                      <w:szCs w:val="21"/>
                    </w:rPr>
                  </w:pPr>
                  <w:r>
                    <w:rPr>
                      <w:rFonts w:hint="eastAsia" w:ascii="宋体" w:hAnsi="宋体"/>
                      <w:sz w:val="21"/>
                      <w:szCs w:val="21"/>
                    </w:rPr>
                    <w:t>石料</w:t>
                  </w:r>
                </w:p>
              </w:tc>
              <w:tc>
                <w:tcPr>
                  <w:tcW w:w="1245" w:type="pct"/>
                  <w:vMerge w:val="restart"/>
                  <w:vAlign w:val="center"/>
                </w:tcPr>
                <w:p>
                  <w:pPr>
                    <w:jc w:val="center"/>
                    <w:rPr>
                      <w:sz w:val="21"/>
                      <w:szCs w:val="21"/>
                    </w:rPr>
                  </w:pPr>
                  <w:r>
                    <w:rPr>
                      <w:sz w:val="21"/>
                      <w:szCs w:val="21"/>
                    </w:rPr>
                    <w:t>市场外购</w:t>
                  </w:r>
                </w:p>
              </w:tc>
              <w:tc>
                <w:tcPr>
                  <w:tcW w:w="829" w:type="pct"/>
                  <w:vAlign w:val="center"/>
                </w:tcPr>
                <w:p>
                  <w:pPr>
                    <w:jc w:val="center"/>
                    <w:rPr>
                      <w:sz w:val="21"/>
                      <w:szCs w:val="21"/>
                    </w:rPr>
                  </w:pPr>
                  <w:r>
                    <w:rPr>
                      <w:rFonts w:hint="eastAsia"/>
                      <w:sz w:val="21"/>
                      <w:szCs w:val="21"/>
                    </w:rPr>
                    <w:t>91000t/a</w:t>
                  </w:r>
                </w:p>
              </w:tc>
              <w:tc>
                <w:tcPr>
                  <w:tcW w:w="1786" w:type="pct"/>
                  <w:vAlign w:val="center"/>
                </w:tcPr>
                <w:p>
                  <w:pPr>
                    <w:jc w:val="center"/>
                    <w:rPr>
                      <w:rFonts w:hint="eastAsia" w:hAnsi="宋体"/>
                      <w:sz w:val="21"/>
                      <w:szCs w:val="21"/>
                    </w:rPr>
                  </w:pPr>
                  <w:r>
                    <w:rPr>
                      <w:rFonts w:hint="eastAsia" w:hAnsi="宋体"/>
                      <w:sz w:val="21"/>
                      <w:szCs w:val="21"/>
                    </w:rPr>
                    <w:t>1座7203.41m</w:t>
                  </w:r>
                  <w:r>
                    <w:rPr>
                      <w:rFonts w:hint="eastAsia" w:hAnsi="宋体"/>
                      <w:sz w:val="21"/>
                      <w:szCs w:val="21"/>
                      <w:vertAlign w:val="superscript"/>
                    </w:rPr>
                    <w:t>2</w:t>
                  </w:r>
                  <w:r>
                    <w:rPr>
                      <w:rFonts w:hint="eastAsia" w:hAnsi="宋体"/>
                      <w:sz w:val="21"/>
                      <w:szCs w:val="21"/>
                    </w:rPr>
                    <w:t>的原料储库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407" w:type="pct"/>
                  <w:vAlign w:val="center"/>
                </w:tcPr>
                <w:p>
                  <w:pPr>
                    <w:jc w:val="center"/>
                    <w:rPr>
                      <w:sz w:val="21"/>
                      <w:szCs w:val="21"/>
                    </w:rPr>
                  </w:pPr>
                  <w:r>
                    <w:rPr>
                      <w:rFonts w:hint="eastAsia"/>
                      <w:sz w:val="21"/>
                      <w:szCs w:val="21"/>
                    </w:rPr>
                    <w:t>2</w:t>
                  </w:r>
                </w:p>
              </w:tc>
              <w:tc>
                <w:tcPr>
                  <w:tcW w:w="733" w:type="pct"/>
                  <w:vAlign w:val="center"/>
                </w:tcPr>
                <w:p>
                  <w:pPr>
                    <w:widowControl/>
                    <w:jc w:val="center"/>
                    <w:rPr>
                      <w:rFonts w:hint="eastAsia" w:ascii="宋体" w:hAnsi="宋体"/>
                      <w:sz w:val="21"/>
                      <w:szCs w:val="21"/>
                    </w:rPr>
                  </w:pPr>
                  <w:r>
                    <w:rPr>
                      <w:rFonts w:hint="eastAsia" w:ascii="宋体" w:hAnsi="宋体"/>
                      <w:sz w:val="21"/>
                      <w:szCs w:val="21"/>
                    </w:rPr>
                    <w:t>外加剂</w:t>
                  </w:r>
                </w:p>
              </w:tc>
              <w:tc>
                <w:tcPr>
                  <w:tcW w:w="1245" w:type="pct"/>
                  <w:vMerge w:val="continue"/>
                  <w:vAlign w:val="center"/>
                </w:tcPr>
                <w:p>
                  <w:pPr>
                    <w:jc w:val="center"/>
                    <w:rPr>
                      <w:sz w:val="21"/>
                      <w:szCs w:val="21"/>
                    </w:rPr>
                  </w:pPr>
                </w:p>
              </w:tc>
              <w:tc>
                <w:tcPr>
                  <w:tcW w:w="829" w:type="pct"/>
                  <w:vAlign w:val="center"/>
                </w:tcPr>
                <w:p>
                  <w:pPr>
                    <w:jc w:val="center"/>
                    <w:rPr>
                      <w:sz w:val="21"/>
                      <w:szCs w:val="21"/>
                    </w:rPr>
                  </w:pPr>
                  <w:r>
                    <w:rPr>
                      <w:rFonts w:hint="eastAsia"/>
                      <w:sz w:val="21"/>
                      <w:szCs w:val="21"/>
                    </w:rPr>
                    <w:t>300t/a</w:t>
                  </w:r>
                </w:p>
              </w:tc>
              <w:tc>
                <w:tcPr>
                  <w:tcW w:w="1786" w:type="pct"/>
                  <w:vAlign w:val="center"/>
                </w:tcPr>
                <w:p>
                  <w:pPr>
                    <w:jc w:val="center"/>
                    <w:rPr>
                      <w:rFonts w:hint="eastAsia" w:hAnsi="宋体"/>
                      <w:sz w:val="21"/>
                      <w:szCs w:val="21"/>
                    </w:rPr>
                  </w:pPr>
                  <w:r>
                    <w:rPr>
                      <w:rFonts w:hint="eastAsia"/>
                      <w:sz w:val="21"/>
                      <w:szCs w:val="21"/>
                    </w:rPr>
                    <w:t>桶装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407" w:type="pct"/>
                  <w:vAlign w:val="center"/>
                </w:tcPr>
                <w:p>
                  <w:pPr>
                    <w:jc w:val="center"/>
                    <w:rPr>
                      <w:sz w:val="21"/>
                      <w:szCs w:val="21"/>
                    </w:rPr>
                  </w:pPr>
                  <w:r>
                    <w:rPr>
                      <w:rFonts w:hint="eastAsia"/>
                      <w:sz w:val="21"/>
                      <w:szCs w:val="21"/>
                    </w:rPr>
                    <w:t>3</w:t>
                  </w:r>
                </w:p>
              </w:tc>
              <w:tc>
                <w:tcPr>
                  <w:tcW w:w="733" w:type="pct"/>
                  <w:vAlign w:val="center"/>
                </w:tcPr>
                <w:p>
                  <w:pPr>
                    <w:widowControl/>
                    <w:jc w:val="center"/>
                    <w:rPr>
                      <w:rFonts w:hint="eastAsia" w:ascii="宋体" w:hAnsi="宋体"/>
                      <w:sz w:val="21"/>
                      <w:szCs w:val="21"/>
                    </w:rPr>
                  </w:pPr>
                  <w:r>
                    <w:rPr>
                      <w:rFonts w:hint="eastAsia" w:ascii="宋体" w:hAnsi="宋体"/>
                      <w:sz w:val="21"/>
                      <w:szCs w:val="21"/>
                    </w:rPr>
                    <w:t>水泥</w:t>
                  </w:r>
                </w:p>
              </w:tc>
              <w:tc>
                <w:tcPr>
                  <w:tcW w:w="1245" w:type="pct"/>
                  <w:vMerge w:val="continue"/>
                  <w:vAlign w:val="center"/>
                </w:tcPr>
                <w:p>
                  <w:pPr>
                    <w:jc w:val="center"/>
                    <w:rPr>
                      <w:sz w:val="21"/>
                      <w:szCs w:val="21"/>
                    </w:rPr>
                  </w:pPr>
                </w:p>
              </w:tc>
              <w:tc>
                <w:tcPr>
                  <w:tcW w:w="829" w:type="pct"/>
                  <w:vAlign w:val="center"/>
                </w:tcPr>
                <w:p>
                  <w:pPr>
                    <w:jc w:val="center"/>
                    <w:rPr>
                      <w:sz w:val="21"/>
                      <w:szCs w:val="21"/>
                    </w:rPr>
                  </w:pPr>
                  <w:r>
                    <w:rPr>
                      <w:rFonts w:hint="eastAsia"/>
                      <w:sz w:val="21"/>
                      <w:szCs w:val="21"/>
                    </w:rPr>
                    <w:t>17000t/a</w:t>
                  </w:r>
                </w:p>
              </w:tc>
              <w:tc>
                <w:tcPr>
                  <w:tcW w:w="1786" w:type="pct"/>
                  <w:vAlign w:val="center"/>
                </w:tcPr>
                <w:p>
                  <w:pPr>
                    <w:jc w:val="center"/>
                    <w:rPr>
                      <w:rFonts w:hint="eastAsia" w:hAnsi="宋体"/>
                      <w:sz w:val="21"/>
                      <w:szCs w:val="21"/>
                    </w:rPr>
                  </w:pPr>
                  <w:r>
                    <w:rPr>
                      <w:rFonts w:hint="eastAsia"/>
                      <w:sz w:val="21"/>
                      <w:szCs w:val="21"/>
                    </w:rPr>
                    <w:t>2座150m</w:t>
                  </w:r>
                  <w:r>
                    <w:rPr>
                      <w:rFonts w:hint="eastAsia"/>
                      <w:sz w:val="21"/>
                      <w:szCs w:val="21"/>
                      <w:vertAlign w:val="superscript"/>
                    </w:rPr>
                    <w:t>3</w:t>
                  </w:r>
                  <w:r>
                    <w:rPr>
                      <w:rFonts w:hint="eastAsia" w:hAnsi="宋体"/>
                      <w:sz w:val="21"/>
                      <w:szCs w:val="21"/>
                    </w:rPr>
                    <w:t>的立式</w:t>
                  </w:r>
                  <w:r>
                    <w:rPr>
                      <w:rFonts w:hint="eastAsia"/>
                      <w:sz w:val="21"/>
                      <w:szCs w:val="21"/>
                    </w:rPr>
                    <w:t>水泥筒仓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407" w:type="pct"/>
                  <w:vAlign w:val="center"/>
                </w:tcPr>
                <w:p>
                  <w:pPr>
                    <w:jc w:val="center"/>
                    <w:rPr>
                      <w:sz w:val="21"/>
                      <w:szCs w:val="21"/>
                    </w:rPr>
                  </w:pPr>
                  <w:r>
                    <w:rPr>
                      <w:rFonts w:hint="eastAsia"/>
                      <w:sz w:val="21"/>
                      <w:szCs w:val="21"/>
                    </w:rPr>
                    <w:t>4</w:t>
                  </w:r>
                </w:p>
              </w:tc>
              <w:tc>
                <w:tcPr>
                  <w:tcW w:w="733" w:type="pct"/>
                  <w:vAlign w:val="center"/>
                </w:tcPr>
                <w:p>
                  <w:pPr>
                    <w:widowControl/>
                    <w:jc w:val="center"/>
                    <w:rPr>
                      <w:rFonts w:hint="eastAsia" w:ascii="宋体" w:hAnsi="宋体"/>
                      <w:sz w:val="21"/>
                      <w:szCs w:val="21"/>
                    </w:rPr>
                  </w:pPr>
                  <w:r>
                    <w:rPr>
                      <w:rFonts w:hint="eastAsia" w:ascii="宋体" w:hAnsi="宋体"/>
                      <w:sz w:val="21"/>
                      <w:szCs w:val="21"/>
                    </w:rPr>
                    <w:t>粉煤灰</w:t>
                  </w:r>
                </w:p>
              </w:tc>
              <w:tc>
                <w:tcPr>
                  <w:tcW w:w="1245" w:type="pct"/>
                  <w:vMerge w:val="continue"/>
                  <w:vAlign w:val="center"/>
                </w:tcPr>
                <w:p>
                  <w:pPr>
                    <w:jc w:val="center"/>
                    <w:rPr>
                      <w:sz w:val="21"/>
                      <w:szCs w:val="21"/>
                    </w:rPr>
                  </w:pPr>
                </w:p>
              </w:tc>
              <w:tc>
                <w:tcPr>
                  <w:tcW w:w="829" w:type="pct"/>
                  <w:vAlign w:val="center"/>
                </w:tcPr>
                <w:p>
                  <w:pPr>
                    <w:jc w:val="center"/>
                    <w:rPr>
                      <w:sz w:val="21"/>
                      <w:szCs w:val="21"/>
                    </w:rPr>
                  </w:pPr>
                  <w:r>
                    <w:rPr>
                      <w:rFonts w:hint="eastAsia"/>
                      <w:sz w:val="21"/>
                      <w:szCs w:val="21"/>
                    </w:rPr>
                    <w:t>19000t/a</w:t>
                  </w:r>
                </w:p>
              </w:tc>
              <w:tc>
                <w:tcPr>
                  <w:tcW w:w="1786" w:type="pct"/>
                  <w:vAlign w:val="center"/>
                </w:tcPr>
                <w:p>
                  <w:pPr>
                    <w:jc w:val="center"/>
                    <w:rPr>
                      <w:rFonts w:hint="eastAsia" w:hAnsi="宋体"/>
                      <w:sz w:val="21"/>
                      <w:szCs w:val="21"/>
                    </w:rPr>
                  </w:pPr>
                  <w:r>
                    <w:rPr>
                      <w:rFonts w:hint="eastAsia" w:hAnsi="宋体"/>
                      <w:sz w:val="21"/>
                      <w:szCs w:val="21"/>
                    </w:rPr>
                    <w:t>2座150m</w:t>
                  </w:r>
                  <w:r>
                    <w:rPr>
                      <w:rFonts w:hint="eastAsia" w:hAnsi="宋体"/>
                      <w:sz w:val="21"/>
                      <w:szCs w:val="21"/>
                      <w:vertAlign w:val="superscript"/>
                    </w:rPr>
                    <w:t>3</w:t>
                  </w:r>
                  <w:r>
                    <w:rPr>
                      <w:rFonts w:hint="eastAsia" w:hAnsi="宋体"/>
                      <w:sz w:val="21"/>
                      <w:szCs w:val="21"/>
                    </w:rPr>
                    <w:t>的立式粉煤灰筒仓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407" w:type="pct"/>
                  <w:vAlign w:val="center"/>
                </w:tcPr>
                <w:p>
                  <w:pPr>
                    <w:jc w:val="center"/>
                    <w:rPr>
                      <w:sz w:val="21"/>
                      <w:szCs w:val="21"/>
                    </w:rPr>
                  </w:pPr>
                  <w:r>
                    <w:rPr>
                      <w:rFonts w:hint="eastAsia"/>
                      <w:sz w:val="21"/>
                      <w:szCs w:val="21"/>
                    </w:rPr>
                    <w:t>5</w:t>
                  </w:r>
                </w:p>
              </w:tc>
              <w:tc>
                <w:tcPr>
                  <w:tcW w:w="733" w:type="pct"/>
                  <w:vAlign w:val="center"/>
                </w:tcPr>
                <w:p>
                  <w:pPr>
                    <w:jc w:val="center"/>
                    <w:rPr>
                      <w:sz w:val="21"/>
                      <w:szCs w:val="21"/>
                    </w:rPr>
                  </w:pPr>
                  <w:r>
                    <w:rPr>
                      <w:rFonts w:hint="eastAsia"/>
                      <w:sz w:val="21"/>
                      <w:szCs w:val="21"/>
                    </w:rPr>
                    <w:t>新鲜水</w:t>
                  </w:r>
                </w:p>
              </w:tc>
              <w:tc>
                <w:tcPr>
                  <w:tcW w:w="1245" w:type="pct"/>
                  <w:vAlign w:val="center"/>
                </w:tcPr>
                <w:p>
                  <w:pPr>
                    <w:jc w:val="center"/>
                    <w:rPr>
                      <w:sz w:val="21"/>
                      <w:szCs w:val="21"/>
                    </w:rPr>
                  </w:pPr>
                  <w:r>
                    <w:rPr>
                      <w:sz w:val="21"/>
                      <w:szCs w:val="21"/>
                    </w:rPr>
                    <w:t>外购</w:t>
                  </w:r>
                  <w:r>
                    <w:rPr>
                      <w:rFonts w:hint="eastAsia"/>
                      <w:sz w:val="21"/>
                      <w:szCs w:val="21"/>
                    </w:rPr>
                    <w:t>，周边村庄</w:t>
                  </w:r>
                </w:p>
              </w:tc>
              <w:tc>
                <w:tcPr>
                  <w:tcW w:w="829" w:type="pct"/>
                  <w:vAlign w:val="center"/>
                </w:tcPr>
                <w:p>
                  <w:pPr>
                    <w:jc w:val="center"/>
                    <w:rPr>
                      <w:sz w:val="21"/>
                      <w:szCs w:val="21"/>
                    </w:rPr>
                  </w:pPr>
                  <w:r>
                    <w:rPr>
                      <w:rFonts w:hint="eastAsia"/>
                      <w:sz w:val="21"/>
                      <w:szCs w:val="21"/>
                    </w:rPr>
                    <w:t>252m</w:t>
                  </w:r>
                  <w:r>
                    <w:rPr>
                      <w:rFonts w:hint="eastAsia"/>
                      <w:sz w:val="21"/>
                      <w:szCs w:val="21"/>
                      <w:vertAlign w:val="superscript"/>
                    </w:rPr>
                    <w:t>3</w:t>
                  </w:r>
                  <w:r>
                    <w:rPr>
                      <w:rFonts w:hint="eastAsia"/>
                      <w:sz w:val="21"/>
                      <w:szCs w:val="21"/>
                    </w:rPr>
                    <w:t>/a</w:t>
                  </w:r>
                </w:p>
              </w:tc>
              <w:tc>
                <w:tcPr>
                  <w:tcW w:w="1786" w:type="pct"/>
                  <w:vAlign w:val="center"/>
                </w:tcPr>
                <w:p>
                  <w:pPr>
                    <w:jc w:val="center"/>
                    <w:rPr>
                      <w:sz w:val="21"/>
                      <w:szCs w:val="21"/>
                    </w:rPr>
                  </w:pPr>
                  <w:r>
                    <w:rPr>
                      <w:rFonts w:hint="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407" w:type="pct"/>
                  <w:vAlign w:val="center"/>
                </w:tcPr>
                <w:p>
                  <w:pPr>
                    <w:jc w:val="center"/>
                    <w:rPr>
                      <w:sz w:val="21"/>
                      <w:szCs w:val="21"/>
                    </w:rPr>
                  </w:pPr>
                  <w:r>
                    <w:rPr>
                      <w:rFonts w:hint="eastAsia"/>
                      <w:sz w:val="21"/>
                      <w:szCs w:val="21"/>
                    </w:rPr>
                    <w:t>6</w:t>
                  </w:r>
                </w:p>
              </w:tc>
              <w:tc>
                <w:tcPr>
                  <w:tcW w:w="733" w:type="pct"/>
                  <w:vAlign w:val="center"/>
                </w:tcPr>
                <w:p>
                  <w:pPr>
                    <w:jc w:val="center"/>
                    <w:rPr>
                      <w:sz w:val="21"/>
                      <w:szCs w:val="21"/>
                    </w:rPr>
                  </w:pPr>
                  <w:r>
                    <w:rPr>
                      <w:rFonts w:hint="eastAsia"/>
                      <w:sz w:val="21"/>
                      <w:szCs w:val="21"/>
                    </w:rPr>
                    <w:t>矿井疏干水</w:t>
                  </w:r>
                </w:p>
              </w:tc>
              <w:tc>
                <w:tcPr>
                  <w:tcW w:w="1245" w:type="pct"/>
                  <w:vAlign w:val="center"/>
                </w:tcPr>
                <w:p>
                  <w:pPr>
                    <w:jc w:val="center"/>
                    <w:rPr>
                      <w:rFonts w:hint="eastAsia" w:hAnsi="宋体"/>
                      <w:sz w:val="21"/>
                      <w:szCs w:val="21"/>
                    </w:rPr>
                  </w:pPr>
                  <w:r>
                    <w:rPr>
                      <w:rFonts w:hint="eastAsia"/>
                      <w:sz w:val="21"/>
                      <w:szCs w:val="21"/>
                    </w:rPr>
                    <w:t>鄂尔多斯市圣园水务集团有限责任公司供给</w:t>
                  </w:r>
                </w:p>
              </w:tc>
              <w:tc>
                <w:tcPr>
                  <w:tcW w:w="829" w:type="pct"/>
                  <w:vAlign w:val="center"/>
                </w:tcPr>
                <w:p>
                  <w:pPr>
                    <w:jc w:val="center"/>
                    <w:rPr>
                      <w:sz w:val="21"/>
                      <w:szCs w:val="21"/>
                    </w:rPr>
                  </w:pPr>
                  <w:r>
                    <w:rPr>
                      <w:rFonts w:hint="eastAsia"/>
                      <w:sz w:val="21"/>
                      <w:szCs w:val="21"/>
                    </w:rPr>
                    <w:t>18544.64m</w:t>
                  </w:r>
                  <w:r>
                    <w:rPr>
                      <w:rFonts w:hint="eastAsia"/>
                      <w:sz w:val="21"/>
                      <w:szCs w:val="21"/>
                      <w:vertAlign w:val="superscript"/>
                    </w:rPr>
                    <w:t>3</w:t>
                  </w:r>
                  <w:r>
                    <w:rPr>
                      <w:rFonts w:hint="eastAsia"/>
                      <w:sz w:val="21"/>
                      <w:szCs w:val="21"/>
                    </w:rPr>
                    <w:t>/a</w:t>
                  </w:r>
                </w:p>
              </w:tc>
              <w:tc>
                <w:tcPr>
                  <w:tcW w:w="1786" w:type="pct"/>
                  <w:vAlign w:val="center"/>
                </w:tcPr>
                <w:p>
                  <w:pPr>
                    <w:jc w:val="center"/>
                    <w:rPr>
                      <w:sz w:val="21"/>
                      <w:szCs w:val="21"/>
                    </w:rPr>
                  </w:pPr>
                  <w:r>
                    <w:rPr>
                      <w:rFonts w:hint="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407" w:type="pct"/>
                  <w:vAlign w:val="center"/>
                </w:tcPr>
                <w:p>
                  <w:pPr>
                    <w:jc w:val="center"/>
                    <w:rPr>
                      <w:sz w:val="21"/>
                      <w:szCs w:val="21"/>
                    </w:rPr>
                  </w:pPr>
                  <w:r>
                    <w:rPr>
                      <w:rFonts w:hint="eastAsia"/>
                      <w:sz w:val="21"/>
                      <w:szCs w:val="21"/>
                    </w:rPr>
                    <w:t>7</w:t>
                  </w:r>
                </w:p>
              </w:tc>
              <w:tc>
                <w:tcPr>
                  <w:tcW w:w="733" w:type="pct"/>
                  <w:vAlign w:val="center"/>
                </w:tcPr>
                <w:p>
                  <w:pPr>
                    <w:jc w:val="center"/>
                    <w:rPr>
                      <w:sz w:val="21"/>
                      <w:szCs w:val="21"/>
                    </w:rPr>
                  </w:pPr>
                  <w:r>
                    <w:rPr>
                      <w:rFonts w:hint="eastAsia"/>
                      <w:sz w:val="21"/>
                      <w:szCs w:val="21"/>
                    </w:rPr>
                    <w:t>电</w:t>
                  </w:r>
                </w:p>
              </w:tc>
              <w:tc>
                <w:tcPr>
                  <w:tcW w:w="1245" w:type="pct"/>
                  <w:vAlign w:val="center"/>
                </w:tcPr>
                <w:p>
                  <w:pPr>
                    <w:jc w:val="center"/>
                    <w:rPr>
                      <w:sz w:val="21"/>
                      <w:szCs w:val="21"/>
                    </w:rPr>
                  </w:pPr>
                  <w:r>
                    <w:rPr>
                      <w:rFonts w:hint="eastAsia"/>
                      <w:sz w:val="21"/>
                      <w:szCs w:val="21"/>
                    </w:rPr>
                    <w:t>项目周边供电电网</w:t>
                  </w:r>
                </w:p>
              </w:tc>
              <w:tc>
                <w:tcPr>
                  <w:tcW w:w="829" w:type="pct"/>
                  <w:vAlign w:val="center"/>
                </w:tcPr>
                <w:p>
                  <w:pPr>
                    <w:jc w:val="center"/>
                    <w:rPr>
                      <w:sz w:val="21"/>
                      <w:szCs w:val="21"/>
                      <w:highlight w:val="yellow"/>
                    </w:rPr>
                  </w:pPr>
                  <w:r>
                    <w:rPr>
                      <w:rFonts w:hint="eastAsia"/>
                      <w:sz w:val="21"/>
                      <w:szCs w:val="21"/>
                    </w:rPr>
                    <w:t>104×10</w:t>
                  </w:r>
                  <w:r>
                    <w:rPr>
                      <w:rFonts w:hint="eastAsia"/>
                      <w:sz w:val="21"/>
                      <w:szCs w:val="21"/>
                      <w:vertAlign w:val="superscript"/>
                    </w:rPr>
                    <w:t>4</w:t>
                  </w:r>
                  <w:r>
                    <w:rPr>
                      <w:rFonts w:hint="eastAsia"/>
                      <w:sz w:val="21"/>
                      <w:szCs w:val="21"/>
                    </w:rPr>
                    <w:t>kwh</w:t>
                  </w:r>
                </w:p>
              </w:tc>
              <w:tc>
                <w:tcPr>
                  <w:tcW w:w="1786" w:type="pct"/>
                  <w:vAlign w:val="center"/>
                </w:tcPr>
                <w:p>
                  <w:pPr>
                    <w:jc w:val="center"/>
                    <w:rPr>
                      <w:sz w:val="21"/>
                      <w:szCs w:val="21"/>
                    </w:rPr>
                  </w:pPr>
                  <w:r>
                    <w:rPr>
                      <w:rFonts w:hint="eastAsia"/>
                      <w:sz w:val="21"/>
                      <w:szCs w:val="21"/>
                    </w:rPr>
                    <w:t>/</w:t>
                  </w:r>
                </w:p>
              </w:tc>
            </w:tr>
          </w:tbl>
          <w:p>
            <w:pPr>
              <w:pStyle w:val="10"/>
              <w:ind w:firstLine="480"/>
            </w:pPr>
          </w:p>
          <w:p>
            <w:pPr>
              <w:pStyle w:val="5"/>
              <w:ind w:firstLine="481" w:firstLineChars="200"/>
              <w:rPr>
                <w:color w:val="auto"/>
              </w:rPr>
            </w:pPr>
            <w:r>
              <w:rPr>
                <w:rFonts w:hint="eastAsia"/>
                <w:color w:val="auto"/>
              </w:rPr>
              <w:t>5、物料平衡</w:t>
            </w:r>
          </w:p>
          <w:p>
            <w:pPr>
              <w:pStyle w:val="10"/>
              <w:ind w:firstLine="480"/>
            </w:pPr>
            <w:r>
              <w:rPr>
                <w:rFonts w:hint="eastAsia"/>
              </w:rPr>
              <w:t>本项目生产过程物料平衡见表2-8。</w:t>
            </w:r>
          </w:p>
          <w:p>
            <w:pPr>
              <w:pStyle w:val="10"/>
              <w:spacing w:line="240" w:lineRule="auto"/>
              <w:ind w:firstLine="0" w:firstLineChars="0"/>
              <w:jc w:val="center"/>
              <w:rPr>
                <w:b/>
                <w:bCs/>
              </w:rPr>
            </w:pPr>
          </w:p>
          <w:p>
            <w:pPr>
              <w:pStyle w:val="10"/>
              <w:spacing w:line="240" w:lineRule="auto"/>
              <w:ind w:firstLine="0" w:firstLineChars="0"/>
              <w:jc w:val="center"/>
              <w:rPr>
                <w:b/>
                <w:bCs/>
              </w:rPr>
            </w:pPr>
          </w:p>
          <w:p>
            <w:pPr>
              <w:pStyle w:val="10"/>
              <w:spacing w:line="240" w:lineRule="auto"/>
              <w:ind w:firstLine="0" w:firstLineChars="0"/>
              <w:jc w:val="center"/>
              <w:rPr>
                <w:b/>
                <w:bCs/>
              </w:rPr>
            </w:pPr>
          </w:p>
          <w:p>
            <w:pPr>
              <w:pStyle w:val="10"/>
              <w:spacing w:line="240" w:lineRule="auto"/>
              <w:ind w:firstLine="0" w:firstLineChars="0"/>
              <w:jc w:val="center"/>
            </w:pPr>
            <w:r>
              <w:rPr>
                <w:rFonts w:hint="eastAsia"/>
                <w:b/>
                <w:bCs/>
              </w:rPr>
              <w:t>表2-8       物料平衡一览表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1"/>
              <w:gridCol w:w="1994"/>
              <w:gridCol w:w="2653"/>
              <w:gridCol w:w="2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2105" w:type="pct"/>
                  <w:gridSpan w:val="2"/>
                  <w:vAlign w:val="center"/>
                </w:tcPr>
                <w:p>
                  <w:pPr>
                    <w:adjustRightInd w:val="0"/>
                    <w:snapToGrid w:val="0"/>
                    <w:jc w:val="center"/>
                    <w:rPr>
                      <w:rFonts w:hint="eastAsia" w:ascii="宋体" w:hAnsi="宋体"/>
                      <w:b/>
                      <w:kern w:val="0"/>
                      <w:sz w:val="21"/>
                      <w:szCs w:val="21"/>
                    </w:rPr>
                  </w:pPr>
                  <w:r>
                    <w:rPr>
                      <w:rFonts w:hint="eastAsia" w:hAnsi="宋体"/>
                      <w:b/>
                      <w:kern w:val="0"/>
                      <w:sz w:val="21"/>
                      <w:szCs w:val="21"/>
                    </w:rPr>
                    <w:t>投入</w:t>
                  </w:r>
                </w:p>
              </w:tc>
              <w:tc>
                <w:tcPr>
                  <w:tcW w:w="2895" w:type="pct"/>
                  <w:gridSpan w:val="2"/>
                  <w:vAlign w:val="center"/>
                </w:tcPr>
                <w:p>
                  <w:pPr>
                    <w:adjustRightInd w:val="0"/>
                    <w:snapToGrid w:val="0"/>
                    <w:jc w:val="center"/>
                    <w:rPr>
                      <w:rFonts w:hint="eastAsia" w:ascii="宋体" w:hAnsi="宋体"/>
                      <w:b/>
                      <w:kern w:val="0"/>
                      <w:sz w:val="21"/>
                      <w:szCs w:val="21"/>
                    </w:rPr>
                  </w:pPr>
                  <w:r>
                    <w:rPr>
                      <w:rFonts w:hint="eastAsia" w:hAnsi="宋体"/>
                      <w:b/>
                      <w:kern w:val="0"/>
                      <w:sz w:val="21"/>
                      <w:szCs w:val="21"/>
                    </w:rPr>
                    <w:t>产出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911" w:type="pct"/>
                  <w:vMerge w:val="restart"/>
                  <w:vAlign w:val="center"/>
                </w:tcPr>
                <w:p>
                  <w:pPr>
                    <w:adjustRightInd w:val="0"/>
                    <w:snapToGrid w:val="0"/>
                    <w:jc w:val="center"/>
                    <w:rPr>
                      <w:rFonts w:hint="eastAsia" w:ascii="宋体" w:hAnsi="宋体"/>
                      <w:kern w:val="0"/>
                      <w:sz w:val="21"/>
                      <w:szCs w:val="21"/>
                    </w:rPr>
                  </w:pPr>
                  <w:r>
                    <w:rPr>
                      <w:rFonts w:hint="eastAsia" w:hAnsi="宋体"/>
                      <w:kern w:val="0"/>
                      <w:sz w:val="21"/>
                      <w:szCs w:val="21"/>
                    </w:rPr>
                    <w:t>名称</w:t>
                  </w:r>
                </w:p>
              </w:tc>
              <w:tc>
                <w:tcPr>
                  <w:tcW w:w="1194" w:type="pct"/>
                  <w:vAlign w:val="center"/>
                </w:tcPr>
                <w:p>
                  <w:pPr>
                    <w:adjustRightInd w:val="0"/>
                    <w:snapToGrid w:val="0"/>
                    <w:jc w:val="center"/>
                    <w:rPr>
                      <w:rFonts w:hint="eastAsia" w:ascii="宋体" w:hAnsi="宋体"/>
                      <w:kern w:val="0"/>
                      <w:sz w:val="21"/>
                      <w:szCs w:val="21"/>
                    </w:rPr>
                  </w:pPr>
                  <w:r>
                    <w:rPr>
                      <w:rFonts w:hint="eastAsia" w:hAnsi="宋体"/>
                      <w:kern w:val="0"/>
                      <w:sz w:val="21"/>
                      <w:szCs w:val="21"/>
                    </w:rPr>
                    <w:t>物料量</w:t>
                  </w:r>
                </w:p>
              </w:tc>
              <w:tc>
                <w:tcPr>
                  <w:tcW w:w="1589" w:type="pct"/>
                  <w:vMerge w:val="restart"/>
                  <w:vAlign w:val="center"/>
                </w:tcPr>
                <w:p>
                  <w:pPr>
                    <w:adjustRightInd w:val="0"/>
                    <w:snapToGrid w:val="0"/>
                    <w:jc w:val="center"/>
                    <w:rPr>
                      <w:rFonts w:hint="eastAsia" w:ascii="宋体" w:hAnsi="宋体"/>
                      <w:kern w:val="0"/>
                      <w:sz w:val="21"/>
                      <w:szCs w:val="21"/>
                    </w:rPr>
                  </w:pPr>
                  <w:r>
                    <w:rPr>
                      <w:rFonts w:hint="eastAsia" w:hAnsi="宋体"/>
                      <w:kern w:val="0"/>
                      <w:sz w:val="21"/>
                      <w:szCs w:val="21"/>
                    </w:rPr>
                    <w:t>名称</w:t>
                  </w:r>
                </w:p>
              </w:tc>
              <w:tc>
                <w:tcPr>
                  <w:tcW w:w="1306" w:type="pct"/>
                  <w:vAlign w:val="center"/>
                </w:tcPr>
                <w:p>
                  <w:pPr>
                    <w:adjustRightInd w:val="0"/>
                    <w:snapToGrid w:val="0"/>
                    <w:jc w:val="center"/>
                    <w:rPr>
                      <w:rFonts w:hint="eastAsia" w:ascii="宋体" w:hAnsi="宋体"/>
                      <w:kern w:val="0"/>
                      <w:sz w:val="21"/>
                      <w:szCs w:val="21"/>
                    </w:rPr>
                  </w:pPr>
                  <w:r>
                    <w:rPr>
                      <w:rFonts w:hint="eastAsia" w:hAnsi="宋体"/>
                      <w:kern w:val="0"/>
                      <w:sz w:val="21"/>
                      <w:szCs w:val="21"/>
                    </w:rPr>
                    <w:t>物料量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911" w:type="pct"/>
                  <w:vMerge w:val="continue"/>
                  <w:vAlign w:val="center"/>
                </w:tcPr>
                <w:p>
                  <w:pPr>
                    <w:widowControl/>
                    <w:jc w:val="left"/>
                    <w:rPr>
                      <w:rFonts w:hint="eastAsia" w:ascii="宋体" w:hAnsi="宋体"/>
                      <w:kern w:val="0"/>
                      <w:sz w:val="21"/>
                      <w:szCs w:val="21"/>
                    </w:rPr>
                  </w:pPr>
                </w:p>
              </w:tc>
              <w:tc>
                <w:tcPr>
                  <w:tcW w:w="1194" w:type="pct"/>
                  <w:vAlign w:val="center"/>
                </w:tcPr>
                <w:p>
                  <w:pPr>
                    <w:adjustRightInd w:val="0"/>
                    <w:snapToGrid w:val="0"/>
                    <w:jc w:val="center"/>
                    <w:rPr>
                      <w:rFonts w:hint="eastAsia" w:ascii="宋体" w:hAnsi="宋体"/>
                      <w:kern w:val="0"/>
                      <w:sz w:val="21"/>
                      <w:szCs w:val="21"/>
                    </w:rPr>
                  </w:pPr>
                  <w:r>
                    <w:rPr>
                      <w:rFonts w:hint="eastAsia" w:hAnsi="宋体"/>
                      <w:kern w:val="0"/>
                      <w:sz w:val="21"/>
                      <w:szCs w:val="21"/>
                    </w:rPr>
                    <w:t>（t/a）</w:t>
                  </w:r>
                </w:p>
              </w:tc>
              <w:tc>
                <w:tcPr>
                  <w:tcW w:w="1589" w:type="pct"/>
                  <w:vMerge w:val="continue"/>
                  <w:vAlign w:val="center"/>
                </w:tcPr>
                <w:p>
                  <w:pPr>
                    <w:widowControl/>
                    <w:jc w:val="left"/>
                    <w:rPr>
                      <w:rFonts w:hint="eastAsia" w:ascii="宋体" w:hAnsi="宋体"/>
                      <w:kern w:val="0"/>
                      <w:sz w:val="21"/>
                      <w:szCs w:val="21"/>
                    </w:rPr>
                  </w:pPr>
                </w:p>
              </w:tc>
              <w:tc>
                <w:tcPr>
                  <w:tcW w:w="1306" w:type="pct"/>
                  <w:vAlign w:val="center"/>
                </w:tcPr>
                <w:p>
                  <w:pPr>
                    <w:adjustRightInd w:val="0"/>
                    <w:snapToGrid w:val="0"/>
                    <w:jc w:val="center"/>
                    <w:rPr>
                      <w:rFonts w:hint="eastAsia" w:ascii="宋体" w:hAnsi="宋体"/>
                      <w:kern w:val="0"/>
                      <w:sz w:val="21"/>
                      <w:szCs w:val="21"/>
                    </w:rPr>
                  </w:pPr>
                  <w:r>
                    <w:rPr>
                      <w:rFonts w:hint="eastAsia" w:hAnsi="宋体"/>
                      <w:kern w:val="0"/>
                      <w:sz w:val="21"/>
                      <w:szCs w:val="21"/>
                    </w:rPr>
                    <w:t>（t/a）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1" w:type="pct"/>
                  <w:vAlign w:val="center"/>
                </w:tcPr>
                <w:p>
                  <w:pPr>
                    <w:jc w:val="center"/>
                    <w:rPr>
                      <w:sz w:val="21"/>
                      <w:szCs w:val="21"/>
                    </w:rPr>
                  </w:pPr>
                  <w:r>
                    <w:rPr>
                      <w:sz w:val="21"/>
                      <w:szCs w:val="21"/>
                    </w:rPr>
                    <w:t>石料</w:t>
                  </w:r>
                </w:p>
              </w:tc>
              <w:tc>
                <w:tcPr>
                  <w:tcW w:w="1194" w:type="pct"/>
                  <w:vAlign w:val="center"/>
                </w:tcPr>
                <w:p>
                  <w:pPr>
                    <w:jc w:val="center"/>
                    <w:rPr>
                      <w:sz w:val="21"/>
                      <w:szCs w:val="21"/>
                    </w:rPr>
                  </w:pPr>
                  <w:r>
                    <w:rPr>
                      <w:rFonts w:hint="eastAsia"/>
                      <w:sz w:val="21"/>
                      <w:szCs w:val="21"/>
                    </w:rPr>
                    <w:t>91000</w:t>
                  </w:r>
                </w:p>
              </w:tc>
              <w:tc>
                <w:tcPr>
                  <w:tcW w:w="1589" w:type="pct"/>
                  <w:vAlign w:val="center"/>
                </w:tcPr>
                <w:p>
                  <w:pPr>
                    <w:adjustRightInd w:val="0"/>
                    <w:snapToGrid w:val="0"/>
                    <w:jc w:val="center"/>
                    <w:rPr>
                      <w:rFonts w:hint="eastAsia" w:ascii="宋体" w:hAnsi="宋体"/>
                      <w:kern w:val="0"/>
                      <w:sz w:val="21"/>
                      <w:szCs w:val="21"/>
                    </w:rPr>
                  </w:pPr>
                  <w:r>
                    <w:rPr>
                      <w:rFonts w:hint="eastAsia" w:ascii="宋体" w:hAnsi="宋体"/>
                      <w:kern w:val="0"/>
                      <w:sz w:val="21"/>
                      <w:szCs w:val="21"/>
                    </w:rPr>
                    <w:t>混凝土</w:t>
                  </w:r>
                </w:p>
              </w:tc>
              <w:tc>
                <w:tcPr>
                  <w:tcW w:w="1306" w:type="pct"/>
                  <w:vAlign w:val="center"/>
                </w:tcPr>
                <w:p>
                  <w:pPr>
                    <w:adjustRightInd w:val="0"/>
                    <w:snapToGrid w:val="0"/>
                    <w:jc w:val="center"/>
                    <w:rPr>
                      <w:sz w:val="21"/>
                      <w:szCs w:val="21"/>
                    </w:rPr>
                  </w:pPr>
                  <w:r>
                    <w:rPr>
                      <w:rFonts w:hint="eastAsia"/>
                      <w:sz w:val="21"/>
                      <w:szCs w:val="21"/>
                    </w:rPr>
                    <w:t>141298.058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1" w:type="pct"/>
                  <w:vAlign w:val="center"/>
                </w:tcPr>
                <w:p>
                  <w:pPr>
                    <w:widowControl/>
                    <w:jc w:val="center"/>
                    <w:rPr>
                      <w:rFonts w:hint="eastAsia" w:ascii="宋体" w:hAnsi="宋体"/>
                      <w:sz w:val="21"/>
                      <w:szCs w:val="21"/>
                    </w:rPr>
                  </w:pPr>
                  <w:r>
                    <w:rPr>
                      <w:rFonts w:hint="eastAsia" w:ascii="宋体" w:hAnsi="宋体"/>
                      <w:sz w:val="21"/>
                      <w:szCs w:val="21"/>
                    </w:rPr>
                    <w:t>外加剂</w:t>
                  </w:r>
                </w:p>
              </w:tc>
              <w:tc>
                <w:tcPr>
                  <w:tcW w:w="1194" w:type="pct"/>
                  <w:vAlign w:val="center"/>
                </w:tcPr>
                <w:p>
                  <w:pPr>
                    <w:jc w:val="center"/>
                    <w:rPr>
                      <w:sz w:val="21"/>
                      <w:szCs w:val="21"/>
                    </w:rPr>
                  </w:pPr>
                  <w:r>
                    <w:rPr>
                      <w:rFonts w:hint="eastAsia"/>
                      <w:sz w:val="21"/>
                      <w:szCs w:val="21"/>
                    </w:rPr>
                    <w:t>300</w:t>
                  </w:r>
                </w:p>
              </w:tc>
              <w:tc>
                <w:tcPr>
                  <w:tcW w:w="1589" w:type="pct"/>
                  <w:vAlign w:val="center"/>
                </w:tcPr>
                <w:p>
                  <w:pPr>
                    <w:adjustRightInd w:val="0"/>
                    <w:snapToGrid w:val="0"/>
                    <w:jc w:val="center"/>
                    <w:rPr>
                      <w:rFonts w:hint="eastAsia" w:ascii="宋体" w:hAnsi="宋体"/>
                      <w:kern w:val="0"/>
                      <w:sz w:val="21"/>
                      <w:szCs w:val="21"/>
                    </w:rPr>
                  </w:pPr>
                  <w:r>
                    <w:rPr>
                      <w:rFonts w:hint="eastAsia" w:hAnsi="宋体"/>
                      <w:kern w:val="0"/>
                      <w:sz w:val="21"/>
                      <w:szCs w:val="21"/>
                    </w:rPr>
                    <w:t>有组织粉尘</w:t>
                  </w:r>
                </w:p>
              </w:tc>
              <w:tc>
                <w:tcPr>
                  <w:tcW w:w="1306" w:type="pct"/>
                  <w:vAlign w:val="center"/>
                </w:tcPr>
                <w:p>
                  <w:pPr>
                    <w:adjustRightInd w:val="0"/>
                    <w:snapToGrid w:val="0"/>
                    <w:jc w:val="center"/>
                    <w:rPr>
                      <w:sz w:val="21"/>
                      <w:szCs w:val="21"/>
                    </w:rPr>
                  </w:pPr>
                  <w:r>
                    <w:rPr>
                      <w:rFonts w:hint="eastAsia"/>
                      <w:sz w:val="21"/>
                      <w:szCs w:val="21"/>
                    </w:rPr>
                    <w:t>1.782</w:t>
                  </w:r>
                </w:p>
              </w:tc>
            </w:tr>
            <w:tr>
              <w:tblPrEx>
                <w:tblCellMar>
                  <w:top w:w="0" w:type="dxa"/>
                  <w:left w:w="108" w:type="dxa"/>
                  <w:bottom w:w="0" w:type="dxa"/>
                  <w:right w:w="108" w:type="dxa"/>
                </w:tblCellMar>
              </w:tblPrEx>
              <w:trPr>
                <w:jc w:val="center"/>
              </w:trPr>
              <w:tc>
                <w:tcPr>
                  <w:tcW w:w="911" w:type="pct"/>
                </w:tcPr>
                <w:p>
                  <w:pPr>
                    <w:adjustRightInd w:val="0"/>
                    <w:snapToGrid w:val="0"/>
                    <w:jc w:val="center"/>
                    <w:rPr>
                      <w:rFonts w:hint="eastAsia" w:ascii="宋体" w:hAnsi="宋体"/>
                      <w:kern w:val="0"/>
                      <w:sz w:val="21"/>
                      <w:szCs w:val="21"/>
                    </w:rPr>
                  </w:pPr>
                  <w:r>
                    <w:rPr>
                      <w:rFonts w:hint="eastAsia" w:ascii="宋体" w:hAnsi="宋体"/>
                      <w:kern w:val="0"/>
                      <w:sz w:val="21"/>
                      <w:szCs w:val="21"/>
                    </w:rPr>
                    <w:t>水泥</w:t>
                  </w:r>
                </w:p>
              </w:tc>
              <w:tc>
                <w:tcPr>
                  <w:tcW w:w="1194" w:type="pct"/>
                  <w:vAlign w:val="center"/>
                </w:tcPr>
                <w:p>
                  <w:pPr>
                    <w:adjustRightInd w:val="0"/>
                    <w:snapToGrid w:val="0"/>
                    <w:jc w:val="center"/>
                    <w:rPr>
                      <w:sz w:val="21"/>
                      <w:szCs w:val="21"/>
                    </w:rPr>
                  </w:pPr>
                  <w:r>
                    <w:rPr>
                      <w:rFonts w:hint="eastAsia"/>
                      <w:sz w:val="21"/>
                      <w:szCs w:val="21"/>
                    </w:rPr>
                    <w:t>17000</w:t>
                  </w:r>
                </w:p>
              </w:tc>
              <w:tc>
                <w:tcPr>
                  <w:tcW w:w="1589" w:type="pct"/>
                  <w:vAlign w:val="center"/>
                </w:tcPr>
                <w:p>
                  <w:pPr>
                    <w:adjustRightInd w:val="0"/>
                    <w:snapToGrid w:val="0"/>
                    <w:jc w:val="center"/>
                    <w:rPr>
                      <w:rFonts w:hint="eastAsia" w:ascii="宋体" w:hAnsi="宋体"/>
                      <w:kern w:val="0"/>
                      <w:sz w:val="21"/>
                      <w:szCs w:val="21"/>
                    </w:rPr>
                  </w:pPr>
                  <w:r>
                    <w:rPr>
                      <w:rFonts w:hint="eastAsia" w:hAnsi="宋体"/>
                      <w:kern w:val="0"/>
                      <w:sz w:val="21"/>
                      <w:szCs w:val="21"/>
                    </w:rPr>
                    <w:t>无组织粉尘</w:t>
                  </w:r>
                </w:p>
              </w:tc>
              <w:tc>
                <w:tcPr>
                  <w:tcW w:w="1306" w:type="pct"/>
                  <w:vAlign w:val="center"/>
                </w:tcPr>
                <w:p>
                  <w:pPr>
                    <w:adjustRightInd w:val="0"/>
                    <w:snapToGrid w:val="0"/>
                    <w:jc w:val="center"/>
                    <w:rPr>
                      <w:rFonts w:hint="eastAsia" w:hAnsi="宋体"/>
                      <w:kern w:val="0"/>
                      <w:sz w:val="21"/>
                      <w:szCs w:val="21"/>
                    </w:rPr>
                  </w:pPr>
                  <w:r>
                    <w:rPr>
                      <w:rFonts w:hint="eastAsia"/>
                      <w:sz w:val="21"/>
                      <w:szCs w:val="21"/>
                    </w:rPr>
                    <w:t>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1" w:type="pct"/>
                </w:tcPr>
                <w:p>
                  <w:pPr>
                    <w:adjustRightInd w:val="0"/>
                    <w:snapToGrid w:val="0"/>
                    <w:jc w:val="center"/>
                    <w:rPr>
                      <w:rFonts w:hint="eastAsia" w:ascii="宋体" w:hAnsi="宋体"/>
                      <w:kern w:val="0"/>
                      <w:sz w:val="21"/>
                      <w:szCs w:val="21"/>
                    </w:rPr>
                  </w:pPr>
                  <w:r>
                    <w:rPr>
                      <w:rFonts w:hint="eastAsia" w:ascii="宋体" w:hAnsi="宋体"/>
                      <w:kern w:val="0"/>
                      <w:sz w:val="21"/>
                      <w:szCs w:val="21"/>
                    </w:rPr>
                    <w:t>粉煤灰</w:t>
                  </w:r>
                </w:p>
              </w:tc>
              <w:tc>
                <w:tcPr>
                  <w:tcW w:w="1194" w:type="pct"/>
                  <w:vAlign w:val="center"/>
                </w:tcPr>
                <w:p>
                  <w:pPr>
                    <w:adjustRightInd w:val="0"/>
                    <w:snapToGrid w:val="0"/>
                    <w:jc w:val="center"/>
                    <w:rPr>
                      <w:sz w:val="21"/>
                      <w:szCs w:val="21"/>
                    </w:rPr>
                  </w:pPr>
                  <w:r>
                    <w:rPr>
                      <w:rFonts w:hint="eastAsia"/>
                      <w:sz w:val="21"/>
                      <w:szCs w:val="21"/>
                    </w:rPr>
                    <w:t>19000</w:t>
                  </w:r>
                </w:p>
              </w:tc>
              <w:tc>
                <w:tcPr>
                  <w:tcW w:w="1589" w:type="pct"/>
                  <w:vAlign w:val="center"/>
                </w:tcPr>
                <w:p>
                  <w:pPr>
                    <w:adjustRightInd w:val="0"/>
                    <w:snapToGrid w:val="0"/>
                    <w:jc w:val="center"/>
                    <w:rPr>
                      <w:rFonts w:hint="eastAsia" w:ascii="宋体" w:hAnsi="宋体"/>
                      <w:kern w:val="0"/>
                      <w:sz w:val="21"/>
                      <w:szCs w:val="21"/>
                    </w:rPr>
                  </w:pPr>
                  <w:r>
                    <w:rPr>
                      <w:rFonts w:ascii="宋体" w:hAnsi="宋体"/>
                      <w:kern w:val="0"/>
                      <w:sz w:val="21"/>
                      <w:szCs w:val="21"/>
                    </w:rPr>
                    <w:t>除尘灰</w:t>
                  </w:r>
                </w:p>
              </w:tc>
              <w:tc>
                <w:tcPr>
                  <w:tcW w:w="1306" w:type="pct"/>
                  <w:vAlign w:val="center"/>
                </w:tcPr>
                <w:p>
                  <w:pPr>
                    <w:adjustRightInd w:val="0"/>
                    <w:snapToGrid w:val="0"/>
                    <w:jc w:val="center"/>
                    <w:rPr>
                      <w:rFonts w:hint="eastAsia" w:hAnsi="宋体"/>
                      <w:kern w:val="0"/>
                      <w:sz w:val="21"/>
                      <w:szCs w:val="21"/>
                    </w:rPr>
                  </w:pPr>
                  <w:r>
                    <w:rPr>
                      <w:rFonts w:hint="eastAsia" w:hAnsi="宋体"/>
                      <w:kern w:val="0"/>
                      <w:sz w:val="21"/>
                      <w:szCs w:val="21"/>
                    </w:rPr>
                    <w:t>191.038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1" w:type="pct"/>
                </w:tcPr>
                <w:p>
                  <w:pPr>
                    <w:adjustRightInd w:val="0"/>
                    <w:snapToGrid w:val="0"/>
                    <w:jc w:val="center"/>
                    <w:rPr>
                      <w:rFonts w:hint="eastAsia" w:hAnsi="宋体"/>
                      <w:kern w:val="0"/>
                      <w:sz w:val="21"/>
                      <w:szCs w:val="21"/>
                    </w:rPr>
                  </w:pPr>
                  <w:r>
                    <w:rPr>
                      <w:rFonts w:hAnsi="宋体"/>
                      <w:kern w:val="0"/>
                      <w:sz w:val="21"/>
                      <w:szCs w:val="21"/>
                    </w:rPr>
                    <w:t>水</w:t>
                  </w:r>
                </w:p>
              </w:tc>
              <w:tc>
                <w:tcPr>
                  <w:tcW w:w="1194" w:type="pct"/>
                  <w:vAlign w:val="center"/>
                </w:tcPr>
                <w:p>
                  <w:pPr>
                    <w:adjustRightInd w:val="0"/>
                    <w:snapToGrid w:val="0"/>
                    <w:jc w:val="center"/>
                    <w:rPr>
                      <w:rFonts w:hint="eastAsia" w:hAnsi="宋体"/>
                      <w:kern w:val="0"/>
                      <w:sz w:val="21"/>
                      <w:szCs w:val="21"/>
                    </w:rPr>
                  </w:pPr>
                  <w:r>
                    <w:rPr>
                      <w:rFonts w:hint="eastAsia" w:hAnsi="宋体"/>
                      <w:kern w:val="0"/>
                      <w:sz w:val="21"/>
                      <w:szCs w:val="21"/>
                    </w:rPr>
                    <w:t>14000</w:t>
                  </w:r>
                </w:p>
              </w:tc>
              <w:tc>
                <w:tcPr>
                  <w:tcW w:w="1589" w:type="pct"/>
                  <w:vAlign w:val="center"/>
                </w:tcPr>
                <w:p>
                  <w:pPr>
                    <w:adjustRightInd w:val="0"/>
                    <w:snapToGrid w:val="0"/>
                    <w:jc w:val="center"/>
                    <w:rPr>
                      <w:rFonts w:hint="eastAsia" w:ascii="宋体" w:hAnsi="宋体"/>
                      <w:kern w:val="0"/>
                      <w:sz w:val="21"/>
                      <w:szCs w:val="21"/>
                    </w:rPr>
                  </w:pPr>
                  <w:r>
                    <w:rPr>
                      <w:rFonts w:hint="eastAsia" w:ascii="宋体" w:hAnsi="宋体"/>
                      <w:kern w:val="0"/>
                      <w:sz w:val="21"/>
                      <w:szCs w:val="21"/>
                    </w:rPr>
                    <w:t>沉淀泥沙</w:t>
                  </w:r>
                </w:p>
              </w:tc>
              <w:tc>
                <w:tcPr>
                  <w:tcW w:w="1306" w:type="pct"/>
                  <w:vAlign w:val="center"/>
                </w:tcPr>
                <w:p>
                  <w:pPr>
                    <w:adjustRightInd w:val="0"/>
                    <w:snapToGrid w:val="0"/>
                    <w:jc w:val="center"/>
                    <w:rPr>
                      <w:rFonts w:hint="eastAsia" w:ascii="宋体" w:hAnsi="宋体"/>
                      <w:sz w:val="21"/>
                      <w:szCs w:val="21"/>
                    </w:rPr>
                  </w:pPr>
                  <w:r>
                    <w:rPr>
                      <w:rFonts w:hint="eastAsia" w:hAnsi="宋体"/>
                      <w:kern w:val="0"/>
                      <w:sz w:val="21"/>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1" w:type="pct"/>
                </w:tcPr>
                <w:p>
                  <w:pPr>
                    <w:adjustRightInd w:val="0"/>
                    <w:snapToGrid w:val="0"/>
                    <w:jc w:val="center"/>
                    <w:rPr>
                      <w:rFonts w:hint="eastAsia" w:hAnsi="宋体"/>
                      <w:kern w:val="0"/>
                      <w:sz w:val="21"/>
                      <w:szCs w:val="21"/>
                    </w:rPr>
                  </w:pPr>
                  <w:r>
                    <w:rPr>
                      <w:rFonts w:hAnsi="宋体"/>
                      <w:kern w:val="0"/>
                      <w:sz w:val="21"/>
                      <w:szCs w:val="21"/>
                    </w:rPr>
                    <w:t>除尘灰</w:t>
                  </w:r>
                </w:p>
              </w:tc>
              <w:tc>
                <w:tcPr>
                  <w:tcW w:w="1194" w:type="pct"/>
                  <w:vAlign w:val="center"/>
                </w:tcPr>
                <w:p>
                  <w:pPr>
                    <w:adjustRightInd w:val="0"/>
                    <w:snapToGrid w:val="0"/>
                    <w:jc w:val="center"/>
                    <w:rPr>
                      <w:rFonts w:hint="eastAsia" w:hAnsi="宋体"/>
                      <w:kern w:val="0"/>
                      <w:sz w:val="21"/>
                      <w:szCs w:val="21"/>
                    </w:rPr>
                  </w:pPr>
                  <w:r>
                    <w:rPr>
                      <w:rFonts w:hint="eastAsia" w:hAnsi="宋体"/>
                      <w:kern w:val="0"/>
                      <w:sz w:val="21"/>
                      <w:szCs w:val="21"/>
                    </w:rPr>
                    <w:t>191.038</w:t>
                  </w:r>
                </w:p>
              </w:tc>
              <w:tc>
                <w:tcPr>
                  <w:tcW w:w="1589" w:type="pct"/>
                  <w:vAlign w:val="center"/>
                </w:tcPr>
                <w:p>
                  <w:pPr>
                    <w:adjustRightInd w:val="0"/>
                    <w:snapToGrid w:val="0"/>
                    <w:jc w:val="center"/>
                    <w:rPr>
                      <w:rFonts w:hint="eastAsia" w:ascii="宋体" w:hAnsi="宋体"/>
                      <w:kern w:val="0"/>
                      <w:sz w:val="21"/>
                      <w:szCs w:val="21"/>
                    </w:rPr>
                  </w:pPr>
                </w:p>
              </w:tc>
              <w:tc>
                <w:tcPr>
                  <w:tcW w:w="1306" w:type="pct"/>
                  <w:vAlign w:val="center"/>
                </w:tcPr>
                <w:p>
                  <w:pPr>
                    <w:adjustRightInd w:val="0"/>
                    <w:snapToGrid w:val="0"/>
                    <w:jc w:val="center"/>
                    <w:rPr>
                      <w:rFonts w:hint="eastAsia" w:hAnsi="宋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1" w:type="pct"/>
                </w:tcPr>
                <w:p>
                  <w:pPr>
                    <w:adjustRightInd w:val="0"/>
                    <w:snapToGrid w:val="0"/>
                    <w:jc w:val="center"/>
                    <w:rPr>
                      <w:rFonts w:hint="eastAsia" w:hAnsi="宋体"/>
                      <w:kern w:val="0"/>
                      <w:sz w:val="21"/>
                      <w:szCs w:val="21"/>
                    </w:rPr>
                  </w:pPr>
                  <w:r>
                    <w:rPr>
                      <w:rFonts w:hAnsi="宋体"/>
                      <w:kern w:val="0"/>
                      <w:sz w:val="21"/>
                      <w:szCs w:val="21"/>
                    </w:rPr>
                    <w:t>沉淀泥沙</w:t>
                  </w:r>
                </w:p>
              </w:tc>
              <w:tc>
                <w:tcPr>
                  <w:tcW w:w="1194" w:type="pct"/>
                  <w:vAlign w:val="center"/>
                </w:tcPr>
                <w:p>
                  <w:pPr>
                    <w:adjustRightInd w:val="0"/>
                    <w:snapToGrid w:val="0"/>
                    <w:jc w:val="center"/>
                    <w:rPr>
                      <w:rFonts w:hint="eastAsia" w:hAnsi="宋体"/>
                      <w:kern w:val="0"/>
                      <w:sz w:val="21"/>
                      <w:szCs w:val="21"/>
                    </w:rPr>
                  </w:pPr>
                  <w:r>
                    <w:rPr>
                      <w:rFonts w:hint="eastAsia" w:hAnsi="宋体"/>
                      <w:kern w:val="0"/>
                      <w:sz w:val="21"/>
                      <w:szCs w:val="21"/>
                    </w:rPr>
                    <w:t>5</w:t>
                  </w:r>
                </w:p>
              </w:tc>
              <w:tc>
                <w:tcPr>
                  <w:tcW w:w="1589" w:type="pct"/>
                  <w:vAlign w:val="center"/>
                </w:tcPr>
                <w:p>
                  <w:pPr>
                    <w:adjustRightInd w:val="0"/>
                    <w:snapToGrid w:val="0"/>
                    <w:jc w:val="center"/>
                    <w:rPr>
                      <w:rFonts w:hint="eastAsia" w:ascii="宋体" w:hAnsi="宋体"/>
                      <w:kern w:val="0"/>
                      <w:sz w:val="21"/>
                      <w:szCs w:val="21"/>
                    </w:rPr>
                  </w:pPr>
                </w:p>
              </w:tc>
              <w:tc>
                <w:tcPr>
                  <w:tcW w:w="1306" w:type="pct"/>
                  <w:vAlign w:val="center"/>
                </w:tcPr>
                <w:p>
                  <w:pPr>
                    <w:adjustRightInd w:val="0"/>
                    <w:snapToGrid w:val="0"/>
                    <w:jc w:val="center"/>
                    <w:rPr>
                      <w:rFonts w:hint="eastAsia" w:hAnsi="宋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911" w:type="pct"/>
                  <w:vAlign w:val="center"/>
                </w:tcPr>
                <w:p>
                  <w:pPr>
                    <w:adjustRightInd w:val="0"/>
                    <w:snapToGrid w:val="0"/>
                    <w:jc w:val="center"/>
                    <w:rPr>
                      <w:rFonts w:hint="eastAsia" w:hAnsi="宋体" w:cs="宋体"/>
                      <w:kern w:val="0"/>
                      <w:sz w:val="21"/>
                      <w:szCs w:val="21"/>
                    </w:rPr>
                  </w:pPr>
                  <w:r>
                    <w:rPr>
                      <w:rFonts w:hint="eastAsia" w:hAnsi="宋体"/>
                      <w:kern w:val="0"/>
                      <w:sz w:val="21"/>
                      <w:szCs w:val="21"/>
                    </w:rPr>
                    <w:t>合计</w:t>
                  </w:r>
                </w:p>
              </w:tc>
              <w:tc>
                <w:tcPr>
                  <w:tcW w:w="1194" w:type="pct"/>
                  <w:vAlign w:val="center"/>
                </w:tcPr>
                <w:p>
                  <w:pPr>
                    <w:adjustRightInd w:val="0"/>
                    <w:snapToGrid w:val="0"/>
                    <w:jc w:val="center"/>
                    <w:rPr>
                      <w:sz w:val="21"/>
                      <w:szCs w:val="21"/>
                    </w:rPr>
                  </w:pPr>
                  <w:r>
                    <w:rPr>
                      <w:rFonts w:hint="eastAsia"/>
                      <w:sz w:val="21"/>
                      <w:szCs w:val="21"/>
                    </w:rPr>
                    <w:t>141496.038</w:t>
                  </w:r>
                </w:p>
              </w:tc>
              <w:tc>
                <w:tcPr>
                  <w:tcW w:w="1589" w:type="pct"/>
                  <w:vAlign w:val="center"/>
                </w:tcPr>
                <w:p>
                  <w:pPr>
                    <w:adjustRightInd w:val="0"/>
                    <w:snapToGrid w:val="0"/>
                    <w:jc w:val="center"/>
                    <w:rPr>
                      <w:rFonts w:hint="eastAsia" w:ascii="宋体" w:hAnsi="宋体"/>
                      <w:kern w:val="0"/>
                      <w:sz w:val="21"/>
                      <w:szCs w:val="21"/>
                    </w:rPr>
                  </w:pPr>
                  <w:r>
                    <w:rPr>
                      <w:rFonts w:hint="eastAsia" w:hAnsi="宋体"/>
                      <w:kern w:val="0"/>
                      <w:sz w:val="21"/>
                      <w:szCs w:val="21"/>
                    </w:rPr>
                    <w:t>合计</w:t>
                  </w:r>
                </w:p>
              </w:tc>
              <w:tc>
                <w:tcPr>
                  <w:tcW w:w="1306" w:type="pct"/>
                  <w:vAlign w:val="center"/>
                </w:tcPr>
                <w:p>
                  <w:pPr>
                    <w:adjustRightInd w:val="0"/>
                    <w:snapToGrid w:val="0"/>
                    <w:jc w:val="center"/>
                    <w:rPr>
                      <w:rFonts w:hint="eastAsia" w:ascii="宋体" w:hAnsi="宋体"/>
                      <w:kern w:val="0"/>
                      <w:sz w:val="21"/>
                      <w:szCs w:val="21"/>
                    </w:rPr>
                  </w:pPr>
                  <w:r>
                    <w:rPr>
                      <w:rFonts w:hint="eastAsia"/>
                      <w:sz w:val="21"/>
                      <w:szCs w:val="21"/>
                    </w:rPr>
                    <w:t>141496.038</w:t>
                  </w:r>
                </w:p>
              </w:tc>
            </w:tr>
          </w:tbl>
          <w:p>
            <w:pPr>
              <w:pStyle w:val="10"/>
              <w:ind w:firstLine="0" w:firstLineChars="0"/>
              <w:jc w:val="center"/>
              <w:rPr>
                <w:b/>
                <w:bCs/>
                <w:sz w:val="10"/>
                <w:szCs w:val="10"/>
              </w:rPr>
            </w:pPr>
          </w:p>
          <w:p>
            <w:pPr>
              <w:pStyle w:val="56"/>
              <w:ind w:firstLine="472" w:firstLineChars="196"/>
              <w:rPr>
                <w:b/>
                <w:sz w:val="24"/>
                <w:szCs w:val="24"/>
              </w:rPr>
            </w:pPr>
            <w:r>
              <w:rPr>
                <w:rFonts w:hint="eastAsia"/>
                <w:b/>
                <w:sz w:val="24"/>
                <w:szCs w:val="24"/>
              </w:rPr>
              <w:t>6、劳动定员及工作制度</w:t>
            </w:r>
          </w:p>
          <w:p>
            <w:pPr>
              <w:pStyle w:val="10"/>
              <w:ind w:firstLine="480"/>
              <w:rPr>
                <w:highlight w:val="yellow"/>
              </w:rPr>
            </w:pPr>
            <w:r>
              <w:rPr>
                <w:rFonts w:hint="eastAsia"/>
                <w:szCs w:val="24"/>
              </w:rPr>
              <w:t>本项目劳动定员15人；年工作240天，每天工作16小时，年工作3840小时。</w:t>
            </w:r>
          </w:p>
          <w:p>
            <w:pPr>
              <w:pStyle w:val="56"/>
              <w:ind w:firstLine="0" w:firstLineChars="0"/>
            </w:pPr>
            <w:r>
              <w:rPr>
                <w:rFonts w:hint="eastAsia"/>
              </w:rPr>
              <w:t xml:space="preserve">  </w:t>
            </w:r>
            <w:r>
              <w:rPr>
                <w:rFonts w:hint="eastAsia"/>
                <w:b/>
                <w:sz w:val="24"/>
                <w:szCs w:val="24"/>
              </w:rPr>
              <w:t xml:space="preserve">  7、公用工程</w:t>
            </w:r>
          </w:p>
          <w:p>
            <w:pPr>
              <w:pStyle w:val="10"/>
              <w:ind w:firstLine="480"/>
            </w:pPr>
            <w:r>
              <w:rPr>
                <w:rFonts w:hint="eastAsia"/>
              </w:rPr>
              <w:t>1）供电</w:t>
            </w:r>
          </w:p>
          <w:p>
            <w:pPr>
              <w:pStyle w:val="10"/>
              <w:ind w:firstLine="480"/>
            </w:pPr>
            <w:r>
              <w:rPr>
                <w:rFonts w:hint="eastAsia"/>
              </w:rPr>
              <w:t>项目用电接入周边供电电网。</w:t>
            </w:r>
          </w:p>
          <w:p>
            <w:pPr>
              <w:pStyle w:val="10"/>
              <w:ind w:firstLine="480"/>
            </w:pPr>
            <w:r>
              <w:rPr>
                <w:rFonts w:hint="eastAsia"/>
              </w:rPr>
              <w:t>2）供暖</w:t>
            </w:r>
          </w:p>
          <w:p>
            <w:pPr>
              <w:pStyle w:val="10"/>
              <w:ind w:firstLine="480"/>
            </w:pPr>
            <w:r>
              <w:rPr>
                <w:rFonts w:hint="eastAsia"/>
              </w:rPr>
              <w:t>本项目冬季供暖采用电暖器供暖。</w:t>
            </w:r>
          </w:p>
          <w:p>
            <w:pPr>
              <w:pStyle w:val="10"/>
              <w:ind w:firstLine="480"/>
            </w:pPr>
            <w:r>
              <w:rPr>
                <w:rFonts w:hint="eastAsia"/>
              </w:rPr>
              <w:t>3）供水</w:t>
            </w:r>
          </w:p>
          <w:p>
            <w:pPr>
              <w:pStyle w:val="56"/>
              <w:ind w:firstLine="470" w:firstLineChars="196"/>
              <w:rPr>
                <w:sz w:val="24"/>
                <w:szCs w:val="24"/>
              </w:rPr>
            </w:pPr>
            <w:r>
              <w:rPr>
                <w:rFonts w:hint="eastAsia"/>
                <w:sz w:val="24"/>
                <w:szCs w:val="24"/>
              </w:rPr>
              <w:t>项目用水主要包括混凝土工艺用水、搅拌机清洗用水、混凝土罐车清洗用水、洒水降尘用水及办公生活用水，生产用水全部采用矿井疏干水，矿井疏干水用量18544.64</w:t>
            </w:r>
            <w:r>
              <w:rPr>
                <w:rFonts w:hint="eastAsia" w:hAnsi="宋体"/>
                <w:szCs w:val="21"/>
              </w:rPr>
              <w:t xml:space="preserve"> </w:t>
            </w:r>
            <w:r>
              <w:rPr>
                <w:rFonts w:hint="eastAsia" w:hAnsi="宋体"/>
                <w:sz w:val="24"/>
                <w:szCs w:val="21"/>
              </w:rPr>
              <w:t>m</w:t>
            </w:r>
            <w:r>
              <w:rPr>
                <w:rFonts w:hint="eastAsia" w:hAnsi="宋体"/>
                <w:sz w:val="24"/>
                <w:szCs w:val="21"/>
                <w:vertAlign w:val="superscript"/>
              </w:rPr>
              <w:t>3</w:t>
            </w:r>
            <w:r>
              <w:rPr>
                <w:rFonts w:hint="eastAsia"/>
                <w:sz w:val="24"/>
                <w:szCs w:val="24"/>
              </w:rPr>
              <w:t>/a，生活用水采用新鲜水，新鲜水用量252</w:t>
            </w:r>
            <w:r>
              <w:rPr>
                <w:rFonts w:hint="eastAsia" w:hAnsi="宋体"/>
                <w:sz w:val="24"/>
                <w:szCs w:val="18"/>
              </w:rPr>
              <w:t>m</w:t>
            </w:r>
            <w:r>
              <w:rPr>
                <w:rFonts w:hint="eastAsia" w:hAnsi="宋体"/>
                <w:sz w:val="24"/>
                <w:szCs w:val="18"/>
                <w:vertAlign w:val="superscript"/>
              </w:rPr>
              <w:t>3</w:t>
            </w:r>
            <w:r>
              <w:rPr>
                <w:rFonts w:hint="eastAsia"/>
                <w:sz w:val="24"/>
                <w:szCs w:val="24"/>
              </w:rPr>
              <w:t>/a。</w:t>
            </w:r>
          </w:p>
          <w:p>
            <w:pPr>
              <w:pStyle w:val="56"/>
              <w:ind w:firstLine="470" w:firstLineChars="196"/>
              <w:rPr>
                <w:sz w:val="24"/>
                <w:szCs w:val="24"/>
              </w:rPr>
            </w:pPr>
            <w:r>
              <w:rPr>
                <w:rFonts w:hint="eastAsia"/>
                <w:sz w:val="24"/>
                <w:szCs w:val="24"/>
              </w:rPr>
              <w:t>生活用水量为252m</w:t>
            </w:r>
            <w:r>
              <w:rPr>
                <w:rFonts w:hint="eastAsia"/>
                <w:sz w:val="24"/>
                <w:szCs w:val="24"/>
                <w:vertAlign w:val="superscript"/>
              </w:rPr>
              <w:t>3</w:t>
            </w:r>
            <w:r>
              <w:rPr>
                <w:rFonts w:hint="eastAsia"/>
                <w:sz w:val="24"/>
                <w:szCs w:val="24"/>
              </w:rPr>
              <w:t>/a，生产用水量为18544.64m</w:t>
            </w:r>
            <w:r>
              <w:rPr>
                <w:rFonts w:hint="eastAsia"/>
                <w:sz w:val="24"/>
                <w:szCs w:val="24"/>
                <w:vertAlign w:val="superscript"/>
              </w:rPr>
              <w:t>3</w:t>
            </w:r>
            <w:r>
              <w:rPr>
                <w:rFonts w:hint="eastAsia"/>
                <w:sz w:val="24"/>
                <w:szCs w:val="24"/>
              </w:rPr>
              <w:t>/a，本项目生活用水采用新鲜水，拟外购；生产用水由鄂尔多斯市圣园水务集团有限责任公司供给，通过自备水罐车拉运至本项目厂区。</w:t>
            </w:r>
          </w:p>
          <w:p>
            <w:pPr>
              <w:pStyle w:val="10"/>
              <w:ind w:firstLine="480"/>
            </w:pPr>
            <w:r>
              <w:rPr>
                <w:rFonts w:hint="eastAsia"/>
              </w:rPr>
              <w:t>（1）生产用水</w:t>
            </w:r>
          </w:p>
          <w:p>
            <w:pPr>
              <w:pStyle w:val="10"/>
              <w:ind w:firstLine="480"/>
            </w:pPr>
            <w:r>
              <w:rPr>
                <w:rFonts w:hint="eastAsia"/>
              </w:rPr>
              <w:t>项目生产用水主要为混凝土工艺用水、洒水抑尘用水、搅拌机及混凝土罐车清洗用水。</w:t>
            </w:r>
          </w:p>
          <w:p>
            <w:pPr>
              <w:pStyle w:val="56"/>
              <w:ind w:firstLine="470" w:firstLineChars="196"/>
              <w:rPr>
                <w:sz w:val="24"/>
                <w:szCs w:val="24"/>
              </w:rPr>
            </w:pPr>
            <w:r>
              <w:rPr>
                <w:rFonts w:hint="eastAsia"/>
                <w:sz w:val="24"/>
                <w:szCs w:val="24"/>
              </w:rPr>
              <w:t>①工艺用水</w:t>
            </w:r>
          </w:p>
          <w:p>
            <w:pPr>
              <w:pStyle w:val="56"/>
              <w:ind w:firstLine="470" w:firstLineChars="196"/>
              <w:rPr>
                <w:sz w:val="24"/>
                <w:szCs w:val="24"/>
              </w:rPr>
            </w:pPr>
            <w:r>
              <w:rPr>
                <w:rFonts w:hint="eastAsia"/>
                <w:sz w:val="24"/>
                <w:szCs w:val="24"/>
              </w:rPr>
              <w:t>根据设计单位设计，混凝土生产用水定额为0.2m</w:t>
            </w:r>
            <w:r>
              <w:rPr>
                <w:rFonts w:hint="eastAsia"/>
                <w:sz w:val="24"/>
                <w:szCs w:val="24"/>
                <w:vertAlign w:val="superscript"/>
              </w:rPr>
              <w:t>3</w:t>
            </w:r>
            <w:r>
              <w:rPr>
                <w:rFonts w:hint="eastAsia"/>
                <w:sz w:val="24"/>
                <w:szCs w:val="24"/>
              </w:rPr>
              <w:t>/m</w:t>
            </w:r>
            <w:r>
              <w:rPr>
                <w:rFonts w:hint="eastAsia"/>
                <w:sz w:val="24"/>
                <w:szCs w:val="24"/>
                <w:vertAlign w:val="superscript"/>
              </w:rPr>
              <w:t>3</w:t>
            </w:r>
            <w:r>
              <w:rPr>
                <w:rFonts w:hint="eastAsia"/>
                <w:sz w:val="24"/>
                <w:szCs w:val="24"/>
              </w:rPr>
              <w:t>-混凝土，项目年产7万m</w:t>
            </w:r>
            <w:r>
              <w:rPr>
                <w:rFonts w:hint="eastAsia"/>
                <w:sz w:val="24"/>
                <w:szCs w:val="24"/>
                <w:vertAlign w:val="superscript"/>
              </w:rPr>
              <w:t>3</w:t>
            </w:r>
            <w:r>
              <w:rPr>
                <w:rFonts w:hint="eastAsia"/>
                <w:sz w:val="24"/>
                <w:szCs w:val="24"/>
              </w:rPr>
              <w:t>混凝土，则混凝土生产用水量为14000m</w:t>
            </w:r>
            <w:r>
              <w:rPr>
                <w:rFonts w:hint="eastAsia"/>
                <w:sz w:val="24"/>
                <w:szCs w:val="24"/>
                <w:vertAlign w:val="superscript"/>
              </w:rPr>
              <w:t>3</w:t>
            </w:r>
            <w:r>
              <w:rPr>
                <w:rFonts w:hint="eastAsia"/>
                <w:sz w:val="24"/>
                <w:szCs w:val="24"/>
              </w:rPr>
              <w:t>/a（约58.33m</w:t>
            </w:r>
            <w:r>
              <w:rPr>
                <w:rFonts w:hint="eastAsia"/>
                <w:sz w:val="24"/>
                <w:szCs w:val="24"/>
                <w:vertAlign w:val="superscript"/>
              </w:rPr>
              <w:t>3</w:t>
            </w:r>
            <w:r>
              <w:rPr>
                <w:rFonts w:hint="eastAsia"/>
                <w:sz w:val="24"/>
                <w:szCs w:val="24"/>
              </w:rPr>
              <w:t>/d），其中矿井疏干水12317m</w:t>
            </w:r>
            <w:r>
              <w:rPr>
                <w:rFonts w:hint="eastAsia"/>
                <w:sz w:val="24"/>
                <w:szCs w:val="24"/>
                <w:vertAlign w:val="superscript"/>
              </w:rPr>
              <w:t>3</w:t>
            </w:r>
            <w:r>
              <w:rPr>
                <w:rFonts w:hint="eastAsia"/>
                <w:sz w:val="24"/>
                <w:szCs w:val="24"/>
              </w:rPr>
              <w:t>/a，回用水1683m</w:t>
            </w:r>
            <w:r>
              <w:rPr>
                <w:rFonts w:hint="eastAsia"/>
                <w:sz w:val="24"/>
                <w:szCs w:val="24"/>
                <w:vertAlign w:val="superscript"/>
              </w:rPr>
              <w:t>3</w:t>
            </w:r>
            <w:r>
              <w:rPr>
                <w:rFonts w:hint="eastAsia"/>
                <w:sz w:val="24"/>
                <w:szCs w:val="24"/>
              </w:rPr>
              <w:t>/a。</w:t>
            </w:r>
          </w:p>
          <w:p>
            <w:pPr>
              <w:pStyle w:val="56"/>
              <w:ind w:firstLine="470" w:firstLineChars="196"/>
              <w:rPr>
                <w:sz w:val="24"/>
                <w:szCs w:val="24"/>
              </w:rPr>
            </w:pPr>
            <w:r>
              <w:rPr>
                <w:rFonts w:hint="eastAsia"/>
                <w:sz w:val="24"/>
                <w:szCs w:val="24"/>
              </w:rPr>
              <w:t>②搅拌机清洗用水</w:t>
            </w:r>
          </w:p>
          <w:p>
            <w:pPr>
              <w:pStyle w:val="56"/>
              <w:ind w:firstLine="470" w:firstLineChars="196"/>
              <w:rPr>
                <w:sz w:val="24"/>
                <w:szCs w:val="24"/>
              </w:rPr>
            </w:pPr>
            <w:r>
              <w:rPr>
                <w:rFonts w:hint="eastAsia"/>
                <w:sz w:val="24"/>
                <w:szCs w:val="24"/>
              </w:rPr>
              <w:t>搅拌机为生产商品混凝土过程中主要的生产设备，其在暂时停止生产时必须冲洗干净，停止生产原因有生产节奏的问题及设备检修问题。按每台搅拌设备每次冲洗水</w:t>
            </w:r>
            <w:r>
              <w:rPr>
                <w:sz w:val="24"/>
                <w:szCs w:val="24"/>
              </w:rPr>
              <w:t>2.5m</w:t>
            </w:r>
            <w:r>
              <w:rPr>
                <w:sz w:val="24"/>
                <w:szCs w:val="24"/>
                <w:vertAlign w:val="superscript"/>
              </w:rPr>
              <w:t>3</w:t>
            </w:r>
            <w:r>
              <w:rPr>
                <w:sz w:val="24"/>
                <w:szCs w:val="24"/>
              </w:rPr>
              <w:t>/</w:t>
            </w:r>
            <w:r>
              <w:rPr>
                <w:rFonts w:hint="eastAsia"/>
                <w:sz w:val="24"/>
                <w:szCs w:val="24"/>
              </w:rPr>
              <w:t>次计算，约</w:t>
            </w:r>
            <w:r>
              <w:rPr>
                <w:sz w:val="24"/>
                <w:szCs w:val="24"/>
              </w:rPr>
              <w:t>5</w:t>
            </w:r>
            <w:r>
              <w:rPr>
                <w:rFonts w:hint="eastAsia"/>
                <w:sz w:val="24"/>
                <w:szCs w:val="24"/>
              </w:rPr>
              <w:t>天清洗一次，项目设1套搅拌设备，则搅拌机冲洗用水量为120</w:t>
            </w:r>
            <w:r>
              <w:rPr>
                <w:sz w:val="24"/>
                <w:szCs w:val="24"/>
              </w:rPr>
              <w:t>m</w:t>
            </w:r>
            <w:r>
              <w:rPr>
                <w:sz w:val="24"/>
                <w:szCs w:val="24"/>
                <w:vertAlign w:val="superscript"/>
              </w:rPr>
              <w:t>3</w:t>
            </w:r>
            <w:r>
              <w:rPr>
                <w:sz w:val="24"/>
                <w:szCs w:val="24"/>
              </w:rPr>
              <w:t>/a</w:t>
            </w:r>
            <w:r>
              <w:rPr>
                <w:rFonts w:hint="eastAsia"/>
                <w:sz w:val="24"/>
                <w:szCs w:val="24"/>
              </w:rPr>
              <w:t>（约0.5m</w:t>
            </w:r>
            <w:r>
              <w:rPr>
                <w:rFonts w:hint="eastAsia"/>
                <w:sz w:val="24"/>
                <w:szCs w:val="24"/>
                <w:vertAlign w:val="superscript"/>
              </w:rPr>
              <w:t>3</w:t>
            </w:r>
            <w:r>
              <w:rPr>
                <w:rFonts w:hint="eastAsia"/>
                <w:sz w:val="24"/>
                <w:szCs w:val="24"/>
              </w:rPr>
              <w:t>/d），全部采用矿井疏干水。</w:t>
            </w:r>
          </w:p>
          <w:p>
            <w:pPr>
              <w:pStyle w:val="56"/>
              <w:ind w:firstLine="470" w:firstLineChars="196"/>
              <w:rPr>
                <w:sz w:val="24"/>
                <w:szCs w:val="24"/>
              </w:rPr>
            </w:pPr>
            <w:r>
              <w:rPr>
                <w:rFonts w:hint="eastAsia"/>
                <w:sz w:val="24"/>
                <w:szCs w:val="24"/>
              </w:rPr>
              <w:t>③混凝土罐车清洗用水</w:t>
            </w:r>
          </w:p>
          <w:p>
            <w:pPr>
              <w:pStyle w:val="56"/>
              <w:ind w:firstLine="470" w:firstLineChars="196"/>
              <w:rPr>
                <w:sz w:val="24"/>
                <w:szCs w:val="24"/>
              </w:rPr>
            </w:pPr>
            <w:r>
              <w:rPr>
                <w:rFonts w:hint="eastAsia"/>
                <w:sz w:val="24"/>
                <w:szCs w:val="24"/>
              </w:rPr>
              <w:t>混凝土罐车运输回厂需进行清洗，项目年产7万m</w:t>
            </w:r>
            <w:r>
              <w:rPr>
                <w:rFonts w:hint="eastAsia"/>
                <w:sz w:val="24"/>
                <w:szCs w:val="24"/>
                <w:vertAlign w:val="superscript"/>
              </w:rPr>
              <w:t>3</w:t>
            </w:r>
            <w:r>
              <w:rPr>
                <w:rFonts w:hint="eastAsia"/>
                <w:sz w:val="24"/>
                <w:szCs w:val="24"/>
              </w:rPr>
              <w:t>混凝土，罐车装载量为10m</w:t>
            </w:r>
            <w:r>
              <w:rPr>
                <w:rFonts w:hint="eastAsia"/>
                <w:sz w:val="24"/>
                <w:szCs w:val="24"/>
                <w:vertAlign w:val="superscript"/>
              </w:rPr>
              <w:t>3</w:t>
            </w:r>
            <w:r>
              <w:rPr>
                <w:rFonts w:hint="eastAsia"/>
                <w:sz w:val="24"/>
                <w:szCs w:val="24"/>
              </w:rPr>
              <w:t>，全年运输约7000次，生产期约清洗7000次，按每辆罐车每次清洗水</w:t>
            </w:r>
            <w:r>
              <w:rPr>
                <w:sz w:val="24"/>
                <w:szCs w:val="24"/>
              </w:rPr>
              <w:t>0.25m</w:t>
            </w:r>
            <w:r>
              <w:rPr>
                <w:sz w:val="24"/>
                <w:szCs w:val="24"/>
                <w:vertAlign w:val="superscript"/>
              </w:rPr>
              <w:t>3</w:t>
            </w:r>
            <w:r>
              <w:rPr>
                <w:sz w:val="24"/>
                <w:szCs w:val="24"/>
              </w:rPr>
              <w:t>/</w:t>
            </w:r>
            <w:r>
              <w:rPr>
                <w:rFonts w:hint="eastAsia"/>
                <w:sz w:val="24"/>
                <w:szCs w:val="24"/>
              </w:rPr>
              <w:t>次计算，则项目罐车清洗水量为1750</w:t>
            </w:r>
            <w:r>
              <w:rPr>
                <w:sz w:val="24"/>
                <w:szCs w:val="24"/>
              </w:rPr>
              <w:t>m</w:t>
            </w:r>
            <w:r>
              <w:rPr>
                <w:sz w:val="24"/>
                <w:szCs w:val="24"/>
                <w:vertAlign w:val="superscript"/>
              </w:rPr>
              <w:t>3</w:t>
            </w:r>
            <w:r>
              <w:rPr>
                <w:sz w:val="24"/>
                <w:szCs w:val="24"/>
              </w:rPr>
              <w:t>/a</w:t>
            </w:r>
            <w:r>
              <w:rPr>
                <w:rFonts w:hint="eastAsia"/>
                <w:sz w:val="24"/>
                <w:szCs w:val="24"/>
              </w:rPr>
              <w:t>（约7.3m</w:t>
            </w:r>
            <w:r>
              <w:rPr>
                <w:rFonts w:hint="eastAsia"/>
                <w:sz w:val="24"/>
                <w:szCs w:val="24"/>
                <w:vertAlign w:val="superscript"/>
              </w:rPr>
              <w:t>3</w:t>
            </w:r>
            <w:r>
              <w:rPr>
                <w:rFonts w:hint="eastAsia"/>
                <w:sz w:val="24"/>
                <w:szCs w:val="24"/>
              </w:rPr>
              <w:t>/d），全部采用矿井疏干水。</w:t>
            </w:r>
          </w:p>
          <w:p>
            <w:pPr>
              <w:pStyle w:val="56"/>
              <w:ind w:firstLine="470" w:firstLineChars="196"/>
              <w:rPr>
                <w:sz w:val="24"/>
                <w:szCs w:val="24"/>
              </w:rPr>
            </w:pPr>
            <w:r>
              <w:rPr>
                <w:rFonts w:hint="eastAsia"/>
                <w:sz w:val="24"/>
                <w:szCs w:val="24"/>
              </w:rPr>
              <w:t>④洒水抑尘用水</w:t>
            </w:r>
          </w:p>
          <w:p>
            <w:pPr>
              <w:pStyle w:val="56"/>
              <w:ind w:firstLine="470" w:firstLineChars="196"/>
              <w:rPr>
                <w:sz w:val="24"/>
                <w:szCs w:val="24"/>
              </w:rPr>
            </w:pPr>
            <w:r>
              <w:rPr>
                <w:rFonts w:hint="eastAsia"/>
                <w:sz w:val="24"/>
                <w:szCs w:val="24"/>
              </w:rPr>
              <w:t>根据《内蒙古自治区地方标准行业用水定额》（DB15/T385-2020），原料储库洒水抑尘用水定额为2.0L/m</w:t>
            </w:r>
            <w:r>
              <w:rPr>
                <w:rFonts w:hint="eastAsia"/>
                <w:sz w:val="24"/>
                <w:szCs w:val="24"/>
                <w:vertAlign w:val="superscript"/>
              </w:rPr>
              <w:t>2</w:t>
            </w:r>
            <w:r>
              <w:rPr>
                <w:rFonts w:hint="eastAsia"/>
                <w:sz w:val="24"/>
                <w:szCs w:val="24"/>
              </w:rPr>
              <w:t>·d，原料库需洒水占地面积7203.41m</w:t>
            </w:r>
            <w:r>
              <w:rPr>
                <w:rFonts w:hint="eastAsia"/>
                <w:sz w:val="24"/>
                <w:szCs w:val="24"/>
                <w:vertAlign w:val="superscript"/>
              </w:rPr>
              <w:t>2</w:t>
            </w:r>
            <w:r>
              <w:rPr>
                <w:rFonts w:hint="eastAsia"/>
                <w:sz w:val="24"/>
                <w:szCs w:val="24"/>
              </w:rPr>
              <w:t>，每天洒水1次，洒水天数240天，则项目洒水抑尘用水量为14.41m</w:t>
            </w:r>
            <w:r>
              <w:rPr>
                <w:rFonts w:hint="eastAsia"/>
                <w:sz w:val="24"/>
                <w:szCs w:val="24"/>
                <w:vertAlign w:val="superscript"/>
              </w:rPr>
              <w:t>3</w:t>
            </w:r>
            <w:r>
              <w:rPr>
                <w:rFonts w:hint="eastAsia"/>
                <w:sz w:val="24"/>
                <w:szCs w:val="24"/>
              </w:rPr>
              <w:t>/d（3457.64m</w:t>
            </w:r>
            <w:r>
              <w:rPr>
                <w:rFonts w:hint="eastAsia"/>
                <w:sz w:val="24"/>
                <w:szCs w:val="24"/>
                <w:vertAlign w:val="superscript"/>
              </w:rPr>
              <w:t>3</w:t>
            </w:r>
            <w:r>
              <w:rPr>
                <w:rFonts w:hint="eastAsia"/>
                <w:sz w:val="24"/>
                <w:szCs w:val="24"/>
              </w:rPr>
              <w:t>/a）。</w:t>
            </w:r>
          </w:p>
          <w:p>
            <w:pPr>
              <w:pStyle w:val="10"/>
              <w:ind w:firstLine="480"/>
            </w:pPr>
            <w:r>
              <w:rPr>
                <w:rFonts w:hint="eastAsia"/>
              </w:rPr>
              <w:t>（2）生活用水</w:t>
            </w:r>
          </w:p>
          <w:p>
            <w:pPr>
              <w:pStyle w:val="56"/>
              <w:ind w:firstLine="470" w:firstLineChars="196"/>
              <w:rPr>
                <w:sz w:val="24"/>
                <w:szCs w:val="24"/>
              </w:rPr>
            </w:pPr>
            <w:r>
              <w:rPr>
                <w:rFonts w:hint="eastAsia"/>
                <w:sz w:val="24"/>
                <w:szCs w:val="24"/>
              </w:rPr>
              <w:t>本项目劳动定员15人，根据《内蒙古自治区地方标准 行业用水定额》（DB15/T385-2020），员工办公生活用水按50L/（人/日）计，工作240天，则生活用水量0.75m</w:t>
            </w:r>
            <w:r>
              <w:rPr>
                <w:rFonts w:hint="eastAsia"/>
                <w:sz w:val="24"/>
                <w:szCs w:val="24"/>
                <w:vertAlign w:val="superscript"/>
              </w:rPr>
              <w:t>3</w:t>
            </w:r>
            <w:r>
              <w:rPr>
                <w:rFonts w:hint="eastAsia"/>
                <w:sz w:val="24"/>
                <w:szCs w:val="24"/>
              </w:rPr>
              <w:t>/d（180m</w:t>
            </w:r>
            <w:r>
              <w:rPr>
                <w:rFonts w:hint="eastAsia"/>
                <w:sz w:val="24"/>
                <w:szCs w:val="24"/>
                <w:vertAlign w:val="superscript"/>
              </w:rPr>
              <w:t>3</w:t>
            </w:r>
            <w:r>
              <w:rPr>
                <w:rFonts w:hint="eastAsia"/>
                <w:sz w:val="24"/>
                <w:szCs w:val="24"/>
              </w:rPr>
              <w:t>/a）。</w:t>
            </w:r>
          </w:p>
          <w:p>
            <w:pPr>
              <w:pStyle w:val="56"/>
              <w:ind w:firstLine="470" w:firstLineChars="196"/>
              <w:rPr>
                <w:sz w:val="24"/>
                <w:szCs w:val="24"/>
              </w:rPr>
            </w:pPr>
            <w:r>
              <w:rPr>
                <w:rFonts w:hint="eastAsia"/>
                <w:sz w:val="24"/>
                <w:szCs w:val="24"/>
              </w:rPr>
              <w:t>（3）绿化用水</w:t>
            </w:r>
          </w:p>
          <w:p>
            <w:pPr>
              <w:pStyle w:val="56"/>
              <w:ind w:firstLine="470" w:firstLineChars="196"/>
              <w:rPr>
                <w:sz w:val="24"/>
                <w:szCs w:val="24"/>
              </w:rPr>
            </w:pPr>
            <w:r>
              <w:rPr>
                <w:rFonts w:hint="eastAsia"/>
                <w:sz w:val="24"/>
              </w:rPr>
              <w:t>项目区绿化面积约为200m</w:t>
            </w:r>
            <w:r>
              <w:rPr>
                <w:rFonts w:hint="eastAsia"/>
                <w:sz w:val="24"/>
                <w:vertAlign w:val="superscript"/>
              </w:rPr>
              <w:t>2</w:t>
            </w:r>
            <w:r>
              <w:rPr>
                <w:rFonts w:hint="eastAsia"/>
                <w:sz w:val="24"/>
              </w:rPr>
              <w:t>，本项目绿化用水按2L/m</w:t>
            </w:r>
            <w:r>
              <w:rPr>
                <w:rFonts w:hint="eastAsia"/>
                <w:sz w:val="24"/>
                <w:vertAlign w:val="superscript"/>
              </w:rPr>
              <w:t>2</w:t>
            </w:r>
            <w:r>
              <w:rPr>
                <w:rFonts w:hint="eastAsia"/>
                <w:sz w:val="24"/>
              </w:rPr>
              <w:t>计，每天浇灌一次，绿化季按18</w:t>
            </w:r>
            <w:r>
              <w:rPr>
                <w:rFonts w:hint="eastAsia"/>
                <w:sz w:val="24"/>
                <w:szCs w:val="24"/>
              </w:rPr>
              <w:t>0d计，因此本</w:t>
            </w:r>
            <w:r>
              <w:rPr>
                <w:rFonts w:hint="eastAsia"/>
                <w:sz w:val="24"/>
              </w:rPr>
              <w:t>项目绿化用水总量为72m</w:t>
            </w:r>
            <w:r>
              <w:rPr>
                <w:rFonts w:hint="eastAsia"/>
                <w:sz w:val="24"/>
                <w:vertAlign w:val="superscript"/>
              </w:rPr>
              <w:t>3</w:t>
            </w:r>
            <w:r>
              <w:rPr>
                <w:rFonts w:hint="eastAsia"/>
                <w:sz w:val="24"/>
              </w:rPr>
              <w:t>（平均每天约0.3m</w:t>
            </w:r>
            <w:r>
              <w:rPr>
                <w:rFonts w:hint="eastAsia"/>
                <w:sz w:val="24"/>
                <w:vertAlign w:val="superscript"/>
              </w:rPr>
              <w:t>3</w:t>
            </w:r>
            <w:r>
              <w:rPr>
                <w:rFonts w:hint="eastAsia"/>
                <w:sz w:val="24"/>
              </w:rPr>
              <w:t>/d）。</w:t>
            </w:r>
          </w:p>
          <w:p>
            <w:pPr>
              <w:pStyle w:val="56"/>
              <w:ind w:firstLine="470" w:firstLineChars="196"/>
              <w:rPr>
                <w:sz w:val="24"/>
                <w:szCs w:val="24"/>
              </w:rPr>
            </w:pPr>
            <w:r>
              <w:rPr>
                <w:rFonts w:hint="eastAsia"/>
                <w:sz w:val="24"/>
                <w:szCs w:val="24"/>
              </w:rPr>
              <w:t>4）排水</w:t>
            </w:r>
          </w:p>
          <w:p>
            <w:pPr>
              <w:pStyle w:val="56"/>
              <w:ind w:firstLine="470" w:firstLineChars="196"/>
              <w:rPr>
                <w:sz w:val="24"/>
                <w:szCs w:val="24"/>
              </w:rPr>
            </w:pPr>
            <w:r>
              <w:rPr>
                <w:rFonts w:hint="eastAsia"/>
                <w:sz w:val="24"/>
                <w:szCs w:val="24"/>
              </w:rPr>
              <w:t>项目排水主要包括搅拌机及车辆清洗废水及生活污水。</w:t>
            </w:r>
          </w:p>
          <w:p>
            <w:pPr>
              <w:pStyle w:val="56"/>
              <w:ind w:firstLine="480"/>
              <w:rPr>
                <w:sz w:val="24"/>
                <w:szCs w:val="24"/>
              </w:rPr>
            </w:pPr>
            <w:r>
              <w:rPr>
                <w:rFonts w:hint="eastAsia"/>
                <w:sz w:val="24"/>
                <w:szCs w:val="24"/>
              </w:rPr>
              <w:t>①搅拌机及车辆清洗废水</w:t>
            </w:r>
          </w:p>
          <w:p>
            <w:pPr>
              <w:pStyle w:val="56"/>
              <w:ind w:firstLine="470" w:firstLineChars="196"/>
              <w:rPr>
                <w:sz w:val="24"/>
                <w:szCs w:val="24"/>
              </w:rPr>
            </w:pPr>
            <w:r>
              <w:rPr>
                <w:rFonts w:hint="eastAsia"/>
                <w:sz w:val="24"/>
                <w:szCs w:val="24"/>
              </w:rPr>
              <w:t>搅拌机及车辆清洗用水量为1870</w:t>
            </w:r>
            <w:r>
              <w:rPr>
                <w:sz w:val="24"/>
                <w:szCs w:val="24"/>
              </w:rPr>
              <w:t>m</w:t>
            </w:r>
            <w:r>
              <w:rPr>
                <w:sz w:val="24"/>
                <w:szCs w:val="24"/>
                <w:vertAlign w:val="superscript"/>
              </w:rPr>
              <w:t>3</w:t>
            </w:r>
            <w:r>
              <w:rPr>
                <w:sz w:val="24"/>
                <w:szCs w:val="24"/>
              </w:rPr>
              <w:t>/a</w:t>
            </w:r>
            <w:r>
              <w:rPr>
                <w:rFonts w:hint="eastAsia"/>
                <w:sz w:val="24"/>
                <w:szCs w:val="24"/>
              </w:rPr>
              <w:t>（7.8m</w:t>
            </w:r>
            <w:r>
              <w:rPr>
                <w:rFonts w:hint="eastAsia"/>
                <w:sz w:val="24"/>
                <w:szCs w:val="24"/>
                <w:vertAlign w:val="superscript"/>
              </w:rPr>
              <w:t>3</w:t>
            </w:r>
            <w:r>
              <w:rPr>
                <w:rFonts w:hint="eastAsia"/>
                <w:sz w:val="24"/>
                <w:szCs w:val="24"/>
              </w:rPr>
              <w:t>/d），排水系数按0.9计，则清洗废水量为1683</w:t>
            </w:r>
            <w:r>
              <w:rPr>
                <w:sz w:val="24"/>
                <w:szCs w:val="24"/>
              </w:rPr>
              <w:t>m</w:t>
            </w:r>
            <w:r>
              <w:rPr>
                <w:sz w:val="24"/>
                <w:szCs w:val="24"/>
                <w:vertAlign w:val="superscript"/>
              </w:rPr>
              <w:t>3</w:t>
            </w:r>
            <w:r>
              <w:rPr>
                <w:sz w:val="24"/>
                <w:szCs w:val="24"/>
              </w:rPr>
              <w:t>/a</w:t>
            </w:r>
            <w:r>
              <w:rPr>
                <w:rFonts w:hint="eastAsia"/>
                <w:sz w:val="24"/>
                <w:szCs w:val="24"/>
              </w:rPr>
              <w:t>（7.02m</w:t>
            </w:r>
            <w:r>
              <w:rPr>
                <w:rFonts w:hint="eastAsia"/>
                <w:sz w:val="24"/>
                <w:szCs w:val="24"/>
                <w:vertAlign w:val="superscript"/>
              </w:rPr>
              <w:t>3</w:t>
            </w:r>
            <w:r>
              <w:rPr>
                <w:rFonts w:hint="eastAsia"/>
                <w:sz w:val="24"/>
                <w:szCs w:val="24"/>
              </w:rPr>
              <w:t>/d），清洗废水经沉淀池沉淀处理后用于混凝土工艺用水，不外排。</w:t>
            </w:r>
          </w:p>
          <w:p>
            <w:pPr>
              <w:pStyle w:val="56"/>
              <w:ind w:firstLine="470" w:firstLineChars="196"/>
              <w:rPr>
                <w:sz w:val="24"/>
                <w:szCs w:val="24"/>
              </w:rPr>
            </w:pPr>
            <w:r>
              <w:rPr>
                <w:rFonts w:hint="eastAsia"/>
                <w:sz w:val="24"/>
                <w:szCs w:val="24"/>
              </w:rPr>
              <w:t>②生活污水</w:t>
            </w:r>
          </w:p>
          <w:p>
            <w:pPr>
              <w:pStyle w:val="56"/>
              <w:ind w:firstLine="470" w:firstLineChars="196"/>
              <w:rPr>
                <w:rFonts w:hint="eastAsia" w:hAnsi="宋体"/>
                <w:bCs/>
                <w:sz w:val="24"/>
                <w:szCs w:val="24"/>
              </w:rPr>
            </w:pPr>
            <w:r>
              <w:rPr>
                <w:rFonts w:hint="eastAsia"/>
                <w:sz w:val="24"/>
                <w:szCs w:val="24"/>
              </w:rPr>
              <w:t>本项目生活用水量为0.75m</w:t>
            </w:r>
            <w:r>
              <w:rPr>
                <w:rFonts w:hint="eastAsia"/>
                <w:sz w:val="24"/>
                <w:szCs w:val="24"/>
                <w:vertAlign w:val="superscript"/>
              </w:rPr>
              <w:t>3</w:t>
            </w:r>
            <w:r>
              <w:rPr>
                <w:rFonts w:hint="eastAsia"/>
                <w:sz w:val="24"/>
                <w:szCs w:val="24"/>
              </w:rPr>
              <w:t>/d（180m</w:t>
            </w:r>
            <w:r>
              <w:rPr>
                <w:rFonts w:hint="eastAsia"/>
                <w:sz w:val="24"/>
                <w:szCs w:val="24"/>
                <w:vertAlign w:val="superscript"/>
              </w:rPr>
              <w:t>3</w:t>
            </w:r>
            <w:r>
              <w:rPr>
                <w:rFonts w:hint="eastAsia"/>
                <w:sz w:val="24"/>
                <w:szCs w:val="24"/>
              </w:rPr>
              <w:t>/a），排水系数按0.8计，则生活污水排放量为0.6m</w:t>
            </w:r>
            <w:r>
              <w:rPr>
                <w:rFonts w:hint="eastAsia"/>
                <w:sz w:val="24"/>
                <w:szCs w:val="24"/>
                <w:vertAlign w:val="superscript"/>
              </w:rPr>
              <w:t>3</w:t>
            </w:r>
            <w:r>
              <w:rPr>
                <w:rFonts w:hint="eastAsia"/>
                <w:sz w:val="24"/>
                <w:szCs w:val="24"/>
              </w:rPr>
              <w:t>/d（144m</w:t>
            </w:r>
            <w:r>
              <w:rPr>
                <w:rFonts w:hint="eastAsia"/>
                <w:sz w:val="24"/>
                <w:szCs w:val="24"/>
                <w:vertAlign w:val="superscript"/>
              </w:rPr>
              <w:t>3</w:t>
            </w:r>
            <w:r>
              <w:rPr>
                <w:rFonts w:hint="eastAsia"/>
                <w:sz w:val="24"/>
                <w:szCs w:val="24"/>
              </w:rPr>
              <w:t>/a）。</w:t>
            </w:r>
            <w:r>
              <w:rPr>
                <w:rFonts w:hint="eastAsia" w:hAnsi="宋体"/>
                <w:bCs/>
                <w:sz w:val="24"/>
                <w:szCs w:val="24"/>
              </w:rPr>
              <w:t>生活污水采用化粪池处理，定期拉运至内蒙古神东天隆集团股份有限公司霍洛湾煤矿处理。</w:t>
            </w:r>
          </w:p>
          <w:p>
            <w:pPr>
              <w:pStyle w:val="10"/>
              <w:ind w:firstLine="480"/>
            </w:pPr>
            <w:r>
              <w:rPr>
                <w:rFonts w:hint="eastAsia"/>
              </w:rPr>
              <w:t>本项目与内蒙古神东天隆集团股份有限公司霍洛湾煤矿（污水处理）距离</w:t>
            </w:r>
            <w:r>
              <w:t>1km</w:t>
            </w:r>
            <w:r>
              <w:rPr>
                <w:rFonts w:hint="eastAsia"/>
              </w:rPr>
              <w:t>，该矿污水处理能力</w:t>
            </w:r>
            <w:r>
              <w:t>20m</w:t>
            </w:r>
            <w:r>
              <w:rPr>
                <w:vertAlign w:val="superscript"/>
              </w:rPr>
              <w:t>3</w:t>
            </w:r>
            <w:r>
              <w:t>/h</w:t>
            </w:r>
            <w:r>
              <w:rPr>
                <w:rFonts w:hint="eastAsia"/>
              </w:rPr>
              <w:t>，处理工艺采用</w:t>
            </w:r>
            <w:r>
              <w:t>SBR</w:t>
            </w:r>
            <w:r>
              <w:rPr>
                <w:rFonts w:hint="eastAsia"/>
              </w:rPr>
              <w:t>工艺（序批间歇式活性污泥法），现状处理量</w:t>
            </w:r>
            <w:r>
              <w:t>130m</w:t>
            </w:r>
            <w:r>
              <w:rPr>
                <w:rFonts w:hint="eastAsia"/>
              </w:rPr>
              <w:t>³</w:t>
            </w:r>
            <w:r>
              <w:t>/d</w:t>
            </w:r>
            <w:r>
              <w:rPr>
                <w:rFonts w:hint="eastAsia"/>
              </w:rPr>
              <w:t>，污水采用污水罐车拉运。</w:t>
            </w:r>
          </w:p>
          <w:p>
            <w:pPr>
              <w:pStyle w:val="10"/>
              <w:ind w:firstLine="480"/>
            </w:pPr>
            <w:r>
              <w:rPr>
                <w:rFonts w:hint="eastAsia"/>
              </w:rPr>
              <w:t>项目用排水量见表2-9。</w:t>
            </w:r>
          </w:p>
          <w:p>
            <w:pPr>
              <w:snapToGrid w:val="0"/>
              <w:ind w:firstLine="472" w:firstLineChars="196"/>
              <w:jc w:val="center"/>
              <w:rPr>
                <w:b/>
              </w:rPr>
            </w:pPr>
            <w:r>
              <w:rPr>
                <w:b/>
              </w:rPr>
              <w:t>表</w:t>
            </w:r>
            <w:r>
              <w:rPr>
                <w:rFonts w:hint="eastAsia"/>
                <w:b/>
              </w:rPr>
              <w:t>2-9</w:t>
            </w:r>
            <w:r>
              <w:rPr>
                <w:b/>
              </w:rPr>
              <w:t xml:space="preserve">    项目用</w:t>
            </w:r>
            <w:r>
              <w:rPr>
                <w:rFonts w:hint="eastAsia"/>
                <w:b/>
              </w:rPr>
              <w:t>排</w:t>
            </w:r>
            <w:r>
              <w:rPr>
                <w:b/>
              </w:rPr>
              <w:t>水量一览表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3"/>
              <w:gridCol w:w="1382"/>
              <w:gridCol w:w="1379"/>
              <w:gridCol w:w="688"/>
              <w:gridCol w:w="1219"/>
              <w:gridCol w:w="751"/>
              <w:gridCol w:w="550"/>
              <w:gridCol w:w="18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38" w:type="pct"/>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kern w:val="0"/>
                      <w:sz w:val="21"/>
                      <w:szCs w:val="21"/>
                    </w:rPr>
                  </w:pPr>
                  <w:r>
                    <w:rPr>
                      <w:rFonts w:hint="eastAsia" w:ascii="宋体" w:hAnsi="宋体"/>
                      <w:kern w:val="0"/>
                      <w:sz w:val="21"/>
                      <w:szCs w:val="21"/>
                    </w:rPr>
                    <w:t>用水</w:t>
                  </w:r>
                  <w:r>
                    <w:rPr>
                      <w:rFonts w:ascii="宋体" w:hAnsi="宋体"/>
                      <w:kern w:val="0"/>
                      <w:sz w:val="21"/>
                      <w:szCs w:val="21"/>
                    </w:rPr>
                    <w:t>项目</w:t>
                  </w:r>
                </w:p>
              </w:tc>
              <w:tc>
                <w:tcPr>
                  <w:tcW w:w="647" w:type="pct"/>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kern w:val="0"/>
                      <w:sz w:val="21"/>
                      <w:szCs w:val="21"/>
                    </w:rPr>
                  </w:pPr>
                  <w:r>
                    <w:rPr>
                      <w:rFonts w:hint="eastAsia" w:ascii="宋体" w:hAnsi="宋体"/>
                      <w:kern w:val="0"/>
                      <w:sz w:val="21"/>
                      <w:szCs w:val="21"/>
                    </w:rPr>
                    <w:t>规模</w:t>
                  </w:r>
                </w:p>
              </w:tc>
              <w:tc>
                <w:tcPr>
                  <w:tcW w:w="761" w:type="pct"/>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kern w:val="0"/>
                      <w:sz w:val="21"/>
                      <w:szCs w:val="21"/>
                    </w:rPr>
                  </w:pPr>
                  <w:r>
                    <w:rPr>
                      <w:rFonts w:ascii="宋体" w:hAnsi="宋体"/>
                      <w:kern w:val="0"/>
                      <w:sz w:val="21"/>
                      <w:szCs w:val="21"/>
                    </w:rPr>
                    <w:t>用水定额</w:t>
                  </w:r>
                </w:p>
              </w:tc>
              <w:tc>
                <w:tcPr>
                  <w:tcW w:w="1518" w:type="pct"/>
                  <w:gridSpan w:val="3"/>
                  <w:tcBorders>
                    <w:top w:val="single" w:color="auto" w:sz="4" w:space="0"/>
                    <w:left w:val="single" w:color="auto" w:sz="4" w:space="0"/>
                    <w:bottom w:val="single" w:color="auto" w:sz="4" w:space="0"/>
                    <w:right w:val="single" w:color="auto" w:sz="4" w:space="0"/>
                  </w:tcBorders>
                </w:tcPr>
                <w:p>
                  <w:pPr>
                    <w:snapToGrid w:val="0"/>
                    <w:jc w:val="center"/>
                    <w:rPr>
                      <w:kern w:val="0"/>
                      <w:sz w:val="21"/>
                      <w:szCs w:val="21"/>
                    </w:rPr>
                  </w:pPr>
                  <w:r>
                    <w:rPr>
                      <w:rFonts w:ascii="宋体" w:hAnsi="宋体"/>
                      <w:kern w:val="0"/>
                      <w:sz w:val="21"/>
                      <w:szCs w:val="21"/>
                    </w:rPr>
                    <w:t>用水量（</w:t>
                  </w:r>
                  <w:r>
                    <w:rPr>
                      <w:rFonts w:hint="eastAsia" w:hAnsi="宋体"/>
                      <w:sz w:val="21"/>
                      <w:szCs w:val="21"/>
                    </w:rPr>
                    <w:t>m</w:t>
                  </w:r>
                  <w:r>
                    <w:rPr>
                      <w:rFonts w:hint="eastAsia" w:hAnsi="宋体"/>
                      <w:sz w:val="21"/>
                      <w:szCs w:val="21"/>
                      <w:vertAlign w:val="superscript"/>
                    </w:rPr>
                    <w:t>3</w:t>
                  </w:r>
                  <w:r>
                    <w:rPr>
                      <w:kern w:val="0"/>
                      <w:sz w:val="21"/>
                      <w:szCs w:val="21"/>
                    </w:rPr>
                    <w:t>/</w:t>
                  </w:r>
                  <w:r>
                    <w:rPr>
                      <w:rFonts w:hint="eastAsia"/>
                      <w:kern w:val="0"/>
                      <w:sz w:val="21"/>
                      <w:szCs w:val="21"/>
                    </w:rPr>
                    <w:t>a</w:t>
                  </w:r>
                  <w:r>
                    <w:rPr>
                      <w:rFonts w:ascii="宋体" w:hAnsi="宋体"/>
                      <w:kern w:val="0"/>
                      <w:sz w:val="21"/>
                      <w:szCs w:val="21"/>
                    </w:rPr>
                    <w:t>）</w:t>
                  </w:r>
                </w:p>
              </w:tc>
              <w:tc>
                <w:tcPr>
                  <w:tcW w:w="419" w:type="pct"/>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kern w:val="0"/>
                      <w:sz w:val="21"/>
                      <w:szCs w:val="21"/>
                    </w:rPr>
                  </w:pPr>
                  <w:r>
                    <w:rPr>
                      <w:rFonts w:ascii="宋体" w:hAnsi="宋体"/>
                      <w:kern w:val="0"/>
                      <w:sz w:val="21"/>
                      <w:szCs w:val="21"/>
                    </w:rPr>
                    <w:t>排放系数</w:t>
                  </w:r>
                </w:p>
              </w:tc>
              <w:tc>
                <w:tcPr>
                  <w:tcW w:w="1217" w:type="pct"/>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kern w:val="0"/>
                      <w:sz w:val="21"/>
                      <w:szCs w:val="21"/>
                    </w:rPr>
                  </w:pPr>
                  <w:r>
                    <w:rPr>
                      <w:rFonts w:ascii="宋体" w:hAnsi="宋体"/>
                      <w:kern w:val="0"/>
                      <w:sz w:val="21"/>
                      <w:szCs w:val="21"/>
                    </w:rPr>
                    <w:t>排水量（</w:t>
                  </w:r>
                  <w:r>
                    <w:rPr>
                      <w:rFonts w:hint="eastAsia" w:hAnsi="宋体"/>
                      <w:sz w:val="21"/>
                      <w:szCs w:val="21"/>
                    </w:rPr>
                    <w:t>m</w:t>
                  </w:r>
                  <w:r>
                    <w:rPr>
                      <w:rFonts w:hint="eastAsia" w:hAnsi="宋体"/>
                      <w:sz w:val="21"/>
                      <w:szCs w:val="21"/>
                      <w:vertAlign w:val="superscript"/>
                    </w:rPr>
                    <w:t>3</w:t>
                  </w:r>
                  <w:r>
                    <w:rPr>
                      <w:kern w:val="0"/>
                      <w:sz w:val="21"/>
                      <w:szCs w:val="21"/>
                    </w:rPr>
                    <w:t>/</w:t>
                  </w:r>
                  <w:r>
                    <w:rPr>
                      <w:rFonts w:hint="eastAsia"/>
                      <w:kern w:val="0"/>
                      <w:sz w:val="21"/>
                      <w:szCs w:val="21"/>
                    </w:rPr>
                    <w:t>a</w:t>
                  </w:r>
                  <w:r>
                    <w:rPr>
                      <w:rFonts w:ascii="宋体" w:hAnsi="宋体"/>
                      <w:kern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43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kern w:val="0"/>
                      <w:sz w:val="21"/>
                      <w:szCs w:val="21"/>
                    </w:rPr>
                  </w:pPr>
                </w:p>
              </w:tc>
              <w:tc>
                <w:tcPr>
                  <w:tcW w:w="64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kern w:val="0"/>
                      <w:sz w:val="21"/>
                      <w:szCs w:val="21"/>
                    </w:rPr>
                  </w:pPr>
                </w:p>
              </w:tc>
              <w:tc>
                <w:tcPr>
                  <w:tcW w:w="76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kern w:val="0"/>
                      <w:sz w:val="21"/>
                      <w:szCs w:val="21"/>
                    </w:rPr>
                  </w:pPr>
                </w:p>
              </w:tc>
              <w:tc>
                <w:tcPr>
                  <w:tcW w:w="506" w:type="pct"/>
                  <w:tcBorders>
                    <w:top w:val="single" w:color="auto" w:sz="4" w:space="0"/>
                    <w:left w:val="single" w:color="auto" w:sz="4" w:space="0"/>
                    <w:bottom w:val="single" w:color="auto" w:sz="4" w:space="0"/>
                    <w:right w:val="single" w:color="auto" w:sz="4" w:space="0"/>
                  </w:tcBorders>
                  <w:vAlign w:val="center"/>
                </w:tcPr>
                <w:p>
                  <w:pPr>
                    <w:snapToGrid w:val="0"/>
                    <w:jc w:val="center"/>
                    <w:rPr>
                      <w:kern w:val="0"/>
                      <w:sz w:val="21"/>
                      <w:szCs w:val="21"/>
                    </w:rPr>
                  </w:pPr>
                  <w:r>
                    <w:rPr>
                      <w:rFonts w:hint="eastAsia" w:ascii="宋体" w:hAnsi="宋体"/>
                      <w:sz w:val="21"/>
                      <w:szCs w:val="21"/>
                    </w:rPr>
                    <w:t>新鲜水</w:t>
                  </w:r>
                </w:p>
              </w:tc>
              <w:tc>
                <w:tcPr>
                  <w:tcW w:w="505" w:type="pct"/>
                  <w:tcBorders>
                    <w:top w:val="single" w:color="auto" w:sz="4" w:space="0"/>
                    <w:left w:val="single" w:color="auto" w:sz="4" w:space="0"/>
                    <w:bottom w:val="single" w:color="auto" w:sz="4" w:space="0"/>
                    <w:right w:val="single" w:color="auto" w:sz="4" w:space="0"/>
                  </w:tcBorders>
                </w:tcPr>
                <w:p>
                  <w:pPr>
                    <w:snapToGrid w:val="0"/>
                    <w:jc w:val="center"/>
                    <w:rPr>
                      <w:kern w:val="0"/>
                      <w:sz w:val="21"/>
                      <w:szCs w:val="21"/>
                    </w:rPr>
                  </w:pPr>
                  <w:r>
                    <w:rPr>
                      <w:rFonts w:hint="eastAsia"/>
                      <w:kern w:val="0"/>
                      <w:sz w:val="21"/>
                      <w:szCs w:val="21"/>
                    </w:rPr>
                    <w:t>矿井疏干水</w:t>
                  </w:r>
                </w:p>
              </w:tc>
              <w:tc>
                <w:tcPr>
                  <w:tcW w:w="507" w:type="pct"/>
                  <w:tcBorders>
                    <w:top w:val="single" w:color="auto" w:sz="4" w:space="0"/>
                    <w:left w:val="single" w:color="auto" w:sz="4" w:space="0"/>
                    <w:bottom w:val="single" w:color="auto" w:sz="4" w:space="0"/>
                    <w:right w:val="single" w:color="auto" w:sz="4" w:space="0"/>
                  </w:tcBorders>
                  <w:vAlign w:val="center"/>
                </w:tcPr>
                <w:p>
                  <w:pPr>
                    <w:snapToGrid w:val="0"/>
                    <w:jc w:val="center"/>
                    <w:rPr>
                      <w:kern w:val="0"/>
                      <w:sz w:val="21"/>
                      <w:szCs w:val="21"/>
                    </w:rPr>
                  </w:pPr>
                  <w:r>
                    <w:rPr>
                      <w:rFonts w:hint="eastAsia"/>
                      <w:kern w:val="0"/>
                      <w:sz w:val="21"/>
                      <w:szCs w:val="21"/>
                    </w:rPr>
                    <w:t>回用水</w:t>
                  </w:r>
                </w:p>
              </w:tc>
              <w:tc>
                <w:tcPr>
                  <w:tcW w:w="41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kern w:val="0"/>
                      <w:sz w:val="21"/>
                      <w:szCs w:val="21"/>
                    </w:rPr>
                  </w:pPr>
                </w:p>
              </w:tc>
              <w:tc>
                <w:tcPr>
                  <w:tcW w:w="121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438" w:type="pct"/>
                  <w:tcBorders>
                    <w:left w:val="single" w:color="auto" w:sz="4" w:space="0"/>
                    <w:bottom w:val="single" w:color="auto" w:sz="4" w:space="0"/>
                    <w:right w:val="single" w:color="auto" w:sz="4" w:space="0"/>
                  </w:tcBorders>
                  <w:vAlign w:val="center"/>
                </w:tcPr>
                <w:p>
                  <w:pPr>
                    <w:snapToGrid w:val="0"/>
                    <w:jc w:val="center"/>
                    <w:rPr>
                      <w:rFonts w:hint="eastAsia" w:ascii="宋体" w:hAnsi="宋体"/>
                      <w:kern w:val="0"/>
                      <w:sz w:val="21"/>
                      <w:szCs w:val="21"/>
                    </w:rPr>
                  </w:pPr>
                  <w:r>
                    <w:rPr>
                      <w:rFonts w:hint="eastAsia" w:hAnsi="宋体"/>
                      <w:bCs/>
                      <w:sz w:val="21"/>
                      <w:szCs w:val="21"/>
                    </w:rPr>
                    <w:t>工艺用水</w:t>
                  </w:r>
                </w:p>
              </w:tc>
              <w:tc>
                <w:tcPr>
                  <w:tcW w:w="647"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sz w:val="21"/>
                      <w:szCs w:val="21"/>
                    </w:rPr>
                    <w:t>70000m</w:t>
                  </w:r>
                  <w:r>
                    <w:rPr>
                      <w:rFonts w:hint="eastAsia"/>
                      <w:sz w:val="21"/>
                      <w:szCs w:val="21"/>
                      <w:vertAlign w:val="superscript"/>
                    </w:rPr>
                    <w:t>3</w:t>
                  </w:r>
                </w:p>
              </w:tc>
              <w:tc>
                <w:tcPr>
                  <w:tcW w:w="761"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0.2m</w:t>
                  </w:r>
                  <w:r>
                    <w:rPr>
                      <w:rFonts w:hint="eastAsia" w:hAnsi="宋体"/>
                      <w:bCs/>
                      <w:sz w:val="21"/>
                      <w:szCs w:val="21"/>
                      <w:vertAlign w:val="superscript"/>
                    </w:rPr>
                    <w:t>3</w:t>
                  </w:r>
                  <w:r>
                    <w:rPr>
                      <w:rFonts w:hint="eastAsia" w:hAnsi="宋体"/>
                      <w:bCs/>
                      <w:sz w:val="21"/>
                      <w:szCs w:val="21"/>
                    </w:rPr>
                    <w:t>/m</w:t>
                  </w:r>
                  <w:r>
                    <w:rPr>
                      <w:rFonts w:hint="eastAsia" w:hAnsi="宋体"/>
                      <w:bCs/>
                      <w:sz w:val="21"/>
                      <w:szCs w:val="21"/>
                      <w:vertAlign w:val="superscript"/>
                    </w:rPr>
                    <w:t>3</w:t>
                  </w:r>
                  <w:r>
                    <w:rPr>
                      <w:rFonts w:hint="eastAsia" w:hAnsi="宋体"/>
                      <w:bCs/>
                      <w:sz w:val="21"/>
                      <w:szCs w:val="21"/>
                    </w:rPr>
                    <w:t>-预拌混凝土</w:t>
                  </w:r>
                </w:p>
              </w:tc>
              <w:tc>
                <w:tcPr>
                  <w:tcW w:w="506"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w:t>
                  </w:r>
                </w:p>
              </w:tc>
              <w:tc>
                <w:tcPr>
                  <w:tcW w:w="505"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13217</w:t>
                  </w:r>
                </w:p>
              </w:tc>
              <w:tc>
                <w:tcPr>
                  <w:tcW w:w="507"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1683</w:t>
                  </w:r>
                </w:p>
              </w:tc>
              <w:tc>
                <w:tcPr>
                  <w:tcW w:w="419"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w:t>
                  </w:r>
                </w:p>
              </w:tc>
              <w:tc>
                <w:tcPr>
                  <w:tcW w:w="1217"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jc w:val="center"/>
              </w:trPr>
              <w:tc>
                <w:tcPr>
                  <w:tcW w:w="438" w:type="pct"/>
                  <w:tcBorders>
                    <w:left w:val="single" w:color="auto" w:sz="4" w:space="0"/>
                    <w:bottom w:val="single" w:color="auto" w:sz="4" w:space="0"/>
                    <w:right w:val="single" w:color="auto" w:sz="4" w:space="0"/>
                  </w:tcBorders>
                  <w:vAlign w:val="center"/>
                </w:tcPr>
                <w:p>
                  <w:pPr>
                    <w:snapToGrid w:val="0"/>
                    <w:jc w:val="center"/>
                    <w:rPr>
                      <w:rFonts w:hint="eastAsia" w:ascii="宋体" w:hAnsi="宋体"/>
                      <w:kern w:val="0"/>
                      <w:sz w:val="21"/>
                      <w:szCs w:val="21"/>
                    </w:rPr>
                  </w:pPr>
                  <w:r>
                    <w:rPr>
                      <w:rFonts w:hint="eastAsia" w:hAnsi="宋体"/>
                      <w:bCs/>
                      <w:sz w:val="21"/>
                      <w:szCs w:val="21"/>
                    </w:rPr>
                    <w:t>设备清洗</w:t>
                  </w:r>
                </w:p>
              </w:tc>
              <w:tc>
                <w:tcPr>
                  <w:tcW w:w="647"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1套</w:t>
                  </w:r>
                </w:p>
              </w:tc>
              <w:tc>
                <w:tcPr>
                  <w:tcW w:w="761"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sz w:val="21"/>
                      <w:szCs w:val="21"/>
                    </w:rPr>
                    <w:t>2.5m</w:t>
                  </w:r>
                  <w:r>
                    <w:rPr>
                      <w:rFonts w:hint="eastAsia"/>
                      <w:sz w:val="21"/>
                      <w:szCs w:val="21"/>
                      <w:vertAlign w:val="superscript"/>
                    </w:rPr>
                    <w:t>3</w:t>
                  </w:r>
                  <w:r>
                    <w:rPr>
                      <w:rFonts w:hint="eastAsia"/>
                      <w:sz w:val="21"/>
                      <w:szCs w:val="21"/>
                    </w:rPr>
                    <w:t>/次</w:t>
                  </w:r>
                </w:p>
              </w:tc>
              <w:tc>
                <w:tcPr>
                  <w:tcW w:w="506"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w:t>
                  </w:r>
                </w:p>
              </w:tc>
              <w:tc>
                <w:tcPr>
                  <w:tcW w:w="505"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120</w:t>
                  </w:r>
                </w:p>
              </w:tc>
              <w:tc>
                <w:tcPr>
                  <w:tcW w:w="507"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w:t>
                  </w:r>
                </w:p>
              </w:tc>
              <w:tc>
                <w:tcPr>
                  <w:tcW w:w="419" w:type="pct"/>
                  <w:vMerge w:val="restart"/>
                  <w:tcBorders>
                    <w:top w:val="single" w:color="auto" w:sz="4" w:space="0"/>
                    <w:left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0.9</w:t>
                  </w:r>
                </w:p>
              </w:tc>
              <w:tc>
                <w:tcPr>
                  <w:tcW w:w="1217" w:type="pct"/>
                  <w:vMerge w:val="restart"/>
                  <w:tcBorders>
                    <w:top w:val="single" w:color="auto" w:sz="4" w:space="0"/>
                    <w:left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1683（回用于混凝土搅拌用水）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38"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罐车清洗</w:t>
                  </w:r>
                </w:p>
              </w:tc>
              <w:tc>
                <w:tcPr>
                  <w:tcW w:w="647"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7000次</w:t>
                  </w:r>
                </w:p>
              </w:tc>
              <w:tc>
                <w:tcPr>
                  <w:tcW w:w="761"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sz w:val="21"/>
                      <w:szCs w:val="21"/>
                    </w:rPr>
                  </w:pPr>
                  <w:r>
                    <w:rPr>
                      <w:sz w:val="21"/>
                      <w:szCs w:val="21"/>
                    </w:rPr>
                    <w:t>0.25m</w:t>
                  </w:r>
                  <w:r>
                    <w:rPr>
                      <w:sz w:val="21"/>
                      <w:szCs w:val="21"/>
                      <w:vertAlign w:val="superscript"/>
                    </w:rPr>
                    <w:t>3</w:t>
                  </w:r>
                  <w:r>
                    <w:rPr>
                      <w:sz w:val="21"/>
                      <w:szCs w:val="21"/>
                    </w:rPr>
                    <w:t>/次</w:t>
                  </w:r>
                </w:p>
              </w:tc>
              <w:tc>
                <w:tcPr>
                  <w:tcW w:w="506"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w:t>
                  </w:r>
                </w:p>
              </w:tc>
              <w:tc>
                <w:tcPr>
                  <w:tcW w:w="505"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1750</w:t>
                  </w:r>
                </w:p>
              </w:tc>
              <w:tc>
                <w:tcPr>
                  <w:tcW w:w="507"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w:t>
                  </w:r>
                </w:p>
              </w:tc>
              <w:tc>
                <w:tcPr>
                  <w:tcW w:w="419" w:type="pct"/>
                  <w:vMerge w:val="continue"/>
                  <w:tcBorders>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p>
              </w:tc>
              <w:tc>
                <w:tcPr>
                  <w:tcW w:w="1217" w:type="pct"/>
                  <w:vMerge w:val="continue"/>
                  <w:tcBorders>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38"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洒水抑尘用水</w:t>
                  </w:r>
                </w:p>
              </w:tc>
              <w:tc>
                <w:tcPr>
                  <w:tcW w:w="647"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7203.41m</w:t>
                  </w:r>
                  <w:r>
                    <w:rPr>
                      <w:rFonts w:hint="eastAsia" w:hAnsi="宋体"/>
                      <w:bCs/>
                      <w:sz w:val="21"/>
                      <w:szCs w:val="21"/>
                      <w:vertAlign w:val="superscript"/>
                    </w:rPr>
                    <w:t>2</w:t>
                  </w:r>
                </w:p>
              </w:tc>
              <w:tc>
                <w:tcPr>
                  <w:tcW w:w="761"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sz w:val="21"/>
                      <w:szCs w:val="21"/>
                    </w:rPr>
                    <w:t>2.0L/m</w:t>
                  </w:r>
                  <w:r>
                    <w:rPr>
                      <w:rFonts w:hint="eastAsia"/>
                      <w:sz w:val="21"/>
                      <w:szCs w:val="21"/>
                      <w:vertAlign w:val="superscript"/>
                    </w:rPr>
                    <w:t>2</w:t>
                  </w:r>
                  <w:r>
                    <w:rPr>
                      <w:rFonts w:hint="eastAsia"/>
                      <w:sz w:val="21"/>
                      <w:szCs w:val="21"/>
                    </w:rPr>
                    <w:t>·d</w:t>
                  </w:r>
                </w:p>
              </w:tc>
              <w:tc>
                <w:tcPr>
                  <w:tcW w:w="506"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w:t>
                  </w:r>
                </w:p>
              </w:tc>
              <w:tc>
                <w:tcPr>
                  <w:tcW w:w="505"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3457.64</w:t>
                  </w:r>
                </w:p>
              </w:tc>
              <w:tc>
                <w:tcPr>
                  <w:tcW w:w="507"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w:t>
                  </w:r>
                </w:p>
              </w:tc>
              <w:tc>
                <w:tcPr>
                  <w:tcW w:w="419"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w:t>
                  </w:r>
                </w:p>
              </w:tc>
              <w:tc>
                <w:tcPr>
                  <w:tcW w:w="1217"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38"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生活用水</w:t>
                  </w:r>
                </w:p>
              </w:tc>
              <w:tc>
                <w:tcPr>
                  <w:tcW w:w="647"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15人</w:t>
                  </w:r>
                </w:p>
              </w:tc>
              <w:tc>
                <w:tcPr>
                  <w:tcW w:w="761"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sz w:val="21"/>
                      <w:szCs w:val="21"/>
                    </w:rPr>
                    <w:t>50L/（人/日）</w:t>
                  </w:r>
                </w:p>
              </w:tc>
              <w:tc>
                <w:tcPr>
                  <w:tcW w:w="506"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180</w:t>
                  </w:r>
                </w:p>
              </w:tc>
              <w:tc>
                <w:tcPr>
                  <w:tcW w:w="505"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w:t>
                  </w:r>
                </w:p>
              </w:tc>
              <w:tc>
                <w:tcPr>
                  <w:tcW w:w="507"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w:t>
                  </w:r>
                </w:p>
              </w:tc>
              <w:tc>
                <w:tcPr>
                  <w:tcW w:w="419"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0.8</w:t>
                  </w:r>
                </w:p>
              </w:tc>
              <w:tc>
                <w:tcPr>
                  <w:tcW w:w="1217"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144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38"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绿化用水</w:t>
                  </w:r>
                </w:p>
              </w:tc>
              <w:tc>
                <w:tcPr>
                  <w:tcW w:w="647"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200m</w:t>
                  </w:r>
                  <w:r>
                    <w:rPr>
                      <w:rFonts w:hint="eastAsia" w:hAnsi="宋体"/>
                      <w:bCs/>
                      <w:sz w:val="21"/>
                      <w:szCs w:val="21"/>
                      <w:vertAlign w:val="superscript"/>
                    </w:rPr>
                    <w:t>2</w:t>
                  </w:r>
                </w:p>
              </w:tc>
              <w:tc>
                <w:tcPr>
                  <w:tcW w:w="761"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sz w:val="21"/>
                      <w:szCs w:val="21"/>
                    </w:rPr>
                  </w:pPr>
                  <w:r>
                    <w:rPr>
                      <w:rFonts w:hint="eastAsia"/>
                      <w:sz w:val="21"/>
                      <w:szCs w:val="21"/>
                    </w:rPr>
                    <w:t>2L/m</w:t>
                  </w:r>
                  <w:r>
                    <w:rPr>
                      <w:rFonts w:hint="eastAsia"/>
                      <w:sz w:val="21"/>
                      <w:szCs w:val="21"/>
                      <w:vertAlign w:val="superscript"/>
                    </w:rPr>
                    <w:t>2</w:t>
                  </w:r>
                </w:p>
              </w:tc>
              <w:tc>
                <w:tcPr>
                  <w:tcW w:w="506"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72</w:t>
                  </w:r>
                </w:p>
              </w:tc>
              <w:tc>
                <w:tcPr>
                  <w:tcW w:w="505"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w:t>
                  </w:r>
                </w:p>
              </w:tc>
              <w:tc>
                <w:tcPr>
                  <w:tcW w:w="507"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w:t>
                  </w:r>
                </w:p>
              </w:tc>
              <w:tc>
                <w:tcPr>
                  <w:tcW w:w="419"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w:t>
                  </w:r>
                </w:p>
              </w:tc>
              <w:tc>
                <w:tcPr>
                  <w:tcW w:w="1217"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438"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合计</w:t>
                  </w:r>
                </w:p>
              </w:tc>
              <w:tc>
                <w:tcPr>
                  <w:tcW w:w="647"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w:t>
                  </w:r>
                </w:p>
              </w:tc>
              <w:tc>
                <w:tcPr>
                  <w:tcW w:w="761"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w:t>
                  </w:r>
                </w:p>
              </w:tc>
              <w:tc>
                <w:tcPr>
                  <w:tcW w:w="506"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252</w:t>
                  </w:r>
                </w:p>
              </w:tc>
              <w:tc>
                <w:tcPr>
                  <w:tcW w:w="505"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18544.64</w:t>
                  </w:r>
                </w:p>
              </w:tc>
              <w:tc>
                <w:tcPr>
                  <w:tcW w:w="507"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1683</w:t>
                  </w:r>
                </w:p>
              </w:tc>
              <w:tc>
                <w:tcPr>
                  <w:tcW w:w="419"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w:t>
                  </w:r>
                </w:p>
              </w:tc>
              <w:tc>
                <w:tcPr>
                  <w:tcW w:w="1217" w:type="pct"/>
                  <w:tcBorders>
                    <w:top w:val="single" w:color="auto" w:sz="4" w:space="0"/>
                    <w:left w:val="single" w:color="auto" w:sz="4" w:space="0"/>
                    <w:bottom w:val="single" w:color="auto" w:sz="4" w:space="0"/>
                    <w:right w:val="single" w:color="auto" w:sz="4" w:space="0"/>
                  </w:tcBorders>
                  <w:vAlign w:val="center"/>
                </w:tcPr>
                <w:p>
                  <w:pPr>
                    <w:pStyle w:val="56"/>
                    <w:spacing w:line="240" w:lineRule="auto"/>
                    <w:ind w:firstLine="0" w:firstLineChars="0"/>
                    <w:jc w:val="center"/>
                    <w:rPr>
                      <w:rFonts w:hint="eastAsia" w:hAnsi="宋体"/>
                      <w:bCs/>
                      <w:sz w:val="21"/>
                      <w:szCs w:val="21"/>
                    </w:rPr>
                  </w:pPr>
                  <w:r>
                    <w:rPr>
                      <w:rFonts w:hint="eastAsia" w:hAnsi="宋体"/>
                      <w:bCs/>
                      <w:sz w:val="21"/>
                      <w:szCs w:val="21"/>
                    </w:rPr>
                    <w:t>1827</w:t>
                  </w:r>
                </w:p>
              </w:tc>
            </w:tr>
          </w:tbl>
          <w:p>
            <w:pPr>
              <w:pStyle w:val="10"/>
              <w:ind w:firstLine="0" w:firstLineChars="0"/>
              <w:jc w:val="center"/>
              <w:rPr>
                <w:b/>
                <w:bCs/>
              </w:rPr>
            </w:pPr>
            <w:r>
              <w:object>
                <v:shape id="_x0000_i1025" o:spt="75" type="#_x0000_t75" style="height:229.2pt;width:353.3pt;" o:ole="t" filled="f" o:preferrelative="t" stroked="f" coordsize="21600,21600">
                  <v:path/>
                  <v:fill on="f" focussize="0,0"/>
                  <v:stroke on="f" joinstyle="miter"/>
                  <v:imagedata r:id="rId10" o:title=""/>
                  <o:lock v:ext="edit" aspectratio="t"/>
                  <w10:wrap type="none"/>
                  <w10:anchorlock/>
                </v:shape>
                <o:OLEObject Type="Embed" ProgID="Visio.Drawing.15" ShapeID="_x0000_i1025" DrawAspect="Content" ObjectID="_1468075725" r:id="rId9">
                  <o:LockedField>false</o:LockedField>
                </o:OLEObject>
              </w:object>
            </w:r>
          </w:p>
          <w:p>
            <w:pPr>
              <w:pStyle w:val="10"/>
              <w:ind w:firstLine="0" w:firstLineChars="0"/>
              <w:jc w:val="center"/>
              <w:rPr>
                <w:b/>
                <w:bCs/>
              </w:rPr>
            </w:pPr>
            <w:r>
              <w:rPr>
                <w:rFonts w:hint="eastAsia"/>
                <w:b/>
                <w:bCs/>
              </w:rPr>
              <w:t>图2-1     项目用水平衡图      单位：m</w:t>
            </w:r>
            <w:r>
              <w:rPr>
                <w:rFonts w:hint="eastAsia"/>
                <w:b/>
                <w:bCs/>
                <w:vertAlign w:val="superscript"/>
              </w:rPr>
              <w:t>3</w:t>
            </w:r>
            <w:r>
              <w:rPr>
                <w:rFonts w:hint="eastAsia"/>
                <w:b/>
                <w:bCs/>
              </w:rPr>
              <w:t>/a</w:t>
            </w:r>
          </w:p>
          <w:p>
            <w:pPr>
              <w:pStyle w:val="56"/>
              <w:ind w:firstLine="482"/>
            </w:pPr>
            <w:r>
              <w:rPr>
                <w:rFonts w:hint="eastAsia"/>
                <w:b/>
                <w:sz w:val="24"/>
                <w:szCs w:val="24"/>
              </w:rPr>
              <w:t>8、平面布置</w:t>
            </w:r>
          </w:p>
          <w:p>
            <w:pPr>
              <w:pStyle w:val="10"/>
              <w:ind w:firstLine="480"/>
              <w:jc w:val="left"/>
            </w:pPr>
            <w:r>
              <w:rPr>
                <w:rFonts w:hint="eastAsia"/>
              </w:rPr>
              <w:t>项目总占地面积为16016m</w:t>
            </w:r>
            <w:r>
              <w:rPr>
                <w:rFonts w:hint="eastAsia"/>
                <w:vertAlign w:val="superscript"/>
              </w:rPr>
              <w:t>2</w:t>
            </w:r>
            <w:r>
              <w:rPr>
                <w:rFonts w:hint="eastAsia"/>
              </w:rPr>
              <w:t>，建设内容主要为原料储库、混凝土搅拌机、4套储罐，原料储库及混凝土搅拌机均布置于已建成全封闭储棚内。</w:t>
            </w:r>
          </w:p>
          <w:p>
            <w:pPr>
              <w:pStyle w:val="10"/>
              <w:ind w:firstLine="480"/>
              <w:jc w:val="left"/>
            </w:pPr>
            <w:r>
              <w:rPr>
                <w:rFonts w:hint="eastAsia"/>
              </w:rPr>
              <w:t>本项目平面布置图具体见附图2。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71" w:hRule="atLeast"/>
          <w:jc w:val="center"/>
        </w:trPr>
        <w:tc>
          <w:tcPr>
            <w:tcW w:w="823" w:type="dxa"/>
            <w:vAlign w:val="center"/>
          </w:tcPr>
          <w:p>
            <w:pPr>
              <w:pStyle w:val="17"/>
              <w:adjustRightInd w:val="0"/>
              <w:snapToGrid w:val="0"/>
              <w:spacing w:before="0" w:beforeAutospacing="0" w:after="0" w:afterAutospacing="0"/>
              <w:jc w:val="center"/>
              <w:rPr>
                <w:rFonts w:hint="eastAsia" w:cs="宋体"/>
                <w:sz w:val="21"/>
                <w:szCs w:val="21"/>
              </w:rPr>
            </w:pPr>
            <w:r>
              <w:rPr>
                <w:rFonts w:hint="eastAsia" w:cs="宋体"/>
                <w:szCs w:val="24"/>
              </w:rPr>
              <w:t>工艺流程和产排污环节</w:t>
            </w:r>
          </w:p>
        </w:tc>
        <w:tc>
          <w:tcPr>
            <w:tcW w:w="8161" w:type="dxa"/>
          </w:tcPr>
          <w:p>
            <w:pPr>
              <w:pStyle w:val="10"/>
              <w:ind w:firstLine="482"/>
              <w:rPr>
                <w:b/>
              </w:rPr>
            </w:pPr>
            <w:r>
              <w:rPr>
                <w:rFonts w:hint="eastAsia"/>
                <w:b/>
              </w:rPr>
              <w:t>1、运营期工艺流程及产排污环节</w:t>
            </w:r>
          </w:p>
          <w:p>
            <w:pPr>
              <w:pStyle w:val="56"/>
              <w:ind w:firstLine="480"/>
              <w:rPr>
                <w:sz w:val="24"/>
                <w:szCs w:val="24"/>
              </w:rPr>
            </w:pPr>
            <w:r>
              <w:rPr>
                <w:rFonts w:hint="eastAsia"/>
                <w:sz w:val="24"/>
                <w:szCs w:val="24"/>
              </w:rPr>
              <w:t>石料由市场购买，通过汽车运输至项目区原料储库储存待用；外购水泥、粉煤灰</w:t>
            </w:r>
            <w:r>
              <w:rPr>
                <w:rFonts w:hint="eastAsia" w:hAnsi="宋体"/>
                <w:bCs/>
                <w:sz w:val="24"/>
              </w:rPr>
              <w:t>由罐车拉运至厂区，并由气力输送至储罐贮存待用。</w:t>
            </w:r>
          </w:p>
          <w:p>
            <w:pPr>
              <w:pStyle w:val="56"/>
              <w:ind w:firstLine="480"/>
              <w:rPr>
                <w:sz w:val="24"/>
                <w:szCs w:val="24"/>
              </w:rPr>
            </w:pPr>
            <w:r>
              <w:rPr>
                <w:rFonts w:hint="eastAsia"/>
                <w:sz w:val="24"/>
                <w:szCs w:val="24"/>
              </w:rPr>
              <w:t>石料</w:t>
            </w:r>
            <w:r>
              <w:rPr>
                <w:sz w:val="24"/>
                <w:szCs w:val="24"/>
              </w:rPr>
              <w:t>通过装载机从</w:t>
            </w:r>
            <w:r>
              <w:rPr>
                <w:rFonts w:hint="eastAsia"/>
                <w:sz w:val="24"/>
                <w:szCs w:val="24"/>
              </w:rPr>
              <w:t>原料储库</w:t>
            </w:r>
            <w:r>
              <w:rPr>
                <w:sz w:val="24"/>
                <w:szCs w:val="24"/>
              </w:rPr>
              <w:t>运到待料仓，</w:t>
            </w:r>
            <w:r>
              <w:rPr>
                <w:rFonts w:hint="eastAsia"/>
                <w:sz w:val="24"/>
                <w:szCs w:val="24"/>
              </w:rPr>
              <w:t>转运过程全部在全封闭储棚内进行，</w:t>
            </w:r>
            <w:r>
              <w:rPr>
                <w:sz w:val="24"/>
                <w:szCs w:val="24"/>
              </w:rPr>
              <w:t>待料仓与骨料称量装置相接。</w:t>
            </w:r>
          </w:p>
          <w:p>
            <w:pPr>
              <w:pStyle w:val="56"/>
              <w:ind w:firstLine="480"/>
              <w:rPr>
                <w:sz w:val="24"/>
                <w:szCs w:val="24"/>
              </w:rPr>
            </w:pPr>
            <w:r>
              <w:rPr>
                <w:rFonts w:hint="eastAsia"/>
                <w:sz w:val="24"/>
                <w:szCs w:val="24"/>
              </w:rPr>
              <w:t>进厂石料粒径＞70mm，石料进入给料斗由皮带输送至圆锥破碎机进行一级破碎，通过一级破碎后物料粒径为13mm，一级破碎后的石子通过皮带输送机输送至立轴锤式破碎机进行二级破碎，二级破碎后物料粒径＞4.75mm的物料为粗骨料，粒径＜4.75mm的石料进入多辊破碎机进行三次破碎，经三级破碎完成后的石子粒径＜4.75mm，即为砂石料，所有破碎完成后的物料通过输送皮带转运至待料仓待用。</w:t>
            </w:r>
          </w:p>
          <w:p>
            <w:pPr>
              <w:pStyle w:val="56"/>
              <w:ind w:firstLine="480"/>
              <w:rPr>
                <w:sz w:val="24"/>
                <w:szCs w:val="24"/>
              </w:rPr>
            </w:pPr>
            <w:r>
              <w:rPr>
                <w:sz w:val="24"/>
                <w:szCs w:val="24"/>
              </w:rPr>
              <w:t>搅拌机工作时，骨料称量装置称量一定量的</w:t>
            </w:r>
            <w:r>
              <w:rPr>
                <w:rFonts w:hint="eastAsia"/>
                <w:sz w:val="24"/>
                <w:szCs w:val="24"/>
              </w:rPr>
              <w:t>粗骨料</w:t>
            </w:r>
            <w:r>
              <w:rPr>
                <w:sz w:val="24"/>
                <w:szCs w:val="24"/>
              </w:rPr>
              <w:t>、</w:t>
            </w:r>
            <w:r>
              <w:rPr>
                <w:rFonts w:hint="eastAsia"/>
                <w:sz w:val="24"/>
                <w:szCs w:val="24"/>
              </w:rPr>
              <w:t>砂石料</w:t>
            </w:r>
            <w:r>
              <w:rPr>
                <w:sz w:val="24"/>
                <w:szCs w:val="24"/>
              </w:rPr>
              <w:t>，由</w:t>
            </w:r>
            <w:r>
              <w:rPr>
                <w:rFonts w:hint="eastAsia"/>
                <w:sz w:val="24"/>
                <w:szCs w:val="24"/>
              </w:rPr>
              <w:t>封闭式</w:t>
            </w:r>
            <w:r>
              <w:rPr>
                <w:sz w:val="24"/>
                <w:szCs w:val="24"/>
              </w:rPr>
              <w:t>水平胶带机、上料胶带机传送至混凝土搅拌系统</w:t>
            </w:r>
            <w:r>
              <w:rPr>
                <w:rFonts w:hint="eastAsia"/>
                <w:sz w:val="24"/>
                <w:szCs w:val="24"/>
              </w:rPr>
              <w:t>。</w:t>
            </w:r>
          </w:p>
          <w:p>
            <w:pPr>
              <w:pStyle w:val="56"/>
              <w:ind w:firstLine="480"/>
              <w:rPr>
                <w:sz w:val="24"/>
                <w:szCs w:val="24"/>
              </w:rPr>
            </w:pPr>
            <w:r>
              <w:rPr>
                <w:rFonts w:hint="eastAsia"/>
                <w:sz w:val="24"/>
                <w:szCs w:val="24"/>
              </w:rPr>
              <w:t>水泥、粉煤灰仓中的水泥、粉煤灰经过计量装置计量后，由螺旋输送机输送至搅拌系统。</w:t>
            </w:r>
          </w:p>
          <w:p>
            <w:pPr>
              <w:pStyle w:val="56"/>
              <w:ind w:firstLine="480"/>
              <w:rPr>
                <w:sz w:val="24"/>
                <w:szCs w:val="24"/>
              </w:rPr>
            </w:pPr>
            <w:r>
              <w:rPr>
                <w:sz w:val="24"/>
                <w:szCs w:val="24"/>
              </w:rPr>
              <w:t>水称量装置称量一定量的水由水泵抽至搅拌机</w:t>
            </w:r>
            <w:r>
              <w:rPr>
                <w:rFonts w:hint="eastAsia"/>
                <w:sz w:val="24"/>
                <w:szCs w:val="24"/>
              </w:rPr>
              <w:t>中。</w:t>
            </w:r>
          </w:p>
          <w:p>
            <w:pPr>
              <w:pStyle w:val="56"/>
              <w:ind w:firstLine="480"/>
              <w:rPr>
                <w:sz w:val="24"/>
                <w:szCs w:val="24"/>
              </w:rPr>
            </w:pPr>
            <w:r>
              <w:rPr>
                <w:sz w:val="24"/>
                <w:szCs w:val="24"/>
              </w:rPr>
              <w:t>项目</w:t>
            </w:r>
            <w:r>
              <w:rPr>
                <w:rFonts w:hint="eastAsia"/>
                <w:sz w:val="24"/>
                <w:szCs w:val="24"/>
              </w:rPr>
              <w:t>设1</w:t>
            </w:r>
            <w:r>
              <w:rPr>
                <w:sz w:val="24"/>
                <w:szCs w:val="24"/>
              </w:rPr>
              <w:t>套搅拌机系统，在搅拌机中</w:t>
            </w:r>
            <w:r>
              <w:rPr>
                <w:rFonts w:hint="eastAsia"/>
                <w:sz w:val="24"/>
                <w:szCs w:val="24"/>
              </w:rPr>
              <w:t>水</w:t>
            </w:r>
            <w:r>
              <w:rPr>
                <w:sz w:val="24"/>
                <w:szCs w:val="24"/>
              </w:rPr>
              <w:t>与</w:t>
            </w:r>
            <w:r>
              <w:rPr>
                <w:rFonts w:hint="eastAsia"/>
                <w:sz w:val="24"/>
                <w:szCs w:val="24"/>
              </w:rPr>
              <w:t>粗骨料、砂石料、</w:t>
            </w:r>
            <w:r>
              <w:rPr>
                <w:sz w:val="24"/>
                <w:szCs w:val="24"/>
              </w:rPr>
              <w:t>水泥</w:t>
            </w:r>
            <w:r>
              <w:rPr>
                <w:rFonts w:hint="eastAsia"/>
                <w:sz w:val="24"/>
                <w:szCs w:val="24"/>
              </w:rPr>
              <w:t>、</w:t>
            </w:r>
            <w:r>
              <w:rPr>
                <w:sz w:val="24"/>
                <w:szCs w:val="24"/>
              </w:rPr>
              <w:t>粉煤灰</w:t>
            </w:r>
            <w:r>
              <w:rPr>
                <w:rFonts w:hint="eastAsia"/>
                <w:sz w:val="24"/>
                <w:szCs w:val="24"/>
              </w:rPr>
              <w:t>、</w:t>
            </w:r>
            <w:r>
              <w:rPr>
                <w:sz w:val="24"/>
                <w:szCs w:val="24"/>
              </w:rPr>
              <w:t>外加剂等充分搅拌混合</w:t>
            </w:r>
            <w:r>
              <w:rPr>
                <w:rFonts w:hint="eastAsia"/>
                <w:sz w:val="24"/>
                <w:szCs w:val="24"/>
              </w:rPr>
              <w:t>，</w:t>
            </w:r>
            <w:r>
              <w:rPr>
                <w:sz w:val="24"/>
                <w:szCs w:val="24"/>
              </w:rPr>
              <w:t>搅拌的成品由出料口输出</w:t>
            </w:r>
            <w:r>
              <w:rPr>
                <w:rFonts w:hint="eastAsia"/>
                <w:sz w:val="24"/>
                <w:szCs w:val="24"/>
              </w:rPr>
              <w:t>，</w:t>
            </w:r>
            <w:r>
              <w:rPr>
                <w:sz w:val="24"/>
                <w:szCs w:val="24"/>
              </w:rPr>
              <w:t>出料口与混凝土搅拌对接并输送</w:t>
            </w:r>
            <w:r>
              <w:rPr>
                <w:rFonts w:hint="eastAsia"/>
                <w:sz w:val="24"/>
                <w:szCs w:val="24"/>
              </w:rPr>
              <w:t>，</w:t>
            </w:r>
            <w:r>
              <w:rPr>
                <w:sz w:val="24"/>
                <w:szCs w:val="24"/>
              </w:rPr>
              <w:t>装车运往外界使用。整个生产过程采用全密闭、湿法作业。</w:t>
            </w:r>
          </w:p>
          <w:p>
            <w:pPr>
              <w:pStyle w:val="56"/>
              <w:ind w:firstLine="480"/>
              <w:rPr>
                <w:sz w:val="24"/>
                <w:szCs w:val="24"/>
              </w:rPr>
            </w:pPr>
            <w:r>
              <w:rPr>
                <w:rFonts w:hint="eastAsia"/>
                <w:sz w:val="24"/>
                <w:szCs w:val="24"/>
              </w:rPr>
              <w:t>搅拌机系统临时停产时，需对搅拌机内部进行清洗；</w:t>
            </w:r>
            <w:r>
              <w:rPr>
                <w:sz w:val="24"/>
                <w:szCs w:val="24"/>
              </w:rPr>
              <w:t>混凝土搅拌</w:t>
            </w:r>
            <w:r>
              <w:rPr>
                <w:rFonts w:hint="eastAsia"/>
                <w:sz w:val="24"/>
                <w:szCs w:val="24"/>
              </w:rPr>
              <w:t>罐</w:t>
            </w:r>
            <w:r>
              <w:rPr>
                <w:sz w:val="24"/>
                <w:szCs w:val="24"/>
              </w:rPr>
              <w:t>车每次完成运输任务后，搅拌筒内部须进行冲洗。</w:t>
            </w:r>
            <w:r>
              <w:rPr>
                <w:rFonts w:hint="eastAsia"/>
                <w:sz w:val="24"/>
                <w:szCs w:val="24"/>
              </w:rPr>
              <w:t>上述冲洗后的废水排放到沉淀池，经沉淀池处理后的水回用于工艺用水，沉淀池中沉淀出来的</w:t>
            </w:r>
            <w:r>
              <w:rPr>
                <w:sz w:val="24"/>
                <w:szCs w:val="24"/>
              </w:rPr>
              <w:t>砂石</w:t>
            </w:r>
            <w:r>
              <w:rPr>
                <w:rFonts w:hint="eastAsia"/>
                <w:sz w:val="24"/>
                <w:szCs w:val="24"/>
              </w:rPr>
              <w:t>回用于生产作为原料，不外排</w:t>
            </w:r>
            <w:r>
              <w:rPr>
                <w:sz w:val="24"/>
                <w:szCs w:val="24"/>
              </w:rPr>
              <w:t>。</w:t>
            </w:r>
          </w:p>
          <w:p>
            <w:pPr>
              <w:pStyle w:val="56"/>
              <w:ind w:firstLine="480"/>
              <w:rPr>
                <w:sz w:val="24"/>
                <w:szCs w:val="24"/>
              </w:rPr>
            </w:pPr>
            <w:r>
              <w:rPr>
                <w:rFonts w:hint="eastAsia"/>
                <w:sz w:val="24"/>
                <w:szCs w:val="24"/>
              </w:rPr>
              <w:t>搅拌系统在出现人为操作失误时，可能出现不合格产品，不合格产品主要为水添加过量造成。此时重新返回搅拌系统，并按比例加入其他原辅料即可使不合格产品转变为合格产品。</w:t>
            </w:r>
          </w:p>
          <w:p>
            <w:pPr>
              <w:pStyle w:val="56"/>
              <w:ind w:firstLine="482"/>
              <w:rPr>
                <w:b/>
                <w:sz w:val="24"/>
              </w:rPr>
            </w:pPr>
            <w:r>
              <w:rPr>
                <w:rFonts w:hint="eastAsia"/>
                <w:b/>
                <w:sz w:val="24"/>
              </w:rPr>
              <w:t>2、产污分析</w:t>
            </w:r>
          </w:p>
          <w:p>
            <w:pPr>
              <w:spacing w:line="360" w:lineRule="auto"/>
              <w:ind w:firstLine="472" w:firstLineChars="196"/>
            </w:pPr>
            <w:r>
              <w:rPr>
                <w:rFonts w:hint="eastAsia" w:hAnsi="宋体"/>
                <w:b/>
                <w:kern w:val="0"/>
              </w:rPr>
              <w:t>废气：</w:t>
            </w:r>
            <w:r>
              <w:rPr>
                <w:rFonts w:hint="eastAsia" w:hAnsi="宋体"/>
                <w:bCs/>
                <w:kern w:val="0"/>
              </w:rPr>
              <w:t>石料在全封闭原料储库内装卸、转运过程产生的粉尘，原料储库为全封闭结构，可有效抑制粉尘产生及排放量；</w:t>
            </w:r>
            <w:r>
              <w:rPr>
                <w:rFonts w:hAnsi="宋体"/>
                <w:bCs/>
                <w:kern w:val="0"/>
              </w:rPr>
              <w:t>砂石物料输送采用</w:t>
            </w:r>
            <w:r>
              <w:rPr>
                <w:rFonts w:hint="eastAsia" w:hAnsi="宋体"/>
                <w:bCs/>
                <w:kern w:val="0"/>
              </w:rPr>
              <w:t>封闭</w:t>
            </w:r>
            <w:r>
              <w:rPr>
                <w:rFonts w:hAnsi="宋体"/>
                <w:bCs/>
                <w:kern w:val="0"/>
              </w:rPr>
              <w:t>式皮带输送，收料口密闭对接主机，产生的粉尘由主体设备排放；</w:t>
            </w:r>
            <w:r>
              <w:rPr>
                <w:rFonts w:hint="eastAsia" w:hAnsi="宋体"/>
                <w:bCs/>
                <w:kern w:val="0"/>
              </w:rPr>
              <w:t>水泥、粉煤灰在筒仓转运过程产生的粉尘，经仓顶配置的布袋除尘器处理后由仓顶排气口排放；破碎工序过程会产生一定量的粉尘，采取布袋除尘器处理，处理后汇集至1根15m高排气筒排放；搅拌机系统物料混合过程产生的粉尘</w:t>
            </w:r>
            <w:r>
              <w:rPr>
                <w:rFonts w:hint="eastAsia"/>
              </w:rPr>
              <w:t>，</w:t>
            </w:r>
            <w:r>
              <w:rPr>
                <w:rFonts w:hint="eastAsia" w:hAnsi="宋体"/>
                <w:bCs/>
                <w:kern w:val="0"/>
              </w:rPr>
              <w:t>采用布袋除尘器处理后由搅拌塔楼顶部排气口排放。</w:t>
            </w:r>
          </w:p>
          <w:p>
            <w:pPr>
              <w:spacing w:line="360" w:lineRule="auto"/>
              <w:ind w:firstLine="472" w:firstLineChars="196"/>
            </w:pPr>
            <w:r>
              <w:rPr>
                <w:rFonts w:hint="eastAsia"/>
                <w:b/>
                <w:bCs/>
              </w:rPr>
              <w:t>废水：</w:t>
            </w:r>
            <w:r>
              <w:rPr>
                <w:rFonts w:hint="eastAsia"/>
              </w:rPr>
              <w:t>主要为搅拌机系统及</w:t>
            </w:r>
            <w:r>
              <w:t>混凝土搅拌</w:t>
            </w:r>
            <w:r>
              <w:rPr>
                <w:rFonts w:hint="eastAsia"/>
              </w:rPr>
              <w:t>罐</w:t>
            </w:r>
            <w:r>
              <w:t>车</w:t>
            </w:r>
            <w:r>
              <w:rPr>
                <w:rFonts w:hint="eastAsia"/>
              </w:rPr>
              <w:t>清洗废水，排入沉淀池处理，处理后用于工艺用水，不外排；生活污水经化粪池处理，处理后定期拉运至内蒙古神东天隆集团股份有限公司霍洛湾煤矿处理，不外排。</w:t>
            </w:r>
          </w:p>
          <w:p>
            <w:pPr>
              <w:spacing w:line="360" w:lineRule="auto"/>
              <w:ind w:firstLine="472" w:firstLineChars="196"/>
            </w:pPr>
            <w:r>
              <w:rPr>
                <w:rFonts w:hint="eastAsia"/>
                <w:b/>
                <w:bCs/>
              </w:rPr>
              <w:t>噪声：</w:t>
            </w:r>
            <w:r>
              <w:rPr>
                <w:rFonts w:hint="eastAsia"/>
              </w:rPr>
              <w:t>主要噪声源为转运设备、皮带输送机、搅拌机及泵等设备。</w:t>
            </w:r>
          </w:p>
          <w:p>
            <w:pPr>
              <w:spacing w:line="360" w:lineRule="auto"/>
              <w:ind w:firstLine="472" w:firstLineChars="196"/>
            </w:pPr>
            <w:r>
              <w:rPr>
                <w:rFonts w:hint="eastAsia"/>
                <w:b/>
                <w:bCs/>
              </w:rPr>
              <w:t>固废：</w:t>
            </w:r>
            <w:r>
              <w:rPr>
                <w:rFonts w:hint="eastAsia"/>
              </w:rPr>
              <w:t>主要包括布袋除尘器收集的粉尘，清理后用作原料，不外排；沉淀池定期清理的砂石回用于生产作为原料，不外排；</w:t>
            </w:r>
            <w:r>
              <w:rPr>
                <w:rFonts w:hint="eastAsia" w:ascii="宋体" w:hAnsi="宋体"/>
                <w:szCs w:val="21"/>
              </w:rPr>
              <w:t>废旧布袋集中收集，收集后由厂家回收利用，不外排。</w:t>
            </w:r>
          </w:p>
          <w:p>
            <w:pPr>
              <w:spacing w:line="360" w:lineRule="auto"/>
              <w:ind w:firstLine="480" w:firstLineChars="200"/>
              <w:rPr>
                <w:rFonts w:hint="eastAsia" w:ascii="宋体" w:hAnsi="宋体"/>
              </w:rPr>
            </w:pPr>
            <w:r>
              <w:rPr>
                <w:rFonts w:hint="eastAsia" w:ascii="宋体" w:hAnsi="宋体"/>
              </w:rPr>
              <w:t>本项目生产工艺流程及产污节点图见图2-2。</w:t>
            </w:r>
          </w:p>
          <w:p>
            <w:pPr>
              <w:pStyle w:val="2"/>
              <w:ind w:firstLine="0"/>
              <w:jc w:val="center"/>
              <w:rPr>
                <w:rFonts w:hint="eastAsia" w:ascii="宋体" w:hAnsi="宋体"/>
                <w:b/>
              </w:rPr>
            </w:pPr>
            <w:r>
              <w:object>
                <v:shape id="_x0000_i1026" o:spt="75" type="#_x0000_t75" style="height:191.15pt;width:392.75pt;" o:ole="t" filled="f" o:preferrelative="t" stroked="f" coordsize="21600,21600">
                  <v:path/>
                  <v:fill on="f" focussize="0,0"/>
                  <v:stroke on="f" joinstyle="miter"/>
                  <v:imagedata r:id="rId12" o:title=""/>
                  <o:lock v:ext="edit" aspectratio="t"/>
                  <w10:wrap type="none"/>
                  <w10:anchorlock/>
                </v:shape>
                <o:OLEObject Type="Embed" ProgID="Visio.Drawing.15" ShapeID="_x0000_i1026" DrawAspect="Content" ObjectID="_1468075726" r:id="rId11">
                  <o:LockedField>false</o:LockedField>
                </o:OLEObject>
              </w:object>
            </w:r>
          </w:p>
          <w:p>
            <w:pPr>
              <w:pStyle w:val="2"/>
              <w:jc w:val="center"/>
            </w:pPr>
            <w:r>
              <w:rPr>
                <w:rFonts w:hint="eastAsia" w:ascii="宋体" w:hAnsi="宋体"/>
                <w:b/>
              </w:rPr>
              <w:t>图</w:t>
            </w:r>
            <w:r>
              <w:rPr>
                <w:rFonts w:hint="eastAsia"/>
                <w:b/>
              </w:rPr>
              <w:t>2-2</w:t>
            </w:r>
            <w:r>
              <w:rPr>
                <w:b/>
              </w:rPr>
              <w:t xml:space="preserve"> </w:t>
            </w:r>
            <w:r>
              <w:rPr>
                <w:rFonts w:hint="eastAsia" w:ascii="宋体" w:hAnsi="宋体"/>
                <w:b/>
              </w:rPr>
              <w:t xml:space="preserve">  本项目生产工艺流程及产污环节图</w:t>
            </w:r>
          </w:p>
          <w:p>
            <w:pPr>
              <w:pStyle w:val="10"/>
              <w:spacing w:line="240" w:lineRule="auto"/>
              <w:ind w:firstLine="482"/>
              <w:rPr>
                <w:b/>
              </w:rPr>
            </w:pPr>
          </w:p>
          <w:p>
            <w:pPr>
              <w:pStyle w:val="10"/>
              <w:ind w:firstLine="482"/>
              <w:rPr>
                <w:b/>
              </w:rPr>
            </w:pPr>
            <w:r>
              <w:rPr>
                <w:rFonts w:hint="eastAsia"/>
                <w:b/>
              </w:rPr>
              <w:t>3、污染因素汇总</w:t>
            </w:r>
          </w:p>
          <w:p>
            <w:pPr>
              <w:pStyle w:val="44"/>
              <w:spacing w:line="360" w:lineRule="auto"/>
              <w:ind w:firstLine="480" w:firstLineChars="200"/>
              <w:rPr>
                <w:rFonts w:hint="eastAsia" w:ascii="宋体" w:hAnsi="宋体"/>
                <w:bCs/>
                <w:szCs w:val="24"/>
              </w:rPr>
            </w:pPr>
            <w:r>
              <w:rPr>
                <w:rFonts w:hint="eastAsia" w:ascii="宋体" w:hAnsi="宋体"/>
                <w:bCs/>
                <w:szCs w:val="24"/>
              </w:rPr>
              <w:t>根据工艺流程及产污环节分析，本项目运营期主要污染源汇总详见表2-10。</w:t>
            </w:r>
          </w:p>
          <w:p>
            <w:pPr>
              <w:jc w:val="center"/>
              <w:rPr>
                <w:rFonts w:ascii="宋体" w:hAnsi="Calibri"/>
                <w:b/>
              </w:rPr>
            </w:pPr>
            <w:r>
              <w:rPr>
                <w:rFonts w:hint="eastAsia"/>
                <w:b/>
              </w:rPr>
              <w:t>表2-10  建设项目产排污环节分析一览表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71"/>
              <w:gridCol w:w="1440"/>
              <w:gridCol w:w="2685"/>
              <w:gridCol w:w="708"/>
              <w:gridCol w:w="27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jc w:val="center"/>
              </w:trPr>
              <w:tc>
                <w:tcPr>
                  <w:tcW w:w="462"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污染</w:t>
                  </w:r>
                </w:p>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类别</w:t>
                  </w:r>
                </w:p>
              </w:tc>
              <w:tc>
                <w:tcPr>
                  <w:tcW w:w="862"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污染源名称</w:t>
                  </w:r>
                </w:p>
              </w:tc>
              <w:tc>
                <w:tcPr>
                  <w:tcW w:w="1608"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产生原因</w:t>
                  </w:r>
                </w:p>
              </w:tc>
              <w:tc>
                <w:tcPr>
                  <w:tcW w:w="424"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污染物</w:t>
                  </w:r>
                </w:p>
              </w:tc>
              <w:tc>
                <w:tcPr>
                  <w:tcW w:w="1643"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拟采取措施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 w:hRule="atLeast"/>
                <w:jc w:val="center"/>
              </w:trPr>
              <w:tc>
                <w:tcPr>
                  <w:tcW w:w="462" w:type="pct"/>
                  <w:vMerge w:val="restar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废气</w:t>
                  </w:r>
                </w:p>
              </w:tc>
              <w:tc>
                <w:tcPr>
                  <w:tcW w:w="862" w:type="pct"/>
                  <w:vAlign w:val="center"/>
                </w:tcPr>
                <w:p>
                  <w:pPr>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原料</w:t>
                  </w:r>
                  <w:r>
                    <w:rPr>
                      <w:rFonts w:hint="eastAsia" w:asciiTheme="minorEastAsia" w:hAnsiTheme="minorEastAsia" w:eastAsiaTheme="minorEastAsia"/>
                      <w:sz w:val="21"/>
                      <w:szCs w:val="21"/>
                    </w:rPr>
                    <w:t>储库</w:t>
                  </w:r>
                </w:p>
              </w:tc>
              <w:tc>
                <w:tcPr>
                  <w:tcW w:w="1608" w:type="pct"/>
                  <w:vAlign w:val="center"/>
                </w:tcPr>
                <w:p>
                  <w:pPr>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装卸</w:t>
                  </w:r>
                  <w:r>
                    <w:rPr>
                      <w:rFonts w:hint="eastAsia" w:asciiTheme="minorEastAsia" w:hAnsiTheme="minorEastAsia" w:eastAsiaTheme="minorEastAsia"/>
                      <w:sz w:val="21"/>
                      <w:szCs w:val="21"/>
                    </w:rPr>
                    <w:t>、</w:t>
                  </w:r>
                  <w:r>
                    <w:rPr>
                      <w:rFonts w:asciiTheme="minorEastAsia" w:hAnsiTheme="minorEastAsia" w:eastAsiaTheme="minorEastAsia"/>
                      <w:sz w:val="21"/>
                      <w:szCs w:val="21"/>
                    </w:rPr>
                    <w:t>转运过程产生的粉尘</w:t>
                  </w:r>
                </w:p>
              </w:tc>
              <w:tc>
                <w:tcPr>
                  <w:tcW w:w="424"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颗粒物</w:t>
                  </w:r>
                </w:p>
              </w:tc>
              <w:tc>
                <w:tcPr>
                  <w:tcW w:w="1643"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全封闭+洒水抑尘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 w:hRule="atLeast"/>
                <w:jc w:val="center"/>
              </w:trPr>
              <w:tc>
                <w:tcPr>
                  <w:tcW w:w="462" w:type="pct"/>
                  <w:vMerge w:val="continue"/>
                  <w:vAlign w:val="center"/>
                </w:tcPr>
                <w:p>
                  <w:pPr>
                    <w:jc w:val="center"/>
                    <w:rPr>
                      <w:rFonts w:hint="eastAsia" w:asciiTheme="minorEastAsia" w:hAnsiTheme="minorEastAsia" w:eastAsiaTheme="minorEastAsia"/>
                      <w:sz w:val="21"/>
                      <w:szCs w:val="21"/>
                    </w:rPr>
                  </w:pPr>
                </w:p>
              </w:tc>
              <w:tc>
                <w:tcPr>
                  <w:tcW w:w="862" w:type="pct"/>
                  <w:vAlign w:val="center"/>
                </w:tcPr>
                <w:p>
                  <w:pPr>
                    <w:jc w:val="center"/>
                    <w:rPr>
                      <w:sz w:val="21"/>
                    </w:rPr>
                  </w:pPr>
                  <w:r>
                    <w:rPr>
                      <w:rFonts w:hint="eastAsia"/>
                      <w:sz w:val="21"/>
                    </w:rPr>
                    <w:t>物料输送</w:t>
                  </w:r>
                </w:p>
              </w:tc>
              <w:tc>
                <w:tcPr>
                  <w:tcW w:w="1608" w:type="pct"/>
                  <w:vAlign w:val="center"/>
                </w:tcPr>
                <w:p>
                  <w:pPr>
                    <w:jc w:val="center"/>
                    <w:rPr>
                      <w:sz w:val="21"/>
                    </w:rPr>
                  </w:pPr>
                  <w:r>
                    <w:rPr>
                      <w:sz w:val="21"/>
                    </w:rPr>
                    <w:t>砂石物料输送采用</w:t>
                  </w:r>
                  <w:r>
                    <w:rPr>
                      <w:rFonts w:hint="eastAsia"/>
                      <w:sz w:val="21"/>
                    </w:rPr>
                    <w:t>封闭</w:t>
                  </w:r>
                  <w:r>
                    <w:rPr>
                      <w:sz w:val="21"/>
                    </w:rPr>
                    <w:t>式皮带输送，收料口密闭对接</w:t>
                  </w:r>
                  <w:r>
                    <w:rPr>
                      <w:rFonts w:hint="eastAsia"/>
                      <w:sz w:val="21"/>
                    </w:rPr>
                    <w:t>主机</w:t>
                  </w:r>
                  <w:r>
                    <w:rPr>
                      <w:sz w:val="21"/>
                    </w:rPr>
                    <w:t>，产生的粉尘由主体设备排放</w:t>
                  </w:r>
                </w:p>
              </w:tc>
              <w:tc>
                <w:tcPr>
                  <w:tcW w:w="424" w:type="pct"/>
                  <w:vAlign w:val="center"/>
                </w:tcPr>
                <w:p>
                  <w:pPr>
                    <w:jc w:val="center"/>
                    <w:rPr>
                      <w:sz w:val="21"/>
                    </w:rPr>
                  </w:pPr>
                  <w:r>
                    <w:rPr>
                      <w:rFonts w:hint="eastAsia"/>
                      <w:sz w:val="21"/>
                    </w:rPr>
                    <w:t>颗粒物</w:t>
                  </w:r>
                </w:p>
              </w:tc>
              <w:tc>
                <w:tcPr>
                  <w:tcW w:w="1643" w:type="pct"/>
                  <w:vAlign w:val="center"/>
                </w:tcPr>
                <w:p>
                  <w:pPr>
                    <w:jc w:val="center"/>
                    <w:rPr>
                      <w:sz w:val="21"/>
                    </w:rPr>
                  </w:pPr>
                  <w:r>
                    <w:rPr>
                      <w:rFonts w:hint="eastAsia"/>
                      <w:sz w:val="21"/>
                    </w:rPr>
                    <w:t>封闭式皮带给料机、收料口密闭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 w:hRule="atLeast"/>
                <w:jc w:val="center"/>
              </w:trPr>
              <w:tc>
                <w:tcPr>
                  <w:tcW w:w="462" w:type="pct"/>
                  <w:vMerge w:val="continue"/>
                  <w:vAlign w:val="center"/>
                </w:tcPr>
                <w:p>
                  <w:pPr>
                    <w:jc w:val="center"/>
                    <w:rPr>
                      <w:rFonts w:hint="eastAsia" w:asciiTheme="minorEastAsia" w:hAnsiTheme="minorEastAsia" w:eastAsiaTheme="minorEastAsia"/>
                      <w:sz w:val="21"/>
                      <w:szCs w:val="21"/>
                    </w:rPr>
                  </w:pPr>
                </w:p>
              </w:tc>
              <w:tc>
                <w:tcPr>
                  <w:tcW w:w="862"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水泥仓粉尘</w:t>
                  </w:r>
                </w:p>
              </w:tc>
              <w:tc>
                <w:tcPr>
                  <w:tcW w:w="1608"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物料进出产生的粉尘</w:t>
                  </w:r>
                </w:p>
              </w:tc>
              <w:tc>
                <w:tcPr>
                  <w:tcW w:w="424"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颗粒物</w:t>
                  </w:r>
                </w:p>
              </w:tc>
              <w:tc>
                <w:tcPr>
                  <w:tcW w:w="1643"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布袋除尘器+仓顶排气口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 w:hRule="atLeast"/>
                <w:jc w:val="center"/>
              </w:trPr>
              <w:tc>
                <w:tcPr>
                  <w:tcW w:w="462" w:type="pct"/>
                  <w:vMerge w:val="continue"/>
                  <w:vAlign w:val="center"/>
                </w:tcPr>
                <w:p>
                  <w:pPr>
                    <w:jc w:val="center"/>
                    <w:rPr>
                      <w:rFonts w:hint="eastAsia" w:asciiTheme="minorEastAsia" w:hAnsiTheme="minorEastAsia" w:eastAsiaTheme="minorEastAsia"/>
                      <w:sz w:val="21"/>
                      <w:szCs w:val="21"/>
                    </w:rPr>
                  </w:pPr>
                </w:p>
              </w:tc>
              <w:tc>
                <w:tcPr>
                  <w:tcW w:w="862"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粉煤灰仓粉尘</w:t>
                  </w:r>
                </w:p>
              </w:tc>
              <w:tc>
                <w:tcPr>
                  <w:tcW w:w="1608"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物料进出产生的粉尘</w:t>
                  </w:r>
                </w:p>
              </w:tc>
              <w:tc>
                <w:tcPr>
                  <w:tcW w:w="424"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颗粒物</w:t>
                  </w:r>
                </w:p>
              </w:tc>
              <w:tc>
                <w:tcPr>
                  <w:tcW w:w="1643"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布袋除尘器+仓顶排气口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462" w:type="pct"/>
                  <w:vMerge w:val="continue"/>
                  <w:vAlign w:val="center"/>
                </w:tcPr>
                <w:p>
                  <w:pPr>
                    <w:jc w:val="center"/>
                    <w:rPr>
                      <w:rFonts w:hint="eastAsia" w:asciiTheme="minorEastAsia" w:hAnsiTheme="minorEastAsia" w:eastAsiaTheme="minorEastAsia"/>
                      <w:sz w:val="21"/>
                      <w:szCs w:val="21"/>
                    </w:rPr>
                  </w:pPr>
                </w:p>
              </w:tc>
              <w:tc>
                <w:tcPr>
                  <w:tcW w:w="862"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破碎机</w:t>
                  </w:r>
                </w:p>
              </w:tc>
              <w:tc>
                <w:tcPr>
                  <w:tcW w:w="1608"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破碎过程产生的粉尘</w:t>
                  </w:r>
                </w:p>
              </w:tc>
              <w:tc>
                <w:tcPr>
                  <w:tcW w:w="424"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颗粒物</w:t>
                  </w:r>
                </w:p>
              </w:tc>
              <w:tc>
                <w:tcPr>
                  <w:tcW w:w="1643"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布袋除尘器+15m高排气筒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 w:hRule="atLeast"/>
                <w:jc w:val="center"/>
              </w:trPr>
              <w:tc>
                <w:tcPr>
                  <w:tcW w:w="462" w:type="pct"/>
                  <w:vMerge w:val="continue"/>
                  <w:vAlign w:val="center"/>
                </w:tcPr>
                <w:p>
                  <w:pPr>
                    <w:jc w:val="center"/>
                    <w:rPr>
                      <w:rFonts w:hint="eastAsia" w:asciiTheme="minorEastAsia" w:hAnsiTheme="minorEastAsia" w:eastAsiaTheme="minorEastAsia"/>
                      <w:sz w:val="21"/>
                      <w:szCs w:val="21"/>
                    </w:rPr>
                  </w:pPr>
                </w:p>
              </w:tc>
              <w:tc>
                <w:tcPr>
                  <w:tcW w:w="862"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搅拌机粉尘</w:t>
                  </w:r>
                </w:p>
              </w:tc>
              <w:tc>
                <w:tcPr>
                  <w:tcW w:w="1608"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物料搅拌混合产生的粉尘</w:t>
                  </w:r>
                </w:p>
              </w:tc>
              <w:tc>
                <w:tcPr>
                  <w:tcW w:w="424"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颗粒物</w:t>
                  </w:r>
                </w:p>
              </w:tc>
              <w:tc>
                <w:tcPr>
                  <w:tcW w:w="1643" w:type="pct"/>
                  <w:vAlign w:val="center"/>
                </w:tcPr>
                <w:p>
                  <w:pPr>
                    <w:jc w:val="center"/>
                    <w:rPr>
                      <w:rFonts w:hint="eastAsia" w:asciiTheme="minorEastAsia" w:hAnsiTheme="minorEastAsia" w:eastAsiaTheme="minorEastAsia"/>
                      <w:sz w:val="21"/>
                      <w:szCs w:val="21"/>
                    </w:rPr>
                  </w:pPr>
                  <w:r>
                    <w:rPr>
                      <w:rFonts w:hint="eastAsia"/>
                      <w:sz w:val="21"/>
                      <w:szCs w:val="21"/>
                    </w:rPr>
                    <w:t>布袋除尘器+塔顶排气口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0" w:hRule="atLeast"/>
                <w:jc w:val="center"/>
              </w:trPr>
              <w:tc>
                <w:tcPr>
                  <w:tcW w:w="462" w:type="pct"/>
                  <w:vMerge w:val="restar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废水</w:t>
                  </w:r>
                </w:p>
              </w:tc>
              <w:tc>
                <w:tcPr>
                  <w:tcW w:w="862"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设备清洗废水</w:t>
                  </w:r>
                </w:p>
              </w:tc>
              <w:tc>
                <w:tcPr>
                  <w:tcW w:w="1608"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搅拌机系统及混凝土运输罐车清洗产生的废水</w:t>
                  </w:r>
                </w:p>
              </w:tc>
              <w:tc>
                <w:tcPr>
                  <w:tcW w:w="424" w:type="pct"/>
                  <w:vAlign w:val="center"/>
                </w:tcPr>
                <w:p>
                  <w:pPr>
                    <w:pStyle w:val="10"/>
                    <w:widowControl w:val="0"/>
                    <w:spacing w:line="240" w:lineRule="auto"/>
                    <w:ind w:firstLine="0" w:firstLineChars="0"/>
                    <w:jc w:val="center"/>
                    <w:rPr>
                      <w:rFonts w:hint="eastAsia" w:asciiTheme="minorEastAsia" w:hAnsiTheme="minorEastAsia" w:eastAsiaTheme="minorEastAsia"/>
                      <w:sz w:val="21"/>
                      <w:szCs w:val="21"/>
                    </w:rPr>
                  </w:pPr>
                  <w:r>
                    <w:rPr>
                      <w:rFonts w:hint="eastAsia" w:asciiTheme="minorEastAsia" w:hAnsiTheme="minorEastAsia" w:eastAsiaTheme="minorEastAsia"/>
                      <w:kern w:val="2"/>
                      <w:sz w:val="21"/>
                      <w:szCs w:val="21"/>
                    </w:rPr>
                    <w:t>SS</w:t>
                  </w:r>
                </w:p>
              </w:tc>
              <w:tc>
                <w:tcPr>
                  <w:tcW w:w="1643"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排入沉淀池处理后循环用于工艺用水，不外排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0" w:hRule="atLeast"/>
                <w:jc w:val="center"/>
              </w:trPr>
              <w:tc>
                <w:tcPr>
                  <w:tcW w:w="462" w:type="pct"/>
                  <w:vMerge w:val="continue"/>
                  <w:vAlign w:val="center"/>
                </w:tcPr>
                <w:p>
                  <w:pPr>
                    <w:jc w:val="center"/>
                    <w:rPr>
                      <w:rFonts w:hint="eastAsia" w:asciiTheme="minorEastAsia" w:hAnsiTheme="minorEastAsia" w:eastAsiaTheme="minorEastAsia"/>
                      <w:sz w:val="21"/>
                      <w:szCs w:val="21"/>
                    </w:rPr>
                  </w:pPr>
                </w:p>
              </w:tc>
              <w:tc>
                <w:tcPr>
                  <w:tcW w:w="862"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生活污水</w:t>
                  </w:r>
                </w:p>
              </w:tc>
              <w:tc>
                <w:tcPr>
                  <w:tcW w:w="1608"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员工工作生活产生的污水</w:t>
                  </w:r>
                </w:p>
              </w:tc>
              <w:tc>
                <w:tcPr>
                  <w:tcW w:w="424" w:type="pct"/>
                  <w:vAlign w:val="center"/>
                </w:tcPr>
                <w:p>
                  <w:pPr>
                    <w:pStyle w:val="10"/>
                    <w:widowControl w:val="0"/>
                    <w:spacing w:line="240" w:lineRule="auto"/>
                    <w:ind w:firstLine="0" w:firstLineChars="0"/>
                    <w:rPr>
                      <w:rFonts w:hint="eastAsia" w:asciiTheme="minorEastAsia" w:hAnsiTheme="minorEastAsia" w:eastAsiaTheme="minorEastAsia"/>
                      <w:sz w:val="21"/>
                      <w:szCs w:val="21"/>
                    </w:rPr>
                  </w:pPr>
                  <w:r>
                    <w:rPr>
                      <w:rFonts w:hint="eastAsia" w:asciiTheme="minorEastAsia" w:hAnsiTheme="minorEastAsia" w:eastAsiaTheme="minorEastAsia"/>
                      <w:kern w:val="2"/>
                      <w:sz w:val="21"/>
                      <w:szCs w:val="21"/>
                    </w:rPr>
                    <w:t>COD、BOD</w:t>
                  </w:r>
                  <w:r>
                    <w:rPr>
                      <w:rFonts w:hint="eastAsia" w:asciiTheme="minorEastAsia" w:hAnsiTheme="minorEastAsia" w:eastAsiaTheme="minorEastAsia"/>
                      <w:kern w:val="2"/>
                      <w:sz w:val="21"/>
                      <w:szCs w:val="21"/>
                      <w:vertAlign w:val="subscript"/>
                    </w:rPr>
                    <w:t>5</w:t>
                  </w:r>
                  <w:r>
                    <w:rPr>
                      <w:rFonts w:hint="eastAsia" w:asciiTheme="minorEastAsia" w:hAnsiTheme="minorEastAsia" w:eastAsiaTheme="minorEastAsia"/>
                      <w:kern w:val="2"/>
                      <w:sz w:val="21"/>
                      <w:szCs w:val="21"/>
                    </w:rPr>
                    <w:t>、NH</w:t>
                  </w:r>
                  <w:r>
                    <w:rPr>
                      <w:rFonts w:hint="eastAsia" w:asciiTheme="minorEastAsia" w:hAnsiTheme="minorEastAsia" w:eastAsiaTheme="minorEastAsia"/>
                      <w:kern w:val="2"/>
                      <w:sz w:val="21"/>
                      <w:szCs w:val="21"/>
                      <w:vertAlign w:val="subscript"/>
                    </w:rPr>
                    <w:t>3</w:t>
                  </w:r>
                  <w:r>
                    <w:rPr>
                      <w:rFonts w:hint="eastAsia" w:asciiTheme="minorEastAsia" w:hAnsiTheme="minorEastAsia" w:eastAsiaTheme="minorEastAsia"/>
                      <w:kern w:val="2"/>
                      <w:sz w:val="21"/>
                      <w:szCs w:val="21"/>
                    </w:rPr>
                    <w:t>-N等</w:t>
                  </w:r>
                </w:p>
              </w:tc>
              <w:tc>
                <w:tcPr>
                  <w:tcW w:w="1643"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生活污水经化粪池处理后</w:t>
                  </w:r>
                  <w:r>
                    <w:rPr>
                      <w:rFonts w:hint="eastAsia" w:cs="宋体" w:asciiTheme="minorEastAsia" w:hAnsiTheme="minorEastAsia" w:eastAsiaTheme="minorEastAsia"/>
                      <w:kern w:val="0"/>
                      <w:sz w:val="21"/>
                      <w:szCs w:val="21"/>
                    </w:rPr>
                    <w:t>，</w:t>
                  </w:r>
                  <w:r>
                    <w:rPr>
                      <w:rFonts w:hint="eastAsia" w:asciiTheme="minorEastAsia" w:hAnsiTheme="minorEastAsia" w:eastAsiaTheme="minorEastAsia"/>
                      <w:sz w:val="21"/>
                      <w:szCs w:val="21"/>
                    </w:rPr>
                    <w:t>定期拉运至内蒙古神东天隆集团股份有限公司霍洛湾煤矿处理。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2" w:hRule="atLeast"/>
                <w:jc w:val="center"/>
              </w:trPr>
              <w:tc>
                <w:tcPr>
                  <w:tcW w:w="462" w:type="pct"/>
                  <w:vMerge w:val="restar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固废</w:t>
                  </w:r>
                </w:p>
              </w:tc>
              <w:tc>
                <w:tcPr>
                  <w:tcW w:w="862"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沉淀池沉淀砂石</w:t>
                  </w:r>
                </w:p>
              </w:tc>
              <w:tc>
                <w:tcPr>
                  <w:tcW w:w="1608"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沉淀池定期清理，清理时产生的沉淀砂石</w:t>
                  </w:r>
                </w:p>
              </w:tc>
              <w:tc>
                <w:tcPr>
                  <w:tcW w:w="424"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砂石</w:t>
                  </w:r>
                </w:p>
              </w:tc>
              <w:tc>
                <w:tcPr>
                  <w:tcW w:w="1643"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定期清理，清理后用作原料，</w:t>
                  </w:r>
                  <w:r>
                    <w:rPr>
                      <w:rFonts w:asciiTheme="minorEastAsia" w:hAnsiTheme="minorEastAsia" w:eastAsiaTheme="minorEastAsia"/>
                      <w:sz w:val="21"/>
                      <w:szCs w:val="21"/>
                    </w:rPr>
                    <w:t>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 w:hRule="atLeast"/>
                <w:jc w:val="center"/>
              </w:trPr>
              <w:tc>
                <w:tcPr>
                  <w:tcW w:w="462" w:type="pct"/>
                  <w:vMerge w:val="continue"/>
                  <w:vAlign w:val="center"/>
                </w:tcPr>
                <w:p>
                  <w:pPr>
                    <w:jc w:val="center"/>
                    <w:rPr>
                      <w:rFonts w:hint="eastAsia" w:asciiTheme="minorEastAsia" w:hAnsiTheme="minorEastAsia" w:eastAsiaTheme="minorEastAsia"/>
                      <w:sz w:val="21"/>
                      <w:szCs w:val="21"/>
                    </w:rPr>
                  </w:pPr>
                </w:p>
              </w:tc>
              <w:tc>
                <w:tcPr>
                  <w:tcW w:w="862"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除尘灰</w:t>
                  </w:r>
                </w:p>
              </w:tc>
              <w:tc>
                <w:tcPr>
                  <w:tcW w:w="1608"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布袋除尘器收集的粉尘</w:t>
                  </w:r>
                </w:p>
              </w:tc>
              <w:tc>
                <w:tcPr>
                  <w:tcW w:w="424"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除尘灰</w:t>
                  </w:r>
                </w:p>
              </w:tc>
              <w:tc>
                <w:tcPr>
                  <w:tcW w:w="1643"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定期清理，清理至灰斗，然后用作原料，</w:t>
                  </w:r>
                  <w:r>
                    <w:rPr>
                      <w:rFonts w:asciiTheme="minorEastAsia" w:hAnsiTheme="minorEastAsia" w:eastAsiaTheme="minorEastAsia"/>
                      <w:sz w:val="21"/>
                      <w:szCs w:val="21"/>
                    </w:rPr>
                    <w:t>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 w:hRule="atLeast"/>
                <w:jc w:val="center"/>
              </w:trPr>
              <w:tc>
                <w:tcPr>
                  <w:tcW w:w="462" w:type="pct"/>
                  <w:vMerge w:val="continue"/>
                  <w:vAlign w:val="center"/>
                </w:tcPr>
                <w:p>
                  <w:pPr>
                    <w:jc w:val="center"/>
                    <w:rPr>
                      <w:rFonts w:hint="eastAsia" w:asciiTheme="minorEastAsia" w:hAnsiTheme="minorEastAsia" w:eastAsiaTheme="minorEastAsia"/>
                      <w:sz w:val="21"/>
                      <w:szCs w:val="21"/>
                    </w:rPr>
                  </w:pPr>
                </w:p>
              </w:tc>
              <w:tc>
                <w:tcPr>
                  <w:tcW w:w="862"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废旧布袋</w:t>
                  </w:r>
                </w:p>
              </w:tc>
              <w:tc>
                <w:tcPr>
                  <w:tcW w:w="1608"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除尘器定期更换布袋产生的废旧布袋</w:t>
                  </w:r>
                </w:p>
              </w:tc>
              <w:tc>
                <w:tcPr>
                  <w:tcW w:w="424"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废布袋</w:t>
                  </w:r>
                </w:p>
              </w:tc>
              <w:tc>
                <w:tcPr>
                  <w:tcW w:w="1643" w:type="pct"/>
                  <w:vAlign w:val="center"/>
                </w:tcPr>
                <w:p>
                  <w:pPr>
                    <w:jc w:val="center"/>
                    <w:rPr>
                      <w:rFonts w:hint="eastAsia" w:asciiTheme="minorEastAsia" w:hAnsiTheme="minorEastAsia" w:eastAsiaTheme="minorEastAsia"/>
                      <w:sz w:val="21"/>
                      <w:szCs w:val="21"/>
                    </w:rPr>
                  </w:pPr>
                  <w:r>
                    <w:rPr>
                      <w:rFonts w:hint="eastAsia" w:ascii="宋体" w:hAnsi="宋体"/>
                      <w:sz w:val="21"/>
                      <w:szCs w:val="21"/>
                    </w:rPr>
                    <w:t>废旧布袋集中收集，收集后由厂家回收利用，不外排。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462" w:type="pct"/>
                  <w:vMerge w:val="continue"/>
                  <w:vAlign w:val="center"/>
                </w:tcPr>
                <w:p>
                  <w:pPr>
                    <w:jc w:val="center"/>
                    <w:rPr>
                      <w:rFonts w:hint="eastAsia" w:asciiTheme="minorEastAsia" w:hAnsiTheme="minorEastAsia" w:eastAsiaTheme="minorEastAsia"/>
                      <w:sz w:val="21"/>
                      <w:szCs w:val="21"/>
                    </w:rPr>
                  </w:pPr>
                </w:p>
              </w:tc>
              <w:tc>
                <w:tcPr>
                  <w:tcW w:w="862" w:type="pct"/>
                  <w:vAlign w:val="center"/>
                </w:tcPr>
                <w:p>
                  <w:pPr>
                    <w:pStyle w:val="10"/>
                    <w:widowControl w:val="0"/>
                    <w:spacing w:line="240" w:lineRule="auto"/>
                    <w:ind w:firstLine="0" w:firstLineChars="0"/>
                    <w:jc w:val="center"/>
                    <w:rPr>
                      <w:rFonts w:hint="eastAsia" w:asciiTheme="minorEastAsia" w:hAnsiTheme="minorEastAsia" w:eastAsiaTheme="minorEastAsia"/>
                      <w:kern w:val="2"/>
                      <w:sz w:val="21"/>
                      <w:szCs w:val="21"/>
                    </w:rPr>
                  </w:pPr>
                  <w:r>
                    <w:rPr>
                      <w:rFonts w:hint="eastAsia" w:asciiTheme="minorEastAsia" w:hAnsiTheme="minorEastAsia" w:eastAsiaTheme="minorEastAsia"/>
                      <w:kern w:val="2"/>
                      <w:sz w:val="21"/>
                      <w:szCs w:val="21"/>
                    </w:rPr>
                    <w:t>生活垃圾</w:t>
                  </w:r>
                </w:p>
              </w:tc>
              <w:tc>
                <w:tcPr>
                  <w:tcW w:w="1608" w:type="pct"/>
                  <w:vAlign w:val="center"/>
                </w:tcPr>
                <w:p>
                  <w:pPr>
                    <w:pStyle w:val="10"/>
                    <w:widowControl w:val="0"/>
                    <w:spacing w:line="240" w:lineRule="auto"/>
                    <w:ind w:firstLine="0" w:firstLineChars="0"/>
                    <w:jc w:val="center"/>
                    <w:rPr>
                      <w:rFonts w:hint="eastAsia" w:asciiTheme="minorEastAsia" w:hAnsiTheme="minorEastAsia" w:eastAsiaTheme="minorEastAsia"/>
                      <w:kern w:val="2"/>
                      <w:sz w:val="21"/>
                      <w:szCs w:val="21"/>
                    </w:rPr>
                  </w:pPr>
                  <w:r>
                    <w:rPr>
                      <w:rFonts w:hint="eastAsia" w:asciiTheme="minorEastAsia" w:hAnsiTheme="minorEastAsia" w:eastAsiaTheme="minorEastAsia"/>
                      <w:kern w:val="2"/>
                      <w:sz w:val="21"/>
                      <w:szCs w:val="21"/>
                    </w:rPr>
                    <w:t>员工产生的生活垃圾</w:t>
                  </w:r>
                </w:p>
              </w:tc>
              <w:tc>
                <w:tcPr>
                  <w:tcW w:w="424" w:type="pct"/>
                  <w:vAlign w:val="center"/>
                </w:tcPr>
                <w:p>
                  <w:pPr>
                    <w:pStyle w:val="10"/>
                    <w:widowControl w:val="0"/>
                    <w:spacing w:line="240" w:lineRule="auto"/>
                    <w:ind w:firstLine="0" w:firstLineChars="0"/>
                    <w:jc w:val="center"/>
                    <w:rPr>
                      <w:rFonts w:hint="eastAsia" w:asciiTheme="minorEastAsia" w:hAnsiTheme="minorEastAsia" w:eastAsiaTheme="minorEastAsia"/>
                      <w:kern w:val="2"/>
                      <w:sz w:val="21"/>
                      <w:szCs w:val="21"/>
                    </w:rPr>
                  </w:pPr>
                  <w:r>
                    <w:rPr>
                      <w:rFonts w:hint="eastAsia" w:asciiTheme="minorEastAsia" w:hAnsiTheme="minorEastAsia" w:eastAsiaTheme="minorEastAsia"/>
                      <w:kern w:val="2"/>
                      <w:sz w:val="21"/>
                      <w:szCs w:val="21"/>
                    </w:rPr>
                    <w:t>生活垃圾</w:t>
                  </w:r>
                </w:p>
              </w:tc>
              <w:tc>
                <w:tcPr>
                  <w:tcW w:w="1643" w:type="pct"/>
                  <w:vAlign w:val="center"/>
                </w:tcPr>
                <w:p>
                  <w:pPr>
                    <w:pStyle w:val="10"/>
                    <w:widowControl w:val="0"/>
                    <w:spacing w:line="240" w:lineRule="auto"/>
                    <w:ind w:firstLine="0" w:firstLineChars="0"/>
                    <w:jc w:val="center"/>
                    <w:rPr>
                      <w:rFonts w:hint="eastAsia" w:asciiTheme="minorEastAsia" w:hAnsiTheme="minorEastAsia" w:eastAsiaTheme="minorEastAsia"/>
                      <w:kern w:val="2"/>
                      <w:sz w:val="21"/>
                      <w:szCs w:val="21"/>
                    </w:rPr>
                  </w:pPr>
                  <w:r>
                    <w:rPr>
                      <w:rFonts w:hint="eastAsia" w:asciiTheme="minorEastAsia" w:hAnsiTheme="minorEastAsia" w:eastAsiaTheme="minorEastAsia"/>
                      <w:kern w:val="2"/>
                      <w:sz w:val="21"/>
                      <w:szCs w:val="21"/>
                    </w:rPr>
                    <w:t>集中收集，定期交由环卫部门处置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7" w:hRule="atLeast"/>
                <w:jc w:val="center"/>
              </w:trPr>
              <w:tc>
                <w:tcPr>
                  <w:tcW w:w="462"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噪声</w:t>
                  </w:r>
                </w:p>
              </w:tc>
              <w:tc>
                <w:tcPr>
                  <w:tcW w:w="862"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各生产工段</w:t>
                  </w:r>
                </w:p>
              </w:tc>
              <w:tc>
                <w:tcPr>
                  <w:tcW w:w="1608"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生产过程中转运设备、输送机、搅拌机、泵、风机等各种机械噪声</w:t>
                  </w:r>
                </w:p>
              </w:tc>
              <w:tc>
                <w:tcPr>
                  <w:tcW w:w="424"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较大噪音</w:t>
                  </w:r>
                </w:p>
              </w:tc>
              <w:tc>
                <w:tcPr>
                  <w:tcW w:w="1643"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生产线噪声设备、泵类安装减震装置等并通过建筑隔声减轻影响</w:t>
                  </w:r>
                </w:p>
              </w:tc>
            </w:tr>
          </w:tbl>
          <w:p>
            <w:pPr>
              <w:pStyle w:val="10"/>
              <w:ind w:firstLine="480"/>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23" w:type="dxa"/>
            <w:vAlign w:val="center"/>
          </w:tcPr>
          <w:p>
            <w:pPr>
              <w:pStyle w:val="17"/>
              <w:adjustRightInd w:val="0"/>
              <w:snapToGrid w:val="0"/>
              <w:spacing w:before="0" w:beforeAutospacing="0" w:after="0" w:afterAutospacing="0"/>
              <w:jc w:val="center"/>
              <w:rPr>
                <w:rFonts w:hint="eastAsia" w:cs="宋体"/>
                <w:sz w:val="21"/>
                <w:szCs w:val="21"/>
              </w:rPr>
            </w:pPr>
            <w:r>
              <w:rPr>
                <w:rFonts w:hint="eastAsia" w:cs="宋体"/>
                <w:bCs/>
                <w:kern w:val="2"/>
                <w:szCs w:val="24"/>
              </w:rPr>
              <w:t>与项目有关的原有环境污染问题</w:t>
            </w:r>
          </w:p>
        </w:tc>
        <w:tc>
          <w:tcPr>
            <w:tcW w:w="8161" w:type="dxa"/>
            <w:vAlign w:val="center"/>
          </w:tcPr>
          <w:p>
            <w:pPr>
              <w:pStyle w:val="10"/>
              <w:ind w:firstLine="480"/>
              <w:jc w:val="left"/>
            </w:pPr>
            <w:r>
              <w:t>本项目</w:t>
            </w:r>
            <w:r>
              <w:rPr>
                <w:rFonts w:hint="eastAsia"/>
              </w:rPr>
              <w:t>为新建项目，不存在与本项目有关的原有</w:t>
            </w:r>
            <w:r>
              <w:rPr>
                <w:rFonts w:hint="eastAsia" w:hAnsi="宋体"/>
              </w:rPr>
              <w:t>污染情况及环境问题</w:t>
            </w:r>
            <w:r>
              <w:rPr>
                <w:rFonts w:hint="eastAsia"/>
              </w:rPr>
              <w:t>。</w:t>
            </w:r>
          </w:p>
        </w:tc>
      </w:tr>
    </w:tbl>
    <w:p>
      <w:pPr>
        <w:pStyle w:val="17"/>
        <w:jc w:val="center"/>
        <w:rPr>
          <w:rFonts w:hint="eastAsia" w:ascii="黑体" w:hAnsi="黑体" w:eastAsia="黑体"/>
          <w:snapToGrid w:val="0"/>
          <w:sz w:val="36"/>
          <w:szCs w:val="36"/>
        </w:rPr>
        <w:sectPr>
          <w:pgSz w:w="11906" w:h="16838"/>
          <w:pgMar w:top="1701" w:right="1531" w:bottom="1701" w:left="1531" w:header="851" w:footer="851" w:gutter="0"/>
          <w:cols w:space="720" w:num="1"/>
          <w:docGrid w:linePitch="312" w:charSpace="0"/>
        </w:sectPr>
      </w:pPr>
    </w:p>
    <w:p>
      <w:pPr>
        <w:pStyle w:val="17"/>
        <w:jc w:val="center"/>
        <w:outlineLvl w:val="0"/>
        <w:rPr>
          <w:rFonts w:hint="eastAsia" w:ascii="黑体" w:hAnsi="黑体" w:eastAsia="黑体"/>
          <w:snapToGrid w:val="0"/>
          <w:sz w:val="30"/>
          <w:szCs w:val="30"/>
        </w:rPr>
      </w:pPr>
      <w:r>
        <w:rPr>
          <w:rFonts w:hint="eastAsia" w:ascii="黑体" w:hAnsi="黑体" w:eastAsia="黑体"/>
          <w:snapToGrid w:val="0"/>
          <w:sz w:val="30"/>
          <w:szCs w:val="30"/>
        </w:rPr>
        <w:t>三、区域环境质量现状、环境保护目标及评价标准</w:t>
      </w:r>
    </w:p>
    <w:tbl>
      <w:tblPr>
        <w:tblStyle w:val="1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820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0" w:type="dxa"/>
            <w:vAlign w:val="center"/>
          </w:tcPr>
          <w:p>
            <w:pPr>
              <w:adjustRightInd w:val="0"/>
              <w:snapToGrid w:val="0"/>
              <w:jc w:val="center"/>
              <w:rPr>
                <w:rFonts w:hint="eastAsia" w:ascii="宋体" w:hAnsi="宋体" w:cs="宋体"/>
                <w:kern w:val="0"/>
                <w:szCs w:val="21"/>
              </w:rPr>
            </w:pPr>
            <w:r>
              <w:rPr>
                <w:rFonts w:hint="eastAsia" w:ascii="宋体" w:hAnsi="宋体" w:cs="宋体"/>
                <w:kern w:val="0"/>
                <w:szCs w:val="21"/>
              </w:rPr>
              <w:t>区域</w:t>
            </w:r>
          </w:p>
          <w:p>
            <w:pPr>
              <w:adjustRightInd w:val="0"/>
              <w:snapToGrid w:val="0"/>
              <w:jc w:val="center"/>
              <w:rPr>
                <w:rFonts w:hint="eastAsia" w:ascii="宋体" w:hAnsi="宋体" w:cs="宋体"/>
                <w:kern w:val="0"/>
                <w:szCs w:val="21"/>
              </w:rPr>
            </w:pPr>
            <w:r>
              <w:rPr>
                <w:rFonts w:hint="eastAsia" w:ascii="宋体" w:hAnsi="宋体" w:cs="宋体"/>
                <w:kern w:val="0"/>
                <w:szCs w:val="21"/>
              </w:rPr>
              <w:t>环境</w:t>
            </w:r>
          </w:p>
          <w:p>
            <w:pPr>
              <w:adjustRightInd w:val="0"/>
              <w:snapToGrid w:val="0"/>
              <w:jc w:val="center"/>
              <w:rPr>
                <w:rFonts w:hint="eastAsia" w:ascii="宋体" w:hAnsi="宋体" w:cs="宋体"/>
                <w:kern w:val="0"/>
                <w:szCs w:val="21"/>
              </w:rPr>
            </w:pPr>
            <w:r>
              <w:rPr>
                <w:rFonts w:hint="eastAsia" w:ascii="宋体" w:hAnsi="宋体" w:cs="宋体"/>
                <w:kern w:val="0"/>
                <w:szCs w:val="21"/>
              </w:rPr>
              <w:t>质量</w:t>
            </w:r>
          </w:p>
          <w:p>
            <w:pPr>
              <w:adjustRightInd w:val="0"/>
              <w:snapToGrid w:val="0"/>
              <w:jc w:val="center"/>
              <w:rPr>
                <w:rFonts w:hint="eastAsia" w:ascii="宋体" w:hAnsi="宋体" w:cs="宋体"/>
                <w:kern w:val="0"/>
                <w:szCs w:val="21"/>
              </w:rPr>
            </w:pPr>
            <w:r>
              <w:rPr>
                <w:rFonts w:hint="eastAsia" w:ascii="宋体" w:hAnsi="宋体" w:cs="宋体"/>
                <w:kern w:val="0"/>
                <w:szCs w:val="21"/>
              </w:rPr>
              <w:t>现状</w:t>
            </w:r>
          </w:p>
        </w:tc>
        <w:tc>
          <w:tcPr>
            <w:tcW w:w="8190" w:type="dxa"/>
            <w:vAlign w:val="center"/>
          </w:tcPr>
          <w:p>
            <w:pPr>
              <w:spacing w:line="360" w:lineRule="auto"/>
              <w:ind w:firstLine="470" w:firstLineChars="196"/>
            </w:pPr>
            <w:r>
              <w:t>1、环境空气质量现状</w:t>
            </w:r>
          </w:p>
          <w:p>
            <w:pPr>
              <w:spacing w:line="360" w:lineRule="auto"/>
              <w:ind w:firstLine="480" w:firstLineChars="200"/>
              <w:jc w:val="left"/>
            </w:pPr>
            <w:r>
              <w:t>项目所在区域</w:t>
            </w:r>
            <w:r>
              <w:rPr>
                <w:rFonts w:hint="eastAsia"/>
              </w:rPr>
              <w:t>基本污染物环境质量现状及</w:t>
            </w:r>
            <w:r>
              <w:t>达标</w:t>
            </w:r>
            <w:r>
              <w:rPr>
                <w:rFonts w:hint="eastAsia"/>
              </w:rPr>
              <w:t>判定：</w:t>
            </w:r>
          </w:p>
          <w:p>
            <w:pPr>
              <w:adjustRightInd w:val="0"/>
              <w:snapToGrid w:val="0"/>
              <w:spacing w:line="360" w:lineRule="auto"/>
              <w:ind w:firstLine="480" w:firstLineChars="200"/>
            </w:pPr>
            <w:r>
              <w:t>本项目区达标判定采用202</w:t>
            </w:r>
            <w:r>
              <w:rPr>
                <w:rFonts w:hint="eastAsia"/>
              </w:rPr>
              <w:t>4</w:t>
            </w:r>
            <w:r>
              <w:t>年6月</w:t>
            </w:r>
            <w:r>
              <w:rPr>
                <w:rFonts w:hint="eastAsia"/>
              </w:rPr>
              <w:t>3</w:t>
            </w:r>
            <w:r>
              <w:t>日发布的《202</w:t>
            </w:r>
            <w:r>
              <w:rPr>
                <w:rFonts w:hint="eastAsia"/>
              </w:rPr>
              <w:t>3</w:t>
            </w:r>
            <w:r>
              <w:t>内蒙古自治区生态环境状况公报》中</w:t>
            </w:r>
            <w:r>
              <w:rPr>
                <w:rFonts w:hint="eastAsia"/>
              </w:rPr>
              <w:t>鄂尔多斯市</w:t>
            </w:r>
            <w:r>
              <w:t>的环境空气质量监测数据作为评价区域达标情况的依据。</w:t>
            </w:r>
          </w:p>
          <w:p>
            <w:pPr>
              <w:adjustRightInd w:val="0"/>
              <w:snapToGrid w:val="0"/>
              <w:spacing w:line="360" w:lineRule="auto"/>
              <w:ind w:firstLine="480" w:firstLineChars="200"/>
            </w:pPr>
            <w:r>
              <w:rPr>
                <w:rFonts w:hint="eastAsia"/>
              </w:rPr>
              <w:t>根据《2023内蒙古自治区生态环境状况公报》中监测数据，2023年全区城市环境空气各项污染物年均浓度均达标。各盟市中除乌海市可吸入颗粒物不达标外其他盟市其他各项污染物均达标。</w:t>
            </w:r>
          </w:p>
          <w:p>
            <w:pPr>
              <w:pStyle w:val="47"/>
              <w:tabs>
                <w:tab w:val="left" w:pos="720"/>
              </w:tabs>
              <w:spacing w:line="360" w:lineRule="auto"/>
              <w:ind w:left="-50" w:leftChars="-21" w:firstLine="424" w:firstLineChars="177"/>
              <w:rPr>
                <w:rFonts w:hint="eastAsia" w:ascii="宋体" w:hAnsi="宋体" w:cs="宋体"/>
              </w:rPr>
            </w:pPr>
            <w:r>
              <w:rPr>
                <w:rFonts w:hint="eastAsia"/>
              </w:rPr>
              <w:t>本项目选址位于鄂尔多斯市，各项指标全部符合</w:t>
            </w:r>
            <w:r>
              <w:t>《环境空气质量标准》（GB3095-2012）中二级标准。因此，鄂尔多斯市环境空气质量属于达标区。</w:t>
            </w:r>
          </w:p>
          <w:p>
            <w:pPr>
              <w:adjustRightInd w:val="0"/>
              <w:snapToGrid w:val="0"/>
              <w:spacing w:line="360" w:lineRule="auto"/>
              <w:ind w:firstLine="480" w:firstLineChars="200"/>
              <w:rPr>
                <w:rFonts w:hint="eastAsia" w:hAnsi="宋体" w:cs="宋体"/>
                <w:kern w:val="0"/>
              </w:rPr>
            </w:pPr>
            <w:r>
              <w:rPr>
                <w:rFonts w:hint="eastAsia" w:hAnsi="宋体" w:cs="宋体"/>
                <w:kern w:val="0"/>
              </w:rPr>
              <w:t>（2）其它污染物环境空气质量现状评价</w:t>
            </w:r>
          </w:p>
          <w:p>
            <w:pPr>
              <w:adjustRightInd w:val="0"/>
              <w:snapToGrid w:val="0"/>
              <w:spacing w:line="360" w:lineRule="auto"/>
              <w:ind w:firstLine="480" w:firstLineChars="200"/>
              <w:rPr>
                <w:rFonts w:hint="eastAsia" w:hAnsi="宋体" w:cs="宋体"/>
                <w:kern w:val="0"/>
              </w:rPr>
            </w:pPr>
            <w:r>
              <w:rPr>
                <w:rFonts w:hint="eastAsia" w:hAnsi="宋体" w:cs="宋体"/>
                <w:kern w:val="0"/>
              </w:rPr>
              <w:t>项目特征污染物TSP环境质量现状委托内蒙古康城环保服务有限责任公司监测，监测时间为2023年3月24日~3月26日，连续监测3天。</w:t>
            </w:r>
          </w:p>
          <w:p>
            <w:pPr>
              <w:adjustRightInd w:val="0"/>
              <w:snapToGrid w:val="0"/>
              <w:spacing w:line="360" w:lineRule="auto"/>
              <w:ind w:firstLine="480" w:firstLineChars="200"/>
              <w:rPr>
                <w:rFonts w:hint="eastAsia" w:hAnsi="宋体" w:cs="宋体"/>
                <w:kern w:val="0"/>
              </w:rPr>
            </w:pPr>
            <w:r>
              <w:rPr>
                <w:rFonts w:hint="eastAsia" w:hAnsi="宋体" w:cs="宋体"/>
                <w:kern w:val="0"/>
              </w:rPr>
              <w:t>根据《建设项目环境影响报告表编制技术指南（污染影响类）（试行）》，排放国家、地方环境空气质量标准中有标准限值要求的特征污染物时，引用建设项目周边5千米范围内近3年的现有监测数据，无相关数据的选择当季主导风向下风向1个点位补充不少于3天的监测数据。本次TSP现状监测布点位于主导风向下风向，连续监测3天，符合要求。</w:t>
            </w:r>
          </w:p>
          <w:p>
            <w:pPr>
              <w:adjustRightInd w:val="0"/>
              <w:snapToGrid w:val="0"/>
              <w:spacing w:line="360" w:lineRule="auto"/>
              <w:ind w:firstLine="480" w:firstLineChars="200"/>
              <w:rPr>
                <w:rFonts w:hint="eastAsia" w:hAnsi="宋体" w:cs="宋体"/>
                <w:kern w:val="0"/>
              </w:rPr>
            </w:pPr>
            <w:r>
              <w:rPr>
                <w:rFonts w:hint="eastAsia" w:hAnsi="宋体" w:cs="宋体"/>
                <w:kern w:val="0"/>
              </w:rPr>
              <w:t>监测点位情况及监测结果见表3-1、表3-2。</w:t>
            </w:r>
          </w:p>
          <w:p>
            <w:pPr>
              <w:adjustRightInd w:val="0"/>
              <w:snapToGrid w:val="0"/>
              <w:ind w:firstLine="481" w:firstLineChars="200"/>
              <w:jc w:val="center"/>
              <w:rPr>
                <w:b/>
              </w:rPr>
            </w:pPr>
          </w:p>
          <w:p>
            <w:pPr>
              <w:adjustRightInd w:val="0"/>
              <w:snapToGrid w:val="0"/>
              <w:ind w:firstLine="481" w:firstLineChars="200"/>
              <w:jc w:val="center"/>
              <w:rPr>
                <w:b/>
              </w:rPr>
            </w:pPr>
            <w:r>
              <w:rPr>
                <w:rFonts w:hint="eastAsia"/>
                <w:b/>
              </w:rPr>
              <w:t>表3-1  环境空气质量监测点位基本信息一览表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609"/>
              <w:gridCol w:w="1071"/>
              <w:gridCol w:w="2625"/>
              <w:gridCol w:w="18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 w:hRule="atLeast"/>
                <w:jc w:val="center"/>
              </w:trPr>
              <w:tc>
                <w:tcPr>
                  <w:tcW w:w="505" w:type="pct"/>
                  <w:vAlign w:val="center"/>
                </w:tcPr>
                <w:p>
                  <w:pPr>
                    <w:adjustRightInd w:val="0"/>
                    <w:snapToGrid w:val="0"/>
                    <w:jc w:val="center"/>
                    <w:rPr>
                      <w:rFonts w:hint="eastAsia" w:ascii="宋体" w:hAnsi="宋体"/>
                      <w:snapToGrid w:val="0"/>
                      <w:kern w:val="0"/>
                      <w:sz w:val="21"/>
                      <w:szCs w:val="21"/>
                    </w:rPr>
                  </w:pPr>
                  <w:r>
                    <w:rPr>
                      <w:rFonts w:hint="eastAsia" w:hAnsi="宋体"/>
                      <w:snapToGrid w:val="0"/>
                      <w:kern w:val="0"/>
                      <w:sz w:val="21"/>
                      <w:szCs w:val="21"/>
                    </w:rPr>
                    <w:t>序号</w:t>
                  </w:r>
                </w:p>
              </w:tc>
              <w:tc>
                <w:tcPr>
                  <w:tcW w:w="1008" w:type="pct"/>
                  <w:vAlign w:val="center"/>
                </w:tcPr>
                <w:p>
                  <w:pPr>
                    <w:adjustRightInd w:val="0"/>
                    <w:snapToGrid w:val="0"/>
                    <w:jc w:val="center"/>
                    <w:rPr>
                      <w:rFonts w:hint="eastAsia" w:ascii="宋体" w:hAnsi="宋体"/>
                      <w:snapToGrid w:val="0"/>
                      <w:kern w:val="0"/>
                      <w:sz w:val="21"/>
                      <w:szCs w:val="21"/>
                    </w:rPr>
                  </w:pPr>
                  <w:r>
                    <w:rPr>
                      <w:rFonts w:hint="eastAsia" w:hAnsi="宋体"/>
                      <w:snapToGrid w:val="0"/>
                      <w:kern w:val="0"/>
                      <w:sz w:val="21"/>
                      <w:szCs w:val="21"/>
                    </w:rPr>
                    <w:t>相对本项目区位置</w:t>
                  </w:r>
                </w:p>
              </w:tc>
              <w:tc>
                <w:tcPr>
                  <w:tcW w:w="671" w:type="pct"/>
                  <w:vAlign w:val="center"/>
                </w:tcPr>
                <w:p>
                  <w:pPr>
                    <w:adjustRightInd w:val="0"/>
                    <w:snapToGrid w:val="0"/>
                    <w:jc w:val="center"/>
                    <w:rPr>
                      <w:rFonts w:hint="eastAsia" w:ascii="宋体" w:hAnsi="宋体"/>
                      <w:snapToGrid w:val="0"/>
                      <w:kern w:val="0"/>
                      <w:sz w:val="21"/>
                      <w:szCs w:val="21"/>
                    </w:rPr>
                  </w:pPr>
                  <w:r>
                    <w:rPr>
                      <w:rFonts w:hint="eastAsia" w:hAnsi="宋体"/>
                      <w:snapToGrid w:val="0"/>
                      <w:kern w:val="0"/>
                      <w:sz w:val="21"/>
                      <w:szCs w:val="21"/>
                    </w:rPr>
                    <w:t>距离</w:t>
                  </w:r>
                </w:p>
              </w:tc>
              <w:tc>
                <w:tcPr>
                  <w:tcW w:w="1645" w:type="pct"/>
                  <w:vAlign w:val="center"/>
                </w:tcPr>
                <w:p>
                  <w:pPr>
                    <w:adjustRightInd w:val="0"/>
                    <w:snapToGrid w:val="0"/>
                    <w:jc w:val="center"/>
                    <w:rPr>
                      <w:rFonts w:hint="eastAsia" w:ascii="宋体" w:hAnsi="宋体"/>
                      <w:snapToGrid w:val="0"/>
                      <w:kern w:val="0"/>
                      <w:sz w:val="21"/>
                      <w:szCs w:val="21"/>
                    </w:rPr>
                  </w:pPr>
                  <w:r>
                    <w:rPr>
                      <w:rFonts w:hint="eastAsia" w:hAnsi="宋体"/>
                      <w:snapToGrid w:val="0"/>
                      <w:kern w:val="0"/>
                      <w:sz w:val="21"/>
                      <w:szCs w:val="21"/>
                    </w:rPr>
                    <w:t>坐标</w:t>
                  </w:r>
                </w:p>
              </w:tc>
              <w:tc>
                <w:tcPr>
                  <w:tcW w:w="1171" w:type="pct"/>
                  <w:vAlign w:val="center"/>
                </w:tcPr>
                <w:p>
                  <w:pPr>
                    <w:adjustRightInd w:val="0"/>
                    <w:snapToGrid w:val="0"/>
                    <w:jc w:val="center"/>
                    <w:rPr>
                      <w:rFonts w:hint="eastAsia" w:ascii="宋体" w:hAnsi="宋体"/>
                      <w:snapToGrid w:val="0"/>
                      <w:kern w:val="0"/>
                      <w:sz w:val="21"/>
                      <w:szCs w:val="21"/>
                    </w:rPr>
                  </w:pPr>
                  <w:r>
                    <w:rPr>
                      <w:rFonts w:hint="eastAsia" w:hAnsi="宋体"/>
                      <w:snapToGrid w:val="0"/>
                      <w:kern w:val="0"/>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9" w:hRule="atLeast"/>
                <w:jc w:val="center"/>
              </w:trPr>
              <w:tc>
                <w:tcPr>
                  <w:tcW w:w="505" w:type="pct"/>
                  <w:vAlign w:val="center"/>
                </w:tcPr>
                <w:p>
                  <w:pPr>
                    <w:adjustRightInd w:val="0"/>
                    <w:snapToGrid w:val="0"/>
                    <w:jc w:val="center"/>
                    <w:rPr>
                      <w:rFonts w:hint="eastAsia" w:ascii="宋体" w:hAnsi="宋体"/>
                      <w:snapToGrid w:val="0"/>
                      <w:kern w:val="0"/>
                      <w:sz w:val="21"/>
                      <w:szCs w:val="21"/>
                    </w:rPr>
                  </w:pPr>
                  <w:r>
                    <w:rPr>
                      <w:rFonts w:hint="eastAsia" w:hAnsi="宋体"/>
                      <w:snapToGrid w:val="0"/>
                      <w:kern w:val="0"/>
                      <w:sz w:val="21"/>
                      <w:szCs w:val="21"/>
                    </w:rPr>
                    <w:t>1</w:t>
                  </w:r>
                </w:p>
              </w:tc>
              <w:tc>
                <w:tcPr>
                  <w:tcW w:w="1008" w:type="pct"/>
                  <w:vAlign w:val="center"/>
                </w:tcPr>
                <w:p>
                  <w:pPr>
                    <w:adjustRightInd w:val="0"/>
                    <w:snapToGrid w:val="0"/>
                    <w:jc w:val="center"/>
                    <w:rPr>
                      <w:rFonts w:hint="eastAsia" w:ascii="宋体" w:hAnsi="宋体"/>
                      <w:snapToGrid w:val="0"/>
                      <w:kern w:val="0"/>
                      <w:sz w:val="21"/>
                      <w:szCs w:val="21"/>
                      <w:highlight w:val="yellow"/>
                    </w:rPr>
                  </w:pPr>
                  <w:r>
                    <w:rPr>
                      <w:rFonts w:hint="eastAsia" w:hAnsi="宋体"/>
                      <w:snapToGrid w:val="0"/>
                      <w:kern w:val="0"/>
                      <w:sz w:val="21"/>
                      <w:szCs w:val="21"/>
                    </w:rPr>
                    <w:t>SE</w:t>
                  </w:r>
                </w:p>
              </w:tc>
              <w:tc>
                <w:tcPr>
                  <w:tcW w:w="671" w:type="pct"/>
                  <w:vAlign w:val="center"/>
                </w:tcPr>
                <w:p>
                  <w:pPr>
                    <w:adjustRightInd w:val="0"/>
                    <w:snapToGrid w:val="0"/>
                    <w:jc w:val="center"/>
                    <w:rPr>
                      <w:rFonts w:hint="eastAsia" w:ascii="宋体" w:hAnsi="宋体"/>
                      <w:snapToGrid w:val="0"/>
                      <w:kern w:val="0"/>
                      <w:sz w:val="21"/>
                      <w:szCs w:val="21"/>
                      <w:highlight w:val="yellow"/>
                    </w:rPr>
                  </w:pPr>
                  <w:r>
                    <w:rPr>
                      <w:rFonts w:hint="eastAsia" w:hAnsi="宋体"/>
                      <w:snapToGrid w:val="0"/>
                      <w:kern w:val="0"/>
                      <w:sz w:val="21"/>
                      <w:szCs w:val="21"/>
                    </w:rPr>
                    <w:t>94m</w:t>
                  </w:r>
                </w:p>
              </w:tc>
              <w:tc>
                <w:tcPr>
                  <w:tcW w:w="1645" w:type="pct"/>
                  <w:vAlign w:val="center"/>
                </w:tcPr>
                <w:p>
                  <w:pPr>
                    <w:adjustRightInd w:val="0"/>
                    <w:snapToGrid w:val="0"/>
                    <w:jc w:val="center"/>
                    <w:rPr>
                      <w:rFonts w:hint="eastAsia" w:hAnsi="宋体"/>
                      <w:snapToGrid w:val="0"/>
                      <w:kern w:val="0"/>
                      <w:sz w:val="21"/>
                      <w:szCs w:val="21"/>
                    </w:rPr>
                  </w:pPr>
                  <w:r>
                    <w:rPr>
                      <w:rFonts w:hint="eastAsia" w:hAnsi="宋体"/>
                      <w:snapToGrid w:val="0"/>
                      <w:kern w:val="0"/>
                      <w:sz w:val="21"/>
                      <w:szCs w:val="21"/>
                    </w:rPr>
                    <w:t>E</w:t>
                  </w:r>
                  <w:r>
                    <w:rPr>
                      <w:rFonts w:hAnsi="宋体"/>
                      <w:snapToGrid w:val="0"/>
                      <w:kern w:val="0"/>
                      <w:sz w:val="21"/>
                      <w:szCs w:val="21"/>
                    </w:rPr>
                    <w:t>110.11248°</w:t>
                  </w:r>
                </w:p>
                <w:p>
                  <w:pPr>
                    <w:adjustRightInd w:val="0"/>
                    <w:snapToGrid w:val="0"/>
                    <w:jc w:val="center"/>
                    <w:rPr>
                      <w:rFonts w:hint="eastAsia" w:ascii="宋体" w:hAnsi="宋体"/>
                      <w:snapToGrid w:val="0"/>
                      <w:kern w:val="0"/>
                      <w:sz w:val="21"/>
                      <w:szCs w:val="21"/>
                    </w:rPr>
                  </w:pPr>
                  <w:r>
                    <w:rPr>
                      <w:rFonts w:hint="eastAsia" w:hAnsi="宋体"/>
                      <w:snapToGrid w:val="0"/>
                      <w:kern w:val="0"/>
                      <w:sz w:val="21"/>
                      <w:szCs w:val="21"/>
                    </w:rPr>
                    <w:t>N</w:t>
                  </w:r>
                  <w:r>
                    <w:rPr>
                      <w:rFonts w:hAnsi="宋体"/>
                      <w:snapToGrid w:val="0"/>
                      <w:kern w:val="0"/>
                      <w:sz w:val="21"/>
                      <w:szCs w:val="21"/>
                    </w:rPr>
                    <w:t>39.42590</w:t>
                  </w:r>
                  <w:r>
                    <w:rPr>
                      <w:rFonts w:hint="eastAsia" w:hAnsi="宋体"/>
                      <w:snapToGrid w:val="0"/>
                      <w:kern w:val="0"/>
                      <w:sz w:val="21"/>
                      <w:szCs w:val="21"/>
                    </w:rPr>
                    <w:t>°</w:t>
                  </w:r>
                </w:p>
              </w:tc>
              <w:tc>
                <w:tcPr>
                  <w:tcW w:w="1171" w:type="pct"/>
                  <w:vAlign w:val="center"/>
                </w:tcPr>
                <w:p>
                  <w:pPr>
                    <w:adjustRightInd w:val="0"/>
                    <w:snapToGrid w:val="0"/>
                    <w:jc w:val="center"/>
                    <w:rPr>
                      <w:rFonts w:hint="eastAsia" w:ascii="宋体" w:hAnsi="宋体"/>
                      <w:snapToGrid w:val="0"/>
                      <w:kern w:val="0"/>
                      <w:sz w:val="21"/>
                      <w:szCs w:val="21"/>
                    </w:rPr>
                  </w:pPr>
                  <w:r>
                    <w:rPr>
                      <w:rFonts w:hint="eastAsia" w:hAnsi="宋体"/>
                      <w:snapToGrid w:val="0"/>
                      <w:kern w:val="0"/>
                      <w:sz w:val="21"/>
                      <w:szCs w:val="21"/>
                    </w:rPr>
                    <w:t>实测</w:t>
                  </w:r>
                </w:p>
              </w:tc>
            </w:tr>
          </w:tbl>
          <w:p>
            <w:pPr>
              <w:adjustRightInd w:val="0"/>
              <w:snapToGrid w:val="0"/>
              <w:ind w:firstLine="481" w:firstLineChars="200"/>
              <w:jc w:val="center"/>
              <w:rPr>
                <w:b/>
              </w:rPr>
            </w:pPr>
          </w:p>
          <w:p>
            <w:pPr>
              <w:adjustRightInd w:val="0"/>
              <w:snapToGrid w:val="0"/>
              <w:ind w:firstLine="481" w:firstLineChars="200"/>
              <w:jc w:val="center"/>
              <w:rPr>
                <w:rFonts w:hint="eastAsia" w:hAnsi="宋体"/>
                <w:b/>
              </w:rPr>
            </w:pPr>
            <w:r>
              <w:rPr>
                <w:rFonts w:hint="eastAsia"/>
                <w:b/>
              </w:rPr>
              <w:t>表3-2  环境空气现状监测与评价结果统计表</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79"/>
              <w:gridCol w:w="940"/>
              <w:gridCol w:w="1865"/>
              <w:gridCol w:w="1323"/>
              <w:gridCol w:w="1441"/>
              <w:gridCol w:w="13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4" w:hRule="atLeast"/>
              </w:trPr>
              <w:tc>
                <w:tcPr>
                  <w:tcW w:w="937" w:type="dxa"/>
                  <w:vAlign w:val="center"/>
                </w:tcPr>
                <w:p>
                  <w:pPr>
                    <w:jc w:val="center"/>
                    <w:rPr>
                      <w:rFonts w:hint="eastAsia" w:ascii="宋体" w:hAnsi="宋体"/>
                      <w:sz w:val="21"/>
                      <w:szCs w:val="21"/>
                    </w:rPr>
                  </w:pPr>
                  <w:r>
                    <w:rPr>
                      <w:rFonts w:hint="eastAsia" w:hAnsi="宋体"/>
                      <w:sz w:val="21"/>
                      <w:szCs w:val="21"/>
                    </w:rPr>
                    <w:t>监测日期</w:t>
                  </w:r>
                </w:p>
              </w:tc>
              <w:tc>
                <w:tcPr>
                  <w:tcW w:w="959" w:type="dxa"/>
                  <w:vAlign w:val="center"/>
                </w:tcPr>
                <w:p>
                  <w:pPr>
                    <w:jc w:val="center"/>
                    <w:rPr>
                      <w:rFonts w:hint="eastAsia" w:ascii="宋体" w:hAnsi="宋体"/>
                      <w:sz w:val="21"/>
                      <w:szCs w:val="21"/>
                    </w:rPr>
                  </w:pPr>
                  <w:r>
                    <w:rPr>
                      <w:rFonts w:hint="eastAsia" w:hAnsi="宋体"/>
                      <w:sz w:val="21"/>
                      <w:szCs w:val="21"/>
                    </w:rPr>
                    <w:t>监测因子</w:t>
                  </w:r>
                </w:p>
              </w:tc>
              <w:tc>
                <w:tcPr>
                  <w:tcW w:w="1893" w:type="dxa"/>
                  <w:vAlign w:val="center"/>
                </w:tcPr>
                <w:p>
                  <w:pPr>
                    <w:jc w:val="center"/>
                    <w:rPr>
                      <w:rFonts w:hint="eastAsia" w:ascii="宋体" w:hAnsi="宋体"/>
                      <w:sz w:val="21"/>
                      <w:szCs w:val="21"/>
                    </w:rPr>
                  </w:pPr>
                  <w:r>
                    <w:rPr>
                      <w:rFonts w:hint="eastAsia" w:hAnsi="宋体"/>
                      <w:sz w:val="21"/>
                      <w:szCs w:val="21"/>
                    </w:rPr>
                    <w:t>监测结果（ug/m</w:t>
                  </w:r>
                  <w:r>
                    <w:rPr>
                      <w:rFonts w:hint="eastAsia" w:hAnsi="宋体"/>
                      <w:sz w:val="21"/>
                      <w:szCs w:val="21"/>
                      <w:vertAlign w:val="superscript"/>
                    </w:rPr>
                    <w:t>3</w:t>
                  </w:r>
                  <w:r>
                    <w:rPr>
                      <w:rFonts w:hint="eastAsia" w:hAnsi="宋体"/>
                      <w:sz w:val="21"/>
                      <w:szCs w:val="21"/>
                    </w:rPr>
                    <w:t>）</w:t>
                  </w:r>
                </w:p>
              </w:tc>
              <w:tc>
                <w:tcPr>
                  <w:tcW w:w="1333" w:type="dxa"/>
                  <w:vAlign w:val="center"/>
                </w:tcPr>
                <w:p>
                  <w:pPr>
                    <w:jc w:val="center"/>
                    <w:rPr>
                      <w:rFonts w:hint="eastAsia" w:ascii="宋体" w:hAnsi="宋体"/>
                      <w:sz w:val="21"/>
                      <w:szCs w:val="21"/>
                    </w:rPr>
                  </w:pPr>
                  <w:r>
                    <w:rPr>
                      <w:rFonts w:hint="eastAsia" w:hAnsi="宋体"/>
                      <w:sz w:val="21"/>
                      <w:szCs w:val="21"/>
                    </w:rPr>
                    <w:t>评价标准</w:t>
                  </w:r>
                </w:p>
              </w:tc>
              <w:tc>
                <w:tcPr>
                  <w:tcW w:w="1474" w:type="dxa"/>
                  <w:vAlign w:val="center"/>
                </w:tcPr>
                <w:p>
                  <w:pPr>
                    <w:jc w:val="center"/>
                    <w:rPr>
                      <w:rFonts w:hint="eastAsia" w:ascii="宋体" w:hAnsi="宋体"/>
                      <w:sz w:val="21"/>
                      <w:szCs w:val="21"/>
                    </w:rPr>
                  </w:pPr>
                  <w:r>
                    <w:rPr>
                      <w:rFonts w:hint="eastAsia" w:hAnsi="宋体"/>
                      <w:sz w:val="21"/>
                      <w:szCs w:val="21"/>
                    </w:rPr>
                    <w:t>评价指数</w:t>
                  </w:r>
                </w:p>
              </w:tc>
              <w:tc>
                <w:tcPr>
                  <w:tcW w:w="1368" w:type="dxa"/>
                  <w:vAlign w:val="center"/>
                </w:tcPr>
                <w:p>
                  <w:pPr>
                    <w:jc w:val="center"/>
                    <w:rPr>
                      <w:rFonts w:hint="eastAsia" w:ascii="宋体" w:hAnsi="宋体"/>
                      <w:sz w:val="21"/>
                      <w:szCs w:val="21"/>
                    </w:rPr>
                  </w:pPr>
                  <w:r>
                    <w:rPr>
                      <w:rFonts w:hint="eastAsia" w:hAnsi="宋体"/>
                      <w:sz w:val="21"/>
                      <w:szCs w:val="21"/>
                    </w:rPr>
                    <w:t>最大超标倍数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4" w:hRule="atLeast"/>
              </w:trPr>
              <w:tc>
                <w:tcPr>
                  <w:tcW w:w="937" w:type="dxa"/>
                  <w:vAlign w:val="center"/>
                </w:tcPr>
                <w:p>
                  <w:pPr>
                    <w:adjustRightInd w:val="0"/>
                    <w:snapToGrid w:val="0"/>
                    <w:jc w:val="center"/>
                    <w:rPr>
                      <w:rFonts w:hint="eastAsia" w:ascii="宋体" w:hAnsi="宋体"/>
                      <w:snapToGrid w:val="0"/>
                      <w:kern w:val="0"/>
                      <w:sz w:val="21"/>
                      <w:szCs w:val="21"/>
                    </w:rPr>
                  </w:pPr>
                  <w:r>
                    <w:rPr>
                      <w:rFonts w:hint="eastAsia" w:hAnsi="宋体"/>
                      <w:snapToGrid w:val="0"/>
                      <w:kern w:val="0"/>
                      <w:sz w:val="21"/>
                      <w:szCs w:val="21"/>
                    </w:rPr>
                    <w:t>2023.3.24</w:t>
                  </w:r>
                </w:p>
              </w:tc>
              <w:tc>
                <w:tcPr>
                  <w:tcW w:w="959" w:type="dxa"/>
                  <w:vMerge w:val="restart"/>
                  <w:vAlign w:val="center"/>
                </w:tcPr>
                <w:p>
                  <w:pPr>
                    <w:jc w:val="center"/>
                    <w:rPr>
                      <w:rFonts w:hint="eastAsia" w:ascii="宋体" w:hAnsi="宋体"/>
                      <w:sz w:val="21"/>
                      <w:szCs w:val="21"/>
                    </w:rPr>
                  </w:pPr>
                  <w:r>
                    <w:rPr>
                      <w:rFonts w:hint="eastAsia" w:hAnsi="宋体"/>
                      <w:sz w:val="21"/>
                      <w:szCs w:val="21"/>
                    </w:rPr>
                    <w:t>TSP</w:t>
                  </w:r>
                </w:p>
              </w:tc>
              <w:tc>
                <w:tcPr>
                  <w:tcW w:w="1893" w:type="dxa"/>
                  <w:vAlign w:val="center"/>
                </w:tcPr>
                <w:p>
                  <w:pPr>
                    <w:jc w:val="center"/>
                    <w:rPr>
                      <w:rFonts w:hint="eastAsia" w:ascii="宋体" w:hAnsi="宋体"/>
                      <w:sz w:val="21"/>
                      <w:szCs w:val="21"/>
                      <w:highlight w:val="yellow"/>
                    </w:rPr>
                  </w:pPr>
                  <w:r>
                    <w:rPr>
                      <w:rFonts w:hint="eastAsia" w:hAnsi="宋体"/>
                      <w:sz w:val="21"/>
                      <w:szCs w:val="21"/>
                    </w:rPr>
                    <w:t>100</w:t>
                  </w:r>
                </w:p>
              </w:tc>
              <w:tc>
                <w:tcPr>
                  <w:tcW w:w="1333" w:type="dxa"/>
                  <w:vMerge w:val="restart"/>
                  <w:vAlign w:val="center"/>
                </w:tcPr>
                <w:p>
                  <w:pPr>
                    <w:jc w:val="center"/>
                    <w:rPr>
                      <w:rFonts w:hint="eastAsia" w:ascii="宋体" w:hAnsi="宋体"/>
                      <w:sz w:val="21"/>
                      <w:szCs w:val="21"/>
                      <w:highlight w:val="yellow"/>
                    </w:rPr>
                  </w:pPr>
                  <w:r>
                    <w:rPr>
                      <w:rFonts w:hint="eastAsia" w:hAnsi="宋体"/>
                      <w:sz w:val="21"/>
                      <w:szCs w:val="21"/>
                    </w:rPr>
                    <w:t>300ug/m</w:t>
                  </w:r>
                  <w:r>
                    <w:rPr>
                      <w:rFonts w:hint="eastAsia" w:hAnsi="宋体"/>
                      <w:sz w:val="21"/>
                      <w:szCs w:val="21"/>
                      <w:vertAlign w:val="superscript"/>
                    </w:rPr>
                    <w:t>3</w:t>
                  </w:r>
                </w:p>
              </w:tc>
              <w:tc>
                <w:tcPr>
                  <w:tcW w:w="1474" w:type="dxa"/>
                  <w:vAlign w:val="center"/>
                </w:tcPr>
                <w:p>
                  <w:pPr>
                    <w:jc w:val="center"/>
                    <w:rPr>
                      <w:rFonts w:ascii="宋体"/>
                      <w:sz w:val="21"/>
                      <w:szCs w:val="21"/>
                    </w:rPr>
                  </w:pPr>
                  <w:r>
                    <w:rPr>
                      <w:rFonts w:hint="eastAsia" w:hAnsi="宋体"/>
                      <w:sz w:val="21"/>
                      <w:szCs w:val="21"/>
                    </w:rPr>
                    <w:t>0.33</w:t>
                  </w:r>
                </w:p>
              </w:tc>
              <w:tc>
                <w:tcPr>
                  <w:tcW w:w="1368" w:type="dxa"/>
                  <w:vAlign w:val="center"/>
                </w:tcPr>
                <w:p>
                  <w:pPr>
                    <w:jc w:val="center"/>
                    <w:rPr>
                      <w:rFonts w:hint="eastAsia" w:ascii="宋体" w:hAnsi="宋体"/>
                      <w:sz w:val="21"/>
                      <w:szCs w:val="21"/>
                    </w:rPr>
                  </w:pPr>
                  <w:r>
                    <w:rPr>
                      <w:rFonts w:hint="eastAsia" w:hAnsi="宋体"/>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4" w:hRule="atLeast"/>
              </w:trPr>
              <w:tc>
                <w:tcPr>
                  <w:tcW w:w="937" w:type="dxa"/>
                  <w:vAlign w:val="center"/>
                </w:tcPr>
                <w:p>
                  <w:pPr>
                    <w:adjustRightInd w:val="0"/>
                    <w:snapToGrid w:val="0"/>
                    <w:jc w:val="center"/>
                    <w:rPr>
                      <w:rFonts w:hint="eastAsia" w:hAnsi="宋体"/>
                      <w:snapToGrid w:val="0"/>
                      <w:kern w:val="0"/>
                      <w:sz w:val="21"/>
                      <w:szCs w:val="21"/>
                    </w:rPr>
                  </w:pPr>
                  <w:r>
                    <w:rPr>
                      <w:rFonts w:hint="eastAsia" w:hAnsi="宋体"/>
                      <w:snapToGrid w:val="0"/>
                      <w:kern w:val="0"/>
                      <w:sz w:val="21"/>
                      <w:szCs w:val="21"/>
                    </w:rPr>
                    <w:t>2023.3.25</w:t>
                  </w:r>
                </w:p>
              </w:tc>
              <w:tc>
                <w:tcPr>
                  <w:tcW w:w="959" w:type="dxa"/>
                  <w:vMerge w:val="continue"/>
                  <w:vAlign w:val="center"/>
                </w:tcPr>
                <w:p>
                  <w:pPr>
                    <w:jc w:val="center"/>
                    <w:rPr>
                      <w:rFonts w:hint="eastAsia" w:hAnsi="宋体"/>
                      <w:sz w:val="21"/>
                      <w:szCs w:val="21"/>
                    </w:rPr>
                  </w:pPr>
                </w:p>
              </w:tc>
              <w:tc>
                <w:tcPr>
                  <w:tcW w:w="1893" w:type="dxa"/>
                  <w:vAlign w:val="center"/>
                </w:tcPr>
                <w:p>
                  <w:pPr>
                    <w:jc w:val="center"/>
                    <w:rPr>
                      <w:rFonts w:hint="eastAsia" w:hAnsi="宋体"/>
                      <w:sz w:val="21"/>
                      <w:szCs w:val="21"/>
                    </w:rPr>
                  </w:pPr>
                  <w:r>
                    <w:rPr>
                      <w:rFonts w:hint="eastAsia" w:hAnsi="宋体"/>
                      <w:sz w:val="21"/>
                      <w:szCs w:val="21"/>
                    </w:rPr>
                    <w:t>97</w:t>
                  </w:r>
                </w:p>
              </w:tc>
              <w:tc>
                <w:tcPr>
                  <w:tcW w:w="1333" w:type="dxa"/>
                  <w:vMerge w:val="continue"/>
                  <w:vAlign w:val="center"/>
                </w:tcPr>
                <w:p>
                  <w:pPr>
                    <w:jc w:val="center"/>
                    <w:rPr>
                      <w:rFonts w:hint="eastAsia" w:hAnsi="宋体"/>
                      <w:sz w:val="21"/>
                      <w:szCs w:val="21"/>
                    </w:rPr>
                  </w:pPr>
                </w:p>
              </w:tc>
              <w:tc>
                <w:tcPr>
                  <w:tcW w:w="1474" w:type="dxa"/>
                  <w:vAlign w:val="center"/>
                </w:tcPr>
                <w:p>
                  <w:pPr>
                    <w:jc w:val="center"/>
                    <w:rPr>
                      <w:rFonts w:hint="eastAsia" w:hAnsi="宋体"/>
                      <w:sz w:val="21"/>
                      <w:szCs w:val="21"/>
                    </w:rPr>
                  </w:pPr>
                  <w:r>
                    <w:rPr>
                      <w:rFonts w:hint="eastAsia" w:hAnsi="宋体"/>
                      <w:sz w:val="21"/>
                      <w:szCs w:val="21"/>
                    </w:rPr>
                    <w:t>0.32</w:t>
                  </w:r>
                </w:p>
              </w:tc>
              <w:tc>
                <w:tcPr>
                  <w:tcW w:w="1368" w:type="dxa"/>
                  <w:vAlign w:val="center"/>
                </w:tcPr>
                <w:p>
                  <w:pPr>
                    <w:jc w:val="center"/>
                    <w:rPr>
                      <w:rFonts w:hint="eastAsia" w:hAnsi="宋体"/>
                      <w:sz w:val="21"/>
                      <w:szCs w:val="21"/>
                    </w:rPr>
                  </w:pPr>
                  <w:r>
                    <w:rPr>
                      <w:rFonts w:hint="eastAsia" w:hAnsi="宋体"/>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4" w:hRule="atLeast"/>
              </w:trPr>
              <w:tc>
                <w:tcPr>
                  <w:tcW w:w="937" w:type="dxa"/>
                  <w:vAlign w:val="center"/>
                </w:tcPr>
                <w:p>
                  <w:pPr>
                    <w:adjustRightInd w:val="0"/>
                    <w:snapToGrid w:val="0"/>
                    <w:jc w:val="center"/>
                    <w:rPr>
                      <w:rFonts w:hint="eastAsia" w:hAnsi="宋体"/>
                      <w:snapToGrid w:val="0"/>
                      <w:kern w:val="0"/>
                      <w:sz w:val="21"/>
                      <w:szCs w:val="21"/>
                    </w:rPr>
                  </w:pPr>
                  <w:r>
                    <w:rPr>
                      <w:rFonts w:hint="eastAsia" w:hAnsi="宋体"/>
                      <w:snapToGrid w:val="0"/>
                      <w:kern w:val="0"/>
                      <w:sz w:val="21"/>
                      <w:szCs w:val="21"/>
                    </w:rPr>
                    <w:t>2023.3.26</w:t>
                  </w:r>
                </w:p>
              </w:tc>
              <w:tc>
                <w:tcPr>
                  <w:tcW w:w="959" w:type="dxa"/>
                  <w:vMerge w:val="continue"/>
                  <w:vAlign w:val="center"/>
                </w:tcPr>
                <w:p>
                  <w:pPr>
                    <w:jc w:val="center"/>
                    <w:rPr>
                      <w:rFonts w:hint="eastAsia" w:hAnsi="宋体"/>
                      <w:sz w:val="21"/>
                      <w:szCs w:val="21"/>
                    </w:rPr>
                  </w:pPr>
                </w:p>
              </w:tc>
              <w:tc>
                <w:tcPr>
                  <w:tcW w:w="1893" w:type="dxa"/>
                  <w:vAlign w:val="center"/>
                </w:tcPr>
                <w:p>
                  <w:pPr>
                    <w:jc w:val="center"/>
                    <w:rPr>
                      <w:rFonts w:hint="eastAsia" w:hAnsi="宋体"/>
                      <w:sz w:val="21"/>
                      <w:szCs w:val="21"/>
                    </w:rPr>
                  </w:pPr>
                  <w:r>
                    <w:rPr>
                      <w:rFonts w:hint="eastAsia" w:hAnsi="宋体"/>
                      <w:sz w:val="21"/>
                      <w:szCs w:val="21"/>
                    </w:rPr>
                    <w:t>95</w:t>
                  </w:r>
                </w:p>
              </w:tc>
              <w:tc>
                <w:tcPr>
                  <w:tcW w:w="1333" w:type="dxa"/>
                  <w:vMerge w:val="continue"/>
                  <w:vAlign w:val="center"/>
                </w:tcPr>
                <w:p>
                  <w:pPr>
                    <w:jc w:val="center"/>
                    <w:rPr>
                      <w:rFonts w:hint="eastAsia" w:hAnsi="宋体"/>
                      <w:sz w:val="21"/>
                      <w:szCs w:val="21"/>
                    </w:rPr>
                  </w:pPr>
                </w:p>
              </w:tc>
              <w:tc>
                <w:tcPr>
                  <w:tcW w:w="1474" w:type="dxa"/>
                  <w:vAlign w:val="center"/>
                </w:tcPr>
                <w:p>
                  <w:pPr>
                    <w:jc w:val="center"/>
                    <w:rPr>
                      <w:rFonts w:hint="eastAsia" w:hAnsi="宋体"/>
                      <w:sz w:val="21"/>
                      <w:szCs w:val="21"/>
                    </w:rPr>
                  </w:pPr>
                  <w:r>
                    <w:rPr>
                      <w:rFonts w:hint="eastAsia" w:hAnsi="宋体"/>
                      <w:sz w:val="21"/>
                      <w:szCs w:val="21"/>
                    </w:rPr>
                    <w:t>0.32</w:t>
                  </w:r>
                </w:p>
              </w:tc>
              <w:tc>
                <w:tcPr>
                  <w:tcW w:w="1368" w:type="dxa"/>
                  <w:vAlign w:val="center"/>
                </w:tcPr>
                <w:p>
                  <w:pPr>
                    <w:jc w:val="center"/>
                    <w:rPr>
                      <w:rFonts w:hint="eastAsia" w:hAnsi="宋体"/>
                      <w:sz w:val="21"/>
                      <w:szCs w:val="21"/>
                    </w:rPr>
                  </w:pPr>
                  <w:r>
                    <w:rPr>
                      <w:rFonts w:hint="eastAsia" w:hAnsi="宋体"/>
                      <w:sz w:val="21"/>
                      <w:szCs w:val="21"/>
                    </w:rPr>
                    <w:t>0</w:t>
                  </w:r>
                </w:p>
              </w:tc>
            </w:tr>
          </w:tbl>
          <w:p>
            <w:pPr>
              <w:tabs>
                <w:tab w:val="left" w:pos="180"/>
              </w:tabs>
              <w:adjustRightInd w:val="0"/>
              <w:snapToGrid w:val="0"/>
              <w:spacing w:line="360" w:lineRule="auto"/>
              <w:ind w:firstLine="480" w:firstLineChars="200"/>
              <w:rPr>
                <w:rFonts w:hint="eastAsia" w:hAnsi="宋体" w:cs="宋体"/>
                <w:kern w:val="0"/>
              </w:rPr>
            </w:pPr>
            <w:r>
              <w:rPr>
                <w:rFonts w:hint="eastAsia" w:hAnsi="宋体" w:cs="宋体"/>
                <w:kern w:val="0"/>
              </w:rPr>
              <w:t>由上表评价结果可以看出，监测点</w:t>
            </w:r>
            <w:r>
              <w:t>TSP</w:t>
            </w:r>
            <w:r>
              <w:rPr>
                <w:rFonts w:hint="eastAsia"/>
              </w:rPr>
              <w:t>浓度能够满足《环境空气质量标准》（</w:t>
            </w:r>
            <w:r>
              <w:t>GB3095-2012</w:t>
            </w:r>
            <w:r>
              <w:rPr>
                <w:rFonts w:hint="eastAsia"/>
              </w:rPr>
              <w:t>）</w:t>
            </w:r>
            <w:r>
              <w:rPr>
                <w:rFonts w:hint="eastAsia" w:hAnsi="宋体" w:cs="宋体"/>
              </w:rPr>
              <w:t>表1中</w:t>
            </w:r>
            <w:r>
              <w:rPr>
                <w:rFonts w:hint="eastAsia"/>
              </w:rPr>
              <w:t>二级标准限值</w:t>
            </w:r>
            <w:r>
              <w:rPr>
                <w:rFonts w:hint="eastAsia" w:hAnsi="宋体" w:cs="宋体"/>
                <w:kern w:val="0"/>
              </w:rPr>
              <w:t>，TSP现状监测浓度值达标。</w:t>
            </w:r>
          </w:p>
          <w:p>
            <w:pPr>
              <w:tabs>
                <w:tab w:val="left" w:pos="180"/>
              </w:tabs>
              <w:adjustRightInd w:val="0"/>
              <w:snapToGrid w:val="0"/>
              <w:spacing w:line="360" w:lineRule="auto"/>
              <w:ind w:firstLine="480" w:firstLineChars="200"/>
              <w:rPr>
                <w:bCs/>
              </w:rPr>
            </w:pPr>
            <w:r>
              <w:rPr>
                <w:rFonts w:hint="eastAsia"/>
                <w:bCs/>
              </w:rPr>
              <w:t>2、</w:t>
            </w:r>
            <w:r>
              <w:rPr>
                <w:bCs/>
              </w:rPr>
              <w:t>声环境质量现状</w:t>
            </w:r>
          </w:p>
          <w:p>
            <w:pPr>
              <w:tabs>
                <w:tab w:val="left" w:pos="180"/>
              </w:tabs>
              <w:adjustRightInd w:val="0"/>
              <w:snapToGrid w:val="0"/>
              <w:spacing w:line="360" w:lineRule="auto"/>
              <w:ind w:firstLine="480" w:firstLineChars="200"/>
              <w:rPr>
                <w:bCs/>
              </w:rPr>
            </w:pPr>
            <w:r>
              <w:rPr>
                <w:rFonts w:hint="eastAsia"/>
                <w:bCs/>
              </w:rPr>
              <w:t>为掌握项目区声环境质量现状，</w:t>
            </w:r>
            <w:r>
              <w:rPr>
                <w:rFonts w:hint="eastAsia"/>
              </w:rPr>
              <w:t>本次评价委托内蒙古康城环保服务有限责任公司</w:t>
            </w:r>
            <w:r>
              <w:rPr>
                <w:rFonts w:hint="eastAsia"/>
                <w:bCs/>
              </w:rPr>
              <w:t>于2023年2月24日对项目厂界四周进行了声环境质量监测。</w:t>
            </w:r>
          </w:p>
          <w:p>
            <w:pPr>
              <w:pStyle w:val="2"/>
              <w:spacing w:line="360" w:lineRule="auto"/>
              <w:rPr>
                <w:bCs/>
              </w:rPr>
            </w:pPr>
            <w:r>
              <w:rPr>
                <w:rFonts w:hint="eastAsia"/>
                <w:bCs/>
              </w:rPr>
              <w:t>（1）监测仪器</w:t>
            </w:r>
          </w:p>
          <w:p>
            <w:pPr>
              <w:pStyle w:val="2"/>
              <w:spacing w:line="360" w:lineRule="auto"/>
              <w:rPr>
                <w:bCs/>
              </w:rPr>
            </w:pPr>
            <w:r>
              <w:rPr>
                <w:bCs/>
              </w:rPr>
              <w:t>测量仪器：AWA</w:t>
            </w:r>
            <w:r>
              <w:rPr>
                <w:rFonts w:hint="eastAsia"/>
                <w:bCs/>
              </w:rPr>
              <w:t>6228多功能</w:t>
            </w:r>
            <w:r>
              <w:rPr>
                <w:bCs/>
              </w:rPr>
              <w:t>声计（</w:t>
            </w:r>
            <w:r>
              <w:rPr>
                <w:rFonts w:hint="eastAsia"/>
                <w:bCs/>
              </w:rPr>
              <w:t>康城环保-26</w:t>
            </w:r>
            <w:r>
              <w:rPr>
                <w:bCs/>
              </w:rPr>
              <w:t>）；</w:t>
            </w:r>
          </w:p>
          <w:p>
            <w:pPr>
              <w:pStyle w:val="2"/>
              <w:spacing w:line="360" w:lineRule="auto"/>
              <w:rPr>
                <w:bCs/>
              </w:rPr>
            </w:pPr>
            <w:r>
              <w:rPr>
                <w:bCs/>
              </w:rPr>
              <w:t>测量方法及来源：《声环境质量标准》（GB3096—2008）。</w:t>
            </w:r>
          </w:p>
          <w:p>
            <w:pPr>
              <w:tabs>
                <w:tab w:val="left" w:pos="180"/>
              </w:tabs>
              <w:adjustRightInd w:val="0"/>
              <w:snapToGrid w:val="0"/>
              <w:spacing w:line="360" w:lineRule="auto"/>
              <w:ind w:firstLine="480" w:firstLineChars="200"/>
              <w:rPr>
                <w:bCs/>
              </w:rPr>
            </w:pPr>
            <w:r>
              <w:rPr>
                <w:bCs/>
              </w:rPr>
              <w:t>噪声监测结果见表</w:t>
            </w:r>
            <w:r>
              <w:rPr>
                <w:rFonts w:hint="eastAsia"/>
                <w:bCs/>
              </w:rPr>
              <w:t>3-3</w:t>
            </w:r>
            <w:r>
              <w:rPr>
                <w:bCs/>
              </w:rPr>
              <w:t>。</w:t>
            </w:r>
          </w:p>
          <w:p>
            <w:pPr>
              <w:ind w:firstLine="722" w:firstLineChars="300"/>
              <w:rPr>
                <w:b/>
              </w:rPr>
            </w:pPr>
          </w:p>
          <w:p>
            <w:pPr>
              <w:ind w:firstLine="722" w:firstLineChars="300"/>
              <w:rPr>
                <w:b/>
              </w:rPr>
            </w:pPr>
            <w:r>
              <w:rPr>
                <w:b/>
              </w:rPr>
              <w:t>表</w:t>
            </w:r>
            <w:r>
              <w:rPr>
                <w:rFonts w:hint="eastAsia"/>
                <w:b/>
              </w:rPr>
              <w:t>3-3</w:t>
            </w:r>
            <w:r>
              <w:rPr>
                <w:b/>
              </w:rPr>
              <w:t xml:space="preserve">       项目监测</w:t>
            </w:r>
            <w:r>
              <w:rPr>
                <w:rFonts w:hint="eastAsia"/>
                <w:b/>
              </w:rPr>
              <w:t>结果</w:t>
            </w:r>
            <w:r>
              <w:rPr>
                <w:b/>
              </w:rPr>
              <w:t>一览表              单位：dB</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4"/>
              <w:gridCol w:w="1127"/>
              <w:gridCol w:w="903"/>
              <w:gridCol w:w="776"/>
              <w:gridCol w:w="1162"/>
              <w:gridCol w:w="775"/>
              <w:gridCol w:w="776"/>
              <w:gridCol w:w="13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exact"/>
                <w:tblHeader/>
                <w:jc w:val="center"/>
              </w:trPr>
              <w:tc>
                <w:tcPr>
                  <w:tcW w:w="7964" w:type="dxa"/>
                  <w:gridSpan w:val="8"/>
                  <w:vAlign w:val="center"/>
                </w:tcPr>
                <w:p>
                  <w:pPr>
                    <w:pStyle w:val="69"/>
                    <w:rPr>
                      <w:rFonts w:eastAsia="宋体"/>
                      <w:b w:val="0"/>
                      <w:sz w:val="21"/>
                      <w:szCs w:val="21"/>
                    </w:rPr>
                  </w:pPr>
                  <w:r>
                    <w:rPr>
                      <w:rFonts w:eastAsia="宋体"/>
                      <w:b w:val="0"/>
                      <w:sz w:val="21"/>
                      <w:szCs w:val="21"/>
                    </w:rPr>
                    <w:t>检测结果（单位：dB（A））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blHeader/>
                <w:jc w:val="center"/>
              </w:trPr>
              <w:tc>
                <w:tcPr>
                  <w:tcW w:w="1064" w:type="dxa"/>
                  <w:vAlign w:val="center"/>
                </w:tcPr>
                <w:p>
                  <w:pPr>
                    <w:pStyle w:val="69"/>
                    <w:rPr>
                      <w:rFonts w:eastAsia="宋体"/>
                      <w:b w:val="0"/>
                      <w:sz w:val="21"/>
                      <w:szCs w:val="21"/>
                    </w:rPr>
                  </w:pPr>
                  <w:r>
                    <w:rPr>
                      <w:rFonts w:eastAsia="宋体"/>
                      <w:b w:val="0"/>
                      <w:sz w:val="21"/>
                      <w:szCs w:val="21"/>
                    </w:rPr>
                    <w:t>检测日期</w:t>
                  </w:r>
                </w:p>
              </w:tc>
              <w:tc>
                <w:tcPr>
                  <w:tcW w:w="1127" w:type="dxa"/>
                  <w:vAlign w:val="center"/>
                </w:tcPr>
                <w:p>
                  <w:pPr>
                    <w:jc w:val="center"/>
                    <w:rPr>
                      <w:szCs w:val="21"/>
                    </w:rPr>
                  </w:pPr>
                  <w:r>
                    <w:rPr>
                      <w:sz w:val="21"/>
                      <w:szCs w:val="21"/>
                    </w:rPr>
                    <w:t>检测点位</w:t>
                  </w:r>
                </w:p>
              </w:tc>
              <w:tc>
                <w:tcPr>
                  <w:tcW w:w="903" w:type="dxa"/>
                  <w:vAlign w:val="center"/>
                </w:tcPr>
                <w:p>
                  <w:pPr>
                    <w:pStyle w:val="69"/>
                    <w:rPr>
                      <w:rFonts w:eastAsia="宋体"/>
                      <w:b w:val="0"/>
                      <w:sz w:val="21"/>
                      <w:szCs w:val="21"/>
                    </w:rPr>
                  </w:pPr>
                  <w:r>
                    <w:rPr>
                      <w:rFonts w:eastAsia="宋体"/>
                      <w:b w:val="0"/>
                      <w:sz w:val="21"/>
                      <w:szCs w:val="21"/>
                    </w:rPr>
                    <w:t>昼间</w:t>
                  </w:r>
                </w:p>
              </w:tc>
              <w:tc>
                <w:tcPr>
                  <w:tcW w:w="776" w:type="dxa"/>
                  <w:vAlign w:val="center"/>
                </w:tcPr>
                <w:p>
                  <w:pPr>
                    <w:pStyle w:val="69"/>
                    <w:rPr>
                      <w:rFonts w:eastAsia="宋体"/>
                      <w:b w:val="0"/>
                      <w:sz w:val="21"/>
                      <w:szCs w:val="21"/>
                    </w:rPr>
                  </w:pPr>
                  <w:r>
                    <w:rPr>
                      <w:rFonts w:eastAsia="宋体"/>
                      <w:b w:val="0"/>
                      <w:sz w:val="21"/>
                      <w:szCs w:val="21"/>
                    </w:rPr>
                    <w:t>限值</w:t>
                  </w:r>
                </w:p>
              </w:tc>
              <w:tc>
                <w:tcPr>
                  <w:tcW w:w="1162" w:type="dxa"/>
                  <w:vAlign w:val="center"/>
                </w:tcPr>
                <w:p>
                  <w:pPr>
                    <w:pStyle w:val="69"/>
                    <w:rPr>
                      <w:rFonts w:eastAsia="宋体"/>
                      <w:b w:val="0"/>
                      <w:sz w:val="21"/>
                      <w:szCs w:val="21"/>
                    </w:rPr>
                  </w:pPr>
                  <w:r>
                    <w:rPr>
                      <w:rFonts w:eastAsia="宋体"/>
                      <w:b w:val="0"/>
                      <w:sz w:val="21"/>
                      <w:szCs w:val="21"/>
                    </w:rPr>
                    <w:t>是否达标</w:t>
                  </w:r>
                </w:p>
              </w:tc>
              <w:tc>
                <w:tcPr>
                  <w:tcW w:w="775" w:type="dxa"/>
                  <w:vAlign w:val="center"/>
                </w:tcPr>
                <w:p>
                  <w:pPr>
                    <w:pStyle w:val="69"/>
                    <w:rPr>
                      <w:rFonts w:eastAsia="宋体"/>
                      <w:b w:val="0"/>
                      <w:sz w:val="21"/>
                      <w:szCs w:val="21"/>
                    </w:rPr>
                  </w:pPr>
                  <w:r>
                    <w:rPr>
                      <w:rFonts w:eastAsia="宋体"/>
                      <w:b w:val="0"/>
                      <w:sz w:val="21"/>
                      <w:szCs w:val="21"/>
                    </w:rPr>
                    <w:t>夜间</w:t>
                  </w:r>
                </w:p>
              </w:tc>
              <w:tc>
                <w:tcPr>
                  <w:tcW w:w="776" w:type="dxa"/>
                  <w:vAlign w:val="center"/>
                </w:tcPr>
                <w:p>
                  <w:pPr>
                    <w:pStyle w:val="69"/>
                    <w:spacing w:line="320" w:lineRule="exact"/>
                    <w:rPr>
                      <w:rFonts w:eastAsia="宋体"/>
                      <w:b w:val="0"/>
                      <w:sz w:val="21"/>
                      <w:szCs w:val="21"/>
                    </w:rPr>
                  </w:pPr>
                  <w:r>
                    <w:rPr>
                      <w:rFonts w:eastAsia="宋体"/>
                      <w:b w:val="0"/>
                      <w:sz w:val="21"/>
                      <w:szCs w:val="21"/>
                    </w:rPr>
                    <w:t>限值</w:t>
                  </w:r>
                </w:p>
              </w:tc>
              <w:tc>
                <w:tcPr>
                  <w:tcW w:w="1381" w:type="dxa"/>
                  <w:vAlign w:val="center"/>
                </w:tcPr>
                <w:p>
                  <w:pPr>
                    <w:pStyle w:val="69"/>
                    <w:spacing w:line="320" w:lineRule="exact"/>
                    <w:rPr>
                      <w:rFonts w:eastAsia="宋体"/>
                      <w:b w:val="0"/>
                      <w:sz w:val="21"/>
                      <w:szCs w:val="21"/>
                    </w:rPr>
                  </w:pPr>
                  <w:r>
                    <w:rPr>
                      <w:rFonts w:eastAsia="宋体"/>
                      <w:b w:val="0"/>
                      <w:sz w:val="21"/>
                      <w:szCs w:val="21"/>
                    </w:rPr>
                    <w:t>是否达标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blHeader/>
                <w:jc w:val="center"/>
              </w:trPr>
              <w:tc>
                <w:tcPr>
                  <w:tcW w:w="1064" w:type="dxa"/>
                  <w:vMerge w:val="restart"/>
                  <w:vAlign w:val="center"/>
                </w:tcPr>
                <w:p>
                  <w:pPr>
                    <w:pStyle w:val="69"/>
                    <w:rPr>
                      <w:rFonts w:eastAsia="宋体"/>
                      <w:b w:val="0"/>
                      <w:sz w:val="21"/>
                      <w:szCs w:val="21"/>
                    </w:rPr>
                  </w:pPr>
                  <w:r>
                    <w:rPr>
                      <w:rFonts w:hint="eastAsia" w:eastAsia="宋体"/>
                      <w:b w:val="0"/>
                      <w:sz w:val="21"/>
                      <w:szCs w:val="21"/>
                    </w:rPr>
                    <w:t>2023年</w:t>
                  </w:r>
                </w:p>
                <w:p>
                  <w:pPr>
                    <w:pStyle w:val="69"/>
                    <w:rPr>
                      <w:rFonts w:eastAsia="宋体"/>
                      <w:b w:val="0"/>
                      <w:sz w:val="21"/>
                      <w:szCs w:val="21"/>
                    </w:rPr>
                  </w:pPr>
                  <w:r>
                    <w:rPr>
                      <w:rFonts w:hint="eastAsia" w:eastAsia="宋体"/>
                      <w:b w:val="0"/>
                      <w:sz w:val="21"/>
                      <w:szCs w:val="21"/>
                    </w:rPr>
                    <w:t>3月24日</w:t>
                  </w:r>
                </w:p>
              </w:tc>
              <w:tc>
                <w:tcPr>
                  <w:tcW w:w="1127" w:type="dxa"/>
                  <w:vAlign w:val="center"/>
                </w:tcPr>
                <w:p>
                  <w:pPr>
                    <w:pStyle w:val="69"/>
                    <w:rPr>
                      <w:rFonts w:eastAsia="宋体"/>
                      <w:b w:val="0"/>
                      <w:sz w:val="21"/>
                      <w:szCs w:val="21"/>
                    </w:rPr>
                  </w:pPr>
                  <w:r>
                    <w:rPr>
                      <w:rFonts w:eastAsia="宋体"/>
                      <w:b w:val="0"/>
                      <w:sz w:val="21"/>
                      <w:szCs w:val="21"/>
                    </w:rPr>
                    <w:t>厂界东</w:t>
                  </w:r>
                </w:p>
              </w:tc>
              <w:tc>
                <w:tcPr>
                  <w:tcW w:w="903" w:type="dxa"/>
                  <w:vAlign w:val="center"/>
                </w:tcPr>
                <w:p>
                  <w:pPr>
                    <w:pStyle w:val="69"/>
                    <w:spacing w:line="320" w:lineRule="exact"/>
                    <w:rPr>
                      <w:rFonts w:eastAsia="宋体"/>
                      <w:b w:val="0"/>
                      <w:sz w:val="21"/>
                      <w:szCs w:val="21"/>
                    </w:rPr>
                  </w:pPr>
                  <w:r>
                    <w:rPr>
                      <w:rFonts w:hint="eastAsia" w:eastAsia="宋体"/>
                      <w:b w:val="0"/>
                      <w:sz w:val="21"/>
                      <w:szCs w:val="21"/>
                    </w:rPr>
                    <w:t>51.0</w:t>
                  </w:r>
                </w:p>
              </w:tc>
              <w:tc>
                <w:tcPr>
                  <w:tcW w:w="776" w:type="dxa"/>
                  <w:vMerge w:val="restart"/>
                  <w:vAlign w:val="center"/>
                </w:tcPr>
                <w:p>
                  <w:pPr>
                    <w:pStyle w:val="69"/>
                    <w:rPr>
                      <w:rFonts w:eastAsia="宋体"/>
                      <w:b w:val="0"/>
                      <w:sz w:val="21"/>
                      <w:szCs w:val="21"/>
                    </w:rPr>
                  </w:pPr>
                  <w:r>
                    <w:rPr>
                      <w:rFonts w:hint="eastAsia" w:eastAsia="宋体"/>
                      <w:b w:val="0"/>
                      <w:sz w:val="21"/>
                      <w:szCs w:val="21"/>
                    </w:rPr>
                    <w:t>60</w:t>
                  </w:r>
                </w:p>
              </w:tc>
              <w:tc>
                <w:tcPr>
                  <w:tcW w:w="1162" w:type="dxa"/>
                  <w:vAlign w:val="center"/>
                </w:tcPr>
                <w:p>
                  <w:pPr>
                    <w:pStyle w:val="69"/>
                    <w:spacing w:line="320" w:lineRule="exact"/>
                    <w:rPr>
                      <w:rFonts w:eastAsia="宋体"/>
                      <w:b w:val="0"/>
                      <w:sz w:val="21"/>
                      <w:szCs w:val="21"/>
                    </w:rPr>
                  </w:pPr>
                  <w:r>
                    <w:rPr>
                      <w:rFonts w:eastAsia="宋体"/>
                      <w:b w:val="0"/>
                      <w:sz w:val="21"/>
                      <w:szCs w:val="21"/>
                    </w:rPr>
                    <w:t>是</w:t>
                  </w:r>
                </w:p>
              </w:tc>
              <w:tc>
                <w:tcPr>
                  <w:tcW w:w="775" w:type="dxa"/>
                  <w:vAlign w:val="center"/>
                </w:tcPr>
                <w:p>
                  <w:pPr>
                    <w:pStyle w:val="69"/>
                    <w:spacing w:line="320" w:lineRule="exact"/>
                    <w:rPr>
                      <w:rFonts w:eastAsia="宋体"/>
                      <w:b w:val="0"/>
                      <w:sz w:val="21"/>
                      <w:szCs w:val="21"/>
                    </w:rPr>
                  </w:pPr>
                  <w:r>
                    <w:rPr>
                      <w:rFonts w:hint="eastAsia" w:eastAsia="宋体"/>
                      <w:b w:val="0"/>
                      <w:sz w:val="21"/>
                      <w:szCs w:val="21"/>
                    </w:rPr>
                    <w:t>46.7</w:t>
                  </w:r>
                </w:p>
              </w:tc>
              <w:tc>
                <w:tcPr>
                  <w:tcW w:w="776" w:type="dxa"/>
                  <w:vMerge w:val="restart"/>
                  <w:vAlign w:val="center"/>
                </w:tcPr>
                <w:p>
                  <w:pPr>
                    <w:pStyle w:val="69"/>
                    <w:spacing w:line="320" w:lineRule="exact"/>
                    <w:rPr>
                      <w:rFonts w:eastAsia="宋体"/>
                      <w:b w:val="0"/>
                      <w:sz w:val="21"/>
                      <w:szCs w:val="21"/>
                    </w:rPr>
                  </w:pPr>
                  <w:r>
                    <w:rPr>
                      <w:rFonts w:hint="eastAsia" w:eastAsia="宋体"/>
                      <w:b w:val="0"/>
                      <w:sz w:val="21"/>
                      <w:szCs w:val="21"/>
                    </w:rPr>
                    <w:t>50</w:t>
                  </w:r>
                </w:p>
              </w:tc>
              <w:tc>
                <w:tcPr>
                  <w:tcW w:w="1381" w:type="dxa"/>
                  <w:vAlign w:val="center"/>
                </w:tcPr>
                <w:p>
                  <w:pPr>
                    <w:spacing w:line="320" w:lineRule="exact"/>
                    <w:jc w:val="center"/>
                    <w:rPr>
                      <w:sz w:val="21"/>
                      <w:szCs w:val="21"/>
                    </w:rPr>
                  </w:pPr>
                  <w:r>
                    <w:rPr>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blHeader/>
                <w:jc w:val="center"/>
              </w:trPr>
              <w:tc>
                <w:tcPr>
                  <w:tcW w:w="1064" w:type="dxa"/>
                  <w:vMerge w:val="continue"/>
                  <w:vAlign w:val="center"/>
                </w:tcPr>
                <w:p>
                  <w:pPr>
                    <w:pStyle w:val="69"/>
                    <w:rPr>
                      <w:rFonts w:eastAsia="宋体"/>
                      <w:b w:val="0"/>
                      <w:sz w:val="21"/>
                      <w:szCs w:val="21"/>
                    </w:rPr>
                  </w:pPr>
                </w:p>
              </w:tc>
              <w:tc>
                <w:tcPr>
                  <w:tcW w:w="1127" w:type="dxa"/>
                  <w:vAlign w:val="center"/>
                </w:tcPr>
                <w:p>
                  <w:pPr>
                    <w:pStyle w:val="69"/>
                    <w:rPr>
                      <w:rFonts w:eastAsia="宋体"/>
                      <w:b w:val="0"/>
                      <w:sz w:val="21"/>
                      <w:szCs w:val="21"/>
                    </w:rPr>
                  </w:pPr>
                  <w:r>
                    <w:rPr>
                      <w:rFonts w:eastAsia="宋体"/>
                      <w:b w:val="0"/>
                      <w:sz w:val="21"/>
                      <w:szCs w:val="21"/>
                    </w:rPr>
                    <w:t>厂界</w:t>
                  </w:r>
                  <w:r>
                    <w:rPr>
                      <w:rFonts w:hint="eastAsia" w:eastAsia="宋体"/>
                      <w:b w:val="0"/>
                      <w:sz w:val="21"/>
                      <w:szCs w:val="21"/>
                    </w:rPr>
                    <w:t>南</w:t>
                  </w:r>
                </w:p>
              </w:tc>
              <w:tc>
                <w:tcPr>
                  <w:tcW w:w="903" w:type="dxa"/>
                  <w:vAlign w:val="center"/>
                </w:tcPr>
                <w:p>
                  <w:pPr>
                    <w:pStyle w:val="69"/>
                    <w:spacing w:line="320" w:lineRule="exact"/>
                    <w:rPr>
                      <w:rFonts w:eastAsia="宋体"/>
                      <w:b w:val="0"/>
                      <w:sz w:val="21"/>
                      <w:szCs w:val="21"/>
                    </w:rPr>
                  </w:pPr>
                  <w:r>
                    <w:rPr>
                      <w:rFonts w:hint="eastAsia" w:eastAsia="宋体"/>
                      <w:b w:val="0"/>
                      <w:sz w:val="21"/>
                      <w:szCs w:val="21"/>
                    </w:rPr>
                    <w:t>51.9</w:t>
                  </w:r>
                </w:p>
              </w:tc>
              <w:tc>
                <w:tcPr>
                  <w:tcW w:w="776" w:type="dxa"/>
                  <w:vMerge w:val="continue"/>
                  <w:vAlign w:val="center"/>
                </w:tcPr>
                <w:p>
                  <w:pPr>
                    <w:pStyle w:val="69"/>
                    <w:rPr>
                      <w:rFonts w:eastAsia="宋体"/>
                      <w:b w:val="0"/>
                      <w:sz w:val="21"/>
                      <w:szCs w:val="21"/>
                    </w:rPr>
                  </w:pPr>
                </w:p>
              </w:tc>
              <w:tc>
                <w:tcPr>
                  <w:tcW w:w="1162" w:type="dxa"/>
                  <w:vAlign w:val="center"/>
                </w:tcPr>
                <w:p>
                  <w:pPr>
                    <w:pStyle w:val="69"/>
                    <w:rPr>
                      <w:rFonts w:eastAsia="宋体"/>
                      <w:b w:val="0"/>
                      <w:sz w:val="21"/>
                      <w:szCs w:val="21"/>
                    </w:rPr>
                  </w:pPr>
                  <w:r>
                    <w:rPr>
                      <w:rFonts w:eastAsia="宋体"/>
                      <w:b w:val="0"/>
                      <w:sz w:val="21"/>
                      <w:szCs w:val="21"/>
                    </w:rPr>
                    <w:t>是</w:t>
                  </w:r>
                </w:p>
              </w:tc>
              <w:tc>
                <w:tcPr>
                  <w:tcW w:w="775" w:type="dxa"/>
                  <w:vAlign w:val="center"/>
                </w:tcPr>
                <w:p>
                  <w:pPr>
                    <w:pStyle w:val="69"/>
                    <w:spacing w:line="320" w:lineRule="exact"/>
                    <w:rPr>
                      <w:rFonts w:eastAsia="宋体"/>
                      <w:b w:val="0"/>
                      <w:sz w:val="21"/>
                      <w:szCs w:val="21"/>
                    </w:rPr>
                  </w:pPr>
                  <w:r>
                    <w:rPr>
                      <w:rFonts w:hint="eastAsia" w:eastAsia="宋体"/>
                      <w:b w:val="0"/>
                      <w:sz w:val="21"/>
                      <w:szCs w:val="21"/>
                    </w:rPr>
                    <w:t>48.7</w:t>
                  </w:r>
                </w:p>
              </w:tc>
              <w:tc>
                <w:tcPr>
                  <w:tcW w:w="776" w:type="dxa"/>
                  <w:vMerge w:val="continue"/>
                  <w:vAlign w:val="center"/>
                </w:tcPr>
                <w:p>
                  <w:pPr>
                    <w:pStyle w:val="69"/>
                    <w:spacing w:line="320" w:lineRule="exact"/>
                    <w:rPr>
                      <w:rFonts w:eastAsia="宋体"/>
                      <w:b w:val="0"/>
                      <w:sz w:val="21"/>
                      <w:szCs w:val="21"/>
                    </w:rPr>
                  </w:pPr>
                </w:p>
              </w:tc>
              <w:tc>
                <w:tcPr>
                  <w:tcW w:w="1381" w:type="dxa"/>
                  <w:vAlign w:val="center"/>
                </w:tcPr>
                <w:p>
                  <w:pPr>
                    <w:spacing w:line="320" w:lineRule="exact"/>
                    <w:jc w:val="center"/>
                    <w:rPr>
                      <w:sz w:val="21"/>
                      <w:szCs w:val="21"/>
                    </w:rPr>
                  </w:pPr>
                  <w:r>
                    <w:rPr>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blHeader/>
                <w:jc w:val="center"/>
              </w:trPr>
              <w:tc>
                <w:tcPr>
                  <w:tcW w:w="1064" w:type="dxa"/>
                  <w:vMerge w:val="continue"/>
                  <w:vAlign w:val="center"/>
                </w:tcPr>
                <w:p>
                  <w:pPr>
                    <w:pStyle w:val="69"/>
                    <w:rPr>
                      <w:rFonts w:eastAsia="宋体"/>
                      <w:b w:val="0"/>
                      <w:sz w:val="21"/>
                      <w:szCs w:val="21"/>
                    </w:rPr>
                  </w:pPr>
                </w:p>
              </w:tc>
              <w:tc>
                <w:tcPr>
                  <w:tcW w:w="1127" w:type="dxa"/>
                  <w:vAlign w:val="center"/>
                </w:tcPr>
                <w:p>
                  <w:pPr>
                    <w:pStyle w:val="69"/>
                    <w:rPr>
                      <w:rFonts w:eastAsia="宋体"/>
                      <w:b w:val="0"/>
                      <w:sz w:val="21"/>
                      <w:szCs w:val="21"/>
                    </w:rPr>
                  </w:pPr>
                  <w:r>
                    <w:rPr>
                      <w:rFonts w:eastAsia="宋体"/>
                      <w:b w:val="0"/>
                      <w:sz w:val="21"/>
                      <w:szCs w:val="21"/>
                    </w:rPr>
                    <w:t>厂界</w:t>
                  </w:r>
                  <w:r>
                    <w:rPr>
                      <w:rFonts w:hint="eastAsia" w:eastAsia="宋体"/>
                      <w:b w:val="0"/>
                      <w:sz w:val="21"/>
                      <w:szCs w:val="21"/>
                    </w:rPr>
                    <w:t>西</w:t>
                  </w:r>
                </w:p>
              </w:tc>
              <w:tc>
                <w:tcPr>
                  <w:tcW w:w="903" w:type="dxa"/>
                  <w:vAlign w:val="center"/>
                </w:tcPr>
                <w:p>
                  <w:pPr>
                    <w:pStyle w:val="69"/>
                    <w:spacing w:line="320" w:lineRule="exact"/>
                    <w:rPr>
                      <w:rFonts w:eastAsia="宋体"/>
                      <w:b w:val="0"/>
                      <w:sz w:val="21"/>
                      <w:szCs w:val="21"/>
                    </w:rPr>
                  </w:pPr>
                  <w:r>
                    <w:rPr>
                      <w:rFonts w:hint="eastAsia" w:eastAsia="宋体"/>
                      <w:b w:val="0"/>
                      <w:sz w:val="21"/>
                      <w:szCs w:val="21"/>
                    </w:rPr>
                    <w:t>51.4</w:t>
                  </w:r>
                </w:p>
              </w:tc>
              <w:tc>
                <w:tcPr>
                  <w:tcW w:w="776" w:type="dxa"/>
                  <w:vMerge w:val="continue"/>
                  <w:vAlign w:val="center"/>
                </w:tcPr>
                <w:p>
                  <w:pPr>
                    <w:pStyle w:val="69"/>
                    <w:rPr>
                      <w:rFonts w:eastAsia="宋体"/>
                      <w:b w:val="0"/>
                      <w:sz w:val="21"/>
                      <w:szCs w:val="21"/>
                    </w:rPr>
                  </w:pPr>
                </w:p>
              </w:tc>
              <w:tc>
                <w:tcPr>
                  <w:tcW w:w="1162" w:type="dxa"/>
                  <w:vAlign w:val="center"/>
                </w:tcPr>
                <w:p>
                  <w:pPr>
                    <w:pStyle w:val="69"/>
                    <w:rPr>
                      <w:rFonts w:eastAsia="宋体"/>
                      <w:b w:val="0"/>
                      <w:sz w:val="21"/>
                      <w:szCs w:val="21"/>
                    </w:rPr>
                  </w:pPr>
                  <w:r>
                    <w:rPr>
                      <w:rFonts w:eastAsia="宋体"/>
                      <w:b w:val="0"/>
                      <w:sz w:val="21"/>
                      <w:szCs w:val="21"/>
                    </w:rPr>
                    <w:t>是</w:t>
                  </w:r>
                </w:p>
              </w:tc>
              <w:tc>
                <w:tcPr>
                  <w:tcW w:w="775" w:type="dxa"/>
                  <w:vAlign w:val="center"/>
                </w:tcPr>
                <w:p>
                  <w:pPr>
                    <w:pStyle w:val="69"/>
                    <w:spacing w:line="320" w:lineRule="exact"/>
                    <w:rPr>
                      <w:rFonts w:eastAsia="宋体"/>
                      <w:b w:val="0"/>
                      <w:sz w:val="21"/>
                      <w:szCs w:val="21"/>
                    </w:rPr>
                  </w:pPr>
                  <w:r>
                    <w:rPr>
                      <w:rFonts w:hint="eastAsia" w:eastAsia="宋体"/>
                      <w:b w:val="0"/>
                      <w:sz w:val="21"/>
                      <w:szCs w:val="21"/>
                    </w:rPr>
                    <w:t>48.4</w:t>
                  </w:r>
                </w:p>
              </w:tc>
              <w:tc>
                <w:tcPr>
                  <w:tcW w:w="776" w:type="dxa"/>
                  <w:vMerge w:val="continue"/>
                  <w:vAlign w:val="center"/>
                </w:tcPr>
                <w:p>
                  <w:pPr>
                    <w:pStyle w:val="69"/>
                    <w:spacing w:line="320" w:lineRule="exact"/>
                    <w:rPr>
                      <w:rFonts w:eastAsia="宋体"/>
                      <w:b w:val="0"/>
                      <w:sz w:val="21"/>
                      <w:szCs w:val="21"/>
                    </w:rPr>
                  </w:pPr>
                </w:p>
              </w:tc>
              <w:tc>
                <w:tcPr>
                  <w:tcW w:w="1381" w:type="dxa"/>
                  <w:vAlign w:val="center"/>
                </w:tcPr>
                <w:p>
                  <w:pPr>
                    <w:spacing w:line="320" w:lineRule="exact"/>
                    <w:jc w:val="center"/>
                    <w:rPr>
                      <w:sz w:val="21"/>
                      <w:szCs w:val="21"/>
                    </w:rPr>
                  </w:pPr>
                  <w:r>
                    <w:rPr>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blHeader/>
                <w:jc w:val="center"/>
              </w:trPr>
              <w:tc>
                <w:tcPr>
                  <w:tcW w:w="1064" w:type="dxa"/>
                  <w:vMerge w:val="continue"/>
                  <w:vAlign w:val="center"/>
                </w:tcPr>
                <w:p>
                  <w:pPr>
                    <w:pStyle w:val="69"/>
                    <w:rPr>
                      <w:rFonts w:eastAsia="宋体"/>
                      <w:b w:val="0"/>
                      <w:sz w:val="21"/>
                      <w:szCs w:val="21"/>
                    </w:rPr>
                  </w:pPr>
                </w:p>
              </w:tc>
              <w:tc>
                <w:tcPr>
                  <w:tcW w:w="1127" w:type="dxa"/>
                  <w:vAlign w:val="center"/>
                </w:tcPr>
                <w:p>
                  <w:pPr>
                    <w:pStyle w:val="69"/>
                    <w:rPr>
                      <w:rFonts w:eastAsia="宋体"/>
                      <w:b w:val="0"/>
                      <w:sz w:val="21"/>
                      <w:szCs w:val="21"/>
                    </w:rPr>
                  </w:pPr>
                  <w:r>
                    <w:rPr>
                      <w:rFonts w:hint="eastAsia" w:eastAsia="宋体"/>
                      <w:b w:val="0"/>
                      <w:sz w:val="21"/>
                      <w:szCs w:val="21"/>
                    </w:rPr>
                    <w:t>厂界北</w:t>
                  </w:r>
                </w:p>
              </w:tc>
              <w:tc>
                <w:tcPr>
                  <w:tcW w:w="903" w:type="dxa"/>
                  <w:vAlign w:val="center"/>
                </w:tcPr>
                <w:p>
                  <w:pPr>
                    <w:pStyle w:val="69"/>
                    <w:spacing w:line="320" w:lineRule="exact"/>
                    <w:rPr>
                      <w:rFonts w:eastAsia="宋体"/>
                      <w:b w:val="0"/>
                      <w:sz w:val="21"/>
                      <w:szCs w:val="21"/>
                    </w:rPr>
                  </w:pPr>
                  <w:r>
                    <w:rPr>
                      <w:rFonts w:hint="eastAsia" w:eastAsia="宋体"/>
                      <w:b w:val="0"/>
                      <w:sz w:val="21"/>
                      <w:szCs w:val="21"/>
                    </w:rPr>
                    <w:t>51.4</w:t>
                  </w:r>
                </w:p>
              </w:tc>
              <w:tc>
                <w:tcPr>
                  <w:tcW w:w="776" w:type="dxa"/>
                  <w:vMerge w:val="continue"/>
                  <w:vAlign w:val="center"/>
                </w:tcPr>
                <w:p>
                  <w:pPr>
                    <w:pStyle w:val="69"/>
                    <w:rPr>
                      <w:rFonts w:eastAsia="宋体"/>
                      <w:b w:val="0"/>
                      <w:sz w:val="21"/>
                      <w:szCs w:val="21"/>
                    </w:rPr>
                  </w:pPr>
                </w:p>
              </w:tc>
              <w:tc>
                <w:tcPr>
                  <w:tcW w:w="1162" w:type="dxa"/>
                  <w:vAlign w:val="center"/>
                </w:tcPr>
                <w:p>
                  <w:pPr>
                    <w:pStyle w:val="69"/>
                    <w:rPr>
                      <w:rFonts w:eastAsia="宋体"/>
                      <w:b w:val="0"/>
                      <w:sz w:val="21"/>
                      <w:szCs w:val="21"/>
                    </w:rPr>
                  </w:pPr>
                  <w:r>
                    <w:rPr>
                      <w:rFonts w:hint="eastAsia" w:eastAsia="宋体"/>
                      <w:b w:val="0"/>
                      <w:sz w:val="21"/>
                      <w:szCs w:val="21"/>
                    </w:rPr>
                    <w:t>是</w:t>
                  </w:r>
                </w:p>
              </w:tc>
              <w:tc>
                <w:tcPr>
                  <w:tcW w:w="775" w:type="dxa"/>
                  <w:vAlign w:val="center"/>
                </w:tcPr>
                <w:p>
                  <w:pPr>
                    <w:pStyle w:val="69"/>
                    <w:spacing w:line="320" w:lineRule="exact"/>
                    <w:rPr>
                      <w:rFonts w:eastAsia="宋体"/>
                      <w:b w:val="0"/>
                      <w:sz w:val="21"/>
                      <w:szCs w:val="21"/>
                    </w:rPr>
                  </w:pPr>
                  <w:r>
                    <w:rPr>
                      <w:rFonts w:hint="eastAsia" w:eastAsia="宋体"/>
                      <w:b w:val="0"/>
                      <w:sz w:val="21"/>
                      <w:szCs w:val="21"/>
                    </w:rPr>
                    <w:t>48.9</w:t>
                  </w:r>
                </w:p>
              </w:tc>
              <w:tc>
                <w:tcPr>
                  <w:tcW w:w="776" w:type="dxa"/>
                  <w:vMerge w:val="continue"/>
                  <w:vAlign w:val="center"/>
                </w:tcPr>
                <w:p>
                  <w:pPr>
                    <w:pStyle w:val="69"/>
                    <w:spacing w:line="320" w:lineRule="exact"/>
                    <w:rPr>
                      <w:rFonts w:eastAsia="宋体"/>
                      <w:b w:val="0"/>
                      <w:sz w:val="21"/>
                      <w:szCs w:val="21"/>
                    </w:rPr>
                  </w:pPr>
                </w:p>
              </w:tc>
              <w:tc>
                <w:tcPr>
                  <w:tcW w:w="1381" w:type="dxa"/>
                  <w:vAlign w:val="center"/>
                </w:tcPr>
                <w:p>
                  <w:pPr>
                    <w:spacing w:line="320" w:lineRule="exact"/>
                    <w:jc w:val="center"/>
                    <w:rPr>
                      <w:sz w:val="21"/>
                      <w:szCs w:val="21"/>
                    </w:rPr>
                  </w:pPr>
                  <w:r>
                    <w:rPr>
                      <w:rFonts w:hint="eastAsia"/>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blHeader/>
                <w:jc w:val="center"/>
              </w:trPr>
              <w:tc>
                <w:tcPr>
                  <w:tcW w:w="1064" w:type="dxa"/>
                  <w:vMerge w:val="continue"/>
                  <w:vAlign w:val="center"/>
                </w:tcPr>
                <w:p>
                  <w:pPr>
                    <w:pStyle w:val="69"/>
                    <w:rPr>
                      <w:rFonts w:eastAsia="宋体"/>
                      <w:b w:val="0"/>
                      <w:sz w:val="21"/>
                      <w:szCs w:val="21"/>
                    </w:rPr>
                  </w:pPr>
                </w:p>
              </w:tc>
              <w:tc>
                <w:tcPr>
                  <w:tcW w:w="1127" w:type="dxa"/>
                  <w:vAlign w:val="center"/>
                </w:tcPr>
                <w:p>
                  <w:pPr>
                    <w:pStyle w:val="69"/>
                    <w:rPr>
                      <w:rFonts w:eastAsia="宋体"/>
                      <w:b w:val="0"/>
                      <w:sz w:val="21"/>
                      <w:szCs w:val="21"/>
                    </w:rPr>
                  </w:pPr>
                  <w:r>
                    <w:rPr>
                      <w:rFonts w:hint="eastAsia" w:eastAsia="宋体"/>
                      <w:b w:val="0"/>
                      <w:sz w:val="21"/>
                      <w:szCs w:val="21"/>
                    </w:rPr>
                    <w:t>敏感点</w:t>
                  </w:r>
                </w:p>
              </w:tc>
              <w:tc>
                <w:tcPr>
                  <w:tcW w:w="903" w:type="dxa"/>
                  <w:vAlign w:val="center"/>
                </w:tcPr>
                <w:p>
                  <w:pPr>
                    <w:pStyle w:val="69"/>
                    <w:spacing w:line="320" w:lineRule="exact"/>
                    <w:rPr>
                      <w:rFonts w:eastAsia="宋体"/>
                      <w:b w:val="0"/>
                      <w:sz w:val="21"/>
                      <w:szCs w:val="21"/>
                    </w:rPr>
                  </w:pPr>
                  <w:r>
                    <w:rPr>
                      <w:rFonts w:hint="eastAsia" w:eastAsia="宋体"/>
                      <w:b w:val="0"/>
                      <w:sz w:val="21"/>
                      <w:szCs w:val="21"/>
                    </w:rPr>
                    <w:t>50.4</w:t>
                  </w:r>
                </w:p>
              </w:tc>
              <w:tc>
                <w:tcPr>
                  <w:tcW w:w="776" w:type="dxa"/>
                  <w:vMerge w:val="continue"/>
                  <w:vAlign w:val="center"/>
                </w:tcPr>
                <w:p>
                  <w:pPr>
                    <w:pStyle w:val="69"/>
                    <w:rPr>
                      <w:rFonts w:eastAsia="宋体"/>
                      <w:b w:val="0"/>
                      <w:sz w:val="21"/>
                      <w:szCs w:val="21"/>
                    </w:rPr>
                  </w:pPr>
                </w:p>
              </w:tc>
              <w:tc>
                <w:tcPr>
                  <w:tcW w:w="1162" w:type="dxa"/>
                  <w:vAlign w:val="center"/>
                </w:tcPr>
                <w:p>
                  <w:pPr>
                    <w:pStyle w:val="69"/>
                    <w:rPr>
                      <w:rFonts w:eastAsia="宋体"/>
                      <w:b w:val="0"/>
                      <w:sz w:val="21"/>
                      <w:szCs w:val="21"/>
                    </w:rPr>
                  </w:pPr>
                  <w:r>
                    <w:rPr>
                      <w:rFonts w:hint="eastAsia" w:eastAsia="宋体"/>
                      <w:b w:val="0"/>
                      <w:sz w:val="21"/>
                      <w:szCs w:val="21"/>
                    </w:rPr>
                    <w:t>是</w:t>
                  </w:r>
                </w:p>
              </w:tc>
              <w:tc>
                <w:tcPr>
                  <w:tcW w:w="775" w:type="dxa"/>
                  <w:vAlign w:val="center"/>
                </w:tcPr>
                <w:p>
                  <w:pPr>
                    <w:pStyle w:val="69"/>
                    <w:spacing w:line="320" w:lineRule="exact"/>
                    <w:rPr>
                      <w:rFonts w:eastAsia="宋体"/>
                      <w:b w:val="0"/>
                      <w:sz w:val="21"/>
                      <w:szCs w:val="21"/>
                    </w:rPr>
                  </w:pPr>
                  <w:r>
                    <w:rPr>
                      <w:rFonts w:hint="eastAsia" w:eastAsia="宋体"/>
                      <w:b w:val="0"/>
                      <w:sz w:val="21"/>
                      <w:szCs w:val="21"/>
                    </w:rPr>
                    <w:t>48.3</w:t>
                  </w:r>
                </w:p>
              </w:tc>
              <w:tc>
                <w:tcPr>
                  <w:tcW w:w="776" w:type="dxa"/>
                  <w:vMerge w:val="continue"/>
                  <w:vAlign w:val="center"/>
                </w:tcPr>
                <w:p>
                  <w:pPr>
                    <w:pStyle w:val="69"/>
                    <w:spacing w:line="320" w:lineRule="exact"/>
                    <w:rPr>
                      <w:rFonts w:eastAsia="宋体"/>
                      <w:b w:val="0"/>
                      <w:sz w:val="21"/>
                      <w:szCs w:val="21"/>
                    </w:rPr>
                  </w:pPr>
                </w:p>
              </w:tc>
              <w:tc>
                <w:tcPr>
                  <w:tcW w:w="1381" w:type="dxa"/>
                  <w:vAlign w:val="center"/>
                </w:tcPr>
                <w:p>
                  <w:pPr>
                    <w:spacing w:line="320" w:lineRule="exact"/>
                    <w:jc w:val="center"/>
                    <w:rPr>
                      <w:sz w:val="21"/>
                      <w:szCs w:val="21"/>
                    </w:rPr>
                  </w:pPr>
                  <w:r>
                    <w:rPr>
                      <w:rFonts w:hint="eastAsia"/>
                      <w:sz w:val="21"/>
                      <w:szCs w:val="21"/>
                    </w:rPr>
                    <w:t>是</w:t>
                  </w:r>
                </w:p>
              </w:tc>
            </w:tr>
          </w:tbl>
          <w:p>
            <w:pPr>
              <w:tabs>
                <w:tab w:val="left" w:pos="180"/>
              </w:tabs>
              <w:adjustRightInd w:val="0"/>
              <w:snapToGrid w:val="0"/>
              <w:ind w:firstLine="480" w:firstLineChars="200"/>
              <w:rPr>
                <w:bCs/>
              </w:rPr>
            </w:pPr>
          </w:p>
          <w:p>
            <w:pPr>
              <w:tabs>
                <w:tab w:val="left" w:pos="180"/>
              </w:tabs>
              <w:adjustRightInd w:val="0"/>
              <w:snapToGrid w:val="0"/>
              <w:spacing w:line="360" w:lineRule="auto"/>
              <w:ind w:firstLine="480" w:firstLineChars="200"/>
              <w:rPr>
                <w:bCs/>
              </w:rPr>
            </w:pPr>
            <w:r>
              <w:rPr>
                <w:bCs/>
              </w:rPr>
              <w:t>根据监测统计结果，各监测点噪声监测结果昼间、夜间值均符合《声环境质量标准》（GB3096-2008）</w:t>
            </w:r>
            <w:r>
              <w:rPr>
                <w:rFonts w:hint="eastAsia"/>
                <w:bCs/>
              </w:rPr>
              <w:t>2</w:t>
            </w:r>
            <w:r>
              <w:rPr>
                <w:bCs/>
              </w:rPr>
              <w:t>类标准值。</w:t>
            </w:r>
          </w:p>
          <w:p>
            <w:pPr>
              <w:tabs>
                <w:tab w:val="left" w:pos="180"/>
              </w:tabs>
              <w:adjustRightInd w:val="0"/>
              <w:snapToGrid w:val="0"/>
              <w:spacing w:line="360" w:lineRule="auto"/>
              <w:ind w:firstLine="480" w:firstLineChars="200"/>
              <w:rPr>
                <w:bCs/>
              </w:rPr>
            </w:pPr>
            <w:r>
              <w:rPr>
                <w:rFonts w:hint="eastAsia"/>
                <w:bCs/>
              </w:rPr>
              <w:t>3、地表水环境质量现状</w:t>
            </w:r>
          </w:p>
          <w:p>
            <w:pPr>
              <w:tabs>
                <w:tab w:val="left" w:pos="180"/>
              </w:tabs>
              <w:adjustRightInd w:val="0"/>
              <w:snapToGrid w:val="0"/>
              <w:spacing w:line="360" w:lineRule="auto"/>
              <w:ind w:firstLine="480" w:firstLineChars="200"/>
              <w:rPr>
                <w:bCs/>
              </w:rPr>
            </w:pPr>
            <w:r>
              <w:rPr>
                <w:rFonts w:hint="eastAsia" w:hAnsi="宋体"/>
              </w:rPr>
              <w:t>生活污水排入防渗化粪池处理，</w:t>
            </w:r>
            <w:r>
              <w:rPr>
                <w:rFonts w:hint="eastAsia" w:hAnsi="宋体"/>
                <w:bCs/>
              </w:rPr>
              <w:t>处理达到《污水综合排放标准》（GB8978-1996）中三级标准后拉运至内蒙古神东天隆集团股份有限公司霍洛湾煤矿处理，不外排；</w:t>
            </w:r>
            <w:r>
              <w:rPr>
                <w:rFonts w:hint="eastAsia" w:hAnsi="宋体"/>
              </w:rPr>
              <w:t>设备清洗废水及混凝土罐车清洗废水经沉淀池处理后回用于工艺用水，不外排；同时，项目区周边无地表水体。因此，本次评价不进行地表水环境质量现状监测。</w:t>
            </w:r>
          </w:p>
          <w:p>
            <w:pPr>
              <w:tabs>
                <w:tab w:val="left" w:pos="180"/>
              </w:tabs>
              <w:adjustRightInd w:val="0"/>
              <w:snapToGrid w:val="0"/>
              <w:spacing w:line="360" w:lineRule="auto"/>
              <w:ind w:firstLine="480" w:firstLineChars="200"/>
            </w:pPr>
            <w:r>
              <w:rPr>
                <w:rFonts w:hint="eastAsia"/>
              </w:rPr>
              <w:t>4、地下水</w:t>
            </w:r>
            <w:r>
              <w:t>环境质量现状</w:t>
            </w:r>
          </w:p>
          <w:p>
            <w:pPr>
              <w:tabs>
                <w:tab w:val="left" w:pos="180"/>
              </w:tabs>
              <w:adjustRightInd w:val="0"/>
              <w:snapToGrid w:val="0"/>
              <w:spacing w:line="360" w:lineRule="auto"/>
              <w:ind w:firstLine="480" w:firstLineChars="200"/>
            </w:pPr>
            <w:r>
              <w:rPr>
                <w:rFonts w:hint="eastAsia"/>
              </w:rPr>
              <w:t>根据《环境影响评价技术导则 地下水》（HJ610-2016），本项目属于该导则中附录A地下水环境影响评价行业分类表中J非金属矿物采选及制品制造60、砼结构构件制造、商品混凝土加工，本项目编制环境影响报告表，属于IV类项目，不需要开展地下水环境影响评价，因此本次环评不开展地下水现状环境质量进行监测。</w:t>
            </w:r>
          </w:p>
          <w:p>
            <w:pPr>
              <w:tabs>
                <w:tab w:val="left" w:pos="180"/>
              </w:tabs>
              <w:adjustRightInd w:val="0"/>
              <w:snapToGrid w:val="0"/>
              <w:spacing w:line="360" w:lineRule="auto"/>
              <w:ind w:firstLine="480" w:firstLineChars="200"/>
              <w:rPr>
                <w:bCs/>
              </w:rPr>
            </w:pPr>
            <w:r>
              <w:rPr>
                <w:rFonts w:hint="eastAsia"/>
                <w:bCs/>
              </w:rPr>
              <w:t>5、土壤环境质量现状</w:t>
            </w:r>
          </w:p>
          <w:p>
            <w:pPr>
              <w:tabs>
                <w:tab w:val="left" w:pos="180"/>
              </w:tabs>
              <w:adjustRightInd w:val="0"/>
              <w:snapToGrid w:val="0"/>
              <w:spacing w:line="360" w:lineRule="auto"/>
              <w:ind w:firstLine="480" w:firstLineChars="200"/>
            </w:pPr>
            <w:r>
              <w:t>按照《环境影响评价技术导则 土壤环境》（HJ964-2018）的项目分类要求，本项目属于</w:t>
            </w:r>
            <w:r>
              <w:rPr>
                <w:rFonts w:ascii="宋体" w:hAnsi="宋体"/>
              </w:rPr>
              <w:t>“</w:t>
            </w:r>
            <w:r>
              <w:t>其他行业</w:t>
            </w:r>
            <w:r>
              <w:rPr>
                <w:rFonts w:ascii="宋体" w:hAnsi="宋体"/>
              </w:rPr>
              <w:t>”</w:t>
            </w:r>
            <w:r>
              <w:t>，土壤环境影响评价项目类别为IV类，IV类建设项目不开展土壤环境影响评价。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24" w:hRule="atLeast"/>
          <w:jc w:val="center"/>
        </w:trPr>
        <w:tc>
          <w:tcPr>
            <w:tcW w:w="800" w:type="dxa"/>
            <w:vAlign w:val="center"/>
          </w:tcPr>
          <w:p>
            <w:pPr>
              <w:adjustRightInd w:val="0"/>
              <w:snapToGrid w:val="0"/>
              <w:jc w:val="center"/>
              <w:rPr>
                <w:rFonts w:hint="eastAsia" w:ascii="宋体" w:hAnsi="宋体" w:cs="宋体"/>
                <w:kern w:val="0"/>
                <w:szCs w:val="21"/>
              </w:rPr>
            </w:pPr>
            <w:r>
              <w:rPr>
                <w:rFonts w:hint="eastAsia" w:ascii="宋体" w:hAnsi="宋体" w:cs="宋体"/>
                <w:kern w:val="0"/>
                <w:szCs w:val="21"/>
              </w:rPr>
              <w:t>环境</w:t>
            </w:r>
          </w:p>
          <w:p>
            <w:pPr>
              <w:adjustRightInd w:val="0"/>
              <w:snapToGrid w:val="0"/>
              <w:jc w:val="center"/>
              <w:rPr>
                <w:rFonts w:hint="eastAsia" w:ascii="宋体" w:hAnsi="宋体" w:cs="宋体"/>
                <w:kern w:val="0"/>
                <w:szCs w:val="21"/>
              </w:rPr>
            </w:pPr>
            <w:r>
              <w:rPr>
                <w:rFonts w:hint="eastAsia" w:ascii="宋体" w:hAnsi="宋体" w:cs="宋体"/>
                <w:kern w:val="0"/>
                <w:szCs w:val="21"/>
              </w:rPr>
              <w:t>保护</w:t>
            </w:r>
          </w:p>
          <w:p>
            <w:pPr>
              <w:adjustRightInd w:val="0"/>
              <w:snapToGrid w:val="0"/>
              <w:jc w:val="center"/>
              <w:rPr>
                <w:rFonts w:hint="eastAsia" w:ascii="宋体" w:hAnsi="宋体" w:cs="宋体"/>
                <w:kern w:val="0"/>
                <w:szCs w:val="21"/>
              </w:rPr>
            </w:pPr>
            <w:r>
              <w:rPr>
                <w:rFonts w:hint="eastAsia" w:ascii="宋体" w:hAnsi="宋体" w:cs="宋体"/>
                <w:kern w:val="0"/>
                <w:szCs w:val="21"/>
              </w:rPr>
              <w:t>目标</w:t>
            </w:r>
          </w:p>
        </w:tc>
        <w:tc>
          <w:tcPr>
            <w:tcW w:w="8190" w:type="dxa"/>
            <w:vAlign w:val="center"/>
          </w:tcPr>
          <w:p>
            <w:pPr>
              <w:tabs>
                <w:tab w:val="left" w:pos="180"/>
              </w:tabs>
              <w:adjustRightInd w:val="0"/>
              <w:snapToGrid w:val="0"/>
              <w:spacing w:line="360" w:lineRule="auto"/>
              <w:ind w:firstLine="480" w:firstLineChars="200"/>
            </w:pPr>
            <w:r>
              <w:rPr>
                <w:rFonts w:hint="eastAsia"/>
              </w:rPr>
              <w:t>项目位于鄂尔多斯市伊金霍洛旗乌兰木伦镇苏勒德霍洛村，项目评价范围内敏感目标见表3-5，具体见附图3。</w:t>
            </w:r>
          </w:p>
          <w:p>
            <w:pPr>
              <w:adjustRightInd w:val="0"/>
              <w:snapToGrid w:val="0"/>
              <w:jc w:val="center"/>
              <w:rPr>
                <w:b/>
                <w:bCs/>
              </w:rPr>
            </w:pPr>
          </w:p>
          <w:p>
            <w:pPr>
              <w:adjustRightInd w:val="0"/>
              <w:snapToGrid w:val="0"/>
              <w:jc w:val="center"/>
              <w:rPr>
                <w:b/>
              </w:rPr>
            </w:pPr>
            <w:r>
              <w:rPr>
                <w:b/>
                <w:bCs/>
              </w:rPr>
              <w:t>表</w:t>
            </w:r>
            <w:r>
              <w:rPr>
                <w:rFonts w:hint="eastAsia"/>
                <w:b/>
                <w:bCs/>
              </w:rPr>
              <w:t xml:space="preserve">3-5    </w:t>
            </w:r>
            <w:r>
              <w:rPr>
                <w:b/>
              </w:rPr>
              <w:t>环境保护目标及保护等级一览表</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5"/>
              <w:gridCol w:w="1309"/>
              <w:gridCol w:w="1673"/>
              <w:gridCol w:w="825"/>
              <w:gridCol w:w="1496"/>
              <w:gridCol w:w="15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145" w:type="dxa"/>
                  <w:vAlign w:val="center"/>
                </w:tcPr>
                <w:p>
                  <w:pPr>
                    <w:pStyle w:val="67"/>
                    <w:spacing w:line="240" w:lineRule="auto"/>
                    <w:rPr>
                      <w:rFonts w:ascii="Times New Roman"/>
                      <w:spacing w:val="-1"/>
                      <w:sz w:val="21"/>
                      <w:szCs w:val="21"/>
                    </w:rPr>
                  </w:pPr>
                  <w:r>
                    <w:rPr>
                      <w:rFonts w:ascii="Times New Roman"/>
                      <w:spacing w:val="-1"/>
                      <w:sz w:val="21"/>
                      <w:szCs w:val="21"/>
                    </w:rPr>
                    <w:t>环境要素</w:t>
                  </w:r>
                </w:p>
              </w:tc>
              <w:tc>
                <w:tcPr>
                  <w:tcW w:w="1309" w:type="dxa"/>
                  <w:noWrap/>
                  <w:vAlign w:val="center"/>
                </w:tcPr>
                <w:p>
                  <w:pPr>
                    <w:autoSpaceDE w:val="0"/>
                    <w:autoSpaceDN w:val="0"/>
                    <w:adjustRightInd w:val="0"/>
                    <w:snapToGrid w:val="0"/>
                    <w:jc w:val="center"/>
                    <w:rPr>
                      <w:sz w:val="21"/>
                      <w:szCs w:val="21"/>
                      <w:lang w:val="zh-CN"/>
                    </w:rPr>
                  </w:pPr>
                  <w:r>
                    <w:rPr>
                      <w:sz w:val="21"/>
                      <w:szCs w:val="21"/>
                      <w:lang w:val="zh-CN"/>
                    </w:rPr>
                    <w:t>保护目标</w:t>
                  </w:r>
                </w:p>
              </w:tc>
              <w:tc>
                <w:tcPr>
                  <w:tcW w:w="1673" w:type="dxa"/>
                  <w:vAlign w:val="center"/>
                </w:tcPr>
                <w:p>
                  <w:pPr>
                    <w:pStyle w:val="67"/>
                    <w:spacing w:line="240" w:lineRule="auto"/>
                    <w:rPr>
                      <w:rFonts w:ascii="Times New Roman"/>
                      <w:spacing w:val="-1"/>
                      <w:sz w:val="21"/>
                      <w:szCs w:val="21"/>
                    </w:rPr>
                  </w:pPr>
                  <w:r>
                    <w:rPr>
                      <w:rFonts w:ascii="Times New Roman"/>
                      <w:spacing w:val="-1"/>
                      <w:sz w:val="21"/>
                      <w:szCs w:val="21"/>
                    </w:rPr>
                    <w:t>保护等级</w:t>
                  </w:r>
                </w:p>
              </w:tc>
              <w:tc>
                <w:tcPr>
                  <w:tcW w:w="825" w:type="dxa"/>
                  <w:vAlign w:val="center"/>
                </w:tcPr>
                <w:p>
                  <w:pPr>
                    <w:pStyle w:val="67"/>
                    <w:spacing w:line="240" w:lineRule="auto"/>
                    <w:rPr>
                      <w:rFonts w:ascii="Times New Roman"/>
                      <w:spacing w:val="-1"/>
                      <w:sz w:val="21"/>
                      <w:szCs w:val="21"/>
                    </w:rPr>
                  </w:pPr>
                  <w:r>
                    <w:rPr>
                      <w:rFonts w:ascii="Times New Roman"/>
                      <w:spacing w:val="-1"/>
                      <w:sz w:val="21"/>
                      <w:szCs w:val="21"/>
                    </w:rPr>
                    <w:t>方位</w:t>
                  </w:r>
                </w:p>
              </w:tc>
              <w:tc>
                <w:tcPr>
                  <w:tcW w:w="1496" w:type="dxa"/>
                  <w:vAlign w:val="center"/>
                </w:tcPr>
                <w:p>
                  <w:pPr>
                    <w:pStyle w:val="67"/>
                    <w:spacing w:line="240" w:lineRule="auto"/>
                    <w:rPr>
                      <w:rFonts w:ascii="Times New Roman"/>
                      <w:spacing w:val="-1"/>
                      <w:sz w:val="21"/>
                      <w:szCs w:val="21"/>
                    </w:rPr>
                  </w:pPr>
                  <w:r>
                    <w:rPr>
                      <w:rFonts w:ascii="Times New Roman"/>
                      <w:spacing w:val="-1"/>
                      <w:sz w:val="21"/>
                      <w:szCs w:val="21"/>
                    </w:rPr>
                    <w:t>相对距离（m）</w:t>
                  </w:r>
                </w:p>
              </w:tc>
              <w:tc>
                <w:tcPr>
                  <w:tcW w:w="1517" w:type="dxa"/>
                  <w:vAlign w:val="center"/>
                </w:tcPr>
                <w:p>
                  <w:pPr>
                    <w:pStyle w:val="67"/>
                    <w:spacing w:line="240" w:lineRule="auto"/>
                    <w:rPr>
                      <w:rFonts w:ascii="Times New Roman"/>
                      <w:spacing w:val="-1"/>
                      <w:sz w:val="21"/>
                      <w:szCs w:val="21"/>
                    </w:rPr>
                  </w:pPr>
                  <w:r>
                    <w:rPr>
                      <w:rFonts w:hint="eastAsia" w:ascii="Times New Roman"/>
                      <w:spacing w:val="-1"/>
                      <w:sz w:val="21"/>
                      <w:szCs w:val="21"/>
                    </w:rPr>
                    <w:t>保护范围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1145" w:type="dxa"/>
                  <w:vAlign w:val="center"/>
                </w:tcPr>
                <w:p>
                  <w:pPr>
                    <w:pStyle w:val="67"/>
                    <w:spacing w:line="240" w:lineRule="auto"/>
                    <w:rPr>
                      <w:sz w:val="21"/>
                      <w:szCs w:val="21"/>
                    </w:rPr>
                  </w:pPr>
                  <w:r>
                    <w:rPr>
                      <w:rFonts w:ascii="Times New Roman"/>
                      <w:spacing w:val="-1"/>
                      <w:sz w:val="21"/>
                      <w:szCs w:val="21"/>
                    </w:rPr>
                    <w:t>环境空气</w:t>
                  </w:r>
                </w:p>
              </w:tc>
              <w:tc>
                <w:tcPr>
                  <w:tcW w:w="1309" w:type="dxa"/>
                  <w:vAlign w:val="center"/>
                </w:tcPr>
                <w:p>
                  <w:pPr>
                    <w:autoSpaceDE w:val="0"/>
                    <w:autoSpaceDN w:val="0"/>
                    <w:adjustRightInd w:val="0"/>
                    <w:snapToGrid w:val="0"/>
                    <w:jc w:val="center"/>
                    <w:rPr>
                      <w:sz w:val="21"/>
                      <w:szCs w:val="21"/>
                      <w:lang w:val="zh-CN"/>
                    </w:rPr>
                  </w:pPr>
                  <w:r>
                    <w:rPr>
                      <w:spacing w:val="-1"/>
                      <w:sz w:val="21"/>
                      <w:szCs w:val="21"/>
                    </w:rPr>
                    <w:t>——</w:t>
                  </w:r>
                </w:p>
              </w:tc>
              <w:tc>
                <w:tcPr>
                  <w:tcW w:w="1673" w:type="dxa"/>
                  <w:vAlign w:val="center"/>
                </w:tcPr>
                <w:p>
                  <w:pPr>
                    <w:pStyle w:val="45"/>
                    <w:spacing w:line="240" w:lineRule="auto"/>
                    <w:ind w:firstLine="0" w:firstLineChars="0"/>
                    <w:jc w:val="center"/>
                    <w:rPr>
                      <w:sz w:val="21"/>
                      <w:szCs w:val="21"/>
                    </w:rPr>
                  </w:pPr>
                  <w:r>
                    <w:rPr>
                      <w:spacing w:val="-1"/>
                      <w:kern w:val="0"/>
                      <w:sz w:val="21"/>
                      <w:szCs w:val="21"/>
                      <w:lang w:val="zh-CN"/>
                    </w:rPr>
                    <w:t>符合GB3095-</w:t>
                  </w:r>
                  <w:r>
                    <w:rPr>
                      <w:rFonts w:hint="eastAsia"/>
                      <w:spacing w:val="-1"/>
                      <w:kern w:val="0"/>
                      <w:sz w:val="21"/>
                      <w:szCs w:val="21"/>
                      <w:lang w:val="zh-CN"/>
                    </w:rPr>
                    <w:t>2012</w:t>
                  </w:r>
                  <w:r>
                    <w:rPr>
                      <w:spacing w:val="-1"/>
                      <w:kern w:val="0"/>
                      <w:sz w:val="21"/>
                      <w:szCs w:val="21"/>
                      <w:lang w:val="zh-CN"/>
                    </w:rPr>
                    <w:t>中二级标准</w:t>
                  </w:r>
                </w:p>
              </w:tc>
              <w:tc>
                <w:tcPr>
                  <w:tcW w:w="825" w:type="dxa"/>
                  <w:vAlign w:val="center"/>
                </w:tcPr>
                <w:p>
                  <w:pPr>
                    <w:pStyle w:val="67"/>
                    <w:spacing w:line="240" w:lineRule="auto"/>
                    <w:rPr>
                      <w:rFonts w:ascii="Times New Roman"/>
                      <w:spacing w:val="-1"/>
                      <w:sz w:val="21"/>
                      <w:szCs w:val="21"/>
                    </w:rPr>
                  </w:pPr>
                  <w:r>
                    <w:rPr>
                      <w:rFonts w:ascii="Times New Roman"/>
                      <w:spacing w:val="-1"/>
                      <w:sz w:val="21"/>
                      <w:szCs w:val="21"/>
                    </w:rPr>
                    <w:t>——</w:t>
                  </w:r>
                </w:p>
              </w:tc>
              <w:tc>
                <w:tcPr>
                  <w:tcW w:w="1496" w:type="dxa"/>
                  <w:vAlign w:val="center"/>
                </w:tcPr>
                <w:p>
                  <w:pPr>
                    <w:pStyle w:val="67"/>
                    <w:spacing w:line="240" w:lineRule="auto"/>
                    <w:rPr>
                      <w:rFonts w:ascii="Times New Roman"/>
                      <w:spacing w:val="-1"/>
                      <w:sz w:val="21"/>
                      <w:szCs w:val="21"/>
                    </w:rPr>
                  </w:pPr>
                  <w:r>
                    <w:rPr>
                      <w:rFonts w:ascii="Times New Roman"/>
                      <w:spacing w:val="-1"/>
                      <w:sz w:val="21"/>
                      <w:szCs w:val="21"/>
                    </w:rPr>
                    <w:t>——</w:t>
                  </w:r>
                </w:p>
              </w:tc>
              <w:tc>
                <w:tcPr>
                  <w:tcW w:w="1517" w:type="dxa"/>
                  <w:vAlign w:val="center"/>
                </w:tcPr>
                <w:p>
                  <w:pPr>
                    <w:pStyle w:val="67"/>
                    <w:spacing w:line="240" w:lineRule="auto"/>
                    <w:rPr>
                      <w:rFonts w:ascii="Times New Roman"/>
                      <w:spacing w:val="-1"/>
                      <w:sz w:val="21"/>
                      <w:szCs w:val="21"/>
                    </w:rPr>
                  </w:pPr>
                  <w:r>
                    <w:rPr>
                      <w:rFonts w:hint="eastAsia" w:ascii="Times New Roman"/>
                      <w:spacing w:val="-1"/>
                      <w:sz w:val="21"/>
                      <w:szCs w:val="21"/>
                    </w:rPr>
                    <w:t>项目厂界周边500m范围内无</w:t>
                  </w:r>
                  <w:r>
                    <w:rPr>
                      <w:rFonts w:hint="eastAsia"/>
                      <w:sz w:val="21"/>
                      <w:szCs w:val="21"/>
                    </w:rPr>
                    <w:t>敏感点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1145" w:type="dxa"/>
                  <w:vAlign w:val="center"/>
                </w:tcPr>
                <w:p>
                  <w:pPr>
                    <w:pStyle w:val="67"/>
                    <w:spacing w:line="240" w:lineRule="auto"/>
                    <w:rPr>
                      <w:sz w:val="21"/>
                      <w:szCs w:val="21"/>
                    </w:rPr>
                  </w:pPr>
                  <w:r>
                    <w:rPr>
                      <w:rFonts w:ascii="Times New Roman"/>
                      <w:spacing w:val="-1"/>
                      <w:sz w:val="21"/>
                      <w:szCs w:val="21"/>
                    </w:rPr>
                    <w:t>声环境</w:t>
                  </w:r>
                </w:p>
              </w:tc>
              <w:tc>
                <w:tcPr>
                  <w:tcW w:w="1309" w:type="dxa"/>
                  <w:vAlign w:val="center"/>
                </w:tcPr>
                <w:p>
                  <w:pPr>
                    <w:autoSpaceDE w:val="0"/>
                    <w:autoSpaceDN w:val="0"/>
                    <w:adjustRightInd w:val="0"/>
                    <w:snapToGrid w:val="0"/>
                    <w:jc w:val="center"/>
                    <w:rPr>
                      <w:sz w:val="21"/>
                      <w:szCs w:val="21"/>
                      <w:lang w:val="zh-CN"/>
                    </w:rPr>
                  </w:pPr>
                  <w:r>
                    <w:rPr>
                      <w:spacing w:val="-1"/>
                      <w:sz w:val="21"/>
                      <w:szCs w:val="21"/>
                    </w:rPr>
                    <w:t>——</w:t>
                  </w:r>
                </w:p>
              </w:tc>
              <w:tc>
                <w:tcPr>
                  <w:tcW w:w="1673" w:type="dxa"/>
                  <w:vAlign w:val="center"/>
                </w:tcPr>
                <w:p>
                  <w:pPr>
                    <w:pStyle w:val="67"/>
                    <w:spacing w:line="240" w:lineRule="auto"/>
                    <w:rPr>
                      <w:rFonts w:ascii="Times New Roman"/>
                      <w:spacing w:val="-1"/>
                      <w:sz w:val="21"/>
                      <w:szCs w:val="21"/>
                    </w:rPr>
                  </w:pPr>
                  <w:r>
                    <w:rPr>
                      <w:rFonts w:ascii="Times New Roman"/>
                      <w:spacing w:val="-1"/>
                      <w:sz w:val="21"/>
                      <w:szCs w:val="21"/>
                    </w:rPr>
                    <w:t>符合GB3096-2008中</w:t>
                  </w:r>
                  <w:r>
                    <w:rPr>
                      <w:rFonts w:hint="eastAsia" w:ascii="Times New Roman"/>
                      <w:spacing w:val="-1"/>
                      <w:sz w:val="21"/>
                      <w:szCs w:val="21"/>
                    </w:rPr>
                    <w:t>2</w:t>
                  </w:r>
                  <w:r>
                    <w:rPr>
                      <w:rFonts w:ascii="Times New Roman"/>
                      <w:spacing w:val="-1"/>
                      <w:sz w:val="21"/>
                      <w:szCs w:val="21"/>
                    </w:rPr>
                    <w:t>类标准</w:t>
                  </w:r>
                </w:p>
              </w:tc>
              <w:tc>
                <w:tcPr>
                  <w:tcW w:w="825" w:type="dxa"/>
                  <w:vAlign w:val="center"/>
                </w:tcPr>
                <w:p>
                  <w:pPr>
                    <w:pStyle w:val="67"/>
                    <w:spacing w:line="240" w:lineRule="auto"/>
                    <w:rPr>
                      <w:rFonts w:ascii="Times New Roman"/>
                      <w:spacing w:val="-1"/>
                      <w:sz w:val="21"/>
                      <w:szCs w:val="21"/>
                    </w:rPr>
                  </w:pPr>
                  <w:r>
                    <w:rPr>
                      <w:rFonts w:ascii="Times New Roman"/>
                      <w:spacing w:val="-1"/>
                      <w:sz w:val="21"/>
                      <w:szCs w:val="21"/>
                    </w:rPr>
                    <w:t>——</w:t>
                  </w:r>
                </w:p>
              </w:tc>
              <w:tc>
                <w:tcPr>
                  <w:tcW w:w="1496" w:type="dxa"/>
                  <w:vAlign w:val="center"/>
                </w:tcPr>
                <w:p>
                  <w:pPr>
                    <w:pStyle w:val="67"/>
                    <w:spacing w:line="240" w:lineRule="auto"/>
                    <w:rPr>
                      <w:rFonts w:ascii="Times New Roman"/>
                      <w:spacing w:val="-1"/>
                      <w:sz w:val="21"/>
                      <w:szCs w:val="21"/>
                    </w:rPr>
                  </w:pPr>
                  <w:r>
                    <w:rPr>
                      <w:rFonts w:ascii="Times New Roman"/>
                      <w:spacing w:val="-1"/>
                      <w:sz w:val="21"/>
                      <w:szCs w:val="21"/>
                    </w:rPr>
                    <w:t>——</w:t>
                  </w:r>
                </w:p>
              </w:tc>
              <w:tc>
                <w:tcPr>
                  <w:tcW w:w="1517" w:type="dxa"/>
                  <w:vAlign w:val="center"/>
                </w:tcPr>
                <w:p>
                  <w:pPr>
                    <w:pStyle w:val="67"/>
                    <w:spacing w:line="240" w:lineRule="auto"/>
                    <w:rPr>
                      <w:sz w:val="21"/>
                      <w:szCs w:val="21"/>
                    </w:rPr>
                  </w:pPr>
                  <w:r>
                    <w:rPr>
                      <w:rFonts w:hint="eastAsia" w:ascii="Times New Roman"/>
                      <w:spacing w:val="-1"/>
                      <w:sz w:val="21"/>
                      <w:szCs w:val="21"/>
                    </w:rPr>
                    <w:t>项目厂界周边50m</w:t>
                  </w:r>
                  <w:r>
                    <w:rPr>
                      <w:rFonts w:hint="eastAsia"/>
                      <w:sz w:val="21"/>
                      <w:szCs w:val="21"/>
                    </w:rPr>
                    <w:t>范围内无敏感点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145" w:type="dxa"/>
                  <w:vAlign w:val="center"/>
                </w:tcPr>
                <w:p>
                  <w:pPr>
                    <w:pStyle w:val="67"/>
                    <w:spacing w:before="24" w:after="24" w:line="240" w:lineRule="auto"/>
                    <w:rPr>
                      <w:rFonts w:ascii="Times New Roman"/>
                      <w:spacing w:val="-1"/>
                      <w:sz w:val="21"/>
                      <w:szCs w:val="21"/>
                    </w:rPr>
                  </w:pPr>
                  <w:r>
                    <w:rPr>
                      <w:rFonts w:hint="eastAsia" w:ascii="Times New Roman"/>
                      <w:spacing w:val="-1"/>
                      <w:sz w:val="21"/>
                      <w:szCs w:val="21"/>
                    </w:rPr>
                    <w:t>地下水环境</w:t>
                  </w:r>
                </w:p>
              </w:tc>
              <w:tc>
                <w:tcPr>
                  <w:tcW w:w="5303" w:type="dxa"/>
                  <w:gridSpan w:val="4"/>
                  <w:vAlign w:val="center"/>
                </w:tcPr>
                <w:p>
                  <w:pPr>
                    <w:pStyle w:val="67"/>
                    <w:spacing w:before="24" w:after="24" w:line="240" w:lineRule="auto"/>
                    <w:rPr>
                      <w:rFonts w:ascii="Times New Roman"/>
                      <w:spacing w:val="-1"/>
                      <w:sz w:val="21"/>
                      <w:szCs w:val="21"/>
                    </w:rPr>
                  </w:pPr>
                  <w:r>
                    <w:rPr>
                      <w:rFonts w:hint="eastAsia" w:ascii="Times New Roman"/>
                      <w:spacing w:val="-1"/>
                      <w:sz w:val="21"/>
                      <w:szCs w:val="21"/>
                    </w:rPr>
                    <w:t>厂界外500m范围内无地下水集中式饮用水源和热水、矿泉水、温泉等特殊地下水资源</w:t>
                  </w:r>
                </w:p>
              </w:tc>
              <w:tc>
                <w:tcPr>
                  <w:tcW w:w="1517" w:type="dxa"/>
                  <w:vAlign w:val="center"/>
                </w:tcPr>
                <w:p>
                  <w:pPr>
                    <w:pStyle w:val="67"/>
                    <w:spacing w:before="24" w:after="24" w:line="240" w:lineRule="auto"/>
                    <w:rPr>
                      <w:rFonts w:ascii="Times New Roman"/>
                      <w:spacing w:val="-1"/>
                      <w:sz w:val="21"/>
                      <w:szCs w:val="21"/>
                    </w:rPr>
                  </w:pPr>
                  <w:r>
                    <w:rPr>
                      <w:rFonts w:hint="eastAsia" w:ascii="Times New Roman"/>
                      <w:spacing w:val="-1"/>
                      <w:sz w:val="21"/>
                      <w:szCs w:val="21"/>
                    </w:rPr>
                    <w:t>厂界500m范围内</w:t>
                  </w:r>
                </w:p>
              </w:tc>
            </w:tr>
          </w:tbl>
          <w:p>
            <w:pPr>
              <w:adjustRightInd w:val="0"/>
              <w:snapToGrid w:val="0"/>
              <w:jc w:val="center"/>
              <w:rPr>
                <w:rFonts w:hint="eastAsia" w:ascii="宋体" w:hAnsi="宋体" w:cs="宋体"/>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00" w:type="dxa"/>
            <w:tcMar>
              <w:left w:w="28" w:type="dxa"/>
              <w:right w:w="28" w:type="dxa"/>
            </w:tcMar>
            <w:vAlign w:val="center"/>
          </w:tcPr>
          <w:p>
            <w:pPr>
              <w:adjustRightInd w:val="0"/>
              <w:snapToGrid w:val="0"/>
              <w:jc w:val="center"/>
              <w:rPr>
                <w:rFonts w:hint="eastAsia" w:ascii="宋体" w:hAnsi="宋体" w:cs="宋体"/>
                <w:kern w:val="0"/>
                <w:szCs w:val="21"/>
              </w:rPr>
            </w:pPr>
            <w:r>
              <w:rPr>
                <w:rFonts w:hint="eastAsia" w:ascii="宋体" w:hAnsi="宋体" w:cs="宋体"/>
                <w:kern w:val="0"/>
                <w:szCs w:val="21"/>
              </w:rPr>
              <w:t>污染</w:t>
            </w:r>
          </w:p>
          <w:p>
            <w:pPr>
              <w:adjustRightInd w:val="0"/>
              <w:snapToGrid w:val="0"/>
              <w:jc w:val="center"/>
              <w:rPr>
                <w:rFonts w:hint="eastAsia" w:ascii="宋体" w:hAnsi="宋体" w:cs="宋体"/>
                <w:kern w:val="0"/>
                <w:szCs w:val="21"/>
              </w:rPr>
            </w:pPr>
            <w:r>
              <w:rPr>
                <w:rFonts w:hint="eastAsia" w:ascii="宋体" w:hAnsi="宋体" w:cs="宋体"/>
                <w:kern w:val="0"/>
                <w:szCs w:val="21"/>
              </w:rPr>
              <w:t>物排</w:t>
            </w:r>
          </w:p>
          <w:p>
            <w:pPr>
              <w:adjustRightInd w:val="0"/>
              <w:snapToGrid w:val="0"/>
              <w:jc w:val="center"/>
              <w:rPr>
                <w:rFonts w:hint="eastAsia" w:ascii="宋体" w:hAnsi="宋体" w:cs="宋体"/>
                <w:kern w:val="0"/>
                <w:szCs w:val="21"/>
              </w:rPr>
            </w:pPr>
            <w:r>
              <w:rPr>
                <w:rFonts w:hint="eastAsia" w:ascii="宋体" w:hAnsi="宋体" w:cs="宋体"/>
                <w:kern w:val="0"/>
                <w:szCs w:val="21"/>
              </w:rPr>
              <w:t>放控</w:t>
            </w:r>
          </w:p>
          <w:p>
            <w:pPr>
              <w:adjustRightInd w:val="0"/>
              <w:snapToGrid w:val="0"/>
              <w:jc w:val="center"/>
              <w:rPr>
                <w:rFonts w:hint="eastAsia" w:ascii="宋体" w:hAnsi="宋体" w:cs="宋体"/>
                <w:kern w:val="0"/>
                <w:szCs w:val="21"/>
              </w:rPr>
            </w:pPr>
            <w:r>
              <w:rPr>
                <w:rFonts w:hint="eastAsia" w:ascii="宋体" w:hAnsi="宋体" w:cs="宋体"/>
                <w:kern w:val="0"/>
                <w:szCs w:val="21"/>
              </w:rPr>
              <w:t>制标</w:t>
            </w:r>
          </w:p>
          <w:p>
            <w:pPr>
              <w:adjustRightInd w:val="0"/>
              <w:snapToGrid w:val="0"/>
              <w:jc w:val="center"/>
              <w:rPr>
                <w:rFonts w:hint="eastAsia" w:ascii="宋体" w:hAnsi="宋体" w:cs="宋体"/>
                <w:kern w:val="0"/>
                <w:szCs w:val="21"/>
              </w:rPr>
            </w:pPr>
            <w:r>
              <w:rPr>
                <w:rFonts w:hint="eastAsia" w:ascii="宋体" w:hAnsi="宋体" w:cs="宋体"/>
                <w:kern w:val="0"/>
                <w:szCs w:val="21"/>
              </w:rPr>
              <w:t>准</w:t>
            </w:r>
          </w:p>
        </w:tc>
        <w:tc>
          <w:tcPr>
            <w:tcW w:w="8190" w:type="dxa"/>
            <w:vAlign w:val="center"/>
          </w:tcPr>
          <w:p>
            <w:pPr>
              <w:pStyle w:val="5"/>
              <w:ind w:firstLine="481" w:firstLineChars="200"/>
              <w:rPr>
                <w:color w:val="auto"/>
              </w:rPr>
            </w:pPr>
            <w:r>
              <w:rPr>
                <w:rFonts w:hint="eastAsia"/>
                <w:color w:val="auto"/>
              </w:rPr>
              <w:t>1、大气污染物排放标准</w:t>
            </w:r>
          </w:p>
          <w:p>
            <w:pPr>
              <w:pStyle w:val="10"/>
              <w:ind w:firstLine="480"/>
            </w:pPr>
            <w:r>
              <w:rPr>
                <w:rFonts w:hint="eastAsia"/>
              </w:rPr>
              <w:t>（1）施工期</w:t>
            </w:r>
          </w:p>
          <w:p>
            <w:pPr>
              <w:pStyle w:val="10"/>
              <w:ind w:firstLine="480"/>
            </w:pPr>
            <w:r>
              <w:rPr>
                <w:rFonts w:hint="eastAsia"/>
              </w:rPr>
              <w:t>本项目施工期废气执行《大气污染物综合排放标准》（GB16297-1996）无组织排放浓度限值，排放限值见表3-6。</w:t>
            </w:r>
          </w:p>
          <w:p>
            <w:pPr>
              <w:pStyle w:val="10"/>
              <w:spacing w:line="240" w:lineRule="auto"/>
              <w:ind w:firstLine="0" w:firstLineChars="0"/>
              <w:jc w:val="center"/>
              <w:rPr>
                <w:b/>
                <w:bCs/>
              </w:rPr>
            </w:pPr>
          </w:p>
          <w:p>
            <w:pPr>
              <w:pStyle w:val="10"/>
              <w:spacing w:line="240" w:lineRule="auto"/>
              <w:ind w:firstLine="0" w:firstLineChars="0"/>
              <w:jc w:val="center"/>
              <w:rPr>
                <w:b/>
                <w:bCs/>
              </w:rPr>
            </w:pPr>
            <w:r>
              <w:rPr>
                <w:rFonts w:hint="eastAsia"/>
                <w:b/>
                <w:bCs/>
              </w:rPr>
              <w:t>表3-6 《大气污染物综合排放标准》（GB16297-1996）</w:t>
            </w:r>
          </w:p>
          <w:tbl>
            <w:tblPr>
              <w:tblStyle w:val="20"/>
              <w:tblW w:w="79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8"/>
              <w:gridCol w:w="57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2148" w:type="dxa"/>
                  <w:vAlign w:val="center"/>
                </w:tcPr>
                <w:p>
                  <w:pPr>
                    <w:pStyle w:val="10"/>
                    <w:spacing w:line="240" w:lineRule="auto"/>
                    <w:ind w:firstLine="0" w:firstLineChars="0"/>
                    <w:jc w:val="center"/>
                    <w:rPr>
                      <w:sz w:val="21"/>
                    </w:rPr>
                  </w:pPr>
                  <w:r>
                    <w:rPr>
                      <w:rFonts w:hint="eastAsia"/>
                      <w:sz w:val="21"/>
                    </w:rPr>
                    <w:t>污染物</w:t>
                  </w:r>
                </w:p>
              </w:tc>
              <w:tc>
                <w:tcPr>
                  <w:tcW w:w="5779" w:type="dxa"/>
                  <w:vAlign w:val="center"/>
                </w:tcPr>
                <w:p>
                  <w:pPr>
                    <w:pStyle w:val="10"/>
                    <w:spacing w:line="240" w:lineRule="auto"/>
                    <w:ind w:firstLine="0" w:firstLineChars="0"/>
                    <w:jc w:val="center"/>
                    <w:rPr>
                      <w:sz w:val="21"/>
                    </w:rPr>
                  </w:pPr>
                  <w:r>
                    <w:rPr>
                      <w:rFonts w:hint="eastAsia"/>
                      <w:sz w:val="21"/>
                    </w:rPr>
                    <w:t>无组织排放监控浓度限值（mg/m</w:t>
                  </w:r>
                  <w:r>
                    <w:rPr>
                      <w:rFonts w:hint="eastAsia"/>
                      <w:sz w:val="21"/>
                      <w:vertAlign w:val="superscript"/>
                    </w:rPr>
                    <w:t>3</w:t>
                  </w:r>
                  <w:r>
                    <w:rPr>
                      <w:rFonts w:hint="eastAsia"/>
                      <w:sz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2148" w:type="dxa"/>
                  <w:vAlign w:val="center"/>
                </w:tcPr>
                <w:p>
                  <w:pPr>
                    <w:pStyle w:val="10"/>
                    <w:spacing w:line="240" w:lineRule="auto"/>
                    <w:ind w:firstLine="0" w:firstLineChars="0"/>
                    <w:jc w:val="center"/>
                    <w:rPr>
                      <w:sz w:val="21"/>
                    </w:rPr>
                  </w:pPr>
                  <w:r>
                    <w:rPr>
                      <w:rFonts w:hint="eastAsia"/>
                      <w:sz w:val="21"/>
                    </w:rPr>
                    <w:t>颗粒物</w:t>
                  </w:r>
                </w:p>
              </w:tc>
              <w:tc>
                <w:tcPr>
                  <w:tcW w:w="5779" w:type="dxa"/>
                  <w:vAlign w:val="center"/>
                </w:tcPr>
                <w:p>
                  <w:pPr>
                    <w:pStyle w:val="10"/>
                    <w:spacing w:line="240" w:lineRule="auto"/>
                    <w:ind w:firstLine="0" w:firstLineChars="0"/>
                    <w:jc w:val="center"/>
                    <w:rPr>
                      <w:sz w:val="21"/>
                    </w:rPr>
                  </w:pPr>
                  <w:r>
                    <w:rPr>
                      <w:rFonts w:hint="eastAsia"/>
                      <w:sz w:val="21"/>
                    </w:rPr>
                    <w:t>周界外浓度最高点1.0</w:t>
                  </w:r>
                </w:p>
              </w:tc>
            </w:tr>
          </w:tbl>
          <w:p>
            <w:pPr>
              <w:pStyle w:val="10"/>
              <w:spacing w:line="240" w:lineRule="auto"/>
              <w:ind w:firstLine="480"/>
            </w:pPr>
          </w:p>
          <w:p>
            <w:pPr>
              <w:pStyle w:val="10"/>
              <w:ind w:firstLine="480"/>
            </w:pPr>
            <w:r>
              <w:rPr>
                <w:rFonts w:hint="eastAsia"/>
              </w:rPr>
              <w:t>（2）运营期</w:t>
            </w:r>
          </w:p>
          <w:p>
            <w:pPr>
              <w:spacing w:line="360" w:lineRule="auto"/>
              <w:ind w:firstLine="480" w:firstLineChars="200"/>
            </w:pPr>
            <w:r>
              <w:rPr>
                <w:rFonts w:hint="eastAsia"/>
                <w:bCs/>
              </w:rPr>
              <w:t>运营期工艺粉尘执行《水泥工业大气污染物排放标准》（GB4915-2013）中表1、表3标准限值要求，具体见表3-7</w:t>
            </w:r>
            <w:r>
              <w:t>。</w:t>
            </w:r>
          </w:p>
          <w:p>
            <w:pPr>
              <w:adjustRightInd w:val="0"/>
              <w:jc w:val="center"/>
              <w:rPr>
                <w:b/>
              </w:rPr>
            </w:pPr>
            <w:r>
              <w:rPr>
                <w:b/>
              </w:rPr>
              <w:t>表</w:t>
            </w:r>
            <w:r>
              <w:rPr>
                <w:rFonts w:hint="eastAsia"/>
                <w:b/>
              </w:rPr>
              <w:t>3-7</w:t>
            </w:r>
            <w:r>
              <w:rPr>
                <w:b/>
              </w:rPr>
              <w:t xml:space="preserve">   </w:t>
            </w:r>
            <w:r>
              <w:rPr>
                <w:rFonts w:hint="eastAsia"/>
                <w:b/>
              </w:rPr>
              <w:t>《水泥工业大气污染物排放标准》（GB4915-2013）</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6"/>
              <w:gridCol w:w="1799"/>
              <w:gridCol w:w="1567"/>
              <w:gridCol w:w="2126"/>
              <w:gridCol w:w="17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6" w:type="dxa"/>
                  <w:vMerge w:val="restart"/>
                  <w:vAlign w:val="center"/>
                </w:tcPr>
                <w:p>
                  <w:pPr>
                    <w:ind w:right="113"/>
                    <w:jc w:val="center"/>
                    <w:rPr>
                      <w:rFonts w:hint="eastAsia" w:asciiTheme="minorEastAsia" w:hAnsiTheme="minorEastAsia" w:eastAsiaTheme="minorEastAsia"/>
                      <w:sz w:val="21"/>
                      <w:szCs w:val="21"/>
                    </w:rPr>
                  </w:pPr>
                  <w:r>
                    <w:rPr>
                      <w:rFonts w:hint="eastAsia" w:cs="宋体" w:asciiTheme="minorEastAsia" w:hAnsiTheme="minorEastAsia" w:eastAsiaTheme="minorEastAsia"/>
                      <w:sz w:val="21"/>
                      <w:szCs w:val="21"/>
                    </w:rPr>
                    <w:t>生产过程</w:t>
                  </w:r>
                </w:p>
              </w:tc>
              <w:tc>
                <w:tcPr>
                  <w:tcW w:w="1799" w:type="dxa"/>
                  <w:vMerge w:val="restart"/>
                  <w:vAlign w:val="center"/>
                </w:tcPr>
                <w:p>
                  <w:pPr>
                    <w:ind w:right="113"/>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生产设备</w:t>
                  </w:r>
                </w:p>
              </w:tc>
              <w:tc>
                <w:tcPr>
                  <w:tcW w:w="1567" w:type="dxa"/>
                  <w:vMerge w:val="restart"/>
                  <w:vAlign w:val="center"/>
                </w:tcPr>
                <w:p>
                  <w:pPr>
                    <w:ind w:right="113"/>
                    <w:jc w:val="center"/>
                    <w:rPr>
                      <w:rFonts w:hint="eastAsia" w:asciiTheme="minorEastAsia" w:hAnsiTheme="minorEastAsia" w:eastAsiaTheme="minorEastAsia"/>
                      <w:sz w:val="21"/>
                      <w:szCs w:val="21"/>
                    </w:rPr>
                  </w:pPr>
                  <w:r>
                    <w:rPr>
                      <w:rFonts w:hint="eastAsia" w:cs="宋体" w:asciiTheme="minorEastAsia" w:hAnsiTheme="minorEastAsia" w:eastAsiaTheme="minorEastAsia"/>
                      <w:sz w:val="21"/>
                      <w:szCs w:val="21"/>
                    </w:rPr>
                    <w:t>颗粒物排放浓度（</w:t>
                  </w:r>
                  <w:r>
                    <w:rPr>
                      <w:rFonts w:asciiTheme="minorEastAsia" w:hAnsiTheme="minorEastAsia" w:eastAsiaTheme="minorEastAsia"/>
                      <w:sz w:val="21"/>
                      <w:szCs w:val="21"/>
                    </w:rPr>
                    <w:t>mg/m</w:t>
                  </w:r>
                  <w:r>
                    <w:rPr>
                      <w:rFonts w:asciiTheme="minorEastAsia" w:hAnsiTheme="minorEastAsia" w:eastAsiaTheme="minorEastAsia"/>
                      <w:sz w:val="21"/>
                      <w:szCs w:val="21"/>
                      <w:vertAlign w:val="superscript"/>
                    </w:rPr>
                    <w:t>3</w:t>
                  </w:r>
                  <w:r>
                    <w:rPr>
                      <w:rFonts w:hint="eastAsia" w:cs="宋体" w:asciiTheme="minorEastAsia" w:hAnsiTheme="minorEastAsia" w:eastAsiaTheme="minorEastAsia"/>
                      <w:sz w:val="21"/>
                      <w:szCs w:val="21"/>
                    </w:rPr>
                    <w:t>）</w:t>
                  </w:r>
                </w:p>
              </w:tc>
              <w:tc>
                <w:tcPr>
                  <w:tcW w:w="3842" w:type="dxa"/>
                  <w:gridSpan w:val="2"/>
                  <w:vAlign w:val="center"/>
                </w:tcPr>
                <w:p>
                  <w:pPr>
                    <w:ind w:right="113"/>
                    <w:jc w:val="center"/>
                    <w:rPr>
                      <w:rFonts w:hint="eastAsia" w:asciiTheme="minorEastAsia" w:hAnsiTheme="minorEastAsia" w:eastAsiaTheme="minorEastAsia"/>
                      <w:sz w:val="21"/>
                      <w:szCs w:val="21"/>
                    </w:rPr>
                  </w:pPr>
                  <w:r>
                    <w:rPr>
                      <w:rFonts w:hint="eastAsia" w:cs="宋体" w:asciiTheme="minorEastAsia" w:hAnsiTheme="minorEastAsia" w:eastAsiaTheme="minorEastAsia"/>
                      <w:sz w:val="21"/>
                      <w:szCs w:val="21"/>
                    </w:rPr>
                    <w:t>无组织排放限值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756" w:type="dxa"/>
                  <w:vMerge w:val="continue"/>
                  <w:vAlign w:val="center"/>
                </w:tcPr>
                <w:p>
                  <w:pPr>
                    <w:ind w:right="113"/>
                    <w:jc w:val="center"/>
                    <w:rPr>
                      <w:rFonts w:hint="eastAsia" w:asciiTheme="minorEastAsia" w:hAnsiTheme="minorEastAsia" w:eastAsiaTheme="minorEastAsia"/>
                      <w:sz w:val="21"/>
                      <w:szCs w:val="21"/>
                    </w:rPr>
                  </w:pPr>
                </w:p>
              </w:tc>
              <w:tc>
                <w:tcPr>
                  <w:tcW w:w="1799" w:type="dxa"/>
                  <w:vMerge w:val="continue"/>
                  <w:vAlign w:val="center"/>
                </w:tcPr>
                <w:p>
                  <w:pPr>
                    <w:ind w:right="113"/>
                    <w:jc w:val="center"/>
                    <w:rPr>
                      <w:rFonts w:hint="eastAsia" w:asciiTheme="minorEastAsia" w:hAnsiTheme="minorEastAsia" w:eastAsiaTheme="minorEastAsia"/>
                      <w:sz w:val="21"/>
                      <w:szCs w:val="21"/>
                    </w:rPr>
                  </w:pPr>
                </w:p>
              </w:tc>
              <w:tc>
                <w:tcPr>
                  <w:tcW w:w="1567" w:type="dxa"/>
                  <w:vMerge w:val="continue"/>
                  <w:vAlign w:val="center"/>
                </w:tcPr>
                <w:p>
                  <w:pPr>
                    <w:ind w:right="113"/>
                    <w:jc w:val="center"/>
                    <w:rPr>
                      <w:rFonts w:hint="eastAsia" w:asciiTheme="minorEastAsia" w:hAnsiTheme="minorEastAsia" w:eastAsiaTheme="minorEastAsia"/>
                      <w:sz w:val="21"/>
                      <w:szCs w:val="21"/>
                    </w:rPr>
                  </w:pPr>
                </w:p>
              </w:tc>
              <w:tc>
                <w:tcPr>
                  <w:tcW w:w="2126" w:type="dxa"/>
                  <w:vAlign w:val="center"/>
                </w:tcPr>
                <w:p>
                  <w:pPr>
                    <w:snapToGrid w:val="0"/>
                    <w:ind w:right="113"/>
                    <w:jc w:val="center"/>
                    <w:rPr>
                      <w:rFonts w:hint="eastAsia" w:asciiTheme="minorEastAsia" w:hAnsiTheme="minorEastAsia" w:eastAsiaTheme="minorEastAsia"/>
                      <w:sz w:val="21"/>
                      <w:szCs w:val="21"/>
                    </w:rPr>
                  </w:pPr>
                  <w:r>
                    <w:rPr>
                      <w:rFonts w:hint="eastAsia" w:cs="宋体" w:asciiTheme="minorEastAsia" w:hAnsiTheme="minorEastAsia" w:eastAsiaTheme="minorEastAsia"/>
                      <w:sz w:val="21"/>
                      <w:szCs w:val="21"/>
                    </w:rPr>
                    <w:t>监控点</w:t>
                  </w:r>
                </w:p>
              </w:tc>
              <w:tc>
                <w:tcPr>
                  <w:tcW w:w="1716" w:type="dxa"/>
                  <w:vAlign w:val="center"/>
                </w:tcPr>
                <w:p>
                  <w:pPr>
                    <w:snapToGrid w:val="0"/>
                    <w:ind w:right="113"/>
                    <w:jc w:val="center"/>
                    <w:rPr>
                      <w:rFonts w:hint="eastAsia" w:asciiTheme="minorEastAsia" w:hAnsiTheme="minorEastAsia" w:eastAsiaTheme="minorEastAsia"/>
                      <w:sz w:val="21"/>
                      <w:szCs w:val="21"/>
                    </w:rPr>
                  </w:pPr>
                  <w:r>
                    <w:rPr>
                      <w:rFonts w:hint="eastAsia" w:cs="宋体" w:asciiTheme="minorEastAsia" w:hAnsiTheme="minorEastAsia" w:eastAsiaTheme="minorEastAsia"/>
                      <w:sz w:val="21"/>
                      <w:szCs w:val="21"/>
                    </w:rPr>
                    <w:t>浓度（</w:t>
                  </w:r>
                  <w:r>
                    <w:rPr>
                      <w:rFonts w:asciiTheme="minorEastAsia" w:hAnsiTheme="minorEastAsia" w:eastAsiaTheme="minorEastAsia"/>
                      <w:sz w:val="21"/>
                      <w:szCs w:val="21"/>
                    </w:rPr>
                    <w:t>mg/m</w:t>
                  </w:r>
                  <w:r>
                    <w:rPr>
                      <w:rFonts w:asciiTheme="minorEastAsia" w:hAnsiTheme="minorEastAsia" w:eastAsiaTheme="minorEastAsia"/>
                      <w:sz w:val="21"/>
                      <w:szCs w:val="21"/>
                      <w:vertAlign w:val="superscript"/>
                    </w:rPr>
                    <w:t>3</w:t>
                  </w:r>
                  <w:r>
                    <w:rPr>
                      <w:rFonts w:hint="eastAsia" w:cs="宋体" w:asciiTheme="minorEastAsia" w:hAnsiTheme="minorEastAsia" w:eastAsiaTheme="minor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56" w:type="dxa"/>
                  <w:vAlign w:val="center"/>
                </w:tcPr>
                <w:p>
                  <w:pPr>
                    <w:ind w:right="113"/>
                    <w:jc w:val="center"/>
                    <w:rPr>
                      <w:rFonts w:hint="eastAsia" w:asciiTheme="minorEastAsia" w:hAnsiTheme="minorEastAsia" w:eastAsiaTheme="minorEastAsia"/>
                      <w:sz w:val="21"/>
                      <w:szCs w:val="21"/>
                    </w:rPr>
                  </w:pPr>
                  <w:r>
                    <w:rPr>
                      <w:rFonts w:hint="eastAsia" w:cs="宋体" w:asciiTheme="minorEastAsia" w:hAnsiTheme="minorEastAsia" w:eastAsiaTheme="minorEastAsia"/>
                      <w:sz w:val="21"/>
                      <w:szCs w:val="21"/>
                    </w:rPr>
                    <w:t>水泥制品生产</w:t>
                  </w:r>
                </w:p>
              </w:tc>
              <w:tc>
                <w:tcPr>
                  <w:tcW w:w="1799" w:type="dxa"/>
                  <w:vAlign w:val="center"/>
                </w:tcPr>
                <w:p>
                  <w:pPr>
                    <w:ind w:right="113"/>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水泥仓及其他通</w:t>
                  </w:r>
                </w:p>
                <w:p>
                  <w:pPr>
                    <w:ind w:right="113"/>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风生产设备</w:t>
                  </w:r>
                </w:p>
              </w:tc>
              <w:tc>
                <w:tcPr>
                  <w:tcW w:w="1567" w:type="dxa"/>
                  <w:vAlign w:val="center"/>
                </w:tcPr>
                <w:p>
                  <w:pPr>
                    <w:ind w:right="113"/>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20</w:t>
                  </w:r>
                </w:p>
              </w:tc>
              <w:tc>
                <w:tcPr>
                  <w:tcW w:w="2126" w:type="dxa"/>
                  <w:vAlign w:val="center"/>
                </w:tcPr>
                <w:p>
                  <w:pPr>
                    <w:ind w:right="113"/>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厂界外20m处上风向设参照点，下风向设监控点</w:t>
                  </w:r>
                </w:p>
              </w:tc>
              <w:tc>
                <w:tcPr>
                  <w:tcW w:w="1716" w:type="dxa"/>
                  <w:vAlign w:val="center"/>
                </w:tcPr>
                <w:p>
                  <w:pPr>
                    <w:ind w:right="113"/>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0.5</w:t>
                  </w:r>
                </w:p>
              </w:tc>
            </w:tr>
          </w:tbl>
          <w:p>
            <w:pPr>
              <w:adjustRightInd w:val="0"/>
              <w:snapToGrid w:val="0"/>
              <w:ind w:left="120" w:leftChars="50" w:firstLine="350" w:firstLineChars="146"/>
              <w:jc w:val="left"/>
              <w:rPr>
                <w:rFonts w:hint="eastAsia" w:hAnsi="宋体"/>
              </w:rPr>
            </w:pPr>
          </w:p>
          <w:p>
            <w:pPr>
              <w:adjustRightInd w:val="0"/>
              <w:snapToGrid w:val="0"/>
              <w:spacing w:line="360" w:lineRule="auto"/>
              <w:ind w:left="120" w:leftChars="50" w:firstLine="351" w:firstLineChars="146"/>
              <w:jc w:val="left"/>
              <w:rPr>
                <w:rFonts w:hint="eastAsia" w:hAnsi="宋体"/>
                <w:b/>
              </w:rPr>
            </w:pPr>
            <w:r>
              <w:rPr>
                <w:rFonts w:hint="eastAsia" w:hAnsi="宋体"/>
                <w:b/>
              </w:rPr>
              <w:t>2</w:t>
            </w:r>
            <w:r>
              <w:rPr>
                <w:rFonts w:hAnsi="宋体"/>
                <w:b/>
              </w:rPr>
              <w:t>、废水排放标准</w:t>
            </w:r>
          </w:p>
          <w:p>
            <w:pPr>
              <w:adjustRightInd w:val="0"/>
              <w:snapToGrid w:val="0"/>
              <w:spacing w:line="360" w:lineRule="auto"/>
              <w:ind w:firstLine="470" w:firstLineChars="196"/>
            </w:pPr>
            <w:r>
              <w:rPr>
                <w:rFonts w:hint="eastAsia"/>
              </w:rPr>
              <w:t>项目生活污水排放执行《污水综合排放标准》（GB8978-1996）中三级标准，具体标准限值见表3-8。</w:t>
            </w:r>
          </w:p>
          <w:p>
            <w:pPr>
              <w:widowControl/>
              <w:jc w:val="center"/>
              <w:rPr>
                <w:rFonts w:hAnsi="Courier New" w:cs="Century"/>
                <w:b/>
                <w:bCs/>
              </w:rPr>
            </w:pPr>
            <w:r>
              <w:rPr>
                <w:rFonts w:hint="eastAsia" w:hAnsi="Courier New" w:cs="Century"/>
                <w:b/>
                <w:bCs/>
              </w:rPr>
              <w:t>表3-8      《污水综合排放标准》（GB8978-1996）</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0"/>
              <w:gridCol w:w="1871"/>
              <w:gridCol w:w="2079"/>
              <w:gridCol w:w="19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2040" w:type="dxa"/>
                  <w:vAlign w:val="center"/>
                </w:tcPr>
                <w:p>
                  <w:pPr>
                    <w:ind w:right="113"/>
                    <w:jc w:val="center"/>
                    <w:rPr>
                      <w:rFonts w:hint="eastAsia" w:ascii="宋体" w:hAnsi="宋体" w:cs="宋体"/>
                      <w:sz w:val="21"/>
                      <w:szCs w:val="21"/>
                    </w:rPr>
                  </w:pPr>
                  <w:r>
                    <w:rPr>
                      <w:rFonts w:hint="eastAsia" w:ascii="宋体" w:hAnsi="宋体" w:cs="宋体"/>
                      <w:sz w:val="21"/>
                      <w:szCs w:val="21"/>
                    </w:rPr>
                    <w:t>污染物</w:t>
                  </w:r>
                </w:p>
              </w:tc>
              <w:tc>
                <w:tcPr>
                  <w:tcW w:w="1871" w:type="dxa"/>
                  <w:vAlign w:val="center"/>
                </w:tcPr>
                <w:p>
                  <w:pPr>
                    <w:ind w:right="113"/>
                    <w:jc w:val="center"/>
                    <w:rPr>
                      <w:rFonts w:hint="eastAsia" w:ascii="宋体" w:hAnsi="宋体" w:cs="宋体"/>
                      <w:sz w:val="21"/>
                      <w:szCs w:val="21"/>
                    </w:rPr>
                  </w:pPr>
                  <w:r>
                    <w:rPr>
                      <w:rFonts w:hint="eastAsia" w:ascii="宋体" w:hAnsi="宋体" w:cs="宋体"/>
                      <w:sz w:val="21"/>
                      <w:szCs w:val="21"/>
                    </w:rPr>
                    <w:t>三级标准mg/</w:t>
                  </w:r>
                </w:p>
              </w:tc>
              <w:tc>
                <w:tcPr>
                  <w:tcW w:w="2079" w:type="dxa"/>
                  <w:vAlign w:val="center"/>
                </w:tcPr>
                <w:p>
                  <w:pPr>
                    <w:ind w:right="113"/>
                    <w:jc w:val="center"/>
                    <w:rPr>
                      <w:rFonts w:hint="eastAsia" w:ascii="宋体" w:hAnsi="宋体" w:cs="宋体"/>
                      <w:sz w:val="21"/>
                      <w:szCs w:val="21"/>
                    </w:rPr>
                  </w:pPr>
                  <w:r>
                    <w:rPr>
                      <w:rFonts w:hint="eastAsia" w:ascii="宋体" w:hAnsi="宋体" w:cs="宋体"/>
                      <w:sz w:val="21"/>
                      <w:szCs w:val="21"/>
                    </w:rPr>
                    <w:t>污染物</w:t>
                  </w:r>
                </w:p>
              </w:tc>
              <w:tc>
                <w:tcPr>
                  <w:tcW w:w="1974" w:type="dxa"/>
                  <w:vAlign w:val="center"/>
                </w:tcPr>
                <w:p>
                  <w:pPr>
                    <w:ind w:right="113"/>
                    <w:jc w:val="center"/>
                    <w:rPr>
                      <w:rFonts w:hint="eastAsia" w:ascii="宋体" w:hAnsi="宋体" w:cs="宋体"/>
                      <w:sz w:val="21"/>
                      <w:szCs w:val="21"/>
                    </w:rPr>
                  </w:pPr>
                  <w:r>
                    <w:rPr>
                      <w:rFonts w:hint="eastAsia" w:ascii="宋体" w:hAnsi="宋体" w:cs="宋体"/>
                      <w:sz w:val="21"/>
                      <w:szCs w:val="21"/>
                    </w:rPr>
                    <w:t>三级标准mg/L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40" w:type="dxa"/>
                  <w:vAlign w:val="center"/>
                </w:tcPr>
                <w:p>
                  <w:pPr>
                    <w:ind w:right="113"/>
                    <w:jc w:val="center"/>
                    <w:rPr>
                      <w:rFonts w:hint="eastAsia" w:ascii="宋体" w:hAnsi="宋体" w:cs="宋体"/>
                      <w:sz w:val="21"/>
                      <w:szCs w:val="21"/>
                    </w:rPr>
                  </w:pPr>
                  <w:r>
                    <w:rPr>
                      <w:rFonts w:hint="eastAsia" w:ascii="宋体" w:hAnsi="宋体" w:cs="宋体"/>
                      <w:sz w:val="21"/>
                      <w:szCs w:val="21"/>
                    </w:rPr>
                    <w:t>pH</w:t>
                  </w:r>
                </w:p>
              </w:tc>
              <w:tc>
                <w:tcPr>
                  <w:tcW w:w="1871" w:type="dxa"/>
                  <w:vAlign w:val="center"/>
                </w:tcPr>
                <w:p>
                  <w:pPr>
                    <w:ind w:right="113"/>
                    <w:jc w:val="center"/>
                    <w:rPr>
                      <w:rFonts w:hint="eastAsia" w:ascii="宋体" w:hAnsi="宋体" w:cs="宋体"/>
                      <w:sz w:val="21"/>
                      <w:szCs w:val="21"/>
                      <w:highlight w:val="yellow"/>
                    </w:rPr>
                  </w:pPr>
                  <w:r>
                    <w:rPr>
                      <w:rFonts w:hint="eastAsia" w:ascii="宋体" w:hAnsi="宋体" w:cs="宋体"/>
                      <w:sz w:val="21"/>
                      <w:szCs w:val="21"/>
                    </w:rPr>
                    <w:t>6~9</w:t>
                  </w:r>
                </w:p>
              </w:tc>
              <w:tc>
                <w:tcPr>
                  <w:tcW w:w="2079" w:type="dxa"/>
                  <w:vAlign w:val="center"/>
                </w:tcPr>
                <w:p>
                  <w:pPr>
                    <w:ind w:right="113"/>
                    <w:jc w:val="center"/>
                    <w:rPr>
                      <w:rFonts w:hint="eastAsia" w:ascii="宋体" w:hAnsi="宋体" w:cs="宋体"/>
                      <w:sz w:val="21"/>
                      <w:szCs w:val="21"/>
                    </w:rPr>
                  </w:pPr>
                  <w:r>
                    <w:rPr>
                      <w:rFonts w:hint="eastAsia" w:ascii="宋体" w:hAnsi="宋体" w:cs="宋体"/>
                      <w:sz w:val="21"/>
                      <w:szCs w:val="21"/>
                    </w:rPr>
                    <w:t>COD</w:t>
                  </w:r>
                </w:p>
              </w:tc>
              <w:tc>
                <w:tcPr>
                  <w:tcW w:w="1974" w:type="dxa"/>
                  <w:vAlign w:val="center"/>
                </w:tcPr>
                <w:p>
                  <w:pPr>
                    <w:ind w:right="113"/>
                    <w:jc w:val="center"/>
                    <w:rPr>
                      <w:rFonts w:hint="eastAsia" w:ascii="宋体" w:hAnsi="宋体" w:cs="宋体"/>
                      <w:sz w:val="21"/>
                      <w:szCs w:val="21"/>
                      <w:highlight w:val="yellow"/>
                    </w:rPr>
                  </w:pPr>
                  <w:r>
                    <w:rPr>
                      <w:rFonts w:hint="eastAsia" w:ascii="宋体" w:hAnsi="宋体" w:cs="宋体"/>
                      <w:sz w:val="21"/>
                      <w:szCs w:val="21"/>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2040" w:type="dxa"/>
                  <w:vAlign w:val="center"/>
                </w:tcPr>
                <w:p>
                  <w:pPr>
                    <w:ind w:right="113"/>
                    <w:jc w:val="center"/>
                    <w:rPr>
                      <w:rFonts w:hint="eastAsia" w:ascii="宋体" w:hAnsi="宋体" w:cs="宋体"/>
                      <w:sz w:val="21"/>
                      <w:szCs w:val="21"/>
                    </w:rPr>
                  </w:pPr>
                  <w:r>
                    <w:rPr>
                      <w:rFonts w:hint="eastAsia" w:ascii="宋体" w:hAnsi="宋体" w:cs="宋体"/>
                      <w:sz w:val="21"/>
                      <w:szCs w:val="21"/>
                    </w:rPr>
                    <w:t>BOD</w:t>
                  </w:r>
                  <w:r>
                    <w:rPr>
                      <w:rFonts w:hint="eastAsia" w:ascii="宋体" w:hAnsi="宋体" w:cs="宋体"/>
                      <w:sz w:val="21"/>
                      <w:szCs w:val="21"/>
                      <w:vertAlign w:val="subscript"/>
                    </w:rPr>
                    <w:t>5</w:t>
                  </w:r>
                </w:p>
              </w:tc>
              <w:tc>
                <w:tcPr>
                  <w:tcW w:w="1871" w:type="dxa"/>
                  <w:vAlign w:val="center"/>
                </w:tcPr>
                <w:p>
                  <w:pPr>
                    <w:ind w:right="113"/>
                    <w:jc w:val="center"/>
                    <w:rPr>
                      <w:rFonts w:hint="eastAsia" w:ascii="宋体" w:hAnsi="宋体" w:cs="宋体"/>
                      <w:sz w:val="21"/>
                      <w:szCs w:val="21"/>
                      <w:highlight w:val="yellow"/>
                    </w:rPr>
                  </w:pPr>
                  <w:r>
                    <w:rPr>
                      <w:rFonts w:hint="eastAsia" w:ascii="宋体" w:hAnsi="宋体" w:cs="宋体"/>
                      <w:sz w:val="21"/>
                      <w:szCs w:val="21"/>
                    </w:rPr>
                    <w:t>300</w:t>
                  </w:r>
                </w:p>
              </w:tc>
              <w:tc>
                <w:tcPr>
                  <w:tcW w:w="2079" w:type="dxa"/>
                  <w:vAlign w:val="center"/>
                </w:tcPr>
                <w:p>
                  <w:pPr>
                    <w:ind w:right="113"/>
                    <w:jc w:val="center"/>
                    <w:rPr>
                      <w:rFonts w:hint="eastAsia" w:ascii="宋体" w:hAnsi="宋体" w:cs="宋体"/>
                      <w:sz w:val="21"/>
                      <w:szCs w:val="21"/>
                      <w:highlight w:val="yellow"/>
                    </w:rPr>
                  </w:pPr>
                  <w:r>
                    <w:rPr>
                      <w:rFonts w:hint="eastAsia" w:ascii="宋体" w:hAnsi="宋体" w:cs="宋体"/>
                      <w:sz w:val="21"/>
                      <w:szCs w:val="21"/>
                    </w:rPr>
                    <w:t>NH</w:t>
                  </w:r>
                  <w:r>
                    <w:rPr>
                      <w:rFonts w:hint="eastAsia" w:ascii="宋体" w:hAnsi="宋体" w:cs="宋体"/>
                      <w:sz w:val="21"/>
                      <w:szCs w:val="21"/>
                      <w:vertAlign w:val="subscript"/>
                    </w:rPr>
                    <w:t>3</w:t>
                  </w:r>
                  <w:r>
                    <w:rPr>
                      <w:rFonts w:hint="eastAsia" w:ascii="宋体" w:hAnsi="宋体" w:cs="宋体"/>
                      <w:sz w:val="21"/>
                      <w:szCs w:val="21"/>
                    </w:rPr>
                    <w:t>-N</w:t>
                  </w:r>
                </w:p>
              </w:tc>
              <w:tc>
                <w:tcPr>
                  <w:tcW w:w="1974" w:type="dxa"/>
                  <w:vAlign w:val="center"/>
                </w:tcPr>
                <w:p>
                  <w:pPr>
                    <w:ind w:right="113"/>
                    <w:jc w:val="center"/>
                    <w:rPr>
                      <w:rFonts w:hint="eastAsia" w:ascii="宋体" w:hAnsi="宋体" w:cs="宋体"/>
                      <w:sz w:val="21"/>
                      <w:szCs w:val="21"/>
                      <w:highlight w:val="yellow"/>
                    </w:rPr>
                  </w:pPr>
                  <w:r>
                    <w:rPr>
                      <w:rFonts w:hint="eastAsia" w:ascii="宋体" w:hAnsi="宋体" w:cs="宋体"/>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2040" w:type="dxa"/>
                  <w:vAlign w:val="center"/>
                </w:tcPr>
                <w:p>
                  <w:pPr>
                    <w:ind w:right="113"/>
                    <w:jc w:val="center"/>
                    <w:rPr>
                      <w:rFonts w:hint="eastAsia" w:ascii="宋体" w:hAnsi="宋体" w:cs="宋体"/>
                      <w:sz w:val="21"/>
                      <w:szCs w:val="21"/>
                    </w:rPr>
                  </w:pPr>
                  <w:r>
                    <w:rPr>
                      <w:rFonts w:hint="eastAsia" w:ascii="宋体" w:hAnsi="宋体" w:cs="宋体"/>
                      <w:sz w:val="21"/>
                      <w:szCs w:val="21"/>
                    </w:rPr>
                    <w:t>动植物油</w:t>
                  </w:r>
                </w:p>
              </w:tc>
              <w:tc>
                <w:tcPr>
                  <w:tcW w:w="1871" w:type="dxa"/>
                  <w:vAlign w:val="center"/>
                </w:tcPr>
                <w:p>
                  <w:pPr>
                    <w:ind w:right="113"/>
                    <w:jc w:val="center"/>
                    <w:rPr>
                      <w:rFonts w:hint="eastAsia" w:ascii="宋体" w:hAnsi="宋体" w:cs="宋体"/>
                      <w:sz w:val="21"/>
                      <w:szCs w:val="21"/>
                    </w:rPr>
                  </w:pPr>
                  <w:r>
                    <w:rPr>
                      <w:rFonts w:hint="eastAsia" w:ascii="宋体" w:hAnsi="宋体" w:cs="宋体"/>
                      <w:sz w:val="21"/>
                      <w:szCs w:val="21"/>
                    </w:rPr>
                    <w:t>100</w:t>
                  </w:r>
                </w:p>
              </w:tc>
              <w:tc>
                <w:tcPr>
                  <w:tcW w:w="2079" w:type="dxa"/>
                  <w:vAlign w:val="center"/>
                </w:tcPr>
                <w:p>
                  <w:pPr>
                    <w:ind w:right="113"/>
                    <w:jc w:val="center"/>
                    <w:rPr>
                      <w:rFonts w:hint="eastAsia" w:ascii="宋体" w:hAnsi="宋体" w:cs="宋体"/>
                      <w:sz w:val="21"/>
                      <w:szCs w:val="21"/>
                    </w:rPr>
                  </w:pPr>
                  <w:r>
                    <w:rPr>
                      <w:rFonts w:hint="eastAsia" w:ascii="宋体" w:hAnsi="宋体" w:cs="宋体"/>
                      <w:sz w:val="21"/>
                      <w:szCs w:val="21"/>
                    </w:rPr>
                    <w:t>SS</w:t>
                  </w:r>
                </w:p>
              </w:tc>
              <w:tc>
                <w:tcPr>
                  <w:tcW w:w="1974" w:type="dxa"/>
                  <w:vAlign w:val="center"/>
                </w:tcPr>
                <w:p>
                  <w:pPr>
                    <w:ind w:right="113"/>
                    <w:jc w:val="center"/>
                    <w:rPr>
                      <w:rFonts w:hint="eastAsia" w:ascii="宋体" w:hAnsi="宋体" w:cs="宋体"/>
                      <w:sz w:val="21"/>
                      <w:szCs w:val="21"/>
                    </w:rPr>
                  </w:pPr>
                  <w:r>
                    <w:rPr>
                      <w:rFonts w:hint="eastAsia" w:ascii="宋体" w:hAnsi="宋体" w:cs="宋体"/>
                      <w:sz w:val="21"/>
                      <w:szCs w:val="21"/>
                    </w:rPr>
                    <w:t>400</w:t>
                  </w:r>
                </w:p>
              </w:tc>
            </w:tr>
          </w:tbl>
          <w:p>
            <w:pPr>
              <w:ind w:firstLine="480" w:firstLineChars="200"/>
              <w:rPr>
                <w:rFonts w:hint="eastAsia" w:ascii="宋体" w:hAnsi="宋体" w:cs="宋体"/>
                <w:bCs/>
              </w:rPr>
            </w:pPr>
          </w:p>
          <w:p>
            <w:pPr>
              <w:pStyle w:val="5"/>
              <w:ind w:firstLine="481" w:firstLineChars="200"/>
              <w:rPr>
                <w:color w:val="auto"/>
              </w:rPr>
            </w:pPr>
            <w:r>
              <w:rPr>
                <w:rFonts w:hint="eastAsia"/>
                <w:color w:val="auto"/>
              </w:rPr>
              <w:t>3、噪声排放标准</w:t>
            </w:r>
          </w:p>
          <w:p>
            <w:pPr>
              <w:pStyle w:val="10"/>
              <w:ind w:firstLine="480"/>
            </w:pPr>
            <w:r>
              <w:rPr>
                <w:rFonts w:hint="eastAsia"/>
              </w:rPr>
              <w:t>（1）施工期</w:t>
            </w:r>
          </w:p>
          <w:p>
            <w:pPr>
              <w:pStyle w:val="10"/>
              <w:ind w:firstLine="480"/>
            </w:pPr>
            <w:r>
              <w:rPr>
                <w:rFonts w:hint="eastAsia"/>
              </w:rPr>
              <w:t>项目施工期噪声执行《建筑施工场界环境噪声排放标准》（GB12523-2011），具体见表3-9。</w:t>
            </w:r>
          </w:p>
          <w:p>
            <w:pPr>
              <w:pStyle w:val="10"/>
              <w:spacing w:line="240" w:lineRule="auto"/>
              <w:ind w:firstLine="0" w:firstLineChars="0"/>
              <w:jc w:val="center"/>
              <w:rPr>
                <w:b/>
                <w:bCs/>
              </w:rPr>
            </w:pPr>
            <w:r>
              <w:rPr>
                <w:rFonts w:hint="eastAsia"/>
                <w:b/>
                <w:bCs/>
              </w:rPr>
              <w:t xml:space="preserve">表3-9      </w:t>
            </w:r>
            <w:r>
              <w:rPr>
                <w:b/>
                <w:kern w:val="2"/>
                <w:szCs w:val="24"/>
              </w:rPr>
              <w:t>建筑施工场界噪声排放标准</w:t>
            </w:r>
          </w:p>
          <w:tbl>
            <w:tblPr>
              <w:tblStyle w:val="20"/>
              <w:tblW w:w="79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8"/>
              <w:gridCol w:w="2658"/>
              <w:gridCol w:w="26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8" w:type="dxa"/>
                  <w:vAlign w:val="center"/>
                </w:tcPr>
                <w:p>
                  <w:pPr>
                    <w:pStyle w:val="10"/>
                    <w:spacing w:line="240" w:lineRule="auto"/>
                    <w:ind w:firstLine="0" w:firstLineChars="0"/>
                    <w:jc w:val="center"/>
                    <w:rPr>
                      <w:sz w:val="21"/>
                    </w:rPr>
                  </w:pPr>
                  <w:r>
                    <w:rPr>
                      <w:rFonts w:hint="eastAsia"/>
                      <w:sz w:val="21"/>
                    </w:rPr>
                    <w:t>污染来源</w:t>
                  </w:r>
                </w:p>
              </w:tc>
              <w:tc>
                <w:tcPr>
                  <w:tcW w:w="5316" w:type="dxa"/>
                  <w:gridSpan w:val="2"/>
                  <w:vAlign w:val="center"/>
                </w:tcPr>
                <w:p>
                  <w:pPr>
                    <w:pStyle w:val="10"/>
                    <w:spacing w:line="240" w:lineRule="auto"/>
                    <w:ind w:firstLine="0" w:firstLineChars="0"/>
                    <w:jc w:val="center"/>
                    <w:rPr>
                      <w:sz w:val="21"/>
                    </w:rPr>
                  </w:pPr>
                  <w:r>
                    <w:rPr>
                      <w:rFonts w:hint="eastAsia"/>
                      <w:sz w:val="21"/>
                    </w:rPr>
                    <w:t>标准限值[dB(A)]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8" w:type="dxa"/>
                  <w:vMerge w:val="restart"/>
                  <w:vAlign w:val="center"/>
                </w:tcPr>
                <w:p>
                  <w:pPr>
                    <w:pStyle w:val="10"/>
                    <w:spacing w:line="240" w:lineRule="auto"/>
                    <w:ind w:firstLine="0" w:firstLineChars="0"/>
                    <w:jc w:val="center"/>
                    <w:rPr>
                      <w:sz w:val="21"/>
                    </w:rPr>
                  </w:pPr>
                  <w:r>
                    <w:rPr>
                      <w:rFonts w:hint="eastAsia"/>
                      <w:sz w:val="21"/>
                    </w:rPr>
                    <w:t>建设施工</w:t>
                  </w:r>
                </w:p>
              </w:tc>
              <w:tc>
                <w:tcPr>
                  <w:tcW w:w="2658" w:type="dxa"/>
                  <w:vAlign w:val="center"/>
                </w:tcPr>
                <w:p>
                  <w:pPr>
                    <w:pStyle w:val="10"/>
                    <w:spacing w:line="240" w:lineRule="auto"/>
                    <w:ind w:firstLine="0" w:firstLineChars="0"/>
                    <w:jc w:val="center"/>
                    <w:rPr>
                      <w:sz w:val="21"/>
                    </w:rPr>
                  </w:pPr>
                  <w:r>
                    <w:rPr>
                      <w:rFonts w:hint="eastAsia"/>
                      <w:sz w:val="21"/>
                    </w:rPr>
                    <w:t>昼间</w:t>
                  </w:r>
                </w:p>
              </w:tc>
              <w:tc>
                <w:tcPr>
                  <w:tcW w:w="2658" w:type="dxa"/>
                  <w:vAlign w:val="center"/>
                </w:tcPr>
                <w:p>
                  <w:pPr>
                    <w:pStyle w:val="10"/>
                    <w:spacing w:line="240" w:lineRule="auto"/>
                    <w:ind w:firstLine="0" w:firstLineChars="0"/>
                    <w:jc w:val="center"/>
                    <w:rPr>
                      <w:sz w:val="21"/>
                    </w:rPr>
                  </w:pPr>
                  <w:r>
                    <w:rPr>
                      <w:rFonts w:hint="eastAsia"/>
                      <w:sz w:val="21"/>
                    </w:rPr>
                    <w:t>夜间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658" w:type="dxa"/>
                  <w:vMerge w:val="continue"/>
                  <w:vAlign w:val="center"/>
                </w:tcPr>
                <w:p>
                  <w:pPr>
                    <w:pStyle w:val="10"/>
                    <w:spacing w:line="240" w:lineRule="auto"/>
                    <w:ind w:firstLine="0" w:firstLineChars="0"/>
                    <w:jc w:val="center"/>
                    <w:rPr>
                      <w:sz w:val="21"/>
                    </w:rPr>
                  </w:pPr>
                </w:p>
              </w:tc>
              <w:tc>
                <w:tcPr>
                  <w:tcW w:w="2658" w:type="dxa"/>
                  <w:vAlign w:val="center"/>
                </w:tcPr>
                <w:p>
                  <w:pPr>
                    <w:pStyle w:val="10"/>
                    <w:spacing w:line="240" w:lineRule="auto"/>
                    <w:ind w:firstLine="0" w:firstLineChars="0"/>
                    <w:jc w:val="center"/>
                    <w:rPr>
                      <w:sz w:val="21"/>
                    </w:rPr>
                  </w:pPr>
                  <w:r>
                    <w:rPr>
                      <w:rFonts w:hint="eastAsia"/>
                      <w:sz w:val="21"/>
                    </w:rPr>
                    <w:t>70</w:t>
                  </w:r>
                </w:p>
              </w:tc>
              <w:tc>
                <w:tcPr>
                  <w:tcW w:w="2658" w:type="dxa"/>
                  <w:vAlign w:val="center"/>
                </w:tcPr>
                <w:p>
                  <w:pPr>
                    <w:pStyle w:val="10"/>
                    <w:spacing w:line="240" w:lineRule="auto"/>
                    <w:ind w:firstLine="0" w:firstLineChars="0"/>
                    <w:jc w:val="center"/>
                    <w:rPr>
                      <w:sz w:val="21"/>
                    </w:rPr>
                  </w:pPr>
                  <w:r>
                    <w:rPr>
                      <w:rFonts w:hint="eastAsia"/>
                      <w:sz w:val="21"/>
                    </w:rPr>
                    <w:t>55</w:t>
                  </w:r>
                </w:p>
              </w:tc>
            </w:tr>
          </w:tbl>
          <w:p>
            <w:pPr>
              <w:pStyle w:val="10"/>
              <w:spacing w:line="240" w:lineRule="auto"/>
              <w:ind w:firstLine="480"/>
            </w:pPr>
          </w:p>
          <w:p>
            <w:pPr>
              <w:pStyle w:val="10"/>
              <w:ind w:firstLine="480"/>
            </w:pPr>
            <w:r>
              <w:rPr>
                <w:rFonts w:hint="eastAsia"/>
              </w:rPr>
              <w:t>（2）运营期</w:t>
            </w:r>
          </w:p>
          <w:p>
            <w:pPr>
              <w:pStyle w:val="10"/>
              <w:ind w:firstLine="480"/>
            </w:pPr>
            <w:r>
              <w:rPr>
                <w:rFonts w:hint="eastAsia"/>
              </w:rPr>
              <w:t>运营期噪声执行《工业企业厂界环境噪声排放标准》（</w:t>
            </w:r>
            <w:r>
              <w:t>GB12348-2008</w:t>
            </w:r>
            <w:r>
              <w:rPr>
                <w:rFonts w:hint="eastAsia"/>
              </w:rPr>
              <w:t>）中的2类排放标准，具体见表3-10。</w:t>
            </w:r>
          </w:p>
          <w:p>
            <w:pPr>
              <w:pStyle w:val="10"/>
              <w:ind w:firstLine="480"/>
            </w:pPr>
          </w:p>
          <w:p>
            <w:pPr>
              <w:pStyle w:val="10"/>
              <w:spacing w:line="240" w:lineRule="auto"/>
              <w:ind w:firstLine="0" w:firstLineChars="0"/>
              <w:jc w:val="center"/>
              <w:rPr>
                <w:b/>
                <w:bCs/>
              </w:rPr>
            </w:pPr>
            <w:r>
              <w:rPr>
                <w:rFonts w:hint="eastAsia"/>
                <w:b/>
                <w:bCs/>
              </w:rPr>
              <w:t>表3-10  《工业企业厂界环境噪声排放标准》（GB12348-2008）</w:t>
            </w:r>
          </w:p>
          <w:tbl>
            <w:tblPr>
              <w:tblStyle w:val="19"/>
              <w:tblW w:w="7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44"/>
              <w:gridCol w:w="2646"/>
              <w:gridCol w:w="26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2644" w:type="dxa"/>
                  <w:vAlign w:val="center"/>
                </w:tcPr>
                <w:p>
                  <w:pPr>
                    <w:pStyle w:val="10"/>
                    <w:spacing w:line="240" w:lineRule="auto"/>
                    <w:ind w:firstLine="0" w:firstLineChars="0"/>
                    <w:jc w:val="center"/>
                    <w:rPr>
                      <w:sz w:val="21"/>
                    </w:rPr>
                  </w:pPr>
                  <w:r>
                    <w:rPr>
                      <w:sz w:val="21"/>
                    </w:rPr>
                    <w:t>时段</w:t>
                  </w:r>
                </w:p>
              </w:tc>
              <w:tc>
                <w:tcPr>
                  <w:tcW w:w="2646" w:type="dxa"/>
                  <w:vAlign w:val="center"/>
                </w:tcPr>
                <w:p>
                  <w:pPr>
                    <w:pStyle w:val="10"/>
                    <w:spacing w:line="240" w:lineRule="auto"/>
                    <w:ind w:firstLine="0" w:firstLineChars="0"/>
                    <w:jc w:val="center"/>
                    <w:rPr>
                      <w:sz w:val="21"/>
                    </w:rPr>
                  </w:pPr>
                  <w:r>
                    <w:rPr>
                      <w:sz w:val="21"/>
                    </w:rPr>
                    <w:t>昼间</w:t>
                  </w:r>
                </w:p>
              </w:tc>
              <w:tc>
                <w:tcPr>
                  <w:tcW w:w="2689" w:type="dxa"/>
                  <w:vAlign w:val="center"/>
                </w:tcPr>
                <w:p>
                  <w:pPr>
                    <w:pStyle w:val="10"/>
                    <w:spacing w:line="240" w:lineRule="auto"/>
                    <w:ind w:firstLine="0" w:firstLineChars="0"/>
                    <w:jc w:val="center"/>
                    <w:rPr>
                      <w:sz w:val="21"/>
                    </w:rPr>
                  </w:pPr>
                  <w:r>
                    <w:rPr>
                      <w:sz w:val="21"/>
                    </w:rPr>
                    <w:t>夜间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 w:hRule="atLeast"/>
                <w:jc w:val="center"/>
              </w:trPr>
              <w:tc>
                <w:tcPr>
                  <w:tcW w:w="2644" w:type="dxa"/>
                  <w:vAlign w:val="center"/>
                </w:tcPr>
                <w:p>
                  <w:pPr>
                    <w:pStyle w:val="10"/>
                    <w:spacing w:line="240" w:lineRule="auto"/>
                    <w:ind w:firstLine="0" w:firstLineChars="0"/>
                    <w:jc w:val="center"/>
                    <w:rPr>
                      <w:sz w:val="21"/>
                    </w:rPr>
                  </w:pPr>
                  <w:r>
                    <w:rPr>
                      <w:rFonts w:hint="eastAsia"/>
                      <w:sz w:val="21"/>
                    </w:rPr>
                    <w:t>2</w:t>
                  </w:r>
                  <w:r>
                    <w:rPr>
                      <w:sz w:val="21"/>
                    </w:rPr>
                    <w:t>类</w:t>
                  </w:r>
                  <w:r>
                    <w:rPr>
                      <w:rFonts w:hint="eastAsia"/>
                      <w:sz w:val="21"/>
                    </w:rPr>
                    <w:t>标准</w:t>
                  </w:r>
                  <w:r>
                    <w:rPr>
                      <w:sz w:val="21"/>
                    </w:rPr>
                    <w:t>限值d</w:t>
                  </w:r>
                  <w:r>
                    <w:rPr>
                      <w:rFonts w:hint="eastAsia"/>
                      <w:sz w:val="21"/>
                    </w:rPr>
                    <w:t>B</w:t>
                  </w:r>
                  <w:r>
                    <w:rPr>
                      <w:sz w:val="21"/>
                    </w:rPr>
                    <w:t>（</w:t>
                  </w:r>
                  <w:r>
                    <w:rPr>
                      <w:rFonts w:hint="eastAsia"/>
                      <w:sz w:val="21"/>
                    </w:rPr>
                    <w:t>A</w:t>
                  </w:r>
                  <w:r>
                    <w:rPr>
                      <w:sz w:val="21"/>
                    </w:rPr>
                    <w:t>）</w:t>
                  </w:r>
                </w:p>
              </w:tc>
              <w:tc>
                <w:tcPr>
                  <w:tcW w:w="2646" w:type="dxa"/>
                  <w:vAlign w:val="center"/>
                </w:tcPr>
                <w:p>
                  <w:pPr>
                    <w:pStyle w:val="10"/>
                    <w:spacing w:line="240" w:lineRule="auto"/>
                    <w:ind w:firstLine="0" w:firstLineChars="0"/>
                    <w:jc w:val="center"/>
                    <w:rPr>
                      <w:sz w:val="21"/>
                    </w:rPr>
                  </w:pPr>
                  <w:r>
                    <w:rPr>
                      <w:rFonts w:hint="eastAsia"/>
                      <w:sz w:val="21"/>
                    </w:rPr>
                    <w:t>60</w:t>
                  </w:r>
                  <w:r>
                    <w:rPr>
                      <w:sz w:val="21"/>
                    </w:rPr>
                    <w:t>dB(A</w:t>
                  </w:r>
                  <w:r>
                    <w:rPr>
                      <w:rFonts w:hint="eastAsia"/>
                      <w:sz w:val="21"/>
                    </w:rPr>
                    <w:t>）</w:t>
                  </w:r>
                </w:p>
              </w:tc>
              <w:tc>
                <w:tcPr>
                  <w:tcW w:w="2689" w:type="dxa"/>
                  <w:vAlign w:val="center"/>
                </w:tcPr>
                <w:p>
                  <w:pPr>
                    <w:pStyle w:val="10"/>
                    <w:spacing w:line="240" w:lineRule="auto"/>
                    <w:ind w:firstLine="0" w:firstLineChars="0"/>
                    <w:jc w:val="center"/>
                    <w:rPr>
                      <w:sz w:val="21"/>
                    </w:rPr>
                  </w:pPr>
                  <w:r>
                    <w:rPr>
                      <w:rFonts w:hint="eastAsia"/>
                      <w:sz w:val="21"/>
                    </w:rPr>
                    <w:t>50</w:t>
                  </w:r>
                  <w:r>
                    <w:rPr>
                      <w:sz w:val="21"/>
                    </w:rPr>
                    <w:t>dB(A</w:t>
                  </w:r>
                  <w:r>
                    <w:rPr>
                      <w:rFonts w:hint="eastAsia"/>
                      <w:sz w:val="21"/>
                    </w:rPr>
                    <w:t>）</w:t>
                  </w:r>
                </w:p>
              </w:tc>
            </w:tr>
          </w:tbl>
          <w:p>
            <w:pPr>
              <w:pStyle w:val="5"/>
              <w:spacing w:line="240" w:lineRule="auto"/>
              <w:ind w:firstLine="481" w:firstLineChars="200"/>
              <w:rPr>
                <w:color w:val="auto"/>
              </w:rPr>
            </w:pPr>
          </w:p>
          <w:p>
            <w:pPr>
              <w:pStyle w:val="5"/>
              <w:ind w:firstLine="481" w:firstLineChars="200"/>
              <w:rPr>
                <w:color w:val="auto"/>
              </w:rPr>
            </w:pPr>
            <w:r>
              <w:rPr>
                <w:rFonts w:hint="eastAsia"/>
                <w:color w:val="auto"/>
              </w:rPr>
              <w:t>4、固体废物排放标准</w:t>
            </w:r>
          </w:p>
          <w:p>
            <w:pPr>
              <w:pStyle w:val="10"/>
              <w:ind w:firstLine="480"/>
            </w:pPr>
            <w:r>
              <w:rPr>
                <w:rFonts w:hint="eastAsia"/>
              </w:rPr>
              <w:t>一般工业固体废物参照执行《一般工业固体废物贮存和填埋污染控制标准》（GB18599-2020）中相关规定。</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78" w:hRule="atLeast"/>
          <w:jc w:val="center"/>
        </w:trPr>
        <w:tc>
          <w:tcPr>
            <w:tcW w:w="800" w:type="dxa"/>
            <w:vAlign w:val="center"/>
          </w:tcPr>
          <w:p>
            <w:pPr>
              <w:adjustRightInd w:val="0"/>
              <w:snapToGrid w:val="0"/>
              <w:jc w:val="center"/>
              <w:rPr>
                <w:rFonts w:hint="eastAsia" w:ascii="宋体" w:hAnsi="宋体" w:cs="宋体"/>
                <w:kern w:val="0"/>
                <w:szCs w:val="21"/>
              </w:rPr>
            </w:pPr>
            <w:r>
              <w:rPr>
                <w:rFonts w:hint="eastAsia" w:ascii="宋体" w:hAnsi="宋体" w:cs="宋体"/>
                <w:kern w:val="0"/>
                <w:szCs w:val="21"/>
              </w:rPr>
              <w:t>总量</w:t>
            </w:r>
          </w:p>
          <w:p>
            <w:pPr>
              <w:adjustRightInd w:val="0"/>
              <w:snapToGrid w:val="0"/>
              <w:jc w:val="center"/>
              <w:rPr>
                <w:rFonts w:hint="eastAsia" w:ascii="宋体" w:hAnsi="宋体" w:cs="宋体"/>
                <w:kern w:val="0"/>
                <w:szCs w:val="21"/>
              </w:rPr>
            </w:pPr>
            <w:r>
              <w:rPr>
                <w:rFonts w:hint="eastAsia" w:ascii="宋体" w:hAnsi="宋体" w:cs="宋体"/>
                <w:kern w:val="0"/>
                <w:szCs w:val="21"/>
              </w:rPr>
              <w:t>控制</w:t>
            </w:r>
          </w:p>
          <w:p>
            <w:pPr>
              <w:adjustRightInd w:val="0"/>
              <w:snapToGrid w:val="0"/>
              <w:jc w:val="center"/>
              <w:rPr>
                <w:rFonts w:hint="eastAsia" w:ascii="宋体" w:hAnsi="宋体" w:cs="宋体"/>
                <w:kern w:val="0"/>
                <w:szCs w:val="21"/>
              </w:rPr>
            </w:pPr>
            <w:r>
              <w:rPr>
                <w:rFonts w:hint="eastAsia" w:ascii="宋体" w:hAnsi="宋体" w:cs="宋体"/>
                <w:kern w:val="0"/>
                <w:szCs w:val="21"/>
              </w:rPr>
              <w:t>指标</w:t>
            </w:r>
          </w:p>
        </w:tc>
        <w:tc>
          <w:tcPr>
            <w:tcW w:w="8190" w:type="dxa"/>
            <w:vAlign w:val="center"/>
          </w:tcPr>
          <w:p>
            <w:pPr>
              <w:spacing w:line="360" w:lineRule="auto"/>
              <w:ind w:firstLine="480" w:firstLineChars="200"/>
              <w:jc w:val="left"/>
              <w:rPr>
                <w:rFonts w:hint="eastAsia" w:hAnsi="宋体"/>
              </w:rPr>
            </w:pPr>
            <w:r>
              <w:rPr>
                <w:rFonts w:hAnsi="宋体"/>
              </w:rPr>
              <w:t>根据国家的相关规定，现阶段进行总量控制的指标为</w:t>
            </w:r>
            <w:r>
              <w:rPr>
                <w:rFonts w:hint="eastAsia" w:hAnsi="宋体"/>
              </w:rPr>
              <w:t>化学需氧量、氨氮、氮氧化物、挥发性有机物四</w:t>
            </w:r>
            <w:r>
              <w:rPr>
                <w:rFonts w:hAnsi="宋体"/>
              </w:rPr>
              <w:t>项</w:t>
            </w:r>
            <w:r>
              <w:rPr>
                <w:rFonts w:hint="eastAsia" w:hAnsi="宋体"/>
              </w:rPr>
              <w:t>。</w:t>
            </w:r>
          </w:p>
          <w:p>
            <w:pPr>
              <w:spacing w:line="360" w:lineRule="auto"/>
              <w:ind w:firstLine="480"/>
            </w:pPr>
            <w:r>
              <w:rPr>
                <w:rFonts w:hint="eastAsia" w:hAnsi="宋体"/>
                <w:bCs/>
              </w:rPr>
              <w:t>项目生活污水采用化粪池处理，</w:t>
            </w:r>
            <w:r>
              <w:rPr>
                <w:rFonts w:hint="eastAsia"/>
              </w:rPr>
              <w:t>定期拉运至内蒙古神东天隆集团股份有限公司霍洛湾煤矿处理，不外排</w:t>
            </w:r>
            <w:r>
              <w:rPr>
                <w:rFonts w:hint="eastAsia" w:hAnsi="宋体"/>
                <w:bCs/>
              </w:rPr>
              <w:t>；</w:t>
            </w:r>
            <w:r>
              <w:rPr>
                <w:rFonts w:hint="eastAsia" w:hAnsi="宋体"/>
              </w:rPr>
              <w:t>设备清洗废水及车辆清洗废水经沉淀池处理后回用于工艺用水，不外排；</w:t>
            </w:r>
            <w:r>
              <w:rPr>
                <w:rFonts w:hint="eastAsia"/>
              </w:rPr>
              <w:t>因此，无需申请总量；</w:t>
            </w:r>
          </w:p>
          <w:p>
            <w:pPr>
              <w:spacing w:line="360" w:lineRule="auto"/>
              <w:ind w:firstLine="480"/>
            </w:pPr>
            <w:r>
              <w:rPr>
                <w:rFonts w:hint="eastAsia"/>
              </w:rPr>
              <w:t>项目运营期主要污染物为工艺粉尘，粉尘排放量较小，同时粉尘不属于总量控制指标，因此，无需申请总量。</w:t>
            </w:r>
          </w:p>
        </w:tc>
      </w:tr>
    </w:tbl>
    <w:p>
      <w:pPr>
        <w:pStyle w:val="17"/>
        <w:jc w:val="center"/>
        <w:outlineLvl w:val="0"/>
        <w:rPr>
          <w:rFonts w:hint="eastAsia" w:ascii="黑体" w:hAnsi="黑体" w:eastAsia="黑体"/>
          <w:snapToGrid w:val="0"/>
          <w:sz w:val="30"/>
          <w:szCs w:val="30"/>
        </w:rPr>
      </w:pPr>
      <w:r>
        <w:rPr>
          <w:rFonts w:ascii="黑体" w:hAnsi="黑体" w:eastAsia="黑体"/>
          <w:snapToGrid w:val="0"/>
          <w:sz w:val="36"/>
          <w:szCs w:val="36"/>
        </w:rPr>
        <w:br w:type="page"/>
      </w:r>
      <w:r>
        <w:rPr>
          <w:rFonts w:hint="eastAsia" w:ascii="黑体" w:hAnsi="黑体" w:eastAsia="黑体"/>
          <w:snapToGrid w:val="0"/>
          <w:sz w:val="30"/>
          <w:szCs w:val="30"/>
        </w:rPr>
        <w:t>四、主要环境影响和保护措施</w:t>
      </w:r>
    </w:p>
    <w:tbl>
      <w:tblPr>
        <w:tblStyle w:val="19"/>
        <w:tblpPr w:leftFromText="180" w:rightFromText="180" w:vertAnchor="text" w:tblpXSpec="center" w:tblpY="1"/>
        <w:tblOverlap w:val="never"/>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75"/>
        <w:gridCol w:w="870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112" w:hRule="atLeast"/>
        </w:trPr>
        <w:tc>
          <w:tcPr>
            <w:tcW w:w="288" w:type="dxa"/>
            <w:tcMar>
              <w:left w:w="28" w:type="dxa"/>
              <w:right w:w="28" w:type="dxa"/>
            </w:tcMar>
            <w:vAlign w:val="center"/>
          </w:tcPr>
          <w:p>
            <w:pPr>
              <w:pStyle w:val="17"/>
              <w:adjustRightInd w:val="0"/>
              <w:snapToGrid w:val="0"/>
              <w:spacing w:before="0" w:beforeAutospacing="0" w:after="0" w:afterAutospacing="0"/>
              <w:jc w:val="center"/>
              <w:rPr>
                <w:rFonts w:hint="eastAsia" w:cs="宋体"/>
                <w:kern w:val="2"/>
                <w:szCs w:val="24"/>
              </w:rPr>
            </w:pPr>
            <w:r>
              <w:rPr>
                <w:rFonts w:hint="eastAsia" w:cs="宋体"/>
                <w:kern w:val="2"/>
                <w:szCs w:val="24"/>
              </w:rPr>
              <w:t>施工</w:t>
            </w:r>
          </w:p>
          <w:p>
            <w:pPr>
              <w:pStyle w:val="17"/>
              <w:adjustRightInd w:val="0"/>
              <w:snapToGrid w:val="0"/>
              <w:spacing w:before="0" w:beforeAutospacing="0" w:after="0" w:afterAutospacing="0"/>
              <w:jc w:val="center"/>
              <w:rPr>
                <w:rFonts w:hint="eastAsia" w:cs="宋体"/>
                <w:kern w:val="2"/>
                <w:szCs w:val="24"/>
              </w:rPr>
            </w:pPr>
            <w:r>
              <w:rPr>
                <w:rFonts w:hint="eastAsia" w:cs="宋体"/>
                <w:kern w:val="2"/>
                <w:szCs w:val="24"/>
              </w:rPr>
              <w:t>期环</w:t>
            </w:r>
          </w:p>
          <w:p>
            <w:pPr>
              <w:pStyle w:val="17"/>
              <w:adjustRightInd w:val="0"/>
              <w:snapToGrid w:val="0"/>
              <w:spacing w:before="0" w:beforeAutospacing="0" w:after="0" w:afterAutospacing="0"/>
              <w:jc w:val="center"/>
              <w:rPr>
                <w:rFonts w:hint="eastAsia" w:cs="宋体"/>
                <w:kern w:val="2"/>
                <w:szCs w:val="24"/>
              </w:rPr>
            </w:pPr>
            <w:r>
              <w:rPr>
                <w:rFonts w:hint="eastAsia" w:cs="宋体"/>
                <w:kern w:val="2"/>
                <w:szCs w:val="24"/>
              </w:rPr>
              <w:t>境保</w:t>
            </w:r>
          </w:p>
          <w:p>
            <w:pPr>
              <w:pStyle w:val="17"/>
              <w:adjustRightInd w:val="0"/>
              <w:snapToGrid w:val="0"/>
              <w:spacing w:before="0" w:beforeAutospacing="0" w:after="0" w:afterAutospacing="0"/>
              <w:jc w:val="center"/>
              <w:rPr>
                <w:rFonts w:hint="eastAsia" w:cs="宋体"/>
                <w:kern w:val="2"/>
                <w:szCs w:val="24"/>
              </w:rPr>
            </w:pPr>
            <w:r>
              <w:rPr>
                <w:rFonts w:hint="eastAsia" w:cs="宋体"/>
                <w:kern w:val="2"/>
                <w:szCs w:val="24"/>
              </w:rPr>
              <w:t>护措</w:t>
            </w:r>
          </w:p>
          <w:p>
            <w:pPr>
              <w:pStyle w:val="17"/>
              <w:adjustRightInd w:val="0"/>
              <w:snapToGrid w:val="0"/>
              <w:spacing w:before="0" w:beforeAutospacing="0" w:after="0" w:afterAutospacing="0"/>
              <w:jc w:val="center"/>
              <w:rPr>
                <w:rFonts w:hint="eastAsia" w:cs="宋体"/>
                <w:bCs/>
                <w:kern w:val="2"/>
                <w:sz w:val="21"/>
                <w:szCs w:val="21"/>
              </w:rPr>
            </w:pPr>
            <w:r>
              <w:rPr>
                <w:rFonts w:hint="eastAsia" w:cs="宋体"/>
                <w:kern w:val="2"/>
                <w:szCs w:val="24"/>
              </w:rPr>
              <w:t>施</w:t>
            </w:r>
          </w:p>
        </w:tc>
        <w:tc>
          <w:tcPr>
            <w:tcW w:w="8437" w:type="dxa"/>
            <w:vAlign w:val="center"/>
          </w:tcPr>
          <w:p>
            <w:pPr>
              <w:spacing w:line="360" w:lineRule="auto"/>
              <w:rPr>
                <w:b/>
              </w:rPr>
            </w:pPr>
            <w:r>
              <w:rPr>
                <w:b/>
              </w:rPr>
              <w:t>施工期环境</w:t>
            </w:r>
            <w:r>
              <w:rPr>
                <w:rFonts w:hint="eastAsia"/>
                <w:b/>
              </w:rPr>
              <w:t>保护措施</w:t>
            </w:r>
            <w:r>
              <w:rPr>
                <w:b/>
              </w:rPr>
              <w:t>：</w:t>
            </w:r>
          </w:p>
          <w:p>
            <w:pPr>
              <w:snapToGrid w:val="0"/>
              <w:spacing w:line="360" w:lineRule="auto"/>
              <w:ind w:firstLine="465" w:firstLineChars="194"/>
              <w:rPr>
                <w:rFonts w:hint="eastAsia" w:hAnsi="宋体"/>
              </w:rPr>
            </w:pPr>
            <w:r>
              <w:rPr>
                <w:rFonts w:hint="eastAsia" w:hAnsi="宋体"/>
              </w:rPr>
              <w:t>项目充分利用已建成的物料储棚进行本项目的建设，施工期存在少量土建工程。施工过程中产生的主要大气污染源是扬尘以及施工机械噪声、运输车辆废气、固体废物、废水，施工期主要污染防治措施如下：</w:t>
            </w:r>
          </w:p>
          <w:p>
            <w:pPr>
              <w:autoSpaceDE w:val="0"/>
              <w:autoSpaceDN w:val="0"/>
              <w:adjustRightInd w:val="0"/>
              <w:spacing w:line="360" w:lineRule="auto"/>
              <w:ind w:firstLine="481" w:firstLineChars="200"/>
              <w:rPr>
                <w:b/>
              </w:rPr>
            </w:pPr>
            <w:r>
              <w:rPr>
                <w:rFonts w:hint="eastAsia"/>
                <w:b/>
              </w:rPr>
              <w:t>1、施工期大气污染防治措施</w:t>
            </w:r>
          </w:p>
          <w:p>
            <w:pPr>
              <w:autoSpaceDE w:val="0"/>
              <w:autoSpaceDN w:val="0"/>
              <w:adjustRightInd w:val="0"/>
              <w:spacing w:line="360" w:lineRule="auto"/>
              <w:ind w:firstLine="480" w:firstLineChars="200"/>
            </w:pPr>
            <w:r>
              <w:rPr>
                <w:rFonts w:hint="eastAsia"/>
              </w:rPr>
              <w:t>施工过程中产生的主要大气污染源是扬尘以及施工机械、运输车辆废气。</w:t>
            </w:r>
          </w:p>
          <w:p>
            <w:pPr>
              <w:autoSpaceDE w:val="0"/>
              <w:autoSpaceDN w:val="0"/>
              <w:adjustRightInd w:val="0"/>
              <w:spacing w:line="360" w:lineRule="auto"/>
              <w:ind w:firstLine="480" w:firstLineChars="200"/>
            </w:pPr>
            <w:r>
              <w:t>（1）施工期粉尘防治措施分析</w:t>
            </w:r>
          </w:p>
          <w:p>
            <w:pPr>
              <w:autoSpaceDE w:val="0"/>
              <w:autoSpaceDN w:val="0"/>
              <w:adjustRightInd w:val="0"/>
              <w:spacing w:line="360" w:lineRule="auto"/>
              <w:ind w:firstLine="480" w:firstLineChars="200"/>
            </w:pPr>
            <w:r>
              <w:fldChar w:fldCharType="begin"/>
            </w:r>
            <w:r>
              <w:instrText xml:space="preserve"> = 1 \* GB3 </w:instrText>
            </w:r>
            <w:r>
              <w:fldChar w:fldCharType="separate"/>
            </w:r>
            <w:r>
              <w:rPr>
                <w:rFonts w:hint="eastAsia"/>
              </w:rPr>
              <w:t>①</w:t>
            </w:r>
            <w:r>
              <w:fldChar w:fldCharType="end"/>
            </w:r>
            <w:r>
              <w:t>施工场地</w:t>
            </w:r>
            <w:r>
              <w:rPr>
                <w:rFonts w:hint="eastAsia"/>
              </w:rPr>
              <w:t>均位于封闭式储棚内</w:t>
            </w:r>
            <w:r>
              <w:t>，</w:t>
            </w:r>
            <w:r>
              <w:rPr>
                <w:rFonts w:hint="eastAsia"/>
              </w:rPr>
              <w:t>可减轻对周围环境的影响</w:t>
            </w:r>
            <w:r>
              <w:t>；</w:t>
            </w:r>
          </w:p>
          <w:p>
            <w:pPr>
              <w:autoSpaceDE w:val="0"/>
              <w:autoSpaceDN w:val="0"/>
              <w:adjustRightInd w:val="0"/>
              <w:spacing w:line="360" w:lineRule="auto"/>
              <w:ind w:firstLine="480" w:firstLineChars="200"/>
            </w:pPr>
            <w:r>
              <w:fldChar w:fldCharType="begin"/>
            </w:r>
            <w:r>
              <w:instrText xml:space="preserve"> = 2 \* GB3 </w:instrText>
            </w:r>
            <w:r>
              <w:fldChar w:fldCharType="separate"/>
            </w:r>
            <w:r>
              <w:rPr>
                <w:rFonts w:hint="eastAsia"/>
              </w:rPr>
              <w:t>②</w:t>
            </w:r>
            <w:r>
              <w:fldChar w:fldCharType="end"/>
            </w:r>
            <w:r>
              <w:t>基础开挖</w:t>
            </w:r>
            <w:r>
              <w:rPr>
                <w:rFonts w:hint="eastAsia"/>
              </w:rPr>
              <w:t>、回填</w:t>
            </w:r>
            <w:r>
              <w:t>等过程，应洒水使作业面保持一定的湿度；对施工场地内松散、干涸的表土，经常洒水防止扬尘；不需要的泥土、建筑材料弃渣应及时运走；</w:t>
            </w:r>
          </w:p>
          <w:p>
            <w:pPr>
              <w:autoSpaceDE w:val="0"/>
              <w:autoSpaceDN w:val="0"/>
              <w:adjustRightInd w:val="0"/>
              <w:spacing w:line="360" w:lineRule="auto"/>
              <w:ind w:firstLine="480" w:firstLineChars="200"/>
            </w:pPr>
            <w:r>
              <w:fldChar w:fldCharType="begin"/>
            </w:r>
            <w:r>
              <w:instrText xml:space="preserve"> = 3 \* GB3 </w:instrText>
            </w:r>
            <w:r>
              <w:fldChar w:fldCharType="separate"/>
            </w:r>
            <w:r>
              <w:rPr>
                <w:rFonts w:hint="eastAsia"/>
              </w:rPr>
              <w:t>③</w:t>
            </w:r>
            <w:r>
              <w:fldChar w:fldCharType="end"/>
            </w:r>
            <w:r>
              <w:t>限制车速，施工场地出口设水池，车辆驶出施工场地时经过水清洗后可清除车轮上所沾泥土，减少行驶产生的扬尘；</w:t>
            </w:r>
          </w:p>
          <w:p>
            <w:pPr>
              <w:autoSpaceDE w:val="0"/>
              <w:autoSpaceDN w:val="0"/>
              <w:adjustRightInd w:val="0"/>
              <w:spacing w:line="360" w:lineRule="auto"/>
              <w:ind w:firstLine="480" w:firstLineChars="200"/>
            </w:pPr>
            <w:r>
              <w:fldChar w:fldCharType="begin"/>
            </w:r>
            <w:r>
              <w:instrText xml:space="preserve"> = 4 \* GB3 </w:instrText>
            </w:r>
            <w:r>
              <w:fldChar w:fldCharType="separate"/>
            </w:r>
            <w:r>
              <w:rPr>
                <w:rFonts w:hint="eastAsia"/>
              </w:rPr>
              <w:t>④</w:t>
            </w:r>
            <w:r>
              <w:fldChar w:fldCharType="end"/>
            </w:r>
            <w:r>
              <w:t>加强运输管理，如散货车不得超高超载、使用有盖的运输车辆，以免车辆颠簸物料洒出，防止扬尘污染；</w:t>
            </w:r>
          </w:p>
          <w:p>
            <w:pPr>
              <w:autoSpaceDE w:val="0"/>
              <w:autoSpaceDN w:val="0"/>
              <w:adjustRightInd w:val="0"/>
              <w:spacing w:line="360" w:lineRule="auto"/>
              <w:ind w:firstLine="480" w:firstLineChars="200"/>
            </w:pPr>
            <w:r>
              <w:fldChar w:fldCharType="begin"/>
            </w:r>
            <w:r>
              <w:instrText xml:space="preserve"> = 5 \* GB3 </w:instrText>
            </w:r>
            <w:r>
              <w:fldChar w:fldCharType="separate"/>
            </w:r>
            <w:r>
              <w:rPr>
                <w:rFonts w:hint="eastAsia"/>
              </w:rPr>
              <w:t>⑤</w:t>
            </w:r>
            <w:r>
              <w:fldChar w:fldCharType="end"/>
            </w:r>
            <w:r>
              <w:t>施工单位必须加强施工区域的管理，建筑材料的堆场应定点定位，不宜设在居住区的上风向，根据风速，采取相应的防尘措施，对散料堆场采用水喷淋防尘，或用蓬布遮盖散料堆</w:t>
            </w:r>
            <w:r>
              <w:rPr>
                <w:rFonts w:hint="eastAsia"/>
              </w:rPr>
              <w:t>。</w:t>
            </w:r>
          </w:p>
          <w:p>
            <w:pPr>
              <w:autoSpaceDE w:val="0"/>
              <w:autoSpaceDN w:val="0"/>
              <w:adjustRightInd w:val="0"/>
              <w:spacing w:line="360" w:lineRule="auto"/>
              <w:ind w:firstLine="480" w:firstLineChars="200"/>
            </w:pPr>
            <w:r>
              <w:t>（2）施工机械及车辆废气防治措施分析</w:t>
            </w:r>
          </w:p>
          <w:p>
            <w:pPr>
              <w:autoSpaceDE w:val="0"/>
              <w:autoSpaceDN w:val="0"/>
              <w:adjustRightInd w:val="0"/>
              <w:spacing w:line="360" w:lineRule="auto"/>
              <w:ind w:firstLine="480" w:firstLineChars="200"/>
            </w:pPr>
            <w:r>
              <w:t>加强对施工机械及车辆的检修和维护，严禁使用超期服役和尾气超标的施工机械及车辆。对施工期间进出施工现场车流量进行合理安排，防止施工现场车流量过大。尽可能使用耗油低，排气小的施工车辆，选用优质燃油，减少机械和车辆的有害废气排放。</w:t>
            </w:r>
          </w:p>
          <w:p>
            <w:pPr>
              <w:autoSpaceDE w:val="0"/>
              <w:autoSpaceDN w:val="0"/>
              <w:adjustRightInd w:val="0"/>
              <w:spacing w:line="360" w:lineRule="auto"/>
              <w:ind w:firstLine="481" w:firstLineChars="200"/>
              <w:rPr>
                <w:b/>
              </w:rPr>
            </w:pPr>
            <w:r>
              <w:rPr>
                <w:b/>
              </w:rPr>
              <w:t>2、</w:t>
            </w:r>
            <w:r>
              <w:rPr>
                <w:rFonts w:hint="eastAsia"/>
                <w:b/>
              </w:rPr>
              <w:t>施工期</w:t>
            </w:r>
            <w:r>
              <w:rPr>
                <w:b/>
              </w:rPr>
              <w:t>水</w:t>
            </w:r>
            <w:r>
              <w:rPr>
                <w:rFonts w:hint="eastAsia"/>
                <w:b/>
              </w:rPr>
              <w:t>污染</w:t>
            </w:r>
            <w:r>
              <w:rPr>
                <w:b/>
              </w:rPr>
              <w:t>防治措施</w:t>
            </w:r>
          </w:p>
          <w:p>
            <w:pPr>
              <w:autoSpaceDE w:val="0"/>
              <w:autoSpaceDN w:val="0"/>
              <w:adjustRightInd w:val="0"/>
              <w:spacing w:line="360" w:lineRule="auto"/>
              <w:ind w:firstLine="480" w:firstLineChars="200"/>
            </w:pPr>
            <w:r>
              <w:t>（1）场地设沉淀池，将场地施工废水收集沉淀处理后全部回用于砂石骨料加工、周围区域道路降尘用水，禁止排入地表水体系内污染水体。</w:t>
            </w:r>
          </w:p>
          <w:p>
            <w:pPr>
              <w:autoSpaceDE w:val="0"/>
              <w:autoSpaceDN w:val="0"/>
              <w:adjustRightInd w:val="0"/>
              <w:spacing w:line="360" w:lineRule="auto"/>
              <w:ind w:firstLine="480" w:firstLineChars="200"/>
            </w:pPr>
            <w:r>
              <w:t>（</w:t>
            </w:r>
            <w:r>
              <w:rPr>
                <w:rFonts w:hint="eastAsia"/>
              </w:rPr>
              <w:t>2</w:t>
            </w:r>
            <w:r>
              <w:t>）施工过程中产生的生活污水</w:t>
            </w:r>
            <w:r>
              <w:rPr>
                <w:rFonts w:hint="eastAsia"/>
              </w:rPr>
              <w:t>排入租用办公场地化粪池处理后，拉运至附近污水处理厂处理</w:t>
            </w:r>
            <w:r>
              <w:t>。</w:t>
            </w:r>
          </w:p>
          <w:p>
            <w:pPr>
              <w:autoSpaceDE w:val="0"/>
              <w:autoSpaceDN w:val="0"/>
              <w:adjustRightInd w:val="0"/>
              <w:spacing w:line="360" w:lineRule="auto"/>
              <w:ind w:firstLine="480" w:firstLineChars="200"/>
            </w:pPr>
            <w:r>
              <w:t>（</w:t>
            </w:r>
            <w:r>
              <w:rPr>
                <w:rFonts w:hint="eastAsia"/>
              </w:rPr>
              <w:t>3</w:t>
            </w:r>
            <w:r>
              <w:t>）施工单位对施工场地用水应严格管理，贯彻“一水多用、重复利用、节约用水”的原则，尽量减少废水的排放量，减轻废水排放对周围环境的影响。骨料清洗废水经沉淀处理后循环使用，多余部分可用作低标号砂浆搅拌用水。</w:t>
            </w:r>
          </w:p>
          <w:p>
            <w:pPr>
              <w:autoSpaceDE w:val="0"/>
              <w:autoSpaceDN w:val="0"/>
              <w:adjustRightInd w:val="0"/>
              <w:spacing w:line="360" w:lineRule="auto"/>
              <w:ind w:firstLine="480" w:firstLineChars="200"/>
            </w:pPr>
            <w:r>
              <w:t>（</w:t>
            </w:r>
            <w:r>
              <w:rPr>
                <w:rFonts w:hint="eastAsia"/>
              </w:rPr>
              <w:t>4</w:t>
            </w:r>
            <w:r>
              <w:t>）加强施工期工地用水管理，节约用水。</w:t>
            </w:r>
          </w:p>
          <w:p>
            <w:pPr>
              <w:autoSpaceDE w:val="0"/>
              <w:autoSpaceDN w:val="0"/>
              <w:adjustRightInd w:val="0"/>
              <w:spacing w:line="360" w:lineRule="auto"/>
              <w:ind w:firstLine="481" w:firstLineChars="200"/>
              <w:rPr>
                <w:b/>
              </w:rPr>
            </w:pPr>
            <w:r>
              <w:rPr>
                <w:b/>
              </w:rPr>
              <w:t>3、</w:t>
            </w:r>
            <w:r>
              <w:rPr>
                <w:rFonts w:hint="eastAsia"/>
                <w:b/>
              </w:rPr>
              <w:t>施工期</w:t>
            </w:r>
            <w:r>
              <w:rPr>
                <w:b/>
              </w:rPr>
              <w:t>噪声</w:t>
            </w:r>
            <w:r>
              <w:rPr>
                <w:rFonts w:hint="eastAsia"/>
                <w:b/>
              </w:rPr>
              <w:t>污染</w:t>
            </w:r>
            <w:r>
              <w:rPr>
                <w:b/>
              </w:rPr>
              <w:t>防治措施</w:t>
            </w:r>
          </w:p>
          <w:p>
            <w:pPr>
              <w:autoSpaceDE w:val="0"/>
              <w:autoSpaceDN w:val="0"/>
              <w:adjustRightInd w:val="0"/>
              <w:spacing w:line="360" w:lineRule="auto"/>
              <w:ind w:firstLine="480" w:firstLineChars="200"/>
            </w:pPr>
            <w:r>
              <w:rPr>
                <w:rFonts w:hint="eastAsia"/>
              </w:rPr>
              <w:t>（</w:t>
            </w:r>
            <w:r>
              <w:t>1</w:t>
            </w:r>
            <w:r>
              <w:rPr>
                <w:rFonts w:hint="eastAsia"/>
              </w:rPr>
              <w:t>）合理布置施工场地；</w:t>
            </w:r>
          </w:p>
          <w:p>
            <w:pPr>
              <w:autoSpaceDE w:val="0"/>
              <w:autoSpaceDN w:val="0"/>
              <w:adjustRightInd w:val="0"/>
              <w:spacing w:line="360" w:lineRule="auto"/>
              <w:ind w:firstLine="480" w:firstLineChars="200"/>
            </w:pPr>
            <w:r>
              <w:rPr>
                <w:rFonts w:hint="eastAsia"/>
              </w:rPr>
              <w:t>（</w:t>
            </w:r>
            <w:r>
              <w:t>2</w:t>
            </w:r>
            <w:r>
              <w:rPr>
                <w:rFonts w:hint="eastAsia"/>
              </w:rPr>
              <w:t>）选用机械噪声较低的设备，减少高噪声设备的使用；</w:t>
            </w:r>
          </w:p>
          <w:p>
            <w:pPr>
              <w:autoSpaceDE w:val="0"/>
              <w:autoSpaceDN w:val="0"/>
              <w:adjustRightInd w:val="0"/>
              <w:spacing w:line="360" w:lineRule="auto"/>
              <w:ind w:firstLine="480" w:firstLineChars="200"/>
            </w:pPr>
            <w:r>
              <w:rPr>
                <w:rFonts w:hint="eastAsia"/>
              </w:rPr>
              <w:t>（</w:t>
            </w:r>
            <w:r>
              <w:t>3</w:t>
            </w:r>
            <w:r>
              <w:rPr>
                <w:rFonts w:hint="eastAsia"/>
              </w:rPr>
              <w:t>）严格操作规程，加强施工机械管理，规范建筑物料、土石方清运车辆进出工地高速行驶、鸣笛等，降低人为噪声影响；</w:t>
            </w:r>
          </w:p>
          <w:p>
            <w:pPr>
              <w:autoSpaceDE w:val="0"/>
              <w:autoSpaceDN w:val="0"/>
              <w:adjustRightInd w:val="0"/>
              <w:spacing w:line="360" w:lineRule="auto"/>
              <w:ind w:firstLine="480" w:firstLineChars="200"/>
            </w:pPr>
            <w:r>
              <w:rPr>
                <w:rFonts w:hint="eastAsia"/>
              </w:rPr>
              <w:t>（</w:t>
            </w:r>
            <w:r>
              <w:t>4</w:t>
            </w:r>
            <w:r>
              <w:rPr>
                <w:rFonts w:hint="eastAsia"/>
              </w:rPr>
              <w:t>）采取有效的隔音、减振、消声措施，降低噪声级。对位置相对固定的施工机械，如切割机、电锯等，将其设置在专门的工棚内，同时选用低噪声设备，并采取一定的吸音、隔声、降噪措施，控制施工机械噪声符合《建筑施工场界环境噪声排放标准》（</w:t>
            </w:r>
            <w:r>
              <w:t>GB12523-2011</w:t>
            </w:r>
            <w:r>
              <w:rPr>
                <w:rFonts w:hint="eastAsia"/>
              </w:rPr>
              <w:t>），做到施工场界噪声达标排放；</w:t>
            </w:r>
          </w:p>
          <w:p>
            <w:pPr>
              <w:autoSpaceDE w:val="0"/>
              <w:autoSpaceDN w:val="0"/>
              <w:adjustRightInd w:val="0"/>
              <w:spacing w:line="360" w:lineRule="auto"/>
              <w:ind w:firstLine="480" w:firstLineChars="200"/>
            </w:pPr>
            <w:r>
              <w:rPr>
                <w:rFonts w:hint="eastAsia"/>
              </w:rPr>
              <w:t>（</w:t>
            </w:r>
            <w:r>
              <w:t>5</w:t>
            </w:r>
            <w:r>
              <w:rPr>
                <w:rFonts w:hint="eastAsia"/>
              </w:rPr>
              <w:t>）严格控制施工车辆运输路线，控制车速，减少对周围敏感点的影响；</w:t>
            </w:r>
          </w:p>
          <w:p>
            <w:pPr>
              <w:autoSpaceDE w:val="0"/>
              <w:autoSpaceDN w:val="0"/>
              <w:adjustRightInd w:val="0"/>
              <w:spacing w:line="360" w:lineRule="auto"/>
              <w:ind w:firstLine="480" w:firstLineChars="200"/>
            </w:pPr>
            <w:r>
              <w:rPr>
                <w:rFonts w:hint="eastAsia"/>
              </w:rPr>
              <w:t>（</w:t>
            </w:r>
            <w:r>
              <w:t>6</w:t>
            </w:r>
            <w:r>
              <w:rPr>
                <w:rFonts w:hint="eastAsia"/>
              </w:rPr>
              <w:t>）禁止夜间施工；</w:t>
            </w:r>
          </w:p>
          <w:p>
            <w:pPr>
              <w:autoSpaceDE w:val="0"/>
              <w:autoSpaceDN w:val="0"/>
              <w:adjustRightInd w:val="0"/>
              <w:spacing w:line="360" w:lineRule="auto"/>
              <w:ind w:firstLine="480" w:firstLineChars="200"/>
            </w:pPr>
            <w:r>
              <w:rPr>
                <w:rFonts w:hint="eastAsia"/>
              </w:rPr>
              <w:t>（7）对不同施工阶段，按《建筑施工场界环境噪声排放标准》（</w:t>
            </w:r>
            <w:r>
              <w:t>GB12523-2011</w:t>
            </w:r>
            <w:r>
              <w:rPr>
                <w:rFonts w:hint="eastAsia"/>
              </w:rPr>
              <w:t>）对施工场界进行噪声控制，通过严格的施工管理，使施工场界噪声达到标准限值。</w:t>
            </w:r>
          </w:p>
          <w:p>
            <w:pPr>
              <w:autoSpaceDE w:val="0"/>
              <w:autoSpaceDN w:val="0"/>
              <w:adjustRightInd w:val="0"/>
              <w:spacing w:line="360" w:lineRule="auto"/>
              <w:ind w:firstLine="481" w:firstLineChars="200"/>
              <w:rPr>
                <w:b/>
              </w:rPr>
            </w:pPr>
            <w:r>
              <w:rPr>
                <w:b/>
              </w:rPr>
              <w:t>4</w:t>
            </w:r>
            <w:r>
              <w:rPr>
                <w:rFonts w:hint="eastAsia"/>
                <w:b/>
              </w:rPr>
              <w:t>、施工期固体废物污染防治措施</w:t>
            </w:r>
          </w:p>
          <w:p>
            <w:pPr>
              <w:autoSpaceDE w:val="0"/>
              <w:autoSpaceDN w:val="0"/>
              <w:adjustRightInd w:val="0"/>
              <w:spacing w:line="360" w:lineRule="auto"/>
              <w:ind w:firstLine="480" w:firstLineChars="200"/>
            </w:pPr>
            <w:r>
              <w:rPr>
                <w:rFonts w:hint="eastAsia"/>
              </w:rPr>
              <w:t>施工期的固体废弃物主要建筑垃圾和生活垃圾。主要处理措施：</w:t>
            </w:r>
          </w:p>
          <w:p>
            <w:pPr>
              <w:autoSpaceDE w:val="0"/>
              <w:autoSpaceDN w:val="0"/>
              <w:adjustRightInd w:val="0"/>
              <w:spacing w:line="360" w:lineRule="auto"/>
              <w:ind w:firstLine="480" w:firstLineChars="200"/>
            </w:pPr>
            <w:r>
              <w:rPr>
                <w:rFonts w:hint="eastAsia"/>
              </w:rPr>
              <w:t>（</w:t>
            </w:r>
            <w:r>
              <w:t>1</w:t>
            </w:r>
            <w:r>
              <w:rPr>
                <w:rFonts w:hint="eastAsia"/>
              </w:rPr>
              <w:t>）地基处理、开挖产生土石方及其他建筑垃圾，包装袋、包装箱、碎木块、废水泥、浇铸件等，首先对其中可回收利用部分进行回收，施工过程中产生的弃土用于回填、厂平等；多余弃土和建筑垃圾按照当地城建部门要求运往指定建筑垃圾填埋场填埋处理。</w:t>
            </w:r>
          </w:p>
          <w:p>
            <w:pPr>
              <w:autoSpaceDE w:val="0"/>
              <w:autoSpaceDN w:val="0"/>
              <w:adjustRightInd w:val="0"/>
              <w:spacing w:line="360" w:lineRule="auto"/>
              <w:ind w:firstLine="480" w:firstLineChars="200"/>
            </w:pPr>
            <w:r>
              <w:rPr>
                <w:rFonts w:hint="eastAsia"/>
              </w:rPr>
              <w:t>（</w:t>
            </w:r>
            <w:r>
              <w:t>2</w:t>
            </w:r>
            <w:r>
              <w:rPr>
                <w:rFonts w:hint="eastAsia"/>
              </w:rPr>
              <w:t>）施工期建设单位在施工生活区设置垃圾箱（桶），生活垃圾固定地点堆放，分类收集，定期由当地环卫部门运往指定垃圾场卫生填埋处理。</w:t>
            </w:r>
          </w:p>
          <w:p>
            <w:pPr>
              <w:autoSpaceDE w:val="0"/>
              <w:autoSpaceDN w:val="0"/>
              <w:adjustRightInd w:val="0"/>
              <w:spacing w:line="360" w:lineRule="auto"/>
              <w:ind w:firstLine="480" w:firstLineChars="200"/>
            </w:pPr>
            <w:r>
              <w:rPr>
                <w:rFonts w:hint="eastAsia"/>
              </w:rPr>
              <w:t>（</w:t>
            </w:r>
            <w:r>
              <w:t>3</w:t>
            </w:r>
            <w:r>
              <w:rPr>
                <w:rFonts w:hint="eastAsia"/>
              </w:rPr>
              <w:t>）施工期建筑垃圾与生活垃圾分类堆放、分别处置。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57" w:hRule="atLeast"/>
        </w:trPr>
        <w:tc>
          <w:tcPr>
            <w:tcW w:w="288" w:type="dxa"/>
            <w:tcMar>
              <w:left w:w="28" w:type="dxa"/>
              <w:right w:w="28" w:type="dxa"/>
            </w:tcMar>
            <w:vAlign w:val="center"/>
          </w:tcPr>
          <w:p>
            <w:pPr>
              <w:adjustRightInd w:val="0"/>
              <w:snapToGrid w:val="0"/>
              <w:jc w:val="center"/>
              <w:rPr>
                <w:rFonts w:hint="eastAsia" w:ascii="宋体" w:hAnsi="宋体" w:cs="宋体"/>
                <w:bCs/>
                <w:szCs w:val="21"/>
              </w:rPr>
            </w:pPr>
            <w:r>
              <w:rPr>
                <w:rFonts w:hint="eastAsia" w:ascii="宋体" w:hAnsi="宋体" w:cs="宋体"/>
                <w:bCs/>
                <w:szCs w:val="21"/>
              </w:rPr>
              <w:t>运营</w:t>
            </w:r>
          </w:p>
          <w:p>
            <w:pPr>
              <w:adjustRightInd w:val="0"/>
              <w:snapToGrid w:val="0"/>
              <w:jc w:val="center"/>
              <w:rPr>
                <w:rFonts w:hint="eastAsia" w:ascii="宋体" w:hAnsi="宋体" w:cs="宋体"/>
                <w:bCs/>
                <w:szCs w:val="21"/>
              </w:rPr>
            </w:pPr>
            <w:r>
              <w:rPr>
                <w:rFonts w:hint="eastAsia" w:ascii="宋体" w:hAnsi="宋体" w:cs="宋体"/>
                <w:bCs/>
                <w:szCs w:val="21"/>
              </w:rPr>
              <w:t>期环</w:t>
            </w:r>
          </w:p>
          <w:p>
            <w:pPr>
              <w:adjustRightInd w:val="0"/>
              <w:snapToGrid w:val="0"/>
              <w:jc w:val="center"/>
              <w:rPr>
                <w:rFonts w:hint="eastAsia" w:ascii="宋体" w:hAnsi="宋体" w:cs="宋体"/>
                <w:bCs/>
                <w:szCs w:val="21"/>
              </w:rPr>
            </w:pPr>
            <w:r>
              <w:rPr>
                <w:rFonts w:hint="eastAsia" w:ascii="宋体" w:hAnsi="宋体" w:cs="宋体"/>
                <w:bCs/>
                <w:szCs w:val="21"/>
              </w:rPr>
              <w:t>境影</w:t>
            </w:r>
          </w:p>
          <w:p>
            <w:pPr>
              <w:adjustRightInd w:val="0"/>
              <w:snapToGrid w:val="0"/>
              <w:jc w:val="center"/>
              <w:rPr>
                <w:rFonts w:hint="eastAsia" w:ascii="宋体" w:hAnsi="宋体" w:cs="宋体"/>
                <w:bCs/>
                <w:szCs w:val="21"/>
              </w:rPr>
            </w:pPr>
            <w:r>
              <w:rPr>
                <w:rFonts w:hint="eastAsia" w:ascii="宋体" w:hAnsi="宋体" w:cs="宋体"/>
                <w:bCs/>
                <w:szCs w:val="21"/>
              </w:rPr>
              <w:t>响和</w:t>
            </w:r>
          </w:p>
          <w:p>
            <w:pPr>
              <w:adjustRightInd w:val="0"/>
              <w:snapToGrid w:val="0"/>
              <w:jc w:val="center"/>
              <w:rPr>
                <w:rFonts w:hint="eastAsia" w:ascii="宋体" w:hAnsi="宋体" w:cs="宋体"/>
                <w:bCs/>
                <w:szCs w:val="21"/>
              </w:rPr>
            </w:pPr>
            <w:r>
              <w:rPr>
                <w:rFonts w:hint="eastAsia" w:ascii="宋体" w:hAnsi="宋体" w:cs="宋体"/>
                <w:bCs/>
                <w:szCs w:val="21"/>
              </w:rPr>
              <w:t>保护</w:t>
            </w:r>
          </w:p>
          <w:p>
            <w:pPr>
              <w:adjustRightInd w:val="0"/>
              <w:snapToGrid w:val="0"/>
              <w:jc w:val="center"/>
              <w:rPr>
                <w:rFonts w:hint="eastAsia" w:ascii="宋体" w:hAnsi="宋体" w:cs="宋体"/>
                <w:bCs/>
                <w:szCs w:val="21"/>
              </w:rPr>
            </w:pPr>
            <w:r>
              <w:rPr>
                <w:rFonts w:hint="eastAsia" w:ascii="宋体" w:hAnsi="宋体" w:cs="宋体"/>
                <w:bCs/>
                <w:szCs w:val="21"/>
              </w:rPr>
              <w:t>措施</w:t>
            </w:r>
          </w:p>
        </w:tc>
        <w:tc>
          <w:tcPr>
            <w:tcW w:w="8437" w:type="dxa"/>
            <w:vAlign w:val="center"/>
          </w:tcPr>
          <w:p>
            <w:pPr>
              <w:tabs>
                <w:tab w:val="left" w:pos="0"/>
              </w:tabs>
              <w:spacing w:line="360" w:lineRule="auto"/>
              <w:ind w:firstLine="481" w:firstLineChars="200"/>
              <w:rPr>
                <w:b/>
              </w:rPr>
            </w:pPr>
            <w:r>
              <w:rPr>
                <w:rFonts w:hint="eastAsia"/>
                <w:b/>
              </w:rPr>
              <w:t>1、大气污染源及影响分析</w:t>
            </w:r>
          </w:p>
          <w:p>
            <w:pPr>
              <w:tabs>
                <w:tab w:val="left" w:pos="0"/>
              </w:tabs>
              <w:spacing w:line="360" w:lineRule="auto"/>
              <w:ind w:firstLine="481" w:firstLineChars="200"/>
              <w:rPr>
                <w:b/>
              </w:rPr>
            </w:pPr>
            <w:r>
              <w:rPr>
                <w:rFonts w:hint="eastAsia"/>
                <w:b/>
              </w:rPr>
              <w:t>1）大气污染源源强核算</w:t>
            </w:r>
          </w:p>
          <w:p>
            <w:pPr>
              <w:spacing w:line="360" w:lineRule="auto"/>
              <w:ind w:firstLine="481" w:firstLineChars="200"/>
              <w:rPr>
                <w:b/>
              </w:rPr>
            </w:pPr>
            <w:r>
              <w:rPr>
                <w:rFonts w:hint="eastAsia"/>
                <w:b/>
              </w:rPr>
              <w:t>（1）石料装卸、贮存、转运粉尘</w:t>
            </w:r>
          </w:p>
          <w:p>
            <w:pPr>
              <w:pStyle w:val="11"/>
              <w:spacing w:before="0" w:beforeAutospacing="0" w:after="0" w:afterAutospacing="0" w:line="360" w:lineRule="auto"/>
              <w:ind w:firstLine="480" w:firstLineChars="200"/>
              <w:rPr>
                <w:rFonts w:hint="eastAsia"/>
                <w:sz w:val="24"/>
                <w:szCs w:val="24"/>
              </w:rPr>
            </w:pPr>
            <w:r>
              <w:rPr>
                <w:rFonts w:hint="eastAsia"/>
                <w:sz w:val="24"/>
                <w:szCs w:val="24"/>
              </w:rPr>
              <w:t>石料贮存于全封闭储库内，装卸、贮存、转运等过程会产生一定量的粉尘，全封闭及洒水抑尘可有效降低粉尘的无组织排放。</w:t>
            </w:r>
          </w:p>
          <w:p>
            <w:pPr>
              <w:tabs>
                <w:tab w:val="left" w:pos="3255"/>
              </w:tabs>
              <w:spacing w:line="360" w:lineRule="auto"/>
              <w:ind w:firstLine="480" w:firstLineChars="200"/>
            </w:pPr>
            <w:r>
              <w:t>根据</w:t>
            </w:r>
            <w:r>
              <w:rPr>
                <w:rFonts w:hint="eastAsia"/>
                <w:lang w:eastAsia="zh-CN"/>
              </w:rPr>
              <w:t>生态环境部</w:t>
            </w:r>
            <w:r>
              <w:t>发布的</w:t>
            </w:r>
            <w:r>
              <w:rPr>
                <w:rFonts w:hint="eastAsia"/>
              </w:rPr>
              <w:t>《排放源统计调查产排污核算方法和系数手册》（公告2021年第24号）中《固体物料堆存颗粒物产排污核算系数手册》</w:t>
            </w:r>
            <w:r>
              <w:t>，对</w:t>
            </w:r>
            <w:r>
              <w:rPr>
                <w:rFonts w:hint="eastAsia"/>
              </w:rPr>
              <w:t>本项目原料储库污染物</w:t>
            </w:r>
            <w:r>
              <w:t>排放量进行</w:t>
            </w:r>
            <w:r>
              <w:rPr>
                <w:rFonts w:hint="eastAsia"/>
              </w:rPr>
              <w:t>核算。</w:t>
            </w:r>
          </w:p>
          <w:p>
            <w:pPr>
              <w:tabs>
                <w:tab w:val="left" w:pos="3255"/>
              </w:tabs>
              <w:spacing w:line="360" w:lineRule="auto"/>
              <w:ind w:firstLine="480" w:firstLineChars="200"/>
            </w:pPr>
            <w:r>
              <w:rPr>
                <w:rFonts w:hint="eastAsia"/>
              </w:rPr>
              <w:t>固体物料堆存颗粒物包括装卸扬尘和风蚀扬尘，颗粒物产生量核算公式如下：</w:t>
            </w:r>
          </w:p>
          <w:p>
            <w:pPr>
              <w:tabs>
                <w:tab w:val="left" w:pos="3255"/>
              </w:tabs>
              <w:spacing w:line="360" w:lineRule="auto"/>
              <w:ind w:firstLine="480" w:firstLineChars="200"/>
            </w:pPr>
            <w:r>
              <w:rPr>
                <w:rFonts w:hint="eastAsia"/>
              </w:rPr>
              <w:t>P=ZC</w:t>
            </w:r>
            <w:r>
              <w:rPr>
                <w:rFonts w:hint="eastAsia"/>
                <w:vertAlign w:val="subscript"/>
              </w:rPr>
              <w:t>y</w:t>
            </w:r>
            <w:r>
              <w:rPr>
                <w:rFonts w:hint="eastAsia"/>
              </w:rPr>
              <w:t>+FC</w:t>
            </w:r>
            <w:r>
              <w:rPr>
                <w:rFonts w:hint="eastAsia"/>
                <w:vertAlign w:val="subscript"/>
              </w:rPr>
              <w:t>y</w:t>
            </w:r>
            <w:r>
              <w:rPr>
                <w:rFonts w:hint="eastAsia"/>
              </w:rPr>
              <w:t>={N</w:t>
            </w:r>
            <w:r>
              <w:rPr>
                <w:rFonts w:hint="eastAsia"/>
                <w:vertAlign w:val="subscript"/>
              </w:rPr>
              <w:t>c</w:t>
            </w:r>
            <w:r>
              <w:rPr>
                <w:rFonts w:hint="eastAsia"/>
              </w:rPr>
              <w:t>×D×（a/b）+2×E</w:t>
            </w:r>
            <w:r>
              <w:rPr>
                <w:rFonts w:hint="eastAsia"/>
                <w:vertAlign w:val="subscript"/>
              </w:rPr>
              <w:t>f</w:t>
            </w:r>
            <w:r>
              <w:rPr>
                <w:rFonts w:hint="eastAsia"/>
              </w:rPr>
              <w:t>×S}×10</w:t>
            </w:r>
            <w:r>
              <w:rPr>
                <w:rFonts w:hint="eastAsia"/>
                <w:vertAlign w:val="superscript"/>
              </w:rPr>
              <w:t>-3</w:t>
            </w:r>
          </w:p>
          <w:p>
            <w:pPr>
              <w:tabs>
                <w:tab w:val="left" w:pos="3255"/>
              </w:tabs>
              <w:spacing w:line="360" w:lineRule="auto"/>
              <w:ind w:firstLine="480" w:firstLineChars="200"/>
            </w:pPr>
            <w:r>
              <w:rPr>
                <w:rFonts w:hint="eastAsia"/>
              </w:rPr>
              <w:t>式中：P指颗粒物产生量（单位：吨）；</w:t>
            </w:r>
          </w:p>
          <w:p>
            <w:pPr>
              <w:tabs>
                <w:tab w:val="left" w:pos="3255"/>
              </w:tabs>
              <w:spacing w:line="360" w:lineRule="auto"/>
              <w:ind w:firstLine="480" w:firstLineChars="200"/>
            </w:pPr>
            <w:r>
              <w:rPr>
                <w:rFonts w:hint="eastAsia"/>
              </w:rPr>
              <w:t xml:space="preserve">      ZC</w:t>
            </w:r>
            <w:r>
              <w:rPr>
                <w:rFonts w:hint="eastAsia"/>
                <w:vertAlign w:val="subscript"/>
              </w:rPr>
              <w:t>y</w:t>
            </w:r>
            <w:r>
              <w:rPr>
                <w:rFonts w:hint="eastAsia"/>
              </w:rPr>
              <w:t>指装卸扬尘产生量（单位：吨）；</w:t>
            </w:r>
          </w:p>
          <w:p>
            <w:pPr>
              <w:tabs>
                <w:tab w:val="left" w:pos="3255"/>
              </w:tabs>
              <w:spacing w:line="360" w:lineRule="auto"/>
              <w:ind w:firstLine="480" w:firstLineChars="200"/>
            </w:pPr>
            <w:r>
              <w:rPr>
                <w:rFonts w:hint="eastAsia"/>
              </w:rPr>
              <w:t xml:space="preserve">      FC</w:t>
            </w:r>
            <w:r>
              <w:rPr>
                <w:rFonts w:hint="eastAsia"/>
                <w:vertAlign w:val="subscript"/>
              </w:rPr>
              <w:t>y</w:t>
            </w:r>
            <w:r>
              <w:rPr>
                <w:rFonts w:hint="eastAsia"/>
              </w:rPr>
              <w:t>指风蚀扬尘产生量（单位：吨）；</w:t>
            </w:r>
          </w:p>
          <w:p>
            <w:pPr>
              <w:tabs>
                <w:tab w:val="left" w:pos="3255"/>
              </w:tabs>
              <w:spacing w:line="360" w:lineRule="auto"/>
              <w:ind w:firstLine="480" w:firstLineChars="200"/>
            </w:pPr>
            <w:r>
              <w:rPr>
                <w:rFonts w:hint="eastAsia"/>
              </w:rPr>
              <w:t xml:space="preserve">      N</w:t>
            </w:r>
            <w:r>
              <w:rPr>
                <w:rFonts w:hint="eastAsia"/>
                <w:vertAlign w:val="subscript"/>
              </w:rPr>
              <w:t>c</w:t>
            </w:r>
            <w:r>
              <w:rPr>
                <w:rFonts w:hint="eastAsia"/>
              </w:rPr>
              <w:t>指年物料运载车次（单位：车）；（本项目取3640）</w:t>
            </w:r>
          </w:p>
          <w:p>
            <w:pPr>
              <w:tabs>
                <w:tab w:val="left" w:pos="3255"/>
              </w:tabs>
              <w:spacing w:line="360" w:lineRule="auto"/>
              <w:ind w:firstLine="480" w:firstLineChars="200"/>
            </w:pPr>
            <w:r>
              <w:rPr>
                <w:rFonts w:hint="eastAsia"/>
              </w:rPr>
              <w:t xml:space="preserve">      D指单车平均</w:t>
            </w:r>
            <w:bookmarkStart w:id="3" w:name="_GoBack"/>
            <w:bookmarkEnd w:id="3"/>
            <w:r>
              <w:rPr>
                <w:rFonts w:hint="eastAsia"/>
              </w:rPr>
              <w:t>运载量（单位：吨/车）；（本项目取50）</w:t>
            </w:r>
          </w:p>
          <w:p>
            <w:pPr>
              <w:tabs>
                <w:tab w:val="left" w:pos="3255"/>
              </w:tabs>
              <w:spacing w:line="360" w:lineRule="auto"/>
              <w:ind w:firstLine="960" w:firstLineChars="400"/>
            </w:pPr>
            <w:r>
              <w:rPr>
                <w:rFonts w:hint="eastAsia"/>
              </w:rPr>
              <w:t>（a/b）指装卸扬尘概化系数（单位：千克/吨），a指各省风速概化系数，见附录1，b指物料含水率概化系数，见附录2；（本项目a取0.0017，b取0.0064）</w:t>
            </w:r>
          </w:p>
          <w:p>
            <w:pPr>
              <w:tabs>
                <w:tab w:val="left" w:pos="3255"/>
              </w:tabs>
              <w:spacing w:line="360" w:lineRule="auto"/>
              <w:ind w:firstLine="480" w:firstLineChars="200"/>
            </w:pPr>
            <w:r>
              <w:rPr>
                <w:rFonts w:hint="eastAsia"/>
              </w:rPr>
              <w:t xml:space="preserve">      E</w:t>
            </w:r>
            <w:r>
              <w:rPr>
                <w:rFonts w:hint="eastAsia"/>
                <w:vertAlign w:val="subscript"/>
              </w:rPr>
              <w:t>f</w:t>
            </w:r>
            <w:r>
              <w:rPr>
                <w:rFonts w:hint="eastAsia"/>
              </w:rPr>
              <w:t>指堆场风蚀扬尘概化系数，见附录3（单位：千克/平方米）；（本项目取块矿系数为0）</w:t>
            </w:r>
          </w:p>
          <w:p>
            <w:pPr>
              <w:tabs>
                <w:tab w:val="left" w:pos="3255"/>
              </w:tabs>
              <w:spacing w:line="360" w:lineRule="auto"/>
              <w:ind w:firstLine="480" w:firstLineChars="200"/>
            </w:pPr>
            <w:r>
              <w:rPr>
                <w:rFonts w:hint="eastAsia"/>
              </w:rPr>
              <w:t xml:space="preserve">      S指堆场占地面积（单位：平方米）。（本项目取7203.41）</w:t>
            </w:r>
          </w:p>
          <w:p>
            <w:pPr>
              <w:tabs>
                <w:tab w:val="left" w:pos="3255"/>
              </w:tabs>
              <w:spacing w:line="360" w:lineRule="auto"/>
              <w:ind w:firstLine="480" w:firstLineChars="200"/>
            </w:pPr>
            <w:r>
              <w:rPr>
                <w:rFonts w:hint="eastAsia"/>
              </w:rPr>
              <w:t>根据公式及各参数取值，项目原料储库颗粒物产生量为62.75t/a。</w:t>
            </w:r>
          </w:p>
          <w:p>
            <w:pPr>
              <w:tabs>
                <w:tab w:val="left" w:pos="3255"/>
              </w:tabs>
              <w:spacing w:line="360" w:lineRule="auto"/>
              <w:ind w:firstLine="480" w:firstLineChars="200"/>
            </w:pPr>
            <w:r>
              <w:rPr>
                <w:rFonts w:hint="eastAsia"/>
              </w:rPr>
              <w:t>固体物料堆场颗粒物排放量核算公式如下：</w:t>
            </w:r>
          </w:p>
          <w:p>
            <w:pPr>
              <w:tabs>
                <w:tab w:val="left" w:pos="3255"/>
              </w:tabs>
              <w:spacing w:line="360" w:lineRule="auto"/>
              <w:ind w:firstLine="480" w:firstLineChars="200"/>
            </w:pPr>
            <w:r>
              <w:rPr>
                <w:rFonts w:hint="eastAsia"/>
              </w:rPr>
              <w:t>U</w:t>
            </w:r>
            <w:r>
              <w:rPr>
                <w:rFonts w:hint="eastAsia"/>
                <w:vertAlign w:val="subscript"/>
              </w:rPr>
              <w:t>c</w:t>
            </w:r>
            <w:r>
              <w:rPr>
                <w:rFonts w:hint="eastAsia"/>
              </w:rPr>
              <w:t>=P×（1-C</w:t>
            </w:r>
            <w:r>
              <w:rPr>
                <w:rFonts w:hint="eastAsia"/>
                <w:vertAlign w:val="subscript"/>
              </w:rPr>
              <w:t>m</w:t>
            </w:r>
            <w:r>
              <w:rPr>
                <w:rFonts w:hint="eastAsia"/>
              </w:rPr>
              <w:t>）×（1-T</w:t>
            </w:r>
            <w:r>
              <w:rPr>
                <w:rFonts w:hint="eastAsia"/>
                <w:vertAlign w:val="subscript"/>
              </w:rPr>
              <w:t>m</w:t>
            </w:r>
            <w:r>
              <w:rPr>
                <w:rFonts w:hint="eastAsia"/>
              </w:rPr>
              <w:t>）</w:t>
            </w:r>
          </w:p>
          <w:p>
            <w:pPr>
              <w:tabs>
                <w:tab w:val="left" w:pos="3255"/>
              </w:tabs>
              <w:spacing w:line="360" w:lineRule="auto"/>
              <w:ind w:firstLine="480" w:firstLineChars="200"/>
            </w:pPr>
            <w:r>
              <w:rPr>
                <w:rFonts w:hint="eastAsia"/>
              </w:rPr>
              <w:t>式中：P指颗粒物产生量（单位：吨）；（本项目取62.75）</w:t>
            </w:r>
          </w:p>
          <w:p>
            <w:pPr>
              <w:tabs>
                <w:tab w:val="left" w:pos="3255"/>
              </w:tabs>
              <w:spacing w:line="360" w:lineRule="auto"/>
              <w:ind w:firstLine="480" w:firstLineChars="200"/>
            </w:pPr>
            <w:r>
              <w:rPr>
                <w:rFonts w:hint="eastAsia"/>
              </w:rPr>
              <w:t xml:space="preserve">      U</w:t>
            </w:r>
            <w:r>
              <w:rPr>
                <w:rFonts w:hint="eastAsia"/>
                <w:vertAlign w:val="subscript"/>
              </w:rPr>
              <w:t>c</w:t>
            </w:r>
            <w:r>
              <w:rPr>
                <w:rFonts w:hint="eastAsia"/>
              </w:rPr>
              <w:t>指颗粒物排放量（单位：吨）；</w:t>
            </w:r>
          </w:p>
          <w:p>
            <w:pPr>
              <w:tabs>
                <w:tab w:val="left" w:pos="3255"/>
              </w:tabs>
              <w:spacing w:line="360" w:lineRule="auto"/>
              <w:ind w:firstLine="480" w:firstLineChars="200"/>
            </w:pPr>
            <w:r>
              <w:rPr>
                <w:rFonts w:hint="eastAsia"/>
              </w:rPr>
              <w:t xml:space="preserve">      C</w:t>
            </w:r>
            <w:r>
              <w:rPr>
                <w:rFonts w:hint="eastAsia"/>
                <w:vertAlign w:val="subscript"/>
              </w:rPr>
              <w:t>m</w:t>
            </w:r>
            <w:r>
              <w:rPr>
                <w:rFonts w:hint="eastAsia"/>
              </w:rPr>
              <w:t>指颗粒物控制措施控制效率（单位：%），见附录4；（本项目采取洒水抑尘措施，取74%）</w:t>
            </w:r>
          </w:p>
          <w:p>
            <w:pPr>
              <w:tabs>
                <w:tab w:val="left" w:pos="3255"/>
              </w:tabs>
              <w:spacing w:line="360" w:lineRule="auto"/>
              <w:ind w:firstLine="480" w:firstLineChars="200"/>
            </w:pPr>
            <w:r>
              <w:rPr>
                <w:rFonts w:hint="eastAsia"/>
              </w:rPr>
              <w:t xml:space="preserve">      T</w:t>
            </w:r>
            <w:r>
              <w:rPr>
                <w:rFonts w:hint="eastAsia"/>
                <w:vertAlign w:val="subscript"/>
              </w:rPr>
              <w:t>m</w:t>
            </w:r>
            <w:r>
              <w:rPr>
                <w:rFonts w:hint="eastAsia"/>
              </w:rPr>
              <w:t>指堆场类型控制效率（单位：%），见附录5。（本项目储库为全封闭结构，取99%）</w:t>
            </w:r>
          </w:p>
          <w:p>
            <w:pPr>
              <w:tabs>
                <w:tab w:val="left" w:pos="3255"/>
              </w:tabs>
              <w:spacing w:line="360" w:lineRule="auto"/>
              <w:ind w:firstLine="480" w:firstLineChars="200"/>
            </w:pPr>
            <w:r>
              <w:rPr>
                <w:rFonts w:hint="eastAsia"/>
              </w:rPr>
              <w:t>根据公式及各参数取值，项目原料储库无组织颗粒物排放量为0.16t/a。</w:t>
            </w:r>
          </w:p>
          <w:p>
            <w:pPr>
              <w:spacing w:line="360" w:lineRule="auto"/>
              <w:ind w:firstLine="480" w:firstLineChars="200"/>
            </w:pPr>
            <w:r>
              <w:rPr>
                <w:rFonts w:hint="eastAsia"/>
              </w:rPr>
              <w:t>综上，项目原料装卸过程颗粒物产生量为62.75t</w:t>
            </w:r>
            <w:r>
              <w:t>/a</w:t>
            </w:r>
            <w:r>
              <w:rPr>
                <w:rFonts w:hint="eastAsia"/>
              </w:rPr>
              <w:t>，通过采用全封闭原料储库+洒水抑尘措施处理，无组织颗粒物排放量为0.16t/a，粉尘排放量较小。</w:t>
            </w:r>
          </w:p>
          <w:p>
            <w:pPr>
              <w:snapToGrid w:val="0"/>
              <w:spacing w:line="360" w:lineRule="auto"/>
              <w:ind w:firstLine="480" w:firstLineChars="200"/>
            </w:pPr>
            <w:r>
              <w:rPr>
                <w:rFonts w:hint="eastAsia"/>
              </w:rPr>
              <w:t>项目原料储库废气产排情况见表4-1。</w:t>
            </w:r>
          </w:p>
          <w:p>
            <w:pPr>
              <w:pStyle w:val="11"/>
              <w:tabs>
                <w:tab w:val="left" w:pos="2612"/>
              </w:tabs>
              <w:spacing w:before="0" w:beforeAutospacing="0" w:after="0" w:afterAutospacing="0"/>
              <w:ind w:firstLine="481" w:firstLineChars="200"/>
              <w:rPr>
                <w:rFonts w:hint="eastAsia" w:ascii="Times New Roman"/>
                <w:b/>
                <w:bCs/>
                <w:sz w:val="24"/>
                <w:szCs w:val="24"/>
              </w:rPr>
            </w:pPr>
          </w:p>
          <w:p>
            <w:pPr>
              <w:pStyle w:val="11"/>
              <w:tabs>
                <w:tab w:val="left" w:pos="2612"/>
              </w:tabs>
              <w:spacing w:before="0" w:beforeAutospacing="0" w:after="0" w:afterAutospacing="0"/>
              <w:jc w:val="center"/>
              <w:rPr>
                <w:rFonts w:hint="eastAsia" w:ascii="Times New Roman"/>
                <w:b/>
                <w:bCs/>
                <w:sz w:val="24"/>
                <w:szCs w:val="24"/>
              </w:rPr>
            </w:pPr>
            <w:r>
              <w:rPr>
                <w:rFonts w:hint="eastAsia" w:ascii="Times New Roman"/>
                <w:b/>
                <w:bCs/>
                <w:sz w:val="24"/>
                <w:szCs w:val="24"/>
              </w:rPr>
              <w:t xml:space="preserve">表4-1       </w:t>
            </w:r>
            <w:r>
              <w:rPr>
                <w:rFonts w:ascii="Times New Roman"/>
                <w:b/>
                <w:bCs/>
                <w:sz w:val="24"/>
                <w:szCs w:val="24"/>
              </w:rPr>
              <w:t xml:space="preserve"> </w:t>
            </w:r>
            <w:r>
              <w:rPr>
                <w:rFonts w:hint="eastAsia" w:ascii="Times New Roman"/>
                <w:b/>
                <w:sz w:val="24"/>
                <w:szCs w:val="24"/>
              </w:rPr>
              <w:t>原料储库废气</w:t>
            </w:r>
            <w:r>
              <w:rPr>
                <w:rFonts w:hint="eastAsia" w:ascii="Times New Roman"/>
                <w:b/>
                <w:bCs/>
                <w:sz w:val="24"/>
                <w:szCs w:val="24"/>
              </w:rPr>
              <w:t>产排情况一览表</w:t>
            </w:r>
          </w:p>
          <w:tbl>
            <w:tblPr>
              <w:tblStyle w:val="19"/>
              <w:tblW w:w="80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2"/>
              <w:gridCol w:w="6"/>
              <w:gridCol w:w="420"/>
              <w:gridCol w:w="604"/>
              <w:gridCol w:w="766"/>
              <w:gridCol w:w="1030"/>
              <w:gridCol w:w="426"/>
              <w:gridCol w:w="761"/>
              <w:gridCol w:w="689"/>
              <w:gridCol w:w="83"/>
              <w:gridCol w:w="742"/>
              <w:gridCol w:w="81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341" w:type="pct"/>
                  <w:vMerge w:val="restar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产污</w:t>
                  </w:r>
                  <w:r>
                    <w:rPr>
                      <w:rFonts w:asciiTheme="minorEastAsia" w:hAnsiTheme="minorEastAsia" w:eastAsiaTheme="minorEastAsia"/>
                      <w:sz w:val="21"/>
                      <w:szCs w:val="21"/>
                    </w:rPr>
                    <w:t>环节</w:t>
                  </w:r>
                </w:p>
              </w:tc>
              <w:tc>
                <w:tcPr>
                  <w:tcW w:w="264" w:type="pct"/>
                  <w:gridSpan w:val="2"/>
                  <w:vMerge w:val="restart"/>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污染物</w:t>
                  </w:r>
                </w:p>
              </w:tc>
              <w:tc>
                <w:tcPr>
                  <w:tcW w:w="381" w:type="pct"/>
                  <w:vMerge w:val="restart"/>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风机</w:t>
                  </w:r>
                </w:p>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风量</w:t>
                  </w:r>
                </w:p>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m</w:t>
                  </w:r>
                  <w:r>
                    <w:rPr>
                      <w:rFonts w:asciiTheme="minorEastAsia" w:hAnsiTheme="minorEastAsia" w:eastAsiaTheme="minorEastAsia"/>
                      <w:sz w:val="21"/>
                      <w:szCs w:val="21"/>
                      <w:vertAlign w:val="superscript"/>
                    </w:rPr>
                    <w:t>3</w:t>
                  </w:r>
                  <w:r>
                    <w:rPr>
                      <w:rFonts w:asciiTheme="minorEastAsia" w:hAnsiTheme="minorEastAsia" w:eastAsiaTheme="minorEastAsia"/>
                      <w:sz w:val="21"/>
                      <w:szCs w:val="21"/>
                    </w:rPr>
                    <w:t>/h</w:t>
                  </w:r>
                </w:p>
              </w:tc>
              <w:tc>
                <w:tcPr>
                  <w:tcW w:w="1115" w:type="pct"/>
                  <w:gridSpan w:val="2"/>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污染物产生</w:t>
                  </w:r>
                </w:p>
              </w:tc>
              <w:tc>
                <w:tcPr>
                  <w:tcW w:w="264"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排放</w:t>
                  </w:r>
                </w:p>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形式</w:t>
                  </w:r>
                </w:p>
              </w:tc>
              <w:tc>
                <w:tcPr>
                  <w:tcW w:w="1377" w:type="pct"/>
                  <w:gridSpan w:val="4"/>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处理措施</w:t>
                  </w:r>
                </w:p>
              </w:tc>
              <w:tc>
                <w:tcPr>
                  <w:tcW w:w="1257" w:type="pct"/>
                  <w:gridSpan w:val="2"/>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污染物排放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9" w:type="pct"/>
                  <w:vMerge w:val="continue"/>
                  <w:vAlign w:val="center"/>
                </w:tcPr>
                <w:p>
                  <w:pPr>
                    <w:snapToGrid w:val="0"/>
                    <w:jc w:val="center"/>
                    <w:rPr>
                      <w:rFonts w:hint="eastAsia" w:asciiTheme="minorEastAsia" w:hAnsiTheme="minorEastAsia" w:eastAsiaTheme="minorEastAsia"/>
                      <w:sz w:val="21"/>
                      <w:szCs w:val="21"/>
                    </w:rPr>
                  </w:pPr>
                </w:p>
              </w:tc>
              <w:tc>
                <w:tcPr>
                  <w:tcW w:w="264" w:type="pct"/>
                  <w:gridSpan w:val="2"/>
                  <w:vMerge w:val="continue"/>
                  <w:vAlign w:val="center"/>
                </w:tcPr>
                <w:p>
                  <w:pPr>
                    <w:snapToGrid w:val="0"/>
                    <w:jc w:val="center"/>
                    <w:rPr>
                      <w:rFonts w:hint="eastAsia" w:asciiTheme="minorEastAsia" w:hAnsiTheme="minorEastAsia" w:eastAsiaTheme="minorEastAsia"/>
                      <w:sz w:val="21"/>
                      <w:szCs w:val="21"/>
                    </w:rPr>
                  </w:pPr>
                </w:p>
              </w:tc>
              <w:tc>
                <w:tcPr>
                  <w:tcW w:w="381" w:type="pct"/>
                  <w:vMerge w:val="continue"/>
                  <w:vAlign w:val="center"/>
                </w:tcPr>
                <w:p>
                  <w:pPr>
                    <w:snapToGrid w:val="0"/>
                    <w:jc w:val="center"/>
                    <w:rPr>
                      <w:rFonts w:hint="eastAsia" w:asciiTheme="minorEastAsia" w:hAnsiTheme="minorEastAsia" w:eastAsiaTheme="minorEastAsia"/>
                      <w:sz w:val="21"/>
                      <w:szCs w:val="21"/>
                    </w:rPr>
                  </w:pPr>
                </w:p>
              </w:tc>
              <w:tc>
                <w:tcPr>
                  <w:tcW w:w="482" w:type="pct"/>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产生</w:t>
                  </w:r>
                </w:p>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浓度mg/m</w:t>
                  </w:r>
                  <w:r>
                    <w:rPr>
                      <w:rFonts w:asciiTheme="minorEastAsia" w:hAnsiTheme="minorEastAsia" w:eastAsiaTheme="minorEastAsia"/>
                      <w:sz w:val="21"/>
                      <w:szCs w:val="21"/>
                      <w:vertAlign w:val="superscript"/>
                    </w:rPr>
                    <w:t>3</w:t>
                  </w:r>
                </w:p>
              </w:tc>
              <w:tc>
                <w:tcPr>
                  <w:tcW w:w="646" w:type="pct"/>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产生</w:t>
                  </w:r>
                </w:p>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量</w:t>
                  </w:r>
                </w:p>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pacing w:val="4"/>
                      <w:sz w:val="21"/>
                      <w:szCs w:val="21"/>
                    </w:rPr>
                    <w:t>t/a</w:t>
                  </w:r>
                </w:p>
              </w:tc>
              <w:tc>
                <w:tcPr>
                  <w:tcW w:w="264" w:type="pct"/>
                  <w:vMerge w:val="restar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无</w:t>
                  </w:r>
                  <w:r>
                    <w:rPr>
                      <w:rFonts w:asciiTheme="minorEastAsia" w:hAnsiTheme="minorEastAsia" w:eastAsiaTheme="minorEastAsia"/>
                      <w:sz w:val="21"/>
                      <w:szCs w:val="21"/>
                    </w:rPr>
                    <w:t>组织</w:t>
                  </w:r>
                </w:p>
              </w:tc>
              <w:tc>
                <w:tcPr>
                  <w:tcW w:w="478" w:type="pct"/>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工艺</w:t>
                  </w:r>
                </w:p>
              </w:tc>
              <w:tc>
                <w:tcPr>
                  <w:tcW w:w="373" w:type="pct"/>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效率%</w:t>
                  </w:r>
                </w:p>
              </w:tc>
              <w:tc>
                <w:tcPr>
                  <w:tcW w:w="491" w:type="pct"/>
                  <w:gridSpan w:val="2"/>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是否为可行性技术</w:t>
                  </w:r>
                </w:p>
              </w:tc>
              <w:tc>
                <w:tcPr>
                  <w:tcW w:w="509" w:type="pct"/>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排放浓度</w:t>
                  </w:r>
                </w:p>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mg/m</w:t>
                  </w:r>
                  <w:r>
                    <w:rPr>
                      <w:rFonts w:asciiTheme="minorEastAsia" w:hAnsiTheme="minorEastAsia" w:eastAsiaTheme="minorEastAsia"/>
                      <w:sz w:val="21"/>
                      <w:szCs w:val="21"/>
                      <w:vertAlign w:val="superscript"/>
                    </w:rPr>
                    <w:t>3</w:t>
                  </w:r>
                </w:p>
              </w:tc>
              <w:tc>
                <w:tcPr>
                  <w:tcW w:w="763" w:type="pct"/>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排放</w:t>
                  </w:r>
                </w:p>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量</w:t>
                  </w:r>
                </w:p>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pacing w:val="4"/>
                      <w:sz w:val="21"/>
                      <w:szCs w:val="21"/>
                    </w:rPr>
                    <w:t>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4" w:hRule="atLeast"/>
                <w:jc w:val="center"/>
              </w:trPr>
              <w:tc>
                <w:tcPr>
                  <w:tcW w:w="349"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原料储库</w:t>
                  </w:r>
                </w:p>
              </w:tc>
              <w:tc>
                <w:tcPr>
                  <w:tcW w:w="264" w:type="pct"/>
                  <w:gridSpan w:val="2"/>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颗粒物</w:t>
                  </w:r>
                </w:p>
              </w:tc>
              <w:tc>
                <w:tcPr>
                  <w:tcW w:w="381"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w:t>
                  </w:r>
                </w:p>
              </w:tc>
              <w:tc>
                <w:tcPr>
                  <w:tcW w:w="482" w:type="pct"/>
                  <w:vAlign w:val="center"/>
                </w:tcPr>
                <w:p>
                  <w:pPr>
                    <w:snapToGrid w:val="0"/>
                    <w:jc w:val="center"/>
                    <w:rPr>
                      <w:rFonts w:hint="eastAsia" w:asciiTheme="minorEastAsia" w:hAnsiTheme="minorEastAsia" w:eastAsiaTheme="minorEastAsia"/>
                      <w:sz w:val="21"/>
                      <w:szCs w:val="21"/>
                      <w:highlight w:val="yellow"/>
                    </w:rPr>
                  </w:pPr>
                  <w:r>
                    <w:rPr>
                      <w:rFonts w:hint="eastAsia" w:asciiTheme="minorEastAsia" w:hAnsiTheme="minorEastAsia" w:eastAsiaTheme="minorEastAsia"/>
                      <w:spacing w:val="4"/>
                      <w:sz w:val="21"/>
                      <w:szCs w:val="21"/>
                    </w:rPr>
                    <w:t>/</w:t>
                  </w:r>
                </w:p>
              </w:tc>
              <w:tc>
                <w:tcPr>
                  <w:tcW w:w="646" w:type="pct"/>
                  <w:vAlign w:val="center"/>
                </w:tcPr>
                <w:p>
                  <w:pPr>
                    <w:snapToGrid w:val="0"/>
                    <w:jc w:val="center"/>
                    <w:rPr>
                      <w:rFonts w:hint="eastAsia" w:asciiTheme="minorEastAsia" w:hAnsiTheme="minorEastAsia" w:eastAsiaTheme="minorEastAsia"/>
                      <w:spacing w:val="4"/>
                      <w:sz w:val="21"/>
                      <w:szCs w:val="21"/>
                      <w:highlight w:val="yellow"/>
                    </w:rPr>
                  </w:pPr>
                  <w:r>
                    <w:rPr>
                      <w:rFonts w:hint="eastAsia" w:asciiTheme="minorEastAsia" w:hAnsiTheme="minorEastAsia" w:eastAsiaTheme="minorEastAsia"/>
                      <w:sz w:val="21"/>
                      <w:szCs w:val="21"/>
                    </w:rPr>
                    <w:t>62.75</w:t>
                  </w:r>
                </w:p>
              </w:tc>
              <w:tc>
                <w:tcPr>
                  <w:tcW w:w="264" w:type="pct"/>
                  <w:vMerge w:val="continue"/>
                  <w:vAlign w:val="center"/>
                </w:tcPr>
                <w:p>
                  <w:pPr>
                    <w:snapToGrid w:val="0"/>
                    <w:jc w:val="center"/>
                    <w:rPr>
                      <w:rFonts w:hint="eastAsia" w:asciiTheme="minorEastAsia" w:hAnsiTheme="minorEastAsia" w:eastAsiaTheme="minorEastAsia"/>
                      <w:sz w:val="21"/>
                      <w:szCs w:val="21"/>
                    </w:rPr>
                  </w:pPr>
                </w:p>
              </w:tc>
              <w:tc>
                <w:tcPr>
                  <w:tcW w:w="478"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全封闭储库+洒水抑尘</w:t>
                  </w:r>
                </w:p>
              </w:tc>
              <w:tc>
                <w:tcPr>
                  <w:tcW w:w="373"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99.74</w:t>
                  </w:r>
                </w:p>
              </w:tc>
              <w:tc>
                <w:tcPr>
                  <w:tcW w:w="491" w:type="pct"/>
                  <w:gridSpan w:val="2"/>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是</w:t>
                  </w:r>
                </w:p>
              </w:tc>
              <w:tc>
                <w:tcPr>
                  <w:tcW w:w="509"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≤0.5</w:t>
                  </w:r>
                </w:p>
              </w:tc>
              <w:tc>
                <w:tcPr>
                  <w:tcW w:w="763"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349" w:type="pct"/>
                  <w:vMerge w:val="restart"/>
                  <w:vAlign w:val="center"/>
                </w:tcPr>
                <w:p>
                  <w:pPr>
                    <w:snapToGrid w:val="0"/>
                    <w:jc w:val="center"/>
                    <w:rPr>
                      <w:rFonts w:hint="eastAsia" w:asciiTheme="minorEastAsia" w:hAnsiTheme="minorEastAsia" w:eastAsiaTheme="minorEastAsia"/>
                      <w:spacing w:val="-30"/>
                      <w:sz w:val="21"/>
                      <w:szCs w:val="21"/>
                    </w:rPr>
                  </w:pPr>
                  <w:r>
                    <w:rPr>
                      <w:rFonts w:asciiTheme="minorEastAsia" w:hAnsiTheme="minorEastAsia" w:eastAsiaTheme="minorEastAsia"/>
                      <w:sz w:val="21"/>
                      <w:szCs w:val="21"/>
                    </w:rPr>
                    <w:t>排放标准</w:t>
                  </w:r>
                </w:p>
              </w:tc>
              <w:tc>
                <w:tcPr>
                  <w:tcW w:w="4651" w:type="pct"/>
                  <w:gridSpan w:val="12"/>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bCs/>
                      <w:sz w:val="21"/>
                      <w:szCs w:val="21"/>
                    </w:rPr>
                    <w:t>《水泥工业大气污染物排放标准》（GB4915-2013）</w:t>
                  </w:r>
                  <w:r>
                    <w:rPr>
                      <w:rFonts w:hint="eastAsia" w:asciiTheme="minorEastAsia" w:hAnsiTheme="minorEastAsia" w:eastAsiaTheme="minorEastAsia"/>
                      <w:sz w:val="21"/>
                      <w:szCs w:val="21"/>
                    </w:rPr>
                    <w:t>，无组织0.5mg/m</w:t>
                  </w:r>
                  <w:r>
                    <w:rPr>
                      <w:rFonts w:hint="eastAsia" w:asciiTheme="minorEastAsia" w:hAnsiTheme="minorEastAsia" w:eastAsiaTheme="minorEastAsia"/>
                      <w:sz w:val="21"/>
                      <w:szCs w:val="21"/>
                      <w:vertAlign w:val="superscript"/>
                    </w:rPr>
                    <w:t>3</w:t>
                  </w:r>
                  <w:r>
                    <w:rPr>
                      <w:rFonts w:hint="eastAsia" w:asciiTheme="minorEastAsia" w:hAnsiTheme="minorEastAsia" w:eastAsiaTheme="minor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349" w:type="pct"/>
                  <w:vMerge w:val="continue"/>
                  <w:vAlign w:val="center"/>
                </w:tcPr>
                <w:p>
                  <w:pPr>
                    <w:snapToGrid w:val="0"/>
                    <w:jc w:val="center"/>
                    <w:rPr>
                      <w:rFonts w:hint="eastAsia" w:asciiTheme="minorEastAsia" w:hAnsiTheme="minorEastAsia" w:eastAsiaTheme="minorEastAsia"/>
                      <w:sz w:val="21"/>
                      <w:szCs w:val="21"/>
                    </w:rPr>
                  </w:pPr>
                </w:p>
              </w:tc>
              <w:tc>
                <w:tcPr>
                  <w:tcW w:w="3379" w:type="pct"/>
                  <w:gridSpan w:val="10"/>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达标情况</w:t>
                  </w:r>
                </w:p>
              </w:tc>
              <w:tc>
                <w:tcPr>
                  <w:tcW w:w="509"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达标</w:t>
                  </w:r>
                </w:p>
              </w:tc>
              <w:tc>
                <w:tcPr>
                  <w:tcW w:w="763"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5000" w:type="pct"/>
                  <w:gridSpan w:val="13"/>
                  <w:vAlign w:val="center"/>
                </w:tcPr>
                <w:p>
                  <w:pPr>
                    <w:snapToGrid w:val="0"/>
                    <w:jc w:val="center"/>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监测要求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353" w:type="pct"/>
                  <w:gridSpan w:val="2"/>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监测点位</w:t>
                  </w:r>
                </w:p>
              </w:tc>
              <w:tc>
                <w:tcPr>
                  <w:tcW w:w="641" w:type="pct"/>
                  <w:gridSpan w:val="2"/>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厂界</w:t>
                  </w:r>
                </w:p>
              </w:tc>
              <w:tc>
                <w:tcPr>
                  <w:tcW w:w="1128" w:type="pct"/>
                  <w:gridSpan w:val="2"/>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监测因子</w:t>
                  </w:r>
                </w:p>
              </w:tc>
              <w:tc>
                <w:tcPr>
                  <w:tcW w:w="743" w:type="pct"/>
                  <w:gridSpan w:val="2"/>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颗粒物</w:t>
                  </w:r>
                </w:p>
              </w:tc>
              <w:tc>
                <w:tcPr>
                  <w:tcW w:w="431" w:type="pct"/>
                  <w:gridSpan w:val="2"/>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监测频次</w:t>
                  </w:r>
                </w:p>
              </w:tc>
              <w:tc>
                <w:tcPr>
                  <w:tcW w:w="1704" w:type="pct"/>
                  <w:gridSpan w:val="3"/>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1次/季</w:t>
                  </w:r>
                </w:p>
              </w:tc>
            </w:tr>
          </w:tbl>
          <w:p>
            <w:pPr>
              <w:ind w:firstLine="470" w:firstLineChars="196"/>
            </w:pPr>
          </w:p>
          <w:p>
            <w:pPr>
              <w:spacing w:line="360" w:lineRule="auto"/>
              <w:ind w:firstLine="470" w:firstLineChars="196"/>
              <w:rPr>
                <w:b/>
              </w:rPr>
            </w:pPr>
            <w:r>
              <w:rPr>
                <w:rFonts w:hint="eastAsia"/>
              </w:rPr>
              <w:t>由表4-1可知，原料储库无组织颗粒物排放浓度可以满足</w:t>
            </w:r>
            <w:r>
              <w:rPr>
                <w:rFonts w:hint="eastAsia"/>
                <w:bCs/>
              </w:rPr>
              <w:t>《水泥工业大气污染物排放标准》（GB4915-2013）</w:t>
            </w:r>
            <w:r>
              <w:rPr>
                <w:rFonts w:hint="eastAsia"/>
              </w:rPr>
              <w:t>排放标准限值，可以做到达标排放。</w:t>
            </w:r>
          </w:p>
          <w:p>
            <w:pPr>
              <w:spacing w:line="360" w:lineRule="auto"/>
              <w:ind w:firstLine="481" w:firstLineChars="200"/>
              <w:rPr>
                <w:b/>
              </w:rPr>
            </w:pPr>
            <w:r>
              <w:rPr>
                <w:rFonts w:hint="eastAsia"/>
                <w:b/>
              </w:rPr>
              <w:t>（2）粉煤灰仓、水泥仓贮存粉尘</w:t>
            </w:r>
          </w:p>
          <w:p>
            <w:pPr>
              <w:snapToGrid w:val="0"/>
              <w:spacing w:line="360" w:lineRule="auto"/>
              <w:ind w:firstLine="480" w:firstLineChars="200"/>
            </w:pPr>
            <w:r>
              <w:rPr>
                <w:rFonts w:hint="eastAsia"/>
              </w:rPr>
              <w:t>物料输送储存主要包括粉煤灰、水泥仓进出料过程产生的粉尘。</w:t>
            </w:r>
          </w:p>
          <w:p>
            <w:pPr>
              <w:pStyle w:val="11"/>
              <w:spacing w:before="0" w:beforeAutospacing="0" w:after="0" w:afterAutospacing="0" w:line="360" w:lineRule="auto"/>
              <w:ind w:firstLine="480" w:firstLineChars="200"/>
              <w:rPr>
                <w:rFonts w:hint="eastAsia"/>
                <w:sz w:val="24"/>
                <w:szCs w:val="24"/>
              </w:rPr>
            </w:pPr>
            <w:r>
              <w:rPr>
                <w:sz w:val="24"/>
                <w:szCs w:val="24"/>
              </w:rPr>
              <w:t>根据</w:t>
            </w:r>
            <w:r>
              <w:rPr>
                <w:rFonts w:hint="eastAsia"/>
                <w:sz w:val="24"/>
                <w:szCs w:val="24"/>
                <w:lang w:eastAsia="zh-CN"/>
              </w:rPr>
              <w:t>生态环境部</w:t>
            </w:r>
            <w:r>
              <w:rPr>
                <w:sz w:val="24"/>
                <w:szCs w:val="24"/>
              </w:rPr>
              <w:t>发布的</w:t>
            </w:r>
            <w:r>
              <w:rPr>
                <w:rFonts w:hint="eastAsia"/>
                <w:sz w:val="24"/>
                <w:szCs w:val="24"/>
              </w:rPr>
              <w:t>《排放源统计调查产排污核算方法和系数手册》</w:t>
            </w:r>
            <w:r>
              <w:rPr>
                <w:rFonts w:hint="eastAsia"/>
                <w:sz w:val="24"/>
              </w:rPr>
              <w:t>（公告2021年第24号）中《3021水泥制品制造行业系数手册》</w:t>
            </w:r>
            <w:r>
              <w:rPr>
                <w:rFonts w:hint="eastAsia"/>
                <w:sz w:val="24"/>
                <w:szCs w:val="24"/>
              </w:rPr>
              <w:t>中</w:t>
            </w:r>
            <w:r>
              <w:rPr>
                <w:sz w:val="24"/>
                <w:szCs w:val="24"/>
              </w:rPr>
              <w:t>的物料输送储存产污系数对</w:t>
            </w:r>
            <w:r>
              <w:rPr>
                <w:rFonts w:hint="eastAsia"/>
                <w:sz w:val="24"/>
                <w:szCs w:val="24"/>
              </w:rPr>
              <w:t>本项目原料输送、储存污染物</w:t>
            </w:r>
            <w:r>
              <w:rPr>
                <w:sz w:val="24"/>
                <w:szCs w:val="24"/>
              </w:rPr>
              <w:t>排放量进行</w:t>
            </w:r>
            <w:r>
              <w:rPr>
                <w:rFonts w:hint="eastAsia"/>
                <w:sz w:val="24"/>
                <w:szCs w:val="24"/>
              </w:rPr>
              <w:t>核算。</w:t>
            </w:r>
          </w:p>
          <w:p>
            <w:pPr>
              <w:snapToGrid w:val="0"/>
              <w:spacing w:line="360" w:lineRule="auto"/>
              <w:ind w:firstLine="480" w:firstLineChars="200"/>
            </w:pPr>
            <w:r>
              <w:rPr>
                <w:rFonts w:hint="eastAsia"/>
              </w:rPr>
              <w:t>颗粒物产污系数为0.12kg/t-产品，工业废气量22Nm</w:t>
            </w:r>
            <w:r>
              <w:rPr>
                <w:rFonts w:hint="eastAsia"/>
                <w:vertAlign w:val="superscript"/>
              </w:rPr>
              <w:t>3</w:t>
            </w:r>
            <w:r>
              <w:rPr>
                <w:rFonts w:hint="eastAsia"/>
              </w:rPr>
              <w:t>/t-产品。</w:t>
            </w:r>
          </w:p>
          <w:p>
            <w:pPr>
              <w:spacing w:line="360" w:lineRule="auto"/>
              <w:ind w:firstLine="480" w:firstLineChars="200"/>
            </w:pPr>
            <w:r>
              <w:rPr>
                <w:rFonts w:hint="eastAsia"/>
              </w:rPr>
              <w:t>项目年输送、储存粉煤灰量为19000吨，则颗粒物产生量为2.28t/a；项目年输送、储存水泥量为17000吨，则颗粒物产生量为2.04t/a；各料仓产生的粉尘经仓顶布袋除尘器处理后由仓顶排气口（距地面高度≥15m）排放；布袋除尘器去除效率为99.7%，则颗粒物排放量为0.013t/a。</w:t>
            </w:r>
          </w:p>
          <w:p>
            <w:pPr>
              <w:spacing w:line="360" w:lineRule="auto"/>
              <w:ind w:firstLine="480" w:firstLineChars="200"/>
            </w:pPr>
            <w:r>
              <w:rPr>
                <w:rFonts w:hint="eastAsia"/>
              </w:rPr>
              <w:t>项目原料输送、储存颗粒物产排情况见表4-2。</w:t>
            </w:r>
          </w:p>
          <w:p>
            <w:pPr>
              <w:ind w:firstLine="480" w:firstLineChars="200"/>
            </w:pPr>
          </w:p>
          <w:p>
            <w:pPr>
              <w:pStyle w:val="11"/>
              <w:tabs>
                <w:tab w:val="left" w:pos="2612"/>
              </w:tabs>
              <w:spacing w:before="0" w:beforeAutospacing="0" w:after="0" w:afterAutospacing="0"/>
              <w:jc w:val="center"/>
              <w:rPr>
                <w:rFonts w:hint="eastAsia" w:ascii="Times New Roman"/>
                <w:b/>
                <w:bCs/>
                <w:sz w:val="24"/>
                <w:szCs w:val="24"/>
              </w:rPr>
            </w:pPr>
            <w:r>
              <w:rPr>
                <w:rFonts w:hint="eastAsia" w:ascii="Times New Roman"/>
                <w:b/>
                <w:bCs/>
                <w:sz w:val="24"/>
                <w:szCs w:val="24"/>
              </w:rPr>
              <w:t xml:space="preserve">表4-2       </w:t>
            </w:r>
            <w:r>
              <w:rPr>
                <w:rFonts w:ascii="Times New Roman"/>
                <w:b/>
                <w:bCs/>
                <w:sz w:val="24"/>
                <w:szCs w:val="24"/>
              </w:rPr>
              <w:t xml:space="preserve"> </w:t>
            </w:r>
            <w:r>
              <w:rPr>
                <w:rFonts w:hint="eastAsia" w:ascii="Times New Roman"/>
                <w:b/>
                <w:sz w:val="24"/>
                <w:szCs w:val="24"/>
              </w:rPr>
              <w:t>原料输送、储存颗粒物</w:t>
            </w:r>
            <w:r>
              <w:rPr>
                <w:rFonts w:hint="eastAsia" w:ascii="Times New Roman"/>
                <w:b/>
                <w:bCs/>
                <w:sz w:val="24"/>
                <w:szCs w:val="24"/>
              </w:rPr>
              <w:t>产排情况一览表</w:t>
            </w:r>
          </w:p>
          <w:tbl>
            <w:tblPr>
              <w:tblStyle w:val="19"/>
              <w:tblW w:w="82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426"/>
              <w:gridCol w:w="1285"/>
              <w:gridCol w:w="560"/>
              <w:gridCol w:w="162"/>
              <w:gridCol w:w="632"/>
              <w:gridCol w:w="426"/>
              <w:gridCol w:w="426"/>
              <w:gridCol w:w="629"/>
              <w:gridCol w:w="445"/>
              <w:gridCol w:w="737"/>
              <w:gridCol w:w="842"/>
              <w:gridCol w:w="12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259" w:type="pct"/>
                  <w:vMerge w:val="restar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产污</w:t>
                  </w:r>
                  <w:r>
                    <w:rPr>
                      <w:rFonts w:asciiTheme="minorEastAsia" w:hAnsiTheme="minorEastAsia" w:eastAsiaTheme="minorEastAsia"/>
                      <w:sz w:val="21"/>
                      <w:szCs w:val="21"/>
                    </w:rPr>
                    <w:t>环节</w:t>
                  </w:r>
                </w:p>
              </w:tc>
              <w:tc>
                <w:tcPr>
                  <w:tcW w:w="259" w:type="pct"/>
                  <w:vMerge w:val="restart"/>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污染物</w:t>
                  </w:r>
                </w:p>
              </w:tc>
              <w:tc>
                <w:tcPr>
                  <w:tcW w:w="784" w:type="pct"/>
                  <w:vMerge w:val="restart"/>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风机</w:t>
                  </w:r>
                </w:p>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风量</w:t>
                  </w:r>
                </w:p>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m</w:t>
                  </w:r>
                  <w:r>
                    <w:rPr>
                      <w:rFonts w:asciiTheme="minorEastAsia" w:hAnsiTheme="minorEastAsia" w:eastAsiaTheme="minorEastAsia"/>
                      <w:sz w:val="21"/>
                      <w:szCs w:val="21"/>
                      <w:vertAlign w:val="superscript"/>
                    </w:rPr>
                    <w:t>3</w:t>
                  </w:r>
                  <w:r>
                    <w:rPr>
                      <w:rFonts w:asciiTheme="minorEastAsia" w:hAnsiTheme="minorEastAsia" w:eastAsiaTheme="minorEastAsia"/>
                      <w:sz w:val="21"/>
                      <w:szCs w:val="21"/>
                    </w:rPr>
                    <w:t>/h</w:t>
                  </w:r>
                </w:p>
              </w:tc>
              <w:tc>
                <w:tcPr>
                  <w:tcW w:w="807" w:type="pct"/>
                  <w:gridSpan w:val="3"/>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污染物产生</w:t>
                  </w:r>
                </w:p>
              </w:tc>
              <w:tc>
                <w:tcPr>
                  <w:tcW w:w="259"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排放</w:t>
                  </w:r>
                </w:p>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形式</w:t>
                  </w:r>
                </w:p>
              </w:tc>
              <w:tc>
                <w:tcPr>
                  <w:tcW w:w="919" w:type="pct"/>
                  <w:gridSpan w:val="3"/>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处理措施</w:t>
                  </w:r>
                </w:p>
              </w:tc>
              <w:tc>
                <w:tcPr>
                  <w:tcW w:w="1711" w:type="pct"/>
                  <w:gridSpan w:val="3"/>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污染物排放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259" w:type="pct"/>
                  <w:vMerge w:val="continue"/>
                  <w:vAlign w:val="center"/>
                </w:tcPr>
                <w:p>
                  <w:pPr>
                    <w:snapToGrid w:val="0"/>
                    <w:jc w:val="center"/>
                    <w:rPr>
                      <w:rFonts w:hint="eastAsia" w:asciiTheme="minorEastAsia" w:hAnsiTheme="minorEastAsia" w:eastAsiaTheme="minorEastAsia"/>
                      <w:sz w:val="21"/>
                      <w:szCs w:val="21"/>
                    </w:rPr>
                  </w:pPr>
                </w:p>
              </w:tc>
              <w:tc>
                <w:tcPr>
                  <w:tcW w:w="259" w:type="pct"/>
                  <w:vMerge w:val="continue"/>
                  <w:vAlign w:val="center"/>
                </w:tcPr>
                <w:p>
                  <w:pPr>
                    <w:snapToGrid w:val="0"/>
                    <w:jc w:val="center"/>
                    <w:rPr>
                      <w:rFonts w:hint="eastAsia" w:asciiTheme="minorEastAsia" w:hAnsiTheme="minorEastAsia" w:eastAsiaTheme="minorEastAsia"/>
                      <w:sz w:val="21"/>
                      <w:szCs w:val="21"/>
                    </w:rPr>
                  </w:pPr>
                </w:p>
              </w:tc>
              <w:tc>
                <w:tcPr>
                  <w:tcW w:w="784" w:type="pct"/>
                  <w:vMerge w:val="continue"/>
                  <w:vAlign w:val="center"/>
                </w:tcPr>
                <w:p>
                  <w:pPr>
                    <w:snapToGrid w:val="0"/>
                    <w:jc w:val="center"/>
                    <w:rPr>
                      <w:rFonts w:hint="eastAsia" w:asciiTheme="minorEastAsia" w:hAnsiTheme="minorEastAsia" w:eastAsiaTheme="minorEastAsia"/>
                      <w:sz w:val="21"/>
                      <w:szCs w:val="21"/>
                    </w:rPr>
                  </w:pPr>
                </w:p>
              </w:tc>
              <w:tc>
                <w:tcPr>
                  <w:tcW w:w="420" w:type="pct"/>
                  <w:gridSpan w:val="2"/>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产生</w:t>
                  </w:r>
                </w:p>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浓度mg/m</w:t>
                  </w:r>
                  <w:r>
                    <w:rPr>
                      <w:rFonts w:asciiTheme="minorEastAsia" w:hAnsiTheme="minorEastAsia" w:eastAsiaTheme="minorEastAsia"/>
                      <w:sz w:val="21"/>
                      <w:szCs w:val="21"/>
                      <w:vertAlign w:val="superscript"/>
                    </w:rPr>
                    <w:t>3</w:t>
                  </w:r>
                </w:p>
              </w:tc>
              <w:tc>
                <w:tcPr>
                  <w:tcW w:w="387" w:type="pct"/>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产生</w:t>
                  </w:r>
                </w:p>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速率</w:t>
                  </w:r>
                </w:p>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kg/h</w:t>
                  </w:r>
                </w:p>
              </w:tc>
              <w:tc>
                <w:tcPr>
                  <w:tcW w:w="259" w:type="pct"/>
                  <w:vMerge w:val="restar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无</w:t>
                  </w:r>
                  <w:r>
                    <w:rPr>
                      <w:rFonts w:asciiTheme="minorEastAsia" w:hAnsiTheme="minorEastAsia" w:eastAsiaTheme="minorEastAsia"/>
                      <w:sz w:val="21"/>
                      <w:szCs w:val="21"/>
                    </w:rPr>
                    <w:t>组织</w:t>
                  </w:r>
                </w:p>
              </w:tc>
              <w:tc>
                <w:tcPr>
                  <w:tcW w:w="259" w:type="pct"/>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工艺</w:t>
                  </w:r>
                </w:p>
              </w:tc>
              <w:tc>
                <w:tcPr>
                  <w:tcW w:w="387" w:type="pct"/>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效率%</w:t>
                  </w:r>
                </w:p>
              </w:tc>
              <w:tc>
                <w:tcPr>
                  <w:tcW w:w="273" w:type="pct"/>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是否为可行性技术</w:t>
                  </w:r>
                </w:p>
              </w:tc>
              <w:tc>
                <w:tcPr>
                  <w:tcW w:w="451" w:type="pct"/>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排放浓度</w:t>
                  </w:r>
                </w:p>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mg/m</w:t>
                  </w:r>
                  <w:r>
                    <w:rPr>
                      <w:rFonts w:asciiTheme="minorEastAsia" w:hAnsiTheme="minorEastAsia" w:eastAsiaTheme="minorEastAsia"/>
                      <w:sz w:val="21"/>
                      <w:szCs w:val="21"/>
                      <w:vertAlign w:val="superscript"/>
                    </w:rPr>
                    <w:t>3</w:t>
                  </w:r>
                </w:p>
              </w:tc>
              <w:tc>
                <w:tcPr>
                  <w:tcW w:w="515" w:type="pct"/>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排放</w:t>
                  </w:r>
                  <w:r>
                    <w:rPr>
                      <w:rFonts w:hint="eastAsia" w:asciiTheme="minorEastAsia" w:hAnsiTheme="minorEastAsia" w:eastAsiaTheme="minorEastAsia"/>
                      <w:sz w:val="21"/>
                      <w:szCs w:val="21"/>
                    </w:rPr>
                    <w:t>速率</w:t>
                  </w:r>
                </w:p>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kg/h</w:t>
                  </w:r>
                </w:p>
              </w:tc>
              <w:tc>
                <w:tcPr>
                  <w:tcW w:w="746"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排放量</w:t>
                  </w:r>
                </w:p>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259"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粉煤灰储罐1</w:t>
                  </w:r>
                </w:p>
              </w:tc>
              <w:tc>
                <w:tcPr>
                  <w:tcW w:w="259"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颗粒物</w:t>
                  </w:r>
                </w:p>
              </w:tc>
              <w:tc>
                <w:tcPr>
                  <w:tcW w:w="784"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54</w:t>
                  </w:r>
                </w:p>
              </w:tc>
              <w:tc>
                <w:tcPr>
                  <w:tcW w:w="420" w:type="pct"/>
                  <w:gridSpan w:val="2"/>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5370</w:t>
                  </w:r>
                </w:p>
              </w:tc>
              <w:tc>
                <w:tcPr>
                  <w:tcW w:w="387"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0.29</w:t>
                  </w:r>
                </w:p>
              </w:tc>
              <w:tc>
                <w:tcPr>
                  <w:tcW w:w="259" w:type="pct"/>
                  <w:vMerge w:val="continue"/>
                  <w:vAlign w:val="center"/>
                </w:tcPr>
                <w:p>
                  <w:pPr>
                    <w:snapToGrid w:val="0"/>
                    <w:jc w:val="center"/>
                    <w:rPr>
                      <w:rFonts w:hint="eastAsia" w:asciiTheme="minorEastAsia" w:hAnsiTheme="minorEastAsia" w:eastAsiaTheme="minorEastAsia"/>
                      <w:sz w:val="21"/>
                      <w:szCs w:val="21"/>
                    </w:rPr>
                  </w:pPr>
                </w:p>
              </w:tc>
              <w:tc>
                <w:tcPr>
                  <w:tcW w:w="259"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袋式除尘器</w:t>
                  </w:r>
                </w:p>
              </w:tc>
              <w:tc>
                <w:tcPr>
                  <w:tcW w:w="387" w:type="pct"/>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9</w:t>
                  </w:r>
                  <w:r>
                    <w:rPr>
                      <w:rFonts w:hint="eastAsia" w:asciiTheme="minorEastAsia" w:hAnsiTheme="minorEastAsia" w:eastAsiaTheme="minorEastAsia"/>
                      <w:sz w:val="21"/>
                      <w:szCs w:val="21"/>
                    </w:rPr>
                    <w:t>9.7</w:t>
                  </w:r>
                </w:p>
              </w:tc>
              <w:tc>
                <w:tcPr>
                  <w:tcW w:w="273" w:type="pct"/>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是</w:t>
                  </w:r>
                </w:p>
              </w:tc>
              <w:tc>
                <w:tcPr>
                  <w:tcW w:w="451"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16.1</w:t>
                  </w:r>
                </w:p>
              </w:tc>
              <w:tc>
                <w:tcPr>
                  <w:tcW w:w="515"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0.0009</w:t>
                  </w:r>
                </w:p>
              </w:tc>
              <w:tc>
                <w:tcPr>
                  <w:tcW w:w="746"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0.0035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jc w:val="center"/>
              </w:trPr>
              <w:tc>
                <w:tcPr>
                  <w:tcW w:w="259"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粉煤灰储罐2</w:t>
                  </w:r>
                </w:p>
              </w:tc>
              <w:tc>
                <w:tcPr>
                  <w:tcW w:w="259"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颗粒物</w:t>
                  </w:r>
                </w:p>
              </w:tc>
              <w:tc>
                <w:tcPr>
                  <w:tcW w:w="784"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54</w:t>
                  </w:r>
                </w:p>
              </w:tc>
              <w:tc>
                <w:tcPr>
                  <w:tcW w:w="420" w:type="pct"/>
                  <w:gridSpan w:val="2"/>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5370</w:t>
                  </w:r>
                </w:p>
              </w:tc>
              <w:tc>
                <w:tcPr>
                  <w:tcW w:w="387"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0.29</w:t>
                  </w:r>
                </w:p>
              </w:tc>
              <w:tc>
                <w:tcPr>
                  <w:tcW w:w="259" w:type="pct"/>
                  <w:vMerge w:val="continue"/>
                  <w:vAlign w:val="center"/>
                </w:tcPr>
                <w:p>
                  <w:pPr>
                    <w:snapToGrid w:val="0"/>
                    <w:jc w:val="center"/>
                    <w:rPr>
                      <w:rFonts w:hint="eastAsia" w:asciiTheme="minorEastAsia" w:hAnsiTheme="minorEastAsia" w:eastAsiaTheme="minorEastAsia"/>
                      <w:sz w:val="21"/>
                      <w:szCs w:val="21"/>
                    </w:rPr>
                  </w:pPr>
                </w:p>
              </w:tc>
              <w:tc>
                <w:tcPr>
                  <w:tcW w:w="259"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袋式除尘器</w:t>
                  </w:r>
                </w:p>
              </w:tc>
              <w:tc>
                <w:tcPr>
                  <w:tcW w:w="387" w:type="pct"/>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9</w:t>
                  </w:r>
                  <w:r>
                    <w:rPr>
                      <w:rFonts w:hint="eastAsia" w:asciiTheme="minorEastAsia" w:hAnsiTheme="minorEastAsia" w:eastAsiaTheme="minorEastAsia"/>
                      <w:sz w:val="21"/>
                      <w:szCs w:val="21"/>
                    </w:rPr>
                    <w:t>9.7</w:t>
                  </w:r>
                </w:p>
              </w:tc>
              <w:tc>
                <w:tcPr>
                  <w:tcW w:w="273" w:type="pct"/>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是</w:t>
                  </w:r>
                </w:p>
              </w:tc>
              <w:tc>
                <w:tcPr>
                  <w:tcW w:w="451"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16.1</w:t>
                  </w:r>
                </w:p>
              </w:tc>
              <w:tc>
                <w:tcPr>
                  <w:tcW w:w="515"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0.0009</w:t>
                  </w:r>
                </w:p>
              </w:tc>
              <w:tc>
                <w:tcPr>
                  <w:tcW w:w="746"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0.0035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jc w:val="center"/>
              </w:trPr>
              <w:tc>
                <w:tcPr>
                  <w:tcW w:w="259"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水泥储罐1</w:t>
                  </w:r>
                </w:p>
              </w:tc>
              <w:tc>
                <w:tcPr>
                  <w:tcW w:w="259"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颗粒物</w:t>
                  </w:r>
                </w:p>
              </w:tc>
              <w:tc>
                <w:tcPr>
                  <w:tcW w:w="784"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48</w:t>
                  </w:r>
                </w:p>
              </w:tc>
              <w:tc>
                <w:tcPr>
                  <w:tcW w:w="420" w:type="pct"/>
                  <w:gridSpan w:val="2"/>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5625</w:t>
                  </w:r>
                </w:p>
              </w:tc>
              <w:tc>
                <w:tcPr>
                  <w:tcW w:w="387"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0.27</w:t>
                  </w:r>
                </w:p>
              </w:tc>
              <w:tc>
                <w:tcPr>
                  <w:tcW w:w="259" w:type="pct"/>
                  <w:vMerge w:val="continue"/>
                  <w:vAlign w:val="center"/>
                </w:tcPr>
                <w:p>
                  <w:pPr>
                    <w:snapToGrid w:val="0"/>
                    <w:jc w:val="center"/>
                    <w:rPr>
                      <w:rFonts w:hint="eastAsia" w:asciiTheme="minorEastAsia" w:hAnsiTheme="minorEastAsia" w:eastAsiaTheme="minorEastAsia"/>
                      <w:sz w:val="21"/>
                      <w:szCs w:val="21"/>
                    </w:rPr>
                  </w:pPr>
                </w:p>
              </w:tc>
              <w:tc>
                <w:tcPr>
                  <w:tcW w:w="259"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袋式除尘器</w:t>
                  </w:r>
                </w:p>
              </w:tc>
              <w:tc>
                <w:tcPr>
                  <w:tcW w:w="387" w:type="pct"/>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9</w:t>
                  </w:r>
                  <w:r>
                    <w:rPr>
                      <w:rFonts w:hint="eastAsia" w:asciiTheme="minorEastAsia" w:hAnsiTheme="minorEastAsia" w:eastAsiaTheme="minorEastAsia"/>
                      <w:sz w:val="21"/>
                      <w:szCs w:val="21"/>
                    </w:rPr>
                    <w:t>9.7</w:t>
                  </w:r>
                </w:p>
              </w:tc>
              <w:tc>
                <w:tcPr>
                  <w:tcW w:w="273" w:type="pct"/>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是</w:t>
                  </w:r>
                </w:p>
              </w:tc>
              <w:tc>
                <w:tcPr>
                  <w:tcW w:w="451"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16.88</w:t>
                  </w:r>
                </w:p>
              </w:tc>
              <w:tc>
                <w:tcPr>
                  <w:tcW w:w="515"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0.0008</w:t>
                  </w:r>
                </w:p>
              </w:tc>
              <w:tc>
                <w:tcPr>
                  <w:tcW w:w="746"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0.0031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jc w:val="center"/>
              </w:trPr>
              <w:tc>
                <w:tcPr>
                  <w:tcW w:w="259"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水泥储罐2</w:t>
                  </w:r>
                </w:p>
              </w:tc>
              <w:tc>
                <w:tcPr>
                  <w:tcW w:w="259"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颗粒物</w:t>
                  </w:r>
                </w:p>
              </w:tc>
              <w:tc>
                <w:tcPr>
                  <w:tcW w:w="784"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48</w:t>
                  </w:r>
                </w:p>
              </w:tc>
              <w:tc>
                <w:tcPr>
                  <w:tcW w:w="420" w:type="pct"/>
                  <w:gridSpan w:val="2"/>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5625</w:t>
                  </w:r>
                </w:p>
              </w:tc>
              <w:tc>
                <w:tcPr>
                  <w:tcW w:w="387"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0.27</w:t>
                  </w:r>
                </w:p>
              </w:tc>
              <w:tc>
                <w:tcPr>
                  <w:tcW w:w="259" w:type="pct"/>
                  <w:vMerge w:val="continue"/>
                  <w:vAlign w:val="center"/>
                </w:tcPr>
                <w:p>
                  <w:pPr>
                    <w:snapToGrid w:val="0"/>
                    <w:jc w:val="center"/>
                    <w:rPr>
                      <w:rFonts w:hint="eastAsia" w:asciiTheme="minorEastAsia" w:hAnsiTheme="minorEastAsia" w:eastAsiaTheme="minorEastAsia"/>
                      <w:sz w:val="21"/>
                      <w:szCs w:val="21"/>
                    </w:rPr>
                  </w:pPr>
                </w:p>
              </w:tc>
              <w:tc>
                <w:tcPr>
                  <w:tcW w:w="259"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袋式除尘器</w:t>
                  </w:r>
                </w:p>
              </w:tc>
              <w:tc>
                <w:tcPr>
                  <w:tcW w:w="387" w:type="pct"/>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9</w:t>
                  </w:r>
                  <w:r>
                    <w:rPr>
                      <w:rFonts w:hint="eastAsia" w:asciiTheme="minorEastAsia" w:hAnsiTheme="minorEastAsia" w:eastAsiaTheme="minorEastAsia"/>
                      <w:sz w:val="21"/>
                      <w:szCs w:val="21"/>
                    </w:rPr>
                    <w:t>9.7</w:t>
                  </w:r>
                </w:p>
              </w:tc>
              <w:tc>
                <w:tcPr>
                  <w:tcW w:w="273" w:type="pct"/>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是</w:t>
                  </w:r>
                </w:p>
              </w:tc>
              <w:tc>
                <w:tcPr>
                  <w:tcW w:w="451"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16.88</w:t>
                  </w:r>
                </w:p>
              </w:tc>
              <w:tc>
                <w:tcPr>
                  <w:tcW w:w="515"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0.0008</w:t>
                  </w:r>
                </w:p>
              </w:tc>
              <w:tc>
                <w:tcPr>
                  <w:tcW w:w="746"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0.0031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259" w:type="pct"/>
                  <w:vMerge w:val="restart"/>
                  <w:vAlign w:val="center"/>
                </w:tcPr>
                <w:p>
                  <w:pPr>
                    <w:snapToGrid w:val="0"/>
                    <w:jc w:val="center"/>
                    <w:rPr>
                      <w:rFonts w:hint="eastAsia" w:asciiTheme="minorEastAsia" w:hAnsiTheme="minorEastAsia" w:eastAsiaTheme="minorEastAsia"/>
                      <w:spacing w:val="-30"/>
                      <w:sz w:val="21"/>
                      <w:szCs w:val="21"/>
                    </w:rPr>
                  </w:pPr>
                  <w:r>
                    <w:rPr>
                      <w:rFonts w:asciiTheme="minorEastAsia" w:hAnsiTheme="minorEastAsia" w:eastAsiaTheme="minorEastAsia"/>
                      <w:sz w:val="21"/>
                      <w:szCs w:val="21"/>
                    </w:rPr>
                    <w:t>排放标准</w:t>
                  </w:r>
                </w:p>
              </w:tc>
              <w:tc>
                <w:tcPr>
                  <w:tcW w:w="3029" w:type="pct"/>
                  <w:gridSpan w:val="9"/>
                  <w:vAlign w:val="center"/>
                </w:tcPr>
                <w:p>
                  <w:pPr>
                    <w:snapToGrid w:val="0"/>
                    <w:jc w:val="center"/>
                    <w:rPr>
                      <w:rFonts w:hint="eastAsia" w:asciiTheme="minorEastAsia" w:hAnsiTheme="minorEastAsia" w:eastAsiaTheme="minorEastAsia"/>
                      <w:spacing w:val="-30"/>
                      <w:sz w:val="21"/>
                      <w:szCs w:val="21"/>
                    </w:rPr>
                  </w:pPr>
                  <w:r>
                    <w:rPr>
                      <w:rFonts w:hint="eastAsia" w:asciiTheme="minorEastAsia" w:hAnsiTheme="minorEastAsia" w:eastAsiaTheme="minorEastAsia"/>
                      <w:bCs/>
                      <w:sz w:val="21"/>
                      <w:szCs w:val="21"/>
                    </w:rPr>
                    <w:t>《水泥工业大气污染物排放标准》（GB4915-2013）</w:t>
                  </w:r>
                </w:p>
              </w:tc>
              <w:tc>
                <w:tcPr>
                  <w:tcW w:w="451"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20</w:t>
                  </w:r>
                </w:p>
              </w:tc>
              <w:tc>
                <w:tcPr>
                  <w:tcW w:w="1261" w:type="pct"/>
                  <w:gridSpan w:val="2"/>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259" w:type="pct"/>
                  <w:vMerge w:val="continue"/>
                  <w:vAlign w:val="center"/>
                </w:tcPr>
                <w:p>
                  <w:pPr>
                    <w:snapToGrid w:val="0"/>
                    <w:jc w:val="center"/>
                    <w:rPr>
                      <w:rFonts w:hint="eastAsia" w:asciiTheme="minorEastAsia" w:hAnsiTheme="minorEastAsia" w:eastAsiaTheme="minorEastAsia"/>
                      <w:sz w:val="21"/>
                      <w:szCs w:val="21"/>
                    </w:rPr>
                  </w:pPr>
                </w:p>
              </w:tc>
              <w:tc>
                <w:tcPr>
                  <w:tcW w:w="3029" w:type="pct"/>
                  <w:gridSpan w:val="9"/>
                  <w:vAlign w:val="center"/>
                </w:tcPr>
                <w:p>
                  <w:pPr>
                    <w:snapToGrid w:val="0"/>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无组织厂界浓度</w:t>
                  </w:r>
                </w:p>
              </w:tc>
              <w:tc>
                <w:tcPr>
                  <w:tcW w:w="451"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0.5</w:t>
                  </w:r>
                </w:p>
              </w:tc>
              <w:tc>
                <w:tcPr>
                  <w:tcW w:w="1261" w:type="pct"/>
                  <w:gridSpan w:val="2"/>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259" w:type="pct"/>
                  <w:vMerge w:val="continue"/>
                  <w:vAlign w:val="center"/>
                </w:tcPr>
                <w:p>
                  <w:pPr>
                    <w:snapToGrid w:val="0"/>
                    <w:jc w:val="center"/>
                    <w:rPr>
                      <w:rFonts w:hint="eastAsia" w:asciiTheme="minorEastAsia" w:hAnsiTheme="minorEastAsia" w:eastAsiaTheme="minorEastAsia"/>
                      <w:sz w:val="21"/>
                      <w:szCs w:val="21"/>
                    </w:rPr>
                  </w:pPr>
                </w:p>
              </w:tc>
              <w:tc>
                <w:tcPr>
                  <w:tcW w:w="3029" w:type="pct"/>
                  <w:gridSpan w:val="9"/>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达标情况</w:t>
                  </w:r>
                </w:p>
              </w:tc>
              <w:tc>
                <w:tcPr>
                  <w:tcW w:w="451"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达标</w:t>
                  </w:r>
                </w:p>
              </w:tc>
              <w:tc>
                <w:tcPr>
                  <w:tcW w:w="1261" w:type="pct"/>
                  <w:gridSpan w:val="2"/>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5000" w:type="pct"/>
                  <w:gridSpan w:val="13"/>
                  <w:vAlign w:val="center"/>
                </w:tcPr>
                <w:p>
                  <w:pPr>
                    <w:snapToGrid w:val="0"/>
                    <w:jc w:val="center"/>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监测要求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518" w:type="pct"/>
                  <w:gridSpan w:val="2"/>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监测点位</w:t>
                  </w:r>
                </w:p>
              </w:tc>
              <w:tc>
                <w:tcPr>
                  <w:tcW w:w="1110" w:type="pct"/>
                  <w:gridSpan w:val="2"/>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厂界</w:t>
                  </w:r>
                </w:p>
              </w:tc>
              <w:tc>
                <w:tcPr>
                  <w:tcW w:w="741" w:type="pct"/>
                  <w:gridSpan w:val="3"/>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监测因子</w:t>
                  </w:r>
                </w:p>
              </w:tc>
              <w:tc>
                <w:tcPr>
                  <w:tcW w:w="259"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颗粒物</w:t>
                  </w:r>
                </w:p>
              </w:tc>
              <w:tc>
                <w:tcPr>
                  <w:tcW w:w="387"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监测频次</w:t>
                  </w:r>
                </w:p>
              </w:tc>
              <w:tc>
                <w:tcPr>
                  <w:tcW w:w="1985" w:type="pct"/>
                  <w:gridSpan w:val="4"/>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1次/季度</w:t>
                  </w:r>
                </w:p>
              </w:tc>
            </w:tr>
          </w:tbl>
          <w:p>
            <w:pPr>
              <w:snapToGrid w:val="0"/>
              <w:spacing w:line="360" w:lineRule="auto"/>
              <w:ind w:firstLine="393" w:firstLineChars="196"/>
              <w:rPr>
                <w:b/>
                <w:sz w:val="20"/>
                <w:szCs w:val="21"/>
              </w:rPr>
            </w:pPr>
            <w:r>
              <w:rPr>
                <w:rFonts w:hint="eastAsia"/>
                <w:b/>
                <w:sz w:val="20"/>
                <w:szCs w:val="21"/>
              </w:rPr>
              <w:t>备注：由于筒仓不具备监测条件，因此监测厂界。</w:t>
            </w:r>
          </w:p>
          <w:p>
            <w:pPr>
              <w:snapToGrid w:val="0"/>
              <w:spacing w:line="360" w:lineRule="auto"/>
              <w:ind w:firstLine="480" w:firstLineChars="200"/>
            </w:pPr>
          </w:p>
          <w:p>
            <w:pPr>
              <w:snapToGrid w:val="0"/>
              <w:spacing w:line="360" w:lineRule="auto"/>
              <w:ind w:firstLine="480" w:firstLineChars="200"/>
            </w:pPr>
            <w:r>
              <w:rPr>
                <w:rFonts w:hint="eastAsia"/>
              </w:rPr>
              <w:t>根据表4-2，原料输送、储存产生的颗粒物经布袋除尘器处理后颗粒物排放浓度符合</w:t>
            </w:r>
            <w:r>
              <w:rPr>
                <w:rFonts w:hint="eastAsia"/>
                <w:bCs/>
              </w:rPr>
              <w:t>《水泥工业大气污染物排放标准》（GB4915-2013）</w:t>
            </w:r>
            <w:r>
              <w:t>标准限值要求</w:t>
            </w:r>
            <w:r>
              <w:rPr>
                <w:rFonts w:hint="eastAsia"/>
              </w:rPr>
              <w:t>；由于筒仓不具备监测条件，因此，筒仓污染物排放按无组织进行监控，污染物排放量较小，厂界无组织颗粒物排放浓度可以满足</w:t>
            </w:r>
            <w:r>
              <w:rPr>
                <w:rFonts w:hint="eastAsia"/>
                <w:bCs/>
              </w:rPr>
              <w:t>《水泥工业大气污染物排放标准》（GB4915-2013）</w:t>
            </w:r>
            <w:r>
              <w:rPr>
                <w:rFonts w:hint="eastAsia"/>
              </w:rPr>
              <w:t>排放标准限值，</w:t>
            </w:r>
            <w:r>
              <w:t>可以做到达标排放</w:t>
            </w:r>
            <w:r>
              <w:rPr>
                <w:rFonts w:hint="eastAsia"/>
              </w:rPr>
              <w:t>。</w:t>
            </w:r>
          </w:p>
          <w:p>
            <w:pPr>
              <w:spacing w:line="360" w:lineRule="auto"/>
              <w:ind w:firstLine="481" w:firstLineChars="200"/>
              <w:rPr>
                <w:rFonts w:hint="eastAsia" w:asciiTheme="majorEastAsia" w:hAnsiTheme="majorEastAsia" w:eastAsiaTheme="majorEastAsia"/>
                <w:b/>
              </w:rPr>
            </w:pPr>
            <w:r>
              <w:rPr>
                <w:rFonts w:hint="eastAsia" w:asciiTheme="majorEastAsia" w:hAnsiTheme="majorEastAsia" w:eastAsiaTheme="majorEastAsia"/>
                <w:b/>
              </w:rPr>
              <w:t>（3）石料破碎工序废气</w:t>
            </w:r>
          </w:p>
          <w:p>
            <w:pPr>
              <w:pStyle w:val="11"/>
              <w:spacing w:before="0" w:beforeAutospacing="0" w:after="0" w:afterAutospacing="0"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根据</w:t>
            </w:r>
            <w:r>
              <w:rPr>
                <w:rFonts w:hint="eastAsia" w:asciiTheme="majorEastAsia" w:hAnsiTheme="majorEastAsia" w:eastAsiaTheme="majorEastAsia"/>
                <w:sz w:val="24"/>
                <w:szCs w:val="24"/>
                <w:lang w:eastAsia="zh-CN"/>
              </w:rPr>
              <w:t>生态环境部</w:t>
            </w:r>
            <w:r>
              <w:rPr>
                <w:rFonts w:asciiTheme="majorEastAsia" w:hAnsiTheme="majorEastAsia" w:eastAsiaTheme="majorEastAsia"/>
                <w:sz w:val="24"/>
                <w:szCs w:val="24"/>
              </w:rPr>
              <w:t>发布的</w:t>
            </w:r>
            <w:r>
              <w:rPr>
                <w:rFonts w:hint="eastAsia" w:asciiTheme="majorEastAsia" w:hAnsiTheme="majorEastAsia" w:eastAsiaTheme="majorEastAsia"/>
                <w:sz w:val="24"/>
                <w:szCs w:val="24"/>
              </w:rPr>
              <w:t>《排放源统计调查产排污核算方法和系数手册》</w:t>
            </w:r>
            <w:r>
              <w:rPr>
                <w:rFonts w:hint="eastAsia" w:asciiTheme="majorEastAsia" w:hAnsiTheme="majorEastAsia" w:eastAsiaTheme="majorEastAsia"/>
                <w:sz w:val="24"/>
              </w:rPr>
              <w:t>（公告2021年第24号）中《</w:t>
            </w:r>
            <w:r>
              <w:rPr>
                <w:rFonts w:asciiTheme="majorEastAsia" w:hAnsiTheme="majorEastAsia" w:eastAsiaTheme="majorEastAsia"/>
                <w:sz w:val="24"/>
              </w:rPr>
              <w:t>303砖瓦、石材等建筑材料制造行业系数手册</w:t>
            </w:r>
            <w:r>
              <w:rPr>
                <w:rFonts w:hint="eastAsia" w:asciiTheme="majorEastAsia" w:hAnsiTheme="majorEastAsia" w:eastAsiaTheme="majorEastAsia"/>
                <w:sz w:val="24"/>
              </w:rPr>
              <w:t>》</w:t>
            </w:r>
            <w:r>
              <w:rPr>
                <w:rFonts w:hint="eastAsia" w:asciiTheme="majorEastAsia" w:hAnsiTheme="majorEastAsia" w:eastAsiaTheme="majorEastAsia"/>
                <w:sz w:val="24"/>
                <w:szCs w:val="24"/>
              </w:rPr>
              <w:t>中“</w:t>
            </w:r>
            <w:r>
              <w:rPr>
                <w:rFonts w:hint="eastAsia" w:asciiTheme="majorEastAsia" w:hAnsiTheme="majorEastAsia" w:eastAsiaTheme="majorEastAsia"/>
                <w:sz w:val="24"/>
              </w:rPr>
              <w:t>3039其他建筑材料制造行业</w:t>
            </w:r>
            <w:r>
              <w:rPr>
                <w:rFonts w:hint="eastAsia" w:asciiTheme="majorEastAsia" w:hAnsiTheme="majorEastAsia" w:eastAsiaTheme="majorEastAsia"/>
                <w:sz w:val="24"/>
                <w:szCs w:val="24"/>
              </w:rPr>
              <w:t>”</w:t>
            </w:r>
            <w:r>
              <w:rPr>
                <w:rFonts w:asciiTheme="majorEastAsia" w:hAnsiTheme="majorEastAsia" w:eastAsiaTheme="majorEastAsia"/>
                <w:sz w:val="24"/>
                <w:szCs w:val="24"/>
              </w:rPr>
              <w:t>的物料</w:t>
            </w:r>
            <w:r>
              <w:rPr>
                <w:rFonts w:hint="eastAsia" w:asciiTheme="majorEastAsia" w:hAnsiTheme="majorEastAsia" w:eastAsiaTheme="majorEastAsia"/>
                <w:sz w:val="24"/>
                <w:szCs w:val="24"/>
              </w:rPr>
              <w:t>破碎</w:t>
            </w:r>
            <w:r>
              <w:rPr>
                <w:rFonts w:asciiTheme="majorEastAsia" w:hAnsiTheme="majorEastAsia" w:eastAsiaTheme="majorEastAsia"/>
                <w:sz w:val="24"/>
                <w:szCs w:val="24"/>
              </w:rPr>
              <w:t>产污系数对</w:t>
            </w:r>
            <w:r>
              <w:rPr>
                <w:rFonts w:hint="eastAsia" w:asciiTheme="majorEastAsia" w:hAnsiTheme="majorEastAsia" w:eastAsiaTheme="majorEastAsia"/>
                <w:sz w:val="24"/>
                <w:szCs w:val="24"/>
              </w:rPr>
              <w:t>本项目破碎颗粒物</w:t>
            </w:r>
            <w:r>
              <w:rPr>
                <w:rFonts w:asciiTheme="majorEastAsia" w:hAnsiTheme="majorEastAsia" w:eastAsiaTheme="majorEastAsia"/>
                <w:sz w:val="24"/>
                <w:szCs w:val="24"/>
              </w:rPr>
              <w:t>排放量进行</w:t>
            </w:r>
            <w:r>
              <w:rPr>
                <w:rFonts w:hint="eastAsia" w:asciiTheme="majorEastAsia" w:hAnsiTheme="majorEastAsia" w:eastAsiaTheme="majorEastAsia"/>
                <w:sz w:val="24"/>
                <w:szCs w:val="24"/>
              </w:rPr>
              <w:t>核算。</w:t>
            </w:r>
          </w:p>
          <w:p>
            <w:pPr>
              <w:snapToGrid w:val="0"/>
              <w:spacing w:line="360" w:lineRule="auto"/>
              <w:ind w:firstLine="480" w:firstLineChars="200"/>
              <w:rPr>
                <w:rFonts w:hint="eastAsia" w:asciiTheme="majorEastAsia" w:hAnsiTheme="majorEastAsia" w:eastAsiaTheme="majorEastAsia"/>
              </w:rPr>
            </w:pPr>
            <w:r>
              <w:rPr>
                <w:rFonts w:hint="eastAsia" w:asciiTheme="majorEastAsia" w:hAnsiTheme="majorEastAsia" w:eastAsiaTheme="majorEastAsia"/>
              </w:rPr>
              <w:t>颗粒物产污系数为</w:t>
            </w:r>
            <w:r>
              <w:rPr>
                <w:rFonts w:hint="eastAsia"/>
              </w:rPr>
              <w:t>1.89kg/t</w:t>
            </w:r>
            <w:r>
              <w:rPr>
                <w:rFonts w:hint="eastAsia" w:asciiTheme="majorEastAsia" w:hAnsiTheme="majorEastAsia" w:eastAsiaTheme="majorEastAsia"/>
              </w:rPr>
              <w:t>-产品，工业废气量1215Nm</w:t>
            </w:r>
            <w:r>
              <w:rPr>
                <w:rFonts w:hint="eastAsia" w:asciiTheme="majorEastAsia" w:hAnsiTheme="majorEastAsia" w:eastAsiaTheme="majorEastAsia"/>
                <w:vertAlign w:val="superscript"/>
              </w:rPr>
              <w:t>3</w:t>
            </w:r>
            <w:r>
              <w:rPr>
                <w:rFonts w:hint="eastAsia" w:asciiTheme="majorEastAsia" w:hAnsiTheme="majorEastAsia" w:eastAsiaTheme="majorEastAsia"/>
              </w:rPr>
              <w:t>/t-产品。</w:t>
            </w:r>
          </w:p>
          <w:p>
            <w:pPr>
              <w:spacing w:line="360" w:lineRule="auto"/>
              <w:ind w:left="240" w:leftChars="100" w:firstLine="230" w:firstLineChars="96"/>
            </w:pPr>
            <w:r>
              <w:rPr>
                <w:rFonts w:hint="eastAsia"/>
              </w:rPr>
              <w:t>项目石料年用量为91000t，则石料破碎工序颗粒物产生量为171.99t/a；石料破碎粉尘经布袋除尘器处理后由1根15m高排气筒排放；布袋除尘器去除效率为99%，则颗粒物排放量为1.72t/a。</w:t>
            </w:r>
          </w:p>
          <w:p>
            <w:pPr>
              <w:spacing w:line="360" w:lineRule="auto"/>
              <w:ind w:firstLine="480" w:firstLineChars="200"/>
              <w:rPr>
                <w:rFonts w:hint="eastAsia" w:asciiTheme="majorEastAsia" w:hAnsiTheme="majorEastAsia" w:eastAsiaTheme="majorEastAsia"/>
              </w:rPr>
            </w:pPr>
            <w:r>
              <w:rPr>
                <w:rFonts w:hint="eastAsia" w:asciiTheme="majorEastAsia" w:hAnsiTheme="majorEastAsia" w:eastAsiaTheme="majorEastAsia"/>
              </w:rPr>
              <w:t>项目石料破碎颗粒物产排情况见表4-3。</w:t>
            </w:r>
          </w:p>
          <w:p>
            <w:pPr>
              <w:pStyle w:val="11"/>
              <w:tabs>
                <w:tab w:val="left" w:pos="2612"/>
              </w:tabs>
              <w:spacing w:before="0" w:beforeAutospacing="0" w:after="0" w:afterAutospacing="0" w:line="360" w:lineRule="auto"/>
              <w:ind w:firstLine="481" w:firstLineChars="200"/>
              <w:rPr>
                <w:rFonts w:hint="eastAsia" w:asciiTheme="minorEastAsia" w:hAnsiTheme="minorEastAsia" w:eastAsiaTheme="minorEastAsia"/>
                <w:b/>
                <w:bCs/>
                <w:sz w:val="24"/>
                <w:szCs w:val="24"/>
              </w:rPr>
            </w:pPr>
          </w:p>
          <w:p>
            <w:pPr>
              <w:pStyle w:val="11"/>
              <w:tabs>
                <w:tab w:val="left" w:pos="2612"/>
              </w:tabs>
              <w:spacing w:before="0" w:beforeAutospacing="0" w:after="0" w:afterAutospacing="0"/>
              <w:ind w:firstLine="1074" w:firstLineChars="446"/>
              <w:rPr>
                <w:rFonts w:hint="eastAsia" w:ascii="Times New Roman"/>
                <w:b/>
                <w:bCs/>
                <w:sz w:val="24"/>
                <w:szCs w:val="24"/>
              </w:rPr>
            </w:pPr>
            <w:r>
              <w:rPr>
                <w:rFonts w:hint="eastAsia" w:ascii="Times New Roman"/>
                <w:b/>
                <w:bCs/>
                <w:sz w:val="24"/>
                <w:szCs w:val="24"/>
              </w:rPr>
              <w:t xml:space="preserve">表4-3       </w:t>
            </w:r>
            <w:r>
              <w:rPr>
                <w:rFonts w:ascii="Times New Roman"/>
                <w:b/>
                <w:bCs/>
                <w:sz w:val="24"/>
                <w:szCs w:val="24"/>
              </w:rPr>
              <w:t xml:space="preserve"> </w:t>
            </w:r>
            <w:r>
              <w:rPr>
                <w:rFonts w:hint="eastAsia" w:ascii="Times New Roman"/>
                <w:b/>
                <w:sz w:val="24"/>
                <w:szCs w:val="24"/>
              </w:rPr>
              <w:t>石料破碎颗粒物</w:t>
            </w:r>
            <w:r>
              <w:rPr>
                <w:rFonts w:hint="eastAsia" w:ascii="Times New Roman"/>
                <w:b/>
                <w:bCs/>
                <w:sz w:val="24"/>
                <w:szCs w:val="24"/>
              </w:rPr>
              <w:t>产排情况一览表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
              <w:gridCol w:w="163"/>
              <w:gridCol w:w="231"/>
              <w:gridCol w:w="193"/>
              <w:gridCol w:w="792"/>
              <w:gridCol w:w="380"/>
              <w:gridCol w:w="584"/>
              <w:gridCol w:w="734"/>
              <w:gridCol w:w="397"/>
              <w:gridCol w:w="117"/>
              <w:gridCol w:w="278"/>
              <w:gridCol w:w="397"/>
              <w:gridCol w:w="389"/>
              <w:gridCol w:w="176"/>
              <w:gridCol w:w="317"/>
              <w:gridCol w:w="252"/>
              <w:gridCol w:w="224"/>
              <w:gridCol w:w="397"/>
              <w:gridCol w:w="824"/>
              <w:gridCol w:w="619"/>
              <w:gridCol w:w="6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344" w:type="pct"/>
                  <w:gridSpan w:val="2"/>
                  <w:vMerge w:val="restart"/>
                  <w:vAlign w:val="center"/>
                </w:tcPr>
                <w:p>
                  <w:pPr>
                    <w:snapToGrid w:val="0"/>
                    <w:jc w:val="center"/>
                    <w:rPr>
                      <w:sz w:val="21"/>
                      <w:szCs w:val="21"/>
                    </w:rPr>
                  </w:pPr>
                  <w:r>
                    <w:rPr>
                      <w:rFonts w:hint="eastAsia"/>
                      <w:sz w:val="21"/>
                      <w:szCs w:val="21"/>
                    </w:rPr>
                    <w:t>产污</w:t>
                  </w:r>
                  <w:r>
                    <w:rPr>
                      <w:sz w:val="21"/>
                      <w:szCs w:val="21"/>
                    </w:rPr>
                    <w:t>环节</w:t>
                  </w:r>
                </w:p>
              </w:tc>
              <w:tc>
                <w:tcPr>
                  <w:tcW w:w="253" w:type="pct"/>
                  <w:gridSpan w:val="2"/>
                  <w:vMerge w:val="restart"/>
                  <w:vAlign w:val="center"/>
                </w:tcPr>
                <w:p>
                  <w:pPr>
                    <w:snapToGrid w:val="0"/>
                    <w:jc w:val="center"/>
                    <w:rPr>
                      <w:sz w:val="21"/>
                      <w:szCs w:val="21"/>
                    </w:rPr>
                  </w:pPr>
                  <w:r>
                    <w:rPr>
                      <w:sz w:val="21"/>
                      <w:szCs w:val="21"/>
                    </w:rPr>
                    <w:t>污染物</w:t>
                  </w:r>
                </w:p>
              </w:tc>
              <w:tc>
                <w:tcPr>
                  <w:tcW w:w="438" w:type="pct"/>
                  <w:vMerge w:val="restart"/>
                  <w:vAlign w:val="center"/>
                </w:tcPr>
                <w:p>
                  <w:pPr>
                    <w:snapToGrid w:val="0"/>
                    <w:jc w:val="center"/>
                    <w:rPr>
                      <w:sz w:val="21"/>
                      <w:szCs w:val="21"/>
                    </w:rPr>
                  </w:pPr>
                  <w:r>
                    <w:rPr>
                      <w:sz w:val="21"/>
                      <w:szCs w:val="21"/>
                    </w:rPr>
                    <w:t>风机风量m</w:t>
                  </w:r>
                  <w:r>
                    <w:rPr>
                      <w:sz w:val="21"/>
                      <w:szCs w:val="21"/>
                      <w:vertAlign w:val="superscript"/>
                    </w:rPr>
                    <w:t>3</w:t>
                  </w:r>
                  <w:r>
                    <w:rPr>
                      <w:sz w:val="21"/>
                      <w:szCs w:val="21"/>
                    </w:rPr>
                    <w:t>/h</w:t>
                  </w:r>
                </w:p>
              </w:tc>
              <w:tc>
                <w:tcPr>
                  <w:tcW w:w="532" w:type="pct"/>
                  <w:gridSpan w:val="2"/>
                  <w:vAlign w:val="center"/>
                </w:tcPr>
                <w:p>
                  <w:pPr>
                    <w:snapToGrid w:val="0"/>
                    <w:jc w:val="center"/>
                    <w:rPr>
                      <w:sz w:val="21"/>
                      <w:szCs w:val="21"/>
                    </w:rPr>
                  </w:pPr>
                  <w:r>
                    <w:rPr>
                      <w:sz w:val="21"/>
                      <w:szCs w:val="21"/>
                    </w:rPr>
                    <w:t>污染物产生</w:t>
                  </w:r>
                </w:p>
              </w:tc>
              <w:tc>
                <w:tcPr>
                  <w:tcW w:w="724" w:type="pct"/>
                  <w:gridSpan w:val="3"/>
                  <w:vAlign w:val="center"/>
                </w:tcPr>
                <w:p>
                  <w:pPr>
                    <w:snapToGrid w:val="0"/>
                    <w:jc w:val="center"/>
                    <w:rPr>
                      <w:sz w:val="21"/>
                      <w:szCs w:val="21"/>
                    </w:rPr>
                  </w:pPr>
                  <w:r>
                    <w:rPr>
                      <w:rFonts w:hint="eastAsia"/>
                      <w:sz w:val="21"/>
                      <w:szCs w:val="21"/>
                    </w:rPr>
                    <w:t>排放形式</w:t>
                  </w:r>
                </w:p>
              </w:tc>
              <w:tc>
                <w:tcPr>
                  <w:tcW w:w="1390" w:type="pct"/>
                  <w:gridSpan w:val="8"/>
                  <w:vAlign w:val="center"/>
                </w:tcPr>
                <w:p>
                  <w:pPr>
                    <w:snapToGrid w:val="0"/>
                    <w:jc w:val="center"/>
                    <w:rPr>
                      <w:sz w:val="21"/>
                      <w:szCs w:val="21"/>
                    </w:rPr>
                  </w:pPr>
                  <w:r>
                    <w:rPr>
                      <w:sz w:val="21"/>
                      <w:szCs w:val="21"/>
                    </w:rPr>
                    <w:t>处理措施</w:t>
                  </w:r>
                </w:p>
              </w:tc>
              <w:tc>
                <w:tcPr>
                  <w:tcW w:w="1319" w:type="pct"/>
                  <w:gridSpan w:val="3"/>
                  <w:vAlign w:val="center"/>
                </w:tcPr>
                <w:p>
                  <w:pPr>
                    <w:snapToGrid w:val="0"/>
                    <w:jc w:val="center"/>
                    <w:rPr>
                      <w:sz w:val="21"/>
                      <w:szCs w:val="21"/>
                    </w:rPr>
                  </w:pPr>
                  <w:r>
                    <w:rPr>
                      <w:sz w:val="21"/>
                      <w:szCs w:val="21"/>
                    </w:rPr>
                    <w:t>污染物排放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1" w:hRule="atLeast"/>
                <w:jc w:val="center"/>
              </w:trPr>
              <w:tc>
                <w:tcPr>
                  <w:tcW w:w="344" w:type="pct"/>
                  <w:gridSpan w:val="2"/>
                  <w:vMerge w:val="continue"/>
                  <w:vAlign w:val="center"/>
                </w:tcPr>
                <w:p>
                  <w:pPr>
                    <w:snapToGrid w:val="0"/>
                    <w:jc w:val="center"/>
                    <w:rPr>
                      <w:sz w:val="21"/>
                      <w:szCs w:val="21"/>
                    </w:rPr>
                  </w:pPr>
                </w:p>
              </w:tc>
              <w:tc>
                <w:tcPr>
                  <w:tcW w:w="253" w:type="pct"/>
                  <w:gridSpan w:val="2"/>
                  <w:vMerge w:val="continue"/>
                  <w:vAlign w:val="center"/>
                </w:tcPr>
                <w:p>
                  <w:pPr>
                    <w:snapToGrid w:val="0"/>
                    <w:jc w:val="center"/>
                    <w:rPr>
                      <w:sz w:val="21"/>
                      <w:szCs w:val="21"/>
                    </w:rPr>
                  </w:pPr>
                </w:p>
              </w:tc>
              <w:tc>
                <w:tcPr>
                  <w:tcW w:w="438" w:type="pct"/>
                  <w:vMerge w:val="continue"/>
                  <w:vAlign w:val="center"/>
                </w:tcPr>
                <w:p>
                  <w:pPr>
                    <w:snapToGrid w:val="0"/>
                    <w:jc w:val="center"/>
                    <w:rPr>
                      <w:sz w:val="21"/>
                      <w:szCs w:val="21"/>
                    </w:rPr>
                  </w:pPr>
                </w:p>
              </w:tc>
              <w:tc>
                <w:tcPr>
                  <w:tcW w:w="532" w:type="pct"/>
                  <w:gridSpan w:val="2"/>
                  <w:vAlign w:val="center"/>
                </w:tcPr>
                <w:p>
                  <w:pPr>
                    <w:snapToGrid w:val="0"/>
                    <w:jc w:val="center"/>
                    <w:rPr>
                      <w:sz w:val="21"/>
                      <w:szCs w:val="21"/>
                    </w:rPr>
                  </w:pPr>
                  <w:r>
                    <w:rPr>
                      <w:sz w:val="21"/>
                      <w:szCs w:val="21"/>
                    </w:rPr>
                    <w:t>产生浓度mg/m</w:t>
                  </w:r>
                  <w:r>
                    <w:rPr>
                      <w:sz w:val="21"/>
                      <w:szCs w:val="21"/>
                      <w:vertAlign w:val="superscript"/>
                    </w:rPr>
                    <w:t>3</w:t>
                  </w:r>
                </w:p>
              </w:tc>
              <w:tc>
                <w:tcPr>
                  <w:tcW w:w="408" w:type="pct"/>
                  <w:vAlign w:val="center"/>
                </w:tcPr>
                <w:p>
                  <w:pPr>
                    <w:snapToGrid w:val="0"/>
                    <w:jc w:val="center"/>
                    <w:rPr>
                      <w:sz w:val="21"/>
                      <w:szCs w:val="21"/>
                    </w:rPr>
                  </w:pPr>
                  <w:r>
                    <w:rPr>
                      <w:sz w:val="21"/>
                      <w:szCs w:val="21"/>
                    </w:rPr>
                    <w:t>产生</w:t>
                  </w:r>
                  <w:r>
                    <w:rPr>
                      <w:rFonts w:hint="eastAsia"/>
                      <w:sz w:val="21"/>
                      <w:szCs w:val="21"/>
                    </w:rPr>
                    <w:t>速率</w:t>
                  </w:r>
                  <w:r>
                    <w:rPr>
                      <w:sz w:val="21"/>
                      <w:szCs w:val="21"/>
                    </w:rPr>
                    <w:t>kg/h</w:t>
                  </w:r>
                </w:p>
              </w:tc>
              <w:tc>
                <w:tcPr>
                  <w:tcW w:w="316" w:type="pct"/>
                  <w:gridSpan w:val="2"/>
                  <w:vMerge w:val="restart"/>
                  <w:vAlign w:val="center"/>
                </w:tcPr>
                <w:p>
                  <w:pPr>
                    <w:snapToGrid w:val="0"/>
                    <w:jc w:val="center"/>
                    <w:rPr>
                      <w:sz w:val="21"/>
                      <w:szCs w:val="21"/>
                    </w:rPr>
                  </w:pPr>
                  <w:r>
                    <w:rPr>
                      <w:sz w:val="21"/>
                      <w:szCs w:val="21"/>
                    </w:rPr>
                    <w:t>有组织</w:t>
                  </w:r>
                </w:p>
              </w:tc>
              <w:tc>
                <w:tcPr>
                  <w:tcW w:w="739" w:type="pct"/>
                  <w:gridSpan w:val="4"/>
                  <w:vAlign w:val="center"/>
                </w:tcPr>
                <w:p>
                  <w:pPr>
                    <w:snapToGrid w:val="0"/>
                    <w:jc w:val="center"/>
                    <w:rPr>
                      <w:sz w:val="21"/>
                      <w:szCs w:val="21"/>
                    </w:rPr>
                  </w:pPr>
                  <w:r>
                    <w:rPr>
                      <w:sz w:val="21"/>
                      <w:szCs w:val="21"/>
                    </w:rPr>
                    <w:t>工艺</w:t>
                  </w:r>
                </w:p>
              </w:tc>
              <w:tc>
                <w:tcPr>
                  <w:tcW w:w="253" w:type="pct"/>
                  <w:gridSpan w:val="2"/>
                  <w:vAlign w:val="center"/>
                </w:tcPr>
                <w:p>
                  <w:pPr>
                    <w:snapToGrid w:val="0"/>
                    <w:jc w:val="center"/>
                    <w:rPr>
                      <w:sz w:val="21"/>
                      <w:szCs w:val="21"/>
                    </w:rPr>
                  </w:pPr>
                  <w:r>
                    <w:rPr>
                      <w:sz w:val="21"/>
                      <w:szCs w:val="21"/>
                    </w:rPr>
                    <w:t>效率%</w:t>
                  </w:r>
                </w:p>
              </w:tc>
              <w:tc>
                <w:tcPr>
                  <w:tcW w:w="396" w:type="pct"/>
                  <w:gridSpan w:val="2"/>
                  <w:vAlign w:val="center"/>
                </w:tcPr>
                <w:p>
                  <w:pPr>
                    <w:snapToGrid w:val="0"/>
                    <w:jc w:val="center"/>
                    <w:rPr>
                      <w:sz w:val="21"/>
                      <w:szCs w:val="21"/>
                    </w:rPr>
                  </w:pPr>
                  <w:r>
                    <w:rPr>
                      <w:sz w:val="21"/>
                      <w:szCs w:val="21"/>
                    </w:rPr>
                    <w:t>是否为可行性技术</w:t>
                  </w:r>
                </w:p>
              </w:tc>
              <w:tc>
                <w:tcPr>
                  <w:tcW w:w="459" w:type="pct"/>
                  <w:vAlign w:val="center"/>
                </w:tcPr>
                <w:p>
                  <w:pPr>
                    <w:snapToGrid w:val="0"/>
                    <w:jc w:val="center"/>
                    <w:rPr>
                      <w:sz w:val="21"/>
                      <w:szCs w:val="21"/>
                    </w:rPr>
                  </w:pPr>
                  <w:r>
                    <w:rPr>
                      <w:sz w:val="21"/>
                      <w:szCs w:val="21"/>
                    </w:rPr>
                    <w:t>排放浓度</w:t>
                  </w:r>
                </w:p>
                <w:p>
                  <w:pPr>
                    <w:snapToGrid w:val="0"/>
                    <w:jc w:val="center"/>
                    <w:rPr>
                      <w:sz w:val="21"/>
                      <w:szCs w:val="21"/>
                    </w:rPr>
                  </w:pPr>
                  <w:r>
                    <w:rPr>
                      <w:sz w:val="21"/>
                      <w:szCs w:val="21"/>
                    </w:rPr>
                    <w:t>mg/m</w:t>
                  </w:r>
                  <w:r>
                    <w:rPr>
                      <w:sz w:val="21"/>
                      <w:szCs w:val="21"/>
                      <w:vertAlign w:val="superscript"/>
                    </w:rPr>
                    <w:t>3</w:t>
                  </w:r>
                </w:p>
              </w:tc>
              <w:tc>
                <w:tcPr>
                  <w:tcW w:w="349" w:type="pct"/>
                  <w:vAlign w:val="center"/>
                </w:tcPr>
                <w:p>
                  <w:pPr>
                    <w:snapToGrid w:val="0"/>
                    <w:jc w:val="center"/>
                    <w:rPr>
                      <w:sz w:val="21"/>
                      <w:szCs w:val="21"/>
                    </w:rPr>
                  </w:pPr>
                  <w:r>
                    <w:rPr>
                      <w:sz w:val="21"/>
                      <w:szCs w:val="21"/>
                    </w:rPr>
                    <w:t>排放</w:t>
                  </w:r>
                  <w:r>
                    <w:rPr>
                      <w:rFonts w:hint="eastAsia"/>
                      <w:sz w:val="21"/>
                      <w:szCs w:val="21"/>
                    </w:rPr>
                    <w:t>速率</w:t>
                  </w:r>
                </w:p>
                <w:p>
                  <w:pPr>
                    <w:snapToGrid w:val="0"/>
                    <w:jc w:val="center"/>
                    <w:rPr>
                      <w:sz w:val="21"/>
                      <w:szCs w:val="21"/>
                    </w:rPr>
                  </w:pPr>
                  <w:r>
                    <w:rPr>
                      <w:sz w:val="21"/>
                      <w:szCs w:val="21"/>
                    </w:rPr>
                    <w:t>kg/h</w:t>
                  </w:r>
                </w:p>
              </w:tc>
              <w:tc>
                <w:tcPr>
                  <w:tcW w:w="512" w:type="pct"/>
                  <w:vAlign w:val="center"/>
                </w:tcPr>
                <w:p>
                  <w:pPr>
                    <w:snapToGrid w:val="0"/>
                    <w:jc w:val="center"/>
                    <w:rPr>
                      <w:sz w:val="21"/>
                      <w:szCs w:val="21"/>
                    </w:rPr>
                  </w:pPr>
                  <w:r>
                    <w:rPr>
                      <w:sz w:val="21"/>
                      <w:szCs w:val="21"/>
                    </w:rPr>
                    <w:t>排放量t/a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jc w:val="center"/>
              </w:trPr>
              <w:tc>
                <w:tcPr>
                  <w:tcW w:w="344" w:type="pct"/>
                  <w:gridSpan w:val="2"/>
                  <w:vAlign w:val="center"/>
                </w:tcPr>
                <w:p>
                  <w:pPr>
                    <w:snapToGrid w:val="0"/>
                    <w:jc w:val="center"/>
                    <w:rPr>
                      <w:sz w:val="21"/>
                      <w:szCs w:val="21"/>
                    </w:rPr>
                  </w:pPr>
                  <w:r>
                    <w:rPr>
                      <w:rFonts w:hint="eastAsia"/>
                      <w:sz w:val="21"/>
                      <w:szCs w:val="21"/>
                    </w:rPr>
                    <w:t>破碎粉尘</w:t>
                  </w:r>
                </w:p>
              </w:tc>
              <w:tc>
                <w:tcPr>
                  <w:tcW w:w="253" w:type="pct"/>
                  <w:gridSpan w:val="2"/>
                  <w:vAlign w:val="center"/>
                </w:tcPr>
                <w:p>
                  <w:pPr>
                    <w:snapToGrid w:val="0"/>
                    <w:jc w:val="center"/>
                    <w:rPr>
                      <w:sz w:val="21"/>
                      <w:szCs w:val="21"/>
                    </w:rPr>
                  </w:pPr>
                  <w:r>
                    <w:rPr>
                      <w:rFonts w:hint="eastAsia"/>
                      <w:sz w:val="21"/>
                      <w:szCs w:val="21"/>
                    </w:rPr>
                    <w:t>颗粒物</w:t>
                  </w:r>
                </w:p>
              </w:tc>
              <w:tc>
                <w:tcPr>
                  <w:tcW w:w="438" w:type="pct"/>
                  <w:vAlign w:val="center"/>
                </w:tcPr>
                <w:p>
                  <w:pPr>
                    <w:snapToGrid w:val="0"/>
                    <w:jc w:val="center"/>
                    <w:rPr>
                      <w:sz w:val="21"/>
                      <w:szCs w:val="21"/>
                    </w:rPr>
                  </w:pPr>
                  <w:r>
                    <w:rPr>
                      <w:rFonts w:hint="eastAsia"/>
                      <w:sz w:val="21"/>
                      <w:szCs w:val="21"/>
                    </w:rPr>
                    <w:t>28793</w:t>
                  </w:r>
                </w:p>
              </w:tc>
              <w:tc>
                <w:tcPr>
                  <w:tcW w:w="532" w:type="pct"/>
                  <w:gridSpan w:val="2"/>
                  <w:vAlign w:val="center"/>
                </w:tcPr>
                <w:p>
                  <w:pPr>
                    <w:snapToGrid w:val="0"/>
                    <w:jc w:val="center"/>
                    <w:rPr>
                      <w:sz w:val="21"/>
                      <w:szCs w:val="21"/>
                    </w:rPr>
                  </w:pPr>
                  <w:r>
                    <w:rPr>
                      <w:rFonts w:hint="eastAsia"/>
                      <w:sz w:val="21"/>
                      <w:szCs w:val="21"/>
                    </w:rPr>
                    <w:t>1555.55</w:t>
                  </w:r>
                </w:p>
              </w:tc>
              <w:tc>
                <w:tcPr>
                  <w:tcW w:w="408" w:type="pct"/>
                  <w:vAlign w:val="center"/>
                </w:tcPr>
                <w:p>
                  <w:pPr>
                    <w:snapToGrid w:val="0"/>
                    <w:jc w:val="center"/>
                    <w:rPr>
                      <w:sz w:val="21"/>
                      <w:szCs w:val="21"/>
                    </w:rPr>
                  </w:pPr>
                  <w:r>
                    <w:rPr>
                      <w:rFonts w:hint="eastAsia"/>
                      <w:sz w:val="21"/>
                      <w:szCs w:val="21"/>
                    </w:rPr>
                    <w:t>44.79</w:t>
                  </w:r>
                </w:p>
              </w:tc>
              <w:tc>
                <w:tcPr>
                  <w:tcW w:w="316" w:type="pct"/>
                  <w:gridSpan w:val="2"/>
                  <w:vMerge w:val="continue"/>
                  <w:vAlign w:val="center"/>
                </w:tcPr>
                <w:p>
                  <w:pPr>
                    <w:snapToGrid w:val="0"/>
                    <w:jc w:val="center"/>
                    <w:rPr>
                      <w:sz w:val="21"/>
                      <w:szCs w:val="21"/>
                    </w:rPr>
                  </w:pPr>
                </w:p>
              </w:tc>
              <w:tc>
                <w:tcPr>
                  <w:tcW w:w="739" w:type="pct"/>
                  <w:gridSpan w:val="4"/>
                  <w:vAlign w:val="center"/>
                </w:tcPr>
                <w:p>
                  <w:pPr>
                    <w:snapToGrid w:val="0"/>
                    <w:jc w:val="center"/>
                    <w:rPr>
                      <w:sz w:val="21"/>
                      <w:szCs w:val="21"/>
                    </w:rPr>
                  </w:pPr>
                  <w:r>
                    <w:rPr>
                      <w:rFonts w:hint="eastAsia"/>
                      <w:sz w:val="21"/>
                      <w:szCs w:val="21"/>
                    </w:rPr>
                    <w:t>集气罩+布袋除尘器+15m排气筒</w:t>
                  </w:r>
                </w:p>
              </w:tc>
              <w:tc>
                <w:tcPr>
                  <w:tcW w:w="253" w:type="pct"/>
                  <w:gridSpan w:val="2"/>
                  <w:vAlign w:val="center"/>
                </w:tcPr>
                <w:p>
                  <w:pPr>
                    <w:snapToGrid w:val="0"/>
                    <w:jc w:val="center"/>
                    <w:rPr>
                      <w:sz w:val="21"/>
                      <w:szCs w:val="21"/>
                    </w:rPr>
                  </w:pPr>
                  <w:r>
                    <w:rPr>
                      <w:sz w:val="21"/>
                      <w:szCs w:val="21"/>
                    </w:rPr>
                    <w:t>9</w:t>
                  </w:r>
                  <w:r>
                    <w:rPr>
                      <w:rFonts w:hint="eastAsia"/>
                      <w:sz w:val="21"/>
                      <w:szCs w:val="21"/>
                    </w:rPr>
                    <w:t>9</w:t>
                  </w:r>
                </w:p>
              </w:tc>
              <w:tc>
                <w:tcPr>
                  <w:tcW w:w="394" w:type="pct"/>
                  <w:gridSpan w:val="2"/>
                  <w:vAlign w:val="center"/>
                </w:tcPr>
                <w:p>
                  <w:pPr>
                    <w:snapToGrid w:val="0"/>
                    <w:jc w:val="center"/>
                    <w:rPr>
                      <w:sz w:val="21"/>
                      <w:szCs w:val="21"/>
                    </w:rPr>
                  </w:pPr>
                  <w:r>
                    <w:rPr>
                      <w:sz w:val="21"/>
                      <w:szCs w:val="21"/>
                    </w:rPr>
                    <w:t>是</w:t>
                  </w:r>
                </w:p>
              </w:tc>
              <w:tc>
                <w:tcPr>
                  <w:tcW w:w="459" w:type="pct"/>
                  <w:vAlign w:val="center"/>
                </w:tcPr>
                <w:p>
                  <w:pPr>
                    <w:snapToGrid w:val="0"/>
                    <w:jc w:val="center"/>
                    <w:rPr>
                      <w:sz w:val="21"/>
                      <w:szCs w:val="21"/>
                    </w:rPr>
                  </w:pPr>
                  <w:r>
                    <w:rPr>
                      <w:rFonts w:hint="eastAsia"/>
                      <w:sz w:val="21"/>
                      <w:szCs w:val="21"/>
                    </w:rPr>
                    <w:t>15.56</w:t>
                  </w:r>
                </w:p>
              </w:tc>
              <w:tc>
                <w:tcPr>
                  <w:tcW w:w="349" w:type="pct"/>
                  <w:vAlign w:val="center"/>
                </w:tcPr>
                <w:p>
                  <w:pPr>
                    <w:snapToGrid w:val="0"/>
                    <w:jc w:val="center"/>
                    <w:rPr>
                      <w:sz w:val="21"/>
                      <w:szCs w:val="21"/>
                    </w:rPr>
                  </w:pPr>
                  <w:r>
                    <w:rPr>
                      <w:rFonts w:hint="eastAsia"/>
                      <w:sz w:val="21"/>
                      <w:szCs w:val="21"/>
                    </w:rPr>
                    <w:t>0.45</w:t>
                  </w:r>
                </w:p>
              </w:tc>
              <w:tc>
                <w:tcPr>
                  <w:tcW w:w="515" w:type="pct"/>
                  <w:vAlign w:val="center"/>
                </w:tcPr>
                <w:p>
                  <w:pPr>
                    <w:snapToGrid w:val="0"/>
                    <w:jc w:val="center"/>
                    <w:rPr>
                      <w:sz w:val="21"/>
                      <w:szCs w:val="21"/>
                    </w:rPr>
                  </w:pPr>
                  <w:r>
                    <w:rPr>
                      <w:rFonts w:hint="eastAsia"/>
                      <w:sz w:val="21"/>
                      <w:szCs w:val="21"/>
                    </w:rPr>
                    <w:t>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344" w:type="pct"/>
                  <w:gridSpan w:val="2"/>
                  <w:vMerge w:val="restart"/>
                  <w:vAlign w:val="center"/>
                </w:tcPr>
                <w:p>
                  <w:pPr>
                    <w:snapToGrid w:val="0"/>
                    <w:jc w:val="center"/>
                    <w:rPr>
                      <w:spacing w:val="-30"/>
                      <w:sz w:val="21"/>
                      <w:szCs w:val="21"/>
                      <w:highlight w:val="yellow"/>
                    </w:rPr>
                  </w:pPr>
                  <w:r>
                    <w:rPr>
                      <w:sz w:val="21"/>
                      <w:szCs w:val="21"/>
                    </w:rPr>
                    <w:t>排放标准</w:t>
                  </w:r>
                </w:p>
              </w:tc>
              <w:tc>
                <w:tcPr>
                  <w:tcW w:w="3333" w:type="pct"/>
                  <w:gridSpan w:val="16"/>
                  <w:vAlign w:val="center"/>
                </w:tcPr>
                <w:p>
                  <w:pPr>
                    <w:snapToGrid w:val="0"/>
                    <w:jc w:val="center"/>
                    <w:rPr>
                      <w:bCs/>
                      <w:sz w:val="21"/>
                      <w:szCs w:val="21"/>
                    </w:rPr>
                  </w:pPr>
                  <w:r>
                    <w:rPr>
                      <w:rFonts w:hint="eastAsia"/>
                      <w:bCs/>
                      <w:sz w:val="21"/>
                      <w:szCs w:val="21"/>
                    </w:rPr>
                    <w:t>《水泥工业大气污染物排放标准》（GB4915-2013）</w:t>
                  </w:r>
                </w:p>
              </w:tc>
              <w:tc>
                <w:tcPr>
                  <w:tcW w:w="459" w:type="pct"/>
                  <w:vAlign w:val="center"/>
                </w:tcPr>
                <w:p>
                  <w:pPr>
                    <w:snapToGrid w:val="0"/>
                    <w:jc w:val="center"/>
                    <w:rPr>
                      <w:bCs/>
                      <w:sz w:val="21"/>
                      <w:szCs w:val="21"/>
                    </w:rPr>
                  </w:pPr>
                  <w:r>
                    <w:rPr>
                      <w:rFonts w:hint="eastAsia"/>
                      <w:bCs/>
                      <w:sz w:val="21"/>
                      <w:szCs w:val="21"/>
                    </w:rPr>
                    <w:t>20</w:t>
                  </w:r>
                </w:p>
              </w:tc>
              <w:tc>
                <w:tcPr>
                  <w:tcW w:w="349" w:type="pct"/>
                  <w:vAlign w:val="center"/>
                </w:tcPr>
                <w:p>
                  <w:pPr>
                    <w:snapToGrid w:val="0"/>
                    <w:jc w:val="center"/>
                    <w:rPr>
                      <w:bCs/>
                      <w:sz w:val="21"/>
                      <w:szCs w:val="21"/>
                    </w:rPr>
                  </w:pPr>
                  <w:r>
                    <w:rPr>
                      <w:rFonts w:hint="eastAsia"/>
                      <w:bCs/>
                      <w:sz w:val="21"/>
                      <w:szCs w:val="21"/>
                    </w:rPr>
                    <w:t>/</w:t>
                  </w:r>
                </w:p>
              </w:tc>
              <w:tc>
                <w:tcPr>
                  <w:tcW w:w="515" w:type="pct"/>
                  <w:vAlign w:val="center"/>
                </w:tcPr>
                <w:p>
                  <w:pPr>
                    <w:snapToGrid w:val="0"/>
                    <w:jc w:val="center"/>
                    <w:rPr>
                      <w:bCs/>
                      <w:sz w:val="21"/>
                      <w:szCs w:val="21"/>
                    </w:rPr>
                  </w:pPr>
                  <w:r>
                    <w:rPr>
                      <w:rFonts w:hint="eastAsia"/>
                      <w:bCs/>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344" w:type="pct"/>
                  <w:gridSpan w:val="2"/>
                  <w:vMerge w:val="continue"/>
                  <w:vAlign w:val="center"/>
                </w:tcPr>
                <w:p>
                  <w:pPr>
                    <w:snapToGrid w:val="0"/>
                    <w:jc w:val="center"/>
                    <w:rPr>
                      <w:sz w:val="21"/>
                      <w:szCs w:val="21"/>
                      <w:highlight w:val="yellow"/>
                    </w:rPr>
                  </w:pPr>
                </w:p>
              </w:tc>
              <w:tc>
                <w:tcPr>
                  <w:tcW w:w="3333" w:type="pct"/>
                  <w:gridSpan w:val="16"/>
                  <w:vAlign w:val="center"/>
                </w:tcPr>
                <w:p>
                  <w:pPr>
                    <w:snapToGrid w:val="0"/>
                    <w:jc w:val="center"/>
                    <w:rPr>
                      <w:bCs/>
                      <w:sz w:val="21"/>
                      <w:szCs w:val="21"/>
                      <w:highlight w:val="yellow"/>
                    </w:rPr>
                  </w:pPr>
                  <w:r>
                    <w:rPr>
                      <w:rFonts w:hint="eastAsia"/>
                      <w:bCs/>
                      <w:sz w:val="21"/>
                      <w:szCs w:val="21"/>
                    </w:rPr>
                    <w:t>无组织厂界浓度</w:t>
                  </w:r>
                </w:p>
              </w:tc>
              <w:tc>
                <w:tcPr>
                  <w:tcW w:w="459" w:type="pct"/>
                  <w:vAlign w:val="center"/>
                </w:tcPr>
                <w:p>
                  <w:pPr>
                    <w:snapToGrid w:val="0"/>
                    <w:jc w:val="center"/>
                    <w:rPr>
                      <w:bCs/>
                      <w:sz w:val="21"/>
                      <w:szCs w:val="21"/>
                    </w:rPr>
                  </w:pPr>
                  <w:r>
                    <w:rPr>
                      <w:rFonts w:hint="eastAsia"/>
                      <w:bCs/>
                      <w:sz w:val="21"/>
                      <w:szCs w:val="21"/>
                    </w:rPr>
                    <w:t>0.5</w:t>
                  </w:r>
                </w:p>
              </w:tc>
              <w:tc>
                <w:tcPr>
                  <w:tcW w:w="349" w:type="pct"/>
                  <w:vAlign w:val="center"/>
                </w:tcPr>
                <w:p>
                  <w:pPr>
                    <w:snapToGrid w:val="0"/>
                    <w:jc w:val="center"/>
                    <w:rPr>
                      <w:bCs/>
                      <w:sz w:val="21"/>
                      <w:szCs w:val="21"/>
                    </w:rPr>
                  </w:pPr>
                  <w:r>
                    <w:rPr>
                      <w:rFonts w:hint="eastAsia"/>
                      <w:bCs/>
                      <w:sz w:val="21"/>
                      <w:szCs w:val="21"/>
                    </w:rPr>
                    <w:t>/</w:t>
                  </w:r>
                </w:p>
              </w:tc>
              <w:tc>
                <w:tcPr>
                  <w:tcW w:w="515" w:type="pct"/>
                  <w:vAlign w:val="center"/>
                </w:tcPr>
                <w:p>
                  <w:pPr>
                    <w:snapToGrid w:val="0"/>
                    <w:jc w:val="center"/>
                    <w:rPr>
                      <w:bCs/>
                      <w:sz w:val="21"/>
                      <w:szCs w:val="21"/>
                    </w:rPr>
                  </w:pPr>
                  <w:r>
                    <w:rPr>
                      <w:rFonts w:hint="eastAsia"/>
                      <w:bCs/>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344" w:type="pct"/>
                  <w:gridSpan w:val="2"/>
                  <w:vMerge w:val="continue"/>
                  <w:vAlign w:val="center"/>
                </w:tcPr>
                <w:p>
                  <w:pPr>
                    <w:snapToGrid w:val="0"/>
                    <w:jc w:val="center"/>
                    <w:rPr>
                      <w:sz w:val="21"/>
                      <w:szCs w:val="21"/>
                      <w:highlight w:val="yellow"/>
                    </w:rPr>
                  </w:pPr>
                </w:p>
              </w:tc>
              <w:tc>
                <w:tcPr>
                  <w:tcW w:w="3333" w:type="pct"/>
                  <w:gridSpan w:val="16"/>
                  <w:vAlign w:val="center"/>
                </w:tcPr>
                <w:p>
                  <w:pPr>
                    <w:snapToGrid w:val="0"/>
                    <w:jc w:val="center"/>
                    <w:rPr>
                      <w:bCs/>
                      <w:sz w:val="21"/>
                      <w:szCs w:val="21"/>
                      <w:highlight w:val="yellow"/>
                    </w:rPr>
                  </w:pPr>
                  <w:r>
                    <w:rPr>
                      <w:rFonts w:hint="eastAsia"/>
                      <w:bCs/>
                      <w:sz w:val="21"/>
                      <w:szCs w:val="21"/>
                    </w:rPr>
                    <w:t>达标情况</w:t>
                  </w:r>
                </w:p>
              </w:tc>
              <w:tc>
                <w:tcPr>
                  <w:tcW w:w="459" w:type="pct"/>
                  <w:vAlign w:val="center"/>
                </w:tcPr>
                <w:p>
                  <w:pPr>
                    <w:snapToGrid w:val="0"/>
                    <w:jc w:val="center"/>
                    <w:rPr>
                      <w:bCs/>
                      <w:sz w:val="21"/>
                      <w:szCs w:val="21"/>
                    </w:rPr>
                  </w:pPr>
                  <w:r>
                    <w:rPr>
                      <w:rFonts w:hint="eastAsia"/>
                      <w:bCs/>
                      <w:sz w:val="21"/>
                      <w:szCs w:val="21"/>
                    </w:rPr>
                    <w:t>达标</w:t>
                  </w:r>
                </w:p>
              </w:tc>
              <w:tc>
                <w:tcPr>
                  <w:tcW w:w="349" w:type="pct"/>
                  <w:vAlign w:val="center"/>
                </w:tcPr>
                <w:p>
                  <w:pPr>
                    <w:snapToGrid w:val="0"/>
                    <w:jc w:val="center"/>
                    <w:rPr>
                      <w:bCs/>
                      <w:sz w:val="21"/>
                      <w:szCs w:val="21"/>
                    </w:rPr>
                  </w:pPr>
                  <w:r>
                    <w:rPr>
                      <w:rFonts w:hint="eastAsia"/>
                      <w:bCs/>
                      <w:sz w:val="21"/>
                      <w:szCs w:val="21"/>
                    </w:rPr>
                    <w:t>达标</w:t>
                  </w:r>
                </w:p>
              </w:tc>
              <w:tc>
                <w:tcPr>
                  <w:tcW w:w="515" w:type="pct"/>
                  <w:vAlign w:val="center"/>
                </w:tcPr>
                <w:p>
                  <w:pPr>
                    <w:snapToGrid w:val="0"/>
                    <w:jc w:val="center"/>
                    <w:rPr>
                      <w:bCs/>
                      <w:sz w:val="21"/>
                      <w:szCs w:val="21"/>
                    </w:rPr>
                  </w:pPr>
                  <w:r>
                    <w:rPr>
                      <w:rFonts w:hint="eastAsia"/>
                      <w:bCs/>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1" w:type="pct"/>
                  <w:gridSpan w:val="21"/>
                  <w:vAlign w:val="center"/>
                </w:tcPr>
                <w:p>
                  <w:pPr>
                    <w:snapToGrid w:val="0"/>
                    <w:jc w:val="center"/>
                    <w:rPr>
                      <w:b/>
                      <w:sz w:val="21"/>
                      <w:szCs w:val="21"/>
                    </w:rPr>
                  </w:pPr>
                  <w:r>
                    <w:rPr>
                      <w:rFonts w:hint="eastAsia"/>
                      <w:b/>
                      <w:sz w:val="21"/>
                      <w:szCs w:val="21"/>
                    </w:rPr>
                    <w:t>排放口情况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252" w:type="pct"/>
                  <w:vAlign w:val="center"/>
                </w:tcPr>
                <w:p>
                  <w:pPr>
                    <w:snapToGrid w:val="0"/>
                    <w:jc w:val="center"/>
                    <w:rPr>
                      <w:sz w:val="21"/>
                      <w:szCs w:val="21"/>
                    </w:rPr>
                  </w:pPr>
                  <w:r>
                    <w:rPr>
                      <w:rFonts w:hint="eastAsia"/>
                      <w:sz w:val="21"/>
                      <w:szCs w:val="21"/>
                    </w:rPr>
                    <w:t>高度m</w:t>
                  </w:r>
                </w:p>
              </w:tc>
              <w:tc>
                <w:tcPr>
                  <w:tcW w:w="222" w:type="pct"/>
                  <w:gridSpan w:val="2"/>
                  <w:vAlign w:val="center"/>
                </w:tcPr>
                <w:p>
                  <w:pPr>
                    <w:snapToGrid w:val="0"/>
                    <w:jc w:val="center"/>
                    <w:rPr>
                      <w:sz w:val="21"/>
                      <w:szCs w:val="21"/>
                    </w:rPr>
                  </w:pPr>
                  <w:r>
                    <w:rPr>
                      <w:rFonts w:hint="eastAsia"/>
                      <w:spacing w:val="-30"/>
                      <w:sz w:val="21"/>
                      <w:szCs w:val="21"/>
                    </w:rPr>
                    <w:t>15</w:t>
                  </w:r>
                </w:p>
              </w:tc>
              <w:tc>
                <w:tcPr>
                  <w:tcW w:w="771" w:type="pct"/>
                  <w:gridSpan w:val="3"/>
                  <w:vAlign w:val="center"/>
                </w:tcPr>
                <w:p>
                  <w:pPr>
                    <w:snapToGrid w:val="0"/>
                    <w:jc w:val="center"/>
                    <w:rPr>
                      <w:sz w:val="21"/>
                      <w:szCs w:val="21"/>
                    </w:rPr>
                  </w:pPr>
                  <w:r>
                    <w:rPr>
                      <w:rFonts w:hint="eastAsia"/>
                      <w:sz w:val="21"/>
                      <w:szCs w:val="21"/>
                    </w:rPr>
                    <w:t>排气筒内径m</w:t>
                  </w:r>
                </w:p>
              </w:tc>
              <w:tc>
                <w:tcPr>
                  <w:tcW w:w="730" w:type="pct"/>
                  <w:gridSpan w:val="2"/>
                  <w:vAlign w:val="center"/>
                </w:tcPr>
                <w:p>
                  <w:pPr>
                    <w:snapToGrid w:val="0"/>
                    <w:jc w:val="center"/>
                    <w:rPr>
                      <w:sz w:val="21"/>
                      <w:szCs w:val="21"/>
                    </w:rPr>
                  </w:pPr>
                  <w:r>
                    <w:rPr>
                      <w:rFonts w:hint="eastAsia"/>
                      <w:spacing w:val="-30"/>
                      <w:sz w:val="21"/>
                      <w:szCs w:val="21"/>
                    </w:rPr>
                    <w:t>0.5</w:t>
                  </w:r>
                </w:p>
              </w:tc>
              <w:tc>
                <w:tcPr>
                  <w:tcW w:w="252" w:type="pct"/>
                  <w:vAlign w:val="center"/>
                </w:tcPr>
                <w:p>
                  <w:pPr>
                    <w:snapToGrid w:val="0"/>
                    <w:jc w:val="center"/>
                    <w:rPr>
                      <w:sz w:val="21"/>
                      <w:szCs w:val="21"/>
                    </w:rPr>
                  </w:pPr>
                  <w:r>
                    <w:rPr>
                      <w:rFonts w:hint="eastAsia"/>
                      <w:sz w:val="21"/>
                      <w:szCs w:val="21"/>
                    </w:rPr>
                    <w:t>温度</w:t>
                  </w:r>
                </w:p>
                <w:p>
                  <w:pPr>
                    <w:snapToGrid w:val="0"/>
                    <w:jc w:val="center"/>
                    <w:rPr>
                      <w:sz w:val="21"/>
                      <w:szCs w:val="21"/>
                    </w:rPr>
                  </w:pPr>
                  <w:r>
                    <w:rPr>
                      <w:rFonts w:hint="eastAsia"/>
                      <w:sz w:val="21"/>
                      <w:szCs w:val="21"/>
                    </w:rPr>
                    <w:t>℃</w:t>
                  </w:r>
                </w:p>
              </w:tc>
              <w:tc>
                <w:tcPr>
                  <w:tcW w:w="216" w:type="pct"/>
                  <w:gridSpan w:val="2"/>
                  <w:vAlign w:val="center"/>
                </w:tcPr>
                <w:p>
                  <w:pPr>
                    <w:snapToGrid w:val="0"/>
                    <w:jc w:val="center"/>
                    <w:rPr>
                      <w:sz w:val="21"/>
                      <w:szCs w:val="21"/>
                    </w:rPr>
                  </w:pPr>
                  <w:r>
                    <w:rPr>
                      <w:rFonts w:hint="eastAsia"/>
                      <w:spacing w:val="-30"/>
                      <w:sz w:val="21"/>
                      <w:szCs w:val="21"/>
                    </w:rPr>
                    <w:t>20</w:t>
                  </w:r>
                </w:p>
              </w:tc>
              <w:tc>
                <w:tcPr>
                  <w:tcW w:w="252" w:type="pct"/>
                  <w:vAlign w:val="center"/>
                </w:tcPr>
                <w:p>
                  <w:pPr>
                    <w:snapToGrid w:val="0"/>
                    <w:jc w:val="center"/>
                    <w:rPr>
                      <w:sz w:val="21"/>
                      <w:szCs w:val="21"/>
                    </w:rPr>
                  </w:pPr>
                  <w:r>
                    <w:rPr>
                      <w:rFonts w:hint="eastAsia"/>
                      <w:sz w:val="21"/>
                      <w:szCs w:val="21"/>
                    </w:rPr>
                    <w:t>编号及名称</w:t>
                  </w:r>
                </w:p>
              </w:tc>
              <w:tc>
                <w:tcPr>
                  <w:tcW w:w="223" w:type="pct"/>
                  <w:vAlign w:val="center"/>
                </w:tcPr>
                <w:p>
                  <w:pPr>
                    <w:snapToGrid w:val="0"/>
                    <w:jc w:val="center"/>
                    <w:rPr>
                      <w:sz w:val="21"/>
                      <w:szCs w:val="21"/>
                    </w:rPr>
                  </w:pPr>
                  <w:r>
                    <w:rPr>
                      <w:rFonts w:hint="eastAsia"/>
                      <w:spacing w:val="-30"/>
                      <w:sz w:val="21"/>
                      <w:szCs w:val="21"/>
                    </w:rPr>
                    <w:t>P1</w:t>
                  </w:r>
                </w:p>
              </w:tc>
              <w:tc>
                <w:tcPr>
                  <w:tcW w:w="253" w:type="pct"/>
                  <w:gridSpan w:val="2"/>
                  <w:vAlign w:val="center"/>
                </w:tcPr>
                <w:p>
                  <w:pPr>
                    <w:snapToGrid w:val="0"/>
                    <w:jc w:val="center"/>
                    <w:rPr>
                      <w:sz w:val="21"/>
                      <w:szCs w:val="21"/>
                    </w:rPr>
                  </w:pPr>
                  <w:r>
                    <w:rPr>
                      <w:rFonts w:hint="eastAsia"/>
                      <w:sz w:val="21"/>
                      <w:szCs w:val="21"/>
                    </w:rPr>
                    <w:t>排放口类型</w:t>
                  </w:r>
                </w:p>
              </w:tc>
              <w:tc>
                <w:tcPr>
                  <w:tcW w:w="255" w:type="pct"/>
                  <w:gridSpan w:val="2"/>
                  <w:vAlign w:val="center"/>
                </w:tcPr>
                <w:p>
                  <w:pPr>
                    <w:snapToGrid w:val="0"/>
                    <w:jc w:val="center"/>
                    <w:rPr>
                      <w:sz w:val="21"/>
                      <w:szCs w:val="21"/>
                    </w:rPr>
                  </w:pPr>
                  <w:r>
                    <w:rPr>
                      <w:rFonts w:hint="eastAsia"/>
                      <w:sz w:val="21"/>
                      <w:szCs w:val="21"/>
                    </w:rPr>
                    <w:t>一般排放口</w:t>
                  </w:r>
                </w:p>
              </w:tc>
              <w:tc>
                <w:tcPr>
                  <w:tcW w:w="252" w:type="pct"/>
                  <w:vAlign w:val="center"/>
                </w:tcPr>
                <w:p>
                  <w:pPr>
                    <w:snapToGrid w:val="0"/>
                    <w:jc w:val="center"/>
                    <w:rPr>
                      <w:sz w:val="21"/>
                      <w:szCs w:val="21"/>
                    </w:rPr>
                  </w:pPr>
                  <w:r>
                    <w:rPr>
                      <w:rFonts w:hint="eastAsia"/>
                      <w:sz w:val="21"/>
                      <w:szCs w:val="21"/>
                    </w:rPr>
                    <w:t>地理坐标</w:t>
                  </w:r>
                </w:p>
              </w:tc>
              <w:tc>
                <w:tcPr>
                  <w:tcW w:w="1" w:type="pct"/>
                  <w:gridSpan w:val="3"/>
                  <w:vAlign w:val="center"/>
                </w:tcPr>
                <w:p>
                  <w:pPr>
                    <w:snapToGrid w:val="0"/>
                    <w:jc w:val="center"/>
                    <w:rPr>
                      <w:sz w:val="21"/>
                      <w:szCs w:val="21"/>
                      <w:highlight w:val="yellow"/>
                    </w:rPr>
                  </w:pPr>
                  <w:r>
                    <w:rPr>
                      <w:rFonts w:hint="eastAsia"/>
                      <w:sz w:val="21"/>
                      <w:szCs w:val="21"/>
                    </w:rPr>
                    <w:t>E110.11116°</w:t>
                  </w:r>
                </w:p>
                <w:p>
                  <w:pPr>
                    <w:snapToGrid w:val="0"/>
                    <w:jc w:val="center"/>
                    <w:rPr>
                      <w:sz w:val="21"/>
                      <w:szCs w:val="21"/>
                    </w:rPr>
                  </w:pPr>
                  <w:r>
                    <w:rPr>
                      <w:rFonts w:hint="eastAsia"/>
                      <w:sz w:val="21"/>
                      <w:szCs w:val="21"/>
                    </w:rPr>
                    <w:t>N39.42768°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1" w:type="pct"/>
                  <w:gridSpan w:val="21"/>
                  <w:vAlign w:val="center"/>
                </w:tcPr>
                <w:p>
                  <w:pPr>
                    <w:snapToGrid w:val="0"/>
                    <w:jc w:val="center"/>
                    <w:rPr>
                      <w:b/>
                      <w:sz w:val="21"/>
                      <w:szCs w:val="21"/>
                    </w:rPr>
                  </w:pPr>
                  <w:r>
                    <w:rPr>
                      <w:rFonts w:hint="eastAsia"/>
                      <w:b/>
                      <w:sz w:val="21"/>
                      <w:szCs w:val="21"/>
                    </w:rPr>
                    <w:t>监测要求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474" w:type="pct"/>
                  <w:gridSpan w:val="3"/>
                  <w:vAlign w:val="center"/>
                </w:tcPr>
                <w:p>
                  <w:pPr>
                    <w:snapToGrid w:val="0"/>
                    <w:jc w:val="center"/>
                    <w:rPr>
                      <w:sz w:val="21"/>
                      <w:szCs w:val="21"/>
                    </w:rPr>
                  </w:pPr>
                  <w:r>
                    <w:rPr>
                      <w:rFonts w:hint="eastAsia"/>
                      <w:sz w:val="21"/>
                      <w:szCs w:val="21"/>
                    </w:rPr>
                    <w:t>监测点位</w:t>
                  </w:r>
                </w:p>
              </w:tc>
              <w:tc>
                <w:tcPr>
                  <w:tcW w:w="1500" w:type="pct"/>
                  <w:gridSpan w:val="5"/>
                  <w:vAlign w:val="center"/>
                </w:tcPr>
                <w:p>
                  <w:pPr>
                    <w:snapToGrid w:val="0"/>
                    <w:jc w:val="center"/>
                    <w:rPr>
                      <w:sz w:val="21"/>
                      <w:szCs w:val="21"/>
                    </w:rPr>
                  </w:pPr>
                  <w:r>
                    <w:rPr>
                      <w:rFonts w:hint="eastAsia"/>
                      <w:sz w:val="21"/>
                      <w:szCs w:val="21"/>
                    </w:rPr>
                    <w:t>排气口</w:t>
                  </w:r>
                </w:p>
              </w:tc>
              <w:tc>
                <w:tcPr>
                  <w:tcW w:w="468" w:type="pct"/>
                  <w:gridSpan w:val="3"/>
                  <w:vAlign w:val="center"/>
                </w:tcPr>
                <w:p>
                  <w:pPr>
                    <w:snapToGrid w:val="0"/>
                    <w:jc w:val="center"/>
                    <w:rPr>
                      <w:sz w:val="21"/>
                      <w:szCs w:val="21"/>
                    </w:rPr>
                  </w:pPr>
                  <w:r>
                    <w:rPr>
                      <w:rFonts w:hint="eastAsia"/>
                      <w:sz w:val="21"/>
                      <w:szCs w:val="21"/>
                    </w:rPr>
                    <w:t>监测因子</w:t>
                  </w:r>
                </w:p>
              </w:tc>
              <w:tc>
                <w:tcPr>
                  <w:tcW w:w="986" w:type="pct"/>
                  <w:gridSpan w:val="6"/>
                  <w:vAlign w:val="center"/>
                </w:tcPr>
                <w:p>
                  <w:pPr>
                    <w:snapToGrid w:val="0"/>
                    <w:jc w:val="center"/>
                    <w:rPr>
                      <w:sz w:val="21"/>
                      <w:szCs w:val="21"/>
                    </w:rPr>
                  </w:pPr>
                  <w:r>
                    <w:rPr>
                      <w:rFonts w:hint="eastAsia"/>
                      <w:sz w:val="21"/>
                      <w:szCs w:val="21"/>
                    </w:rPr>
                    <w:t>颗粒物</w:t>
                  </w:r>
                </w:p>
              </w:tc>
              <w:tc>
                <w:tcPr>
                  <w:tcW w:w="252" w:type="pct"/>
                  <w:vAlign w:val="center"/>
                </w:tcPr>
                <w:p>
                  <w:pPr>
                    <w:snapToGrid w:val="0"/>
                    <w:jc w:val="center"/>
                    <w:rPr>
                      <w:sz w:val="21"/>
                      <w:szCs w:val="21"/>
                    </w:rPr>
                  </w:pPr>
                  <w:r>
                    <w:rPr>
                      <w:rFonts w:hint="eastAsia"/>
                      <w:sz w:val="21"/>
                      <w:szCs w:val="21"/>
                    </w:rPr>
                    <w:t>监测频次</w:t>
                  </w:r>
                </w:p>
              </w:tc>
              <w:tc>
                <w:tcPr>
                  <w:tcW w:w="1" w:type="pct"/>
                  <w:gridSpan w:val="3"/>
                  <w:vAlign w:val="center"/>
                </w:tcPr>
                <w:p>
                  <w:pPr>
                    <w:snapToGrid w:val="0"/>
                    <w:jc w:val="center"/>
                    <w:rPr>
                      <w:sz w:val="21"/>
                      <w:szCs w:val="21"/>
                    </w:rPr>
                  </w:pPr>
                  <w:r>
                    <w:rPr>
                      <w:rFonts w:hint="eastAsia"/>
                      <w:sz w:val="21"/>
                      <w:szCs w:val="21"/>
                    </w:rPr>
                    <w:t>1次/半年</w:t>
                  </w:r>
                </w:p>
              </w:tc>
            </w:tr>
          </w:tbl>
          <w:p>
            <w:pPr>
              <w:snapToGrid w:val="0"/>
              <w:spacing w:line="360" w:lineRule="auto"/>
              <w:ind w:firstLine="470" w:firstLineChars="196"/>
              <w:rPr>
                <w:rFonts w:hint="eastAsia" w:asciiTheme="majorEastAsia" w:hAnsiTheme="majorEastAsia" w:eastAsiaTheme="majorEastAsia"/>
              </w:rPr>
            </w:pPr>
          </w:p>
          <w:p>
            <w:pPr>
              <w:snapToGrid w:val="0"/>
              <w:spacing w:line="360" w:lineRule="auto"/>
              <w:ind w:firstLine="470" w:firstLineChars="196"/>
              <w:rPr>
                <w:rFonts w:hint="eastAsia" w:asciiTheme="majorEastAsia" w:hAnsiTheme="majorEastAsia" w:eastAsiaTheme="majorEastAsia"/>
              </w:rPr>
            </w:pPr>
            <w:r>
              <w:rPr>
                <w:rFonts w:hint="eastAsia" w:asciiTheme="majorEastAsia" w:hAnsiTheme="majorEastAsia" w:eastAsiaTheme="majorEastAsia"/>
              </w:rPr>
              <w:t>根据表4-3，原料破碎产生的颗粒物经布袋除尘器处理后颗粒物排放浓度及排放速率符合</w:t>
            </w:r>
            <w:r>
              <w:rPr>
                <w:rFonts w:hint="eastAsia" w:asciiTheme="majorEastAsia" w:hAnsiTheme="majorEastAsia" w:eastAsiaTheme="majorEastAsia"/>
                <w:bCs/>
              </w:rPr>
              <w:t>《大气污染物综合排放标准》（GB16297-1996）</w:t>
            </w:r>
            <w:r>
              <w:rPr>
                <w:rFonts w:asciiTheme="majorEastAsia" w:hAnsiTheme="majorEastAsia" w:eastAsiaTheme="majorEastAsia"/>
              </w:rPr>
              <w:t>标准限值要求</w:t>
            </w:r>
            <w:r>
              <w:rPr>
                <w:rFonts w:hint="eastAsia" w:asciiTheme="majorEastAsia" w:hAnsiTheme="majorEastAsia" w:eastAsiaTheme="majorEastAsia"/>
              </w:rPr>
              <w:t>，</w:t>
            </w:r>
            <w:r>
              <w:rPr>
                <w:rFonts w:asciiTheme="majorEastAsia" w:hAnsiTheme="majorEastAsia" w:eastAsiaTheme="majorEastAsia"/>
              </w:rPr>
              <w:t>可以做到达标排放</w:t>
            </w:r>
            <w:r>
              <w:rPr>
                <w:rFonts w:hint="eastAsia" w:asciiTheme="majorEastAsia" w:hAnsiTheme="majorEastAsia" w:eastAsiaTheme="majorEastAsia"/>
              </w:rPr>
              <w:t>。</w:t>
            </w:r>
          </w:p>
          <w:p>
            <w:pPr>
              <w:spacing w:line="360" w:lineRule="auto"/>
              <w:ind w:firstLine="481" w:firstLineChars="200"/>
              <w:rPr>
                <w:b/>
              </w:rPr>
            </w:pPr>
            <w:r>
              <w:rPr>
                <w:rFonts w:hint="eastAsia"/>
                <w:b/>
              </w:rPr>
              <w:t>（4）搅拌机物料混合搅拌粉尘</w:t>
            </w:r>
          </w:p>
          <w:p>
            <w:pPr>
              <w:spacing w:line="360" w:lineRule="auto"/>
              <w:ind w:firstLine="470" w:firstLineChars="196"/>
            </w:pPr>
            <w:r>
              <w:t>根据</w:t>
            </w:r>
            <w:r>
              <w:rPr>
                <w:rFonts w:hint="eastAsia"/>
                <w:lang w:eastAsia="zh-CN"/>
              </w:rPr>
              <w:t>生态环境部</w:t>
            </w:r>
            <w:r>
              <w:t>发布的</w:t>
            </w:r>
            <w:r>
              <w:rPr>
                <w:rFonts w:hint="eastAsia"/>
              </w:rPr>
              <w:t>《排放源统计调查产排污核算方法和系数手册》（公告2021年第24号）中《3021水泥制品制造行业系数手册》中</w:t>
            </w:r>
            <w:r>
              <w:t>的物料</w:t>
            </w:r>
            <w:r>
              <w:rPr>
                <w:rFonts w:hint="eastAsia"/>
              </w:rPr>
              <w:t>混合搅拌</w:t>
            </w:r>
            <w:r>
              <w:t>产污系数对</w:t>
            </w:r>
            <w:r>
              <w:rPr>
                <w:rFonts w:hint="eastAsia"/>
              </w:rPr>
              <w:t>本项目制浆、搅拌颗粒物</w:t>
            </w:r>
            <w:r>
              <w:t>排放量进行</w:t>
            </w:r>
            <w:r>
              <w:rPr>
                <w:rFonts w:hint="eastAsia"/>
              </w:rPr>
              <w:t>核算。</w:t>
            </w:r>
          </w:p>
          <w:p>
            <w:pPr>
              <w:snapToGrid w:val="0"/>
              <w:spacing w:line="360" w:lineRule="auto"/>
              <w:ind w:firstLine="470" w:firstLineChars="196"/>
            </w:pPr>
            <w:r>
              <w:rPr>
                <w:rFonts w:hint="eastAsia"/>
              </w:rPr>
              <w:t>颗粒物产污系数为0.13kg/t-产品，工业废气量25Nm</w:t>
            </w:r>
            <w:r>
              <w:rPr>
                <w:rFonts w:hint="eastAsia"/>
                <w:vertAlign w:val="superscript"/>
              </w:rPr>
              <w:t>3</w:t>
            </w:r>
            <w:r>
              <w:rPr>
                <w:rFonts w:hint="eastAsia"/>
              </w:rPr>
              <w:t>/t-产品。</w:t>
            </w:r>
          </w:p>
          <w:p>
            <w:pPr>
              <w:spacing w:line="360" w:lineRule="auto"/>
              <w:ind w:firstLine="470" w:firstLineChars="196"/>
            </w:pPr>
            <w:r>
              <w:rPr>
                <w:rFonts w:hint="eastAsia"/>
              </w:rPr>
              <w:t>项目粗骨料用量33000t/a、细骨料用量为33000t/a、砂石料用量为25000t/a、水泥用量为17000t/a、粉煤灰用量为19000t/a，则物料混合搅拌颗粒物产生量为16.51t/a；搅拌混合粉尘经布袋除尘器处理后由搅拌塔楼顶排气口排放；布袋除尘器去除效率为99.7%，则颗粒物排放量为0.049t/a。</w:t>
            </w:r>
          </w:p>
          <w:p>
            <w:pPr>
              <w:spacing w:line="360" w:lineRule="auto"/>
              <w:ind w:firstLine="470" w:firstLineChars="196"/>
            </w:pPr>
            <w:r>
              <w:rPr>
                <w:rFonts w:hint="eastAsia"/>
              </w:rPr>
              <w:t>根据产污系数及防治措施，搅拌机物料混合搅拌</w:t>
            </w:r>
            <w:r>
              <w:t>粉尘</w:t>
            </w:r>
            <w:r>
              <w:rPr>
                <w:rFonts w:hint="eastAsia"/>
              </w:rPr>
              <w:t>产排情况见表4-4。</w:t>
            </w:r>
          </w:p>
          <w:p>
            <w:pPr>
              <w:pStyle w:val="2"/>
            </w:pPr>
          </w:p>
          <w:p>
            <w:pPr>
              <w:pStyle w:val="11"/>
              <w:tabs>
                <w:tab w:val="left" w:pos="2612"/>
              </w:tabs>
              <w:spacing w:before="0" w:beforeAutospacing="0" w:after="0" w:afterAutospacing="0"/>
              <w:ind w:firstLine="1074" w:firstLineChars="446"/>
              <w:rPr>
                <w:rFonts w:hint="eastAsia" w:ascii="Times New Roman"/>
                <w:b/>
                <w:bCs/>
                <w:sz w:val="24"/>
                <w:szCs w:val="24"/>
              </w:rPr>
            </w:pPr>
            <w:r>
              <w:rPr>
                <w:rFonts w:hint="eastAsia" w:ascii="Times New Roman"/>
                <w:b/>
                <w:bCs/>
                <w:sz w:val="24"/>
                <w:szCs w:val="24"/>
              </w:rPr>
              <w:t>表4-4        搅拌机物料混合搅拌</w:t>
            </w:r>
            <w:r>
              <w:rPr>
                <w:rFonts w:ascii="Times New Roman"/>
                <w:b/>
                <w:bCs/>
                <w:sz w:val="24"/>
                <w:szCs w:val="24"/>
              </w:rPr>
              <w:t>粉尘</w:t>
            </w:r>
            <w:r>
              <w:rPr>
                <w:rFonts w:hint="eastAsia" w:ascii="Times New Roman"/>
                <w:b/>
                <w:bCs/>
                <w:sz w:val="24"/>
                <w:szCs w:val="24"/>
              </w:rPr>
              <w:t>产排情况一览表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466"/>
              <w:gridCol w:w="718"/>
              <w:gridCol w:w="923"/>
              <w:gridCol w:w="684"/>
              <w:gridCol w:w="426"/>
              <w:gridCol w:w="426"/>
              <w:gridCol w:w="191"/>
              <w:gridCol w:w="684"/>
              <w:gridCol w:w="714"/>
              <w:gridCol w:w="923"/>
              <w:gridCol w:w="1027"/>
              <w:gridCol w:w="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286" w:type="pct"/>
                  <w:vMerge w:val="restart"/>
                  <w:vAlign w:val="center"/>
                </w:tcPr>
                <w:p>
                  <w:pPr>
                    <w:snapToGrid w:val="0"/>
                    <w:jc w:val="center"/>
                    <w:rPr>
                      <w:sz w:val="21"/>
                      <w:szCs w:val="21"/>
                    </w:rPr>
                  </w:pPr>
                  <w:r>
                    <w:rPr>
                      <w:rFonts w:hint="eastAsia"/>
                      <w:sz w:val="21"/>
                      <w:szCs w:val="21"/>
                    </w:rPr>
                    <w:t>产污</w:t>
                  </w:r>
                </w:p>
                <w:p>
                  <w:pPr>
                    <w:snapToGrid w:val="0"/>
                    <w:jc w:val="center"/>
                    <w:rPr>
                      <w:sz w:val="21"/>
                      <w:szCs w:val="21"/>
                    </w:rPr>
                  </w:pPr>
                  <w:r>
                    <w:rPr>
                      <w:sz w:val="21"/>
                      <w:szCs w:val="21"/>
                    </w:rPr>
                    <w:t>环节</w:t>
                  </w:r>
                </w:p>
              </w:tc>
              <w:tc>
                <w:tcPr>
                  <w:tcW w:w="309" w:type="pct"/>
                  <w:vMerge w:val="restart"/>
                  <w:vAlign w:val="center"/>
                </w:tcPr>
                <w:p>
                  <w:pPr>
                    <w:snapToGrid w:val="0"/>
                    <w:jc w:val="center"/>
                    <w:rPr>
                      <w:sz w:val="21"/>
                      <w:szCs w:val="21"/>
                    </w:rPr>
                  </w:pPr>
                  <w:r>
                    <w:rPr>
                      <w:sz w:val="21"/>
                      <w:szCs w:val="21"/>
                    </w:rPr>
                    <w:t>污染物</w:t>
                  </w:r>
                </w:p>
              </w:tc>
              <w:tc>
                <w:tcPr>
                  <w:tcW w:w="380" w:type="pct"/>
                  <w:vMerge w:val="restart"/>
                  <w:vAlign w:val="center"/>
                </w:tcPr>
                <w:p>
                  <w:pPr>
                    <w:snapToGrid w:val="0"/>
                    <w:jc w:val="center"/>
                    <w:rPr>
                      <w:sz w:val="21"/>
                      <w:szCs w:val="21"/>
                    </w:rPr>
                  </w:pPr>
                  <w:r>
                    <w:rPr>
                      <w:sz w:val="21"/>
                      <w:szCs w:val="21"/>
                    </w:rPr>
                    <w:t>风机</w:t>
                  </w:r>
                </w:p>
                <w:p>
                  <w:pPr>
                    <w:snapToGrid w:val="0"/>
                    <w:jc w:val="center"/>
                    <w:rPr>
                      <w:sz w:val="21"/>
                      <w:szCs w:val="21"/>
                    </w:rPr>
                  </w:pPr>
                  <w:r>
                    <w:rPr>
                      <w:sz w:val="21"/>
                      <w:szCs w:val="21"/>
                    </w:rPr>
                    <w:t>风量</w:t>
                  </w:r>
                </w:p>
                <w:p>
                  <w:pPr>
                    <w:snapToGrid w:val="0"/>
                    <w:jc w:val="center"/>
                    <w:rPr>
                      <w:sz w:val="21"/>
                      <w:szCs w:val="21"/>
                    </w:rPr>
                  </w:pPr>
                  <w:r>
                    <w:rPr>
                      <w:sz w:val="21"/>
                      <w:szCs w:val="21"/>
                    </w:rPr>
                    <w:t>m</w:t>
                  </w:r>
                  <w:r>
                    <w:rPr>
                      <w:sz w:val="21"/>
                      <w:szCs w:val="21"/>
                      <w:vertAlign w:val="superscript"/>
                    </w:rPr>
                    <w:t>3</w:t>
                  </w:r>
                  <w:r>
                    <w:rPr>
                      <w:sz w:val="21"/>
                      <w:szCs w:val="21"/>
                    </w:rPr>
                    <w:t>/h</w:t>
                  </w:r>
                </w:p>
              </w:tc>
              <w:tc>
                <w:tcPr>
                  <w:tcW w:w="853" w:type="pct"/>
                  <w:gridSpan w:val="2"/>
                  <w:vAlign w:val="center"/>
                </w:tcPr>
                <w:p>
                  <w:pPr>
                    <w:snapToGrid w:val="0"/>
                    <w:jc w:val="center"/>
                    <w:rPr>
                      <w:sz w:val="21"/>
                      <w:szCs w:val="21"/>
                    </w:rPr>
                  </w:pPr>
                  <w:r>
                    <w:rPr>
                      <w:sz w:val="21"/>
                      <w:szCs w:val="21"/>
                    </w:rPr>
                    <w:t>污染物产生</w:t>
                  </w:r>
                </w:p>
              </w:tc>
              <w:tc>
                <w:tcPr>
                  <w:tcW w:w="285" w:type="pct"/>
                  <w:vAlign w:val="center"/>
                </w:tcPr>
                <w:p>
                  <w:pPr>
                    <w:snapToGrid w:val="0"/>
                    <w:jc w:val="center"/>
                    <w:rPr>
                      <w:sz w:val="21"/>
                      <w:szCs w:val="21"/>
                    </w:rPr>
                  </w:pPr>
                  <w:r>
                    <w:rPr>
                      <w:rFonts w:hint="eastAsia"/>
                      <w:sz w:val="21"/>
                      <w:szCs w:val="21"/>
                    </w:rPr>
                    <w:t>排放形式</w:t>
                  </w:r>
                </w:p>
              </w:tc>
              <w:tc>
                <w:tcPr>
                  <w:tcW w:w="1240" w:type="pct"/>
                  <w:gridSpan w:val="4"/>
                  <w:vAlign w:val="center"/>
                </w:tcPr>
                <w:p>
                  <w:pPr>
                    <w:snapToGrid w:val="0"/>
                    <w:jc w:val="center"/>
                    <w:rPr>
                      <w:sz w:val="21"/>
                      <w:szCs w:val="21"/>
                    </w:rPr>
                  </w:pPr>
                  <w:r>
                    <w:rPr>
                      <w:sz w:val="21"/>
                      <w:szCs w:val="21"/>
                    </w:rPr>
                    <w:t>处理措施</w:t>
                  </w:r>
                </w:p>
              </w:tc>
              <w:tc>
                <w:tcPr>
                  <w:tcW w:w="1647" w:type="pct"/>
                  <w:gridSpan w:val="3"/>
                  <w:vAlign w:val="center"/>
                </w:tcPr>
                <w:p>
                  <w:pPr>
                    <w:snapToGrid w:val="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污染物排放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286" w:type="pct"/>
                  <w:vMerge w:val="continue"/>
                  <w:vAlign w:val="center"/>
                </w:tcPr>
                <w:p>
                  <w:pPr>
                    <w:snapToGrid w:val="0"/>
                    <w:jc w:val="center"/>
                    <w:rPr>
                      <w:sz w:val="21"/>
                      <w:szCs w:val="21"/>
                    </w:rPr>
                  </w:pPr>
                </w:p>
              </w:tc>
              <w:tc>
                <w:tcPr>
                  <w:tcW w:w="309" w:type="pct"/>
                  <w:vMerge w:val="continue"/>
                  <w:vAlign w:val="center"/>
                </w:tcPr>
                <w:p>
                  <w:pPr>
                    <w:snapToGrid w:val="0"/>
                    <w:jc w:val="center"/>
                    <w:rPr>
                      <w:sz w:val="21"/>
                      <w:szCs w:val="21"/>
                    </w:rPr>
                  </w:pPr>
                </w:p>
              </w:tc>
              <w:tc>
                <w:tcPr>
                  <w:tcW w:w="380" w:type="pct"/>
                  <w:vMerge w:val="continue"/>
                  <w:vAlign w:val="center"/>
                </w:tcPr>
                <w:p>
                  <w:pPr>
                    <w:snapToGrid w:val="0"/>
                    <w:jc w:val="center"/>
                    <w:rPr>
                      <w:sz w:val="21"/>
                      <w:szCs w:val="21"/>
                    </w:rPr>
                  </w:pPr>
                </w:p>
              </w:tc>
              <w:tc>
                <w:tcPr>
                  <w:tcW w:w="497" w:type="pct"/>
                  <w:vAlign w:val="center"/>
                </w:tcPr>
                <w:p>
                  <w:pPr>
                    <w:snapToGrid w:val="0"/>
                    <w:jc w:val="center"/>
                    <w:rPr>
                      <w:sz w:val="21"/>
                      <w:szCs w:val="21"/>
                    </w:rPr>
                  </w:pPr>
                  <w:r>
                    <w:rPr>
                      <w:sz w:val="21"/>
                      <w:szCs w:val="21"/>
                    </w:rPr>
                    <w:t>产生</w:t>
                  </w:r>
                </w:p>
                <w:p>
                  <w:pPr>
                    <w:snapToGrid w:val="0"/>
                    <w:jc w:val="center"/>
                    <w:rPr>
                      <w:sz w:val="21"/>
                      <w:szCs w:val="21"/>
                    </w:rPr>
                  </w:pPr>
                  <w:r>
                    <w:rPr>
                      <w:sz w:val="21"/>
                      <w:szCs w:val="21"/>
                    </w:rPr>
                    <w:t>浓度mg/m</w:t>
                  </w:r>
                  <w:r>
                    <w:rPr>
                      <w:sz w:val="21"/>
                      <w:szCs w:val="21"/>
                      <w:vertAlign w:val="superscript"/>
                    </w:rPr>
                    <w:t>3</w:t>
                  </w:r>
                </w:p>
              </w:tc>
              <w:tc>
                <w:tcPr>
                  <w:tcW w:w="356" w:type="pct"/>
                  <w:vAlign w:val="center"/>
                </w:tcPr>
                <w:p>
                  <w:pPr>
                    <w:snapToGrid w:val="0"/>
                    <w:jc w:val="center"/>
                    <w:rPr>
                      <w:sz w:val="21"/>
                      <w:szCs w:val="21"/>
                    </w:rPr>
                  </w:pPr>
                  <w:r>
                    <w:rPr>
                      <w:sz w:val="21"/>
                      <w:szCs w:val="21"/>
                    </w:rPr>
                    <w:t>产生</w:t>
                  </w:r>
                </w:p>
                <w:p>
                  <w:pPr>
                    <w:snapToGrid w:val="0"/>
                    <w:jc w:val="center"/>
                    <w:rPr>
                      <w:sz w:val="21"/>
                      <w:szCs w:val="21"/>
                    </w:rPr>
                  </w:pPr>
                  <w:r>
                    <w:rPr>
                      <w:sz w:val="21"/>
                      <w:szCs w:val="21"/>
                    </w:rPr>
                    <w:t>量</w:t>
                  </w:r>
                </w:p>
                <w:p>
                  <w:pPr>
                    <w:snapToGrid w:val="0"/>
                    <w:jc w:val="center"/>
                    <w:rPr>
                      <w:sz w:val="21"/>
                      <w:szCs w:val="21"/>
                    </w:rPr>
                  </w:pPr>
                  <w:r>
                    <w:rPr>
                      <w:sz w:val="21"/>
                      <w:szCs w:val="21"/>
                    </w:rPr>
                    <w:t>kg/h</w:t>
                  </w:r>
                </w:p>
              </w:tc>
              <w:tc>
                <w:tcPr>
                  <w:tcW w:w="285" w:type="pct"/>
                  <w:vMerge w:val="restart"/>
                  <w:vAlign w:val="center"/>
                </w:tcPr>
                <w:p>
                  <w:pPr>
                    <w:snapToGrid w:val="0"/>
                    <w:jc w:val="center"/>
                    <w:rPr>
                      <w:sz w:val="21"/>
                      <w:szCs w:val="21"/>
                    </w:rPr>
                  </w:pPr>
                  <w:r>
                    <w:rPr>
                      <w:sz w:val="21"/>
                      <w:szCs w:val="21"/>
                    </w:rPr>
                    <w:t>有组织</w:t>
                  </w:r>
                </w:p>
              </w:tc>
              <w:tc>
                <w:tcPr>
                  <w:tcW w:w="433" w:type="pct"/>
                  <w:gridSpan w:val="2"/>
                  <w:vAlign w:val="center"/>
                </w:tcPr>
                <w:p>
                  <w:pPr>
                    <w:snapToGrid w:val="0"/>
                    <w:jc w:val="center"/>
                    <w:rPr>
                      <w:sz w:val="21"/>
                      <w:szCs w:val="21"/>
                    </w:rPr>
                  </w:pPr>
                  <w:r>
                    <w:rPr>
                      <w:sz w:val="21"/>
                      <w:szCs w:val="21"/>
                    </w:rPr>
                    <w:t>工艺</w:t>
                  </w:r>
                </w:p>
              </w:tc>
              <w:tc>
                <w:tcPr>
                  <w:tcW w:w="352" w:type="pct"/>
                  <w:vAlign w:val="center"/>
                </w:tcPr>
                <w:p>
                  <w:pPr>
                    <w:snapToGrid w:val="0"/>
                    <w:jc w:val="center"/>
                    <w:rPr>
                      <w:sz w:val="21"/>
                      <w:szCs w:val="21"/>
                    </w:rPr>
                  </w:pPr>
                  <w:r>
                    <w:rPr>
                      <w:sz w:val="21"/>
                      <w:szCs w:val="21"/>
                    </w:rPr>
                    <w:t>效率%</w:t>
                  </w:r>
                </w:p>
              </w:tc>
              <w:tc>
                <w:tcPr>
                  <w:tcW w:w="455" w:type="pct"/>
                  <w:vAlign w:val="center"/>
                </w:tcPr>
                <w:p>
                  <w:pPr>
                    <w:snapToGrid w:val="0"/>
                    <w:jc w:val="center"/>
                    <w:rPr>
                      <w:sz w:val="21"/>
                      <w:szCs w:val="21"/>
                    </w:rPr>
                  </w:pPr>
                  <w:r>
                    <w:rPr>
                      <w:sz w:val="21"/>
                      <w:szCs w:val="21"/>
                    </w:rPr>
                    <w:t>是否为可行性技术</w:t>
                  </w:r>
                </w:p>
              </w:tc>
              <w:tc>
                <w:tcPr>
                  <w:tcW w:w="459" w:type="pct"/>
                  <w:vAlign w:val="center"/>
                </w:tcPr>
                <w:p>
                  <w:pPr>
                    <w:snapToGrid w:val="0"/>
                    <w:jc w:val="center"/>
                    <w:rPr>
                      <w:sz w:val="21"/>
                      <w:szCs w:val="21"/>
                    </w:rPr>
                  </w:pPr>
                  <w:r>
                    <w:rPr>
                      <w:sz w:val="21"/>
                      <w:szCs w:val="21"/>
                    </w:rPr>
                    <w:t>排放浓度</w:t>
                  </w:r>
                </w:p>
                <w:p>
                  <w:pPr>
                    <w:snapToGrid w:val="0"/>
                    <w:jc w:val="center"/>
                    <w:rPr>
                      <w:sz w:val="21"/>
                      <w:szCs w:val="21"/>
                    </w:rPr>
                  </w:pPr>
                  <w:r>
                    <w:rPr>
                      <w:sz w:val="21"/>
                      <w:szCs w:val="21"/>
                    </w:rPr>
                    <w:t>mg/m</w:t>
                  </w:r>
                  <w:r>
                    <w:rPr>
                      <w:sz w:val="21"/>
                      <w:szCs w:val="21"/>
                      <w:vertAlign w:val="superscript"/>
                    </w:rPr>
                    <w:t>3</w:t>
                  </w:r>
                </w:p>
              </w:tc>
              <w:tc>
                <w:tcPr>
                  <w:tcW w:w="640" w:type="pct"/>
                  <w:vAlign w:val="center"/>
                </w:tcPr>
                <w:p>
                  <w:pPr>
                    <w:snapToGrid w:val="0"/>
                    <w:jc w:val="center"/>
                    <w:rPr>
                      <w:sz w:val="21"/>
                      <w:szCs w:val="21"/>
                    </w:rPr>
                  </w:pPr>
                  <w:r>
                    <w:rPr>
                      <w:sz w:val="21"/>
                      <w:szCs w:val="21"/>
                    </w:rPr>
                    <w:t>排放</w:t>
                  </w:r>
                </w:p>
                <w:p>
                  <w:pPr>
                    <w:snapToGrid w:val="0"/>
                    <w:jc w:val="center"/>
                    <w:rPr>
                      <w:sz w:val="21"/>
                      <w:szCs w:val="21"/>
                    </w:rPr>
                  </w:pPr>
                  <w:r>
                    <w:rPr>
                      <w:sz w:val="21"/>
                      <w:szCs w:val="21"/>
                    </w:rPr>
                    <w:t>速率</w:t>
                  </w:r>
                </w:p>
                <w:p>
                  <w:pPr>
                    <w:snapToGrid w:val="0"/>
                    <w:jc w:val="center"/>
                    <w:rPr>
                      <w:sz w:val="21"/>
                      <w:szCs w:val="21"/>
                    </w:rPr>
                  </w:pPr>
                  <w:r>
                    <w:rPr>
                      <w:sz w:val="21"/>
                      <w:szCs w:val="21"/>
                    </w:rPr>
                    <w:t>kg/h</w:t>
                  </w:r>
                </w:p>
              </w:tc>
              <w:tc>
                <w:tcPr>
                  <w:tcW w:w="548" w:type="pct"/>
                  <w:vAlign w:val="center"/>
                </w:tcPr>
                <w:p>
                  <w:pPr>
                    <w:snapToGrid w:val="0"/>
                    <w:jc w:val="center"/>
                    <w:rPr>
                      <w:sz w:val="21"/>
                      <w:szCs w:val="21"/>
                    </w:rPr>
                  </w:pPr>
                  <w:r>
                    <w:rPr>
                      <w:sz w:val="21"/>
                      <w:szCs w:val="21"/>
                    </w:rPr>
                    <w:t>排放量t/a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286" w:type="pct"/>
                  <w:vAlign w:val="center"/>
                </w:tcPr>
                <w:p>
                  <w:pPr>
                    <w:snapToGrid w:val="0"/>
                    <w:jc w:val="center"/>
                    <w:rPr>
                      <w:sz w:val="21"/>
                      <w:szCs w:val="21"/>
                    </w:rPr>
                  </w:pPr>
                  <w:r>
                    <w:rPr>
                      <w:rFonts w:hint="eastAsia"/>
                      <w:sz w:val="21"/>
                      <w:szCs w:val="21"/>
                    </w:rPr>
                    <w:t>搅拌机</w:t>
                  </w:r>
                </w:p>
              </w:tc>
              <w:tc>
                <w:tcPr>
                  <w:tcW w:w="309" w:type="pct"/>
                  <w:vAlign w:val="center"/>
                </w:tcPr>
                <w:p>
                  <w:pPr>
                    <w:snapToGrid w:val="0"/>
                    <w:jc w:val="center"/>
                    <w:rPr>
                      <w:sz w:val="21"/>
                      <w:szCs w:val="21"/>
                    </w:rPr>
                  </w:pPr>
                  <w:r>
                    <w:rPr>
                      <w:rFonts w:hint="eastAsia"/>
                      <w:sz w:val="21"/>
                      <w:szCs w:val="21"/>
                    </w:rPr>
                    <w:t>颗粒物</w:t>
                  </w:r>
                </w:p>
              </w:tc>
              <w:tc>
                <w:tcPr>
                  <w:tcW w:w="380" w:type="pct"/>
                  <w:vAlign w:val="center"/>
                </w:tcPr>
                <w:p>
                  <w:pPr>
                    <w:snapToGrid w:val="0"/>
                    <w:jc w:val="center"/>
                    <w:rPr>
                      <w:sz w:val="21"/>
                      <w:szCs w:val="21"/>
                    </w:rPr>
                  </w:pPr>
                  <w:r>
                    <w:rPr>
                      <w:rFonts w:hint="eastAsia"/>
                      <w:sz w:val="21"/>
                      <w:szCs w:val="21"/>
                    </w:rPr>
                    <w:t>826</w:t>
                  </w:r>
                </w:p>
              </w:tc>
              <w:tc>
                <w:tcPr>
                  <w:tcW w:w="497" w:type="pct"/>
                  <w:vAlign w:val="center"/>
                </w:tcPr>
                <w:p>
                  <w:pPr>
                    <w:snapToGrid w:val="0"/>
                    <w:jc w:val="center"/>
                    <w:rPr>
                      <w:sz w:val="21"/>
                      <w:szCs w:val="21"/>
                    </w:rPr>
                  </w:pPr>
                  <w:r>
                    <w:rPr>
                      <w:rFonts w:hint="eastAsia"/>
                      <w:sz w:val="21"/>
                      <w:szCs w:val="21"/>
                    </w:rPr>
                    <w:t>5193</w:t>
                  </w:r>
                </w:p>
              </w:tc>
              <w:tc>
                <w:tcPr>
                  <w:tcW w:w="356" w:type="pct"/>
                  <w:vAlign w:val="center"/>
                </w:tcPr>
                <w:p>
                  <w:pPr>
                    <w:snapToGrid w:val="0"/>
                    <w:jc w:val="center"/>
                    <w:rPr>
                      <w:sz w:val="21"/>
                      <w:szCs w:val="21"/>
                    </w:rPr>
                  </w:pPr>
                  <w:r>
                    <w:rPr>
                      <w:rFonts w:hint="eastAsia"/>
                      <w:sz w:val="21"/>
                      <w:szCs w:val="21"/>
                    </w:rPr>
                    <w:t>4.29</w:t>
                  </w:r>
                </w:p>
              </w:tc>
              <w:tc>
                <w:tcPr>
                  <w:tcW w:w="285" w:type="pct"/>
                  <w:vMerge w:val="continue"/>
                  <w:vAlign w:val="center"/>
                </w:tcPr>
                <w:p>
                  <w:pPr>
                    <w:snapToGrid w:val="0"/>
                    <w:jc w:val="center"/>
                    <w:rPr>
                      <w:sz w:val="21"/>
                      <w:szCs w:val="21"/>
                    </w:rPr>
                  </w:pPr>
                </w:p>
              </w:tc>
              <w:tc>
                <w:tcPr>
                  <w:tcW w:w="433" w:type="pct"/>
                  <w:gridSpan w:val="2"/>
                  <w:vAlign w:val="center"/>
                </w:tcPr>
                <w:p>
                  <w:pPr>
                    <w:snapToGrid w:val="0"/>
                    <w:jc w:val="center"/>
                    <w:rPr>
                      <w:sz w:val="21"/>
                      <w:szCs w:val="21"/>
                    </w:rPr>
                  </w:pPr>
                  <w:r>
                    <w:rPr>
                      <w:rFonts w:hint="eastAsia"/>
                      <w:sz w:val="21"/>
                      <w:szCs w:val="21"/>
                    </w:rPr>
                    <w:t>布袋除尘器</w:t>
                  </w:r>
                </w:p>
              </w:tc>
              <w:tc>
                <w:tcPr>
                  <w:tcW w:w="352" w:type="pct"/>
                  <w:vAlign w:val="center"/>
                </w:tcPr>
                <w:p>
                  <w:pPr>
                    <w:snapToGrid w:val="0"/>
                    <w:jc w:val="center"/>
                    <w:rPr>
                      <w:sz w:val="21"/>
                      <w:szCs w:val="21"/>
                    </w:rPr>
                  </w:pPr>
                  <w:r>
                    <w:rPr>
                      <w:sz w:val="21"/>
                      <w:szCs w:val="21"/>
                    </w:rPr>
                    <w:t>9</w:t>
                  </w:r>
                  <w:r>
                    <w:rPr>
                      <w:rFonts w:hint="eastAsia"/>
                      <w:sz w:val="21"/>
                      <w:szCs w:val="21"/>
                    </w:rPr>
                    <w:t>9.7</w:t>
                  </w:r>
                </w:p>
              </w:tc>
              <w:tc>
                <w:tcPr>
                  <w:tcW w:w="455" w:type="pct"/>
                  <w:vAlign w:val="center"/>
                </w:tcPr>
                <w:p>
                  <w:pPr>
                    <w:snapToGrid w:val="0"/>
                    <w:jc w:val="center"/>
                    <w:rPr>
                      <w:sz w:val="21"/>
                      <w:szCs w:val="21"/>
                    </w:rPr>
                  </w:pPr>
                  <w:r>
                    <w:rPr>
                      <w:sz w:val="21"/>
                      <w:szCs w:val="21"/>
                    </w:rPr>
                    <w:t>是</w:t>
                  </w:r>
                </w:p>
              </w:tc>
              <w:tc>
                <w:tcPr>
                  <w:tcW w:w="459" w:type="pct"/>
                  <w:vAlign w:val="center"/>
                </w:tcPr>
                <w:p>
                  <w:pPr>
                    <w:snapToGrid w:val="0"/>
                    <w:jc w:val="center"/>
                    <w:rPr>
                      <w:sz w:val="21"/>
                      <w:szCs w:val="21"/>
                    </w:rPr>
                  </w:pPr>
                  <w:r>
                    <w:rPr>
                      <w:rFonts w:hint="eastAsia"/>
                      <w:sz w:val="21"/>
                      <w:szCs w:val="21"/>
                    </w:rPr>
                    <w:t>15.58</w:t>
                  </w:r>
                </w:p>
              </w:tc>
              <w:tc>
                <w:tcPr>
                  <w:tcW w:w="640" w:type="pct"/>
                  <w:vAlign w:val="center"/>
                </w:tcPr>
                <w:p>
                  <w:pPr>
                    <w:snapToGrid w:val="0"/>
                    <w:jc w:val="center"/>
                    <w:rPr>
                      <w:sz w:val="21"/>
                      <w:szCs w:val="21"/>
                    </w:rPr>
                  </w:pPr>
                  <w:r>
                    <w:rPr>
                      <w:rFonts w:hint="eastAsia"/>
                      <w:sz w:val="21"/>
                      <w:szCs w:val="21"/>
                    </w:rPr>
                    <w:t>0.013</w:t>
                  </w:r>
                </w:p>
              </w:tc>
              <w:tc>
                <w:tcPr>
                  <w:tcW w:w="548" w:type="pct"/>
                  <w:vAlign w:val="center"/>
                </w:tcPr>
                <w:p>
                  <w:pPr>
                    <w:snapToGrid w:val="0"/>
                    <w:jc w:val="center"/>
                    <w:rPr>
                      <w:sz w:val="21"/>
                      <w:szCs w:val="21"/>
                    </w:rPr>
                  </w:pPr>
                  <w:r>
                    <w:rPr>
                      <w:rFonts w:hint="eastAsia"/>
                      <w:sz w:val="21"/>
                      <w:szCs w:val="21"/>
                    </w:rPr>
                    <w:t>0.049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286" w:type="pct"/>
                  <w:vMerge w:val="restart"/>
                  <w:vAlign w:val="center"/>
                </w:tcPr>
                <w:p>
                  <w:pPr>
                    <w:snapToGrid w:val="0"/>
                    <w:jc w:val="center"/>
                    <w:rPr>
                      <w:spacing w:val="-30"/>
                      <w:sz w:val="21"/>
                      <w:szCs w:val="21"/>
                    </w:rPr>
                  </w:pPr>
                  <w:r>
                    <w:rPr>
                      <w:sz w:val="21"/>
                      <w:szCs w:val="21"/>
                    </w:rPr>
                    <w:t>排放标准</w:t>
                  </w:r>
                </w:p>
              </w:tc>
              <w:tc>
                <w:tcPr>
                  <w:tcW w:w="3067" w:type="pct"/>
                  <w:gridSpan w:val="9"/>
                  <w:vAlign w:val="center"/>
                </w:tcPr>
                <w:p>
                  <w:pPr>
                    <w:snapToGrid w:val="0"/>
                    <w:jc w:val="center"/>
                    <w:rPr>
                      <w:spacing w:val="-30"/>
                      <w:sz w:val="21"/>
                      <w:szCs w:val="21"/>
                    </w:rPr>
                  </w:pPr>
                  <w:r>
                    <w:rPr>
                      <w:rFonts w:hint="eastAsia"/>
                      <w:bCs/>
                      <w:sz w:val="21"/>
                      <w:szCs w:val="21"/>
                    </w:rPr>
                    <w:t>《水泥工业大气污染物排放标准》（GB4915-2013）</w:t>
                  </w:r>
                </w:p>
              </w:tc>
              <w:tc>
                <w:tcPr>
                  <w:tcW w:w="459" w:type="pct"/>
                  <w:vAlign w:val="center"/>
                </w:tcPr>
                <w:p>
                  <w:pPr>
                    <w:snapToGrid w:val="0"/>
                    <w:jc w:val="center"/>
                    <w:rPr>
                      <w:sz w:val="21"/>
                      <w:szCs w:val="21"/>
                    </w:rPr>
                  </w:pPr>
                  <w:r>
                    <w:rPr>
                      <w:rFonts w:hint="eastAsia"/>
                      <w:sz w:val="21"/>
                      <w:szCs w:val="21"/>
                    </w:rPr>
                    <w:t>20</w:t>
                  </w:r>
                </w:p>
              </w:tc>
              <w:tc>
                <w:tcPr>
                  <w:tcW w:w="640" w:type="pct"/>
                  <w:vAlign w:val="center"/>
                </w:tcPr>
                <w:p>
                  <w:pPr>
                    <w:snapToGrid w:val="0"/>
                    <w:jc w:val="center"/>
                    <w:rPr>
                      <w:sz w:val="21"/>
                      <w:szCs w:val="21"/>
                    </w:rPr>
                  </w:pPr>
                  <w:r>
                    <w:rPr>
                      <w:rFonts w:hint="eastAsia"/>
                      <w:sz w:val="21"/>
                      <w:szCs w:val="21"/>
                    </w:rPr>
                    <w:t>/</w:t>
                  </w:r>
                </w:p>
              </w:tc>
              <w:tc>
                <w:tcPr>
                  <w:tcW w:w="548" w:type="pct"/>
                  <w:vAlign w:val="center"/>
                </w:tcPr>
                <w:p>
                  <w:pPr>
                    <w:snapToGrid w:val="0"/>
                    <w:jc w:val="center"/>
                    <w:rPr>
                      <w:sz w:val="21"/>
                      <w:szCs w:val="21"/>
                    </w:rPr>
                  </w:pPr>
                  <w:r>
                    <w:rPr>
                      <w:rFonts w:hint="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286" w:type="pct"/>
                  <w:vMerge w:val="continue"/>
                  <w:vAlign w:val="center"/>
                </w:tcPr>
                <w:p>
                  <w:pPr>
                    <w:snapToGrid w:val="0"/>
                    <w:jc w:val="center"/>
                    <w:rPr>
                      <w:sz w:val="21"/>
                      <w:szCs w:val="21"/>
                    </w:rPr>
                  </w:pPr>
                </w:p>
              </w:tc>
              <w:tc>
                <w:tcPr>
                  <w:tcW w:w="3067" w:type="pct"/>
                  <w:gridSpan w:val="9"/>
                  <w:vAlign w:val="center"/>
                </w:tcPr>
                <w:p>
                  <w:pPr>
                    <w:snapToGrid w:val="0"/>
                    <w:jc w:val="center"/>
                    <w:rPr>
                      <w:bCs/>
                      <w:sz w:val="21"/>
                      <w:szCs w:val="21"/>
                    </w:rPr>
                  </w:pPr>
                  <w:r>
                    <w:rPr>
                      <w:rFonts w:hint="eastAsia"/>
                      <w:bCs/>
                      <w:sz w:val="21"/>
                      <w:szCs w:val="21"/>
                    </w:rPr>
                    <w:t>无组织厂界浓度</w:t>
                  </w:r>
                </w:p>
              </w:tc>
              <w:tc>
                <w:tcPr>
                  <w:tcW w:w="459" w:type="pct"/>
                  <w:vAlign w:val="center"/>
                </w:tcPr>
                <w:p>
                  <w:pPr>
                    <w:snapToGrid w:val="0"/>
                    <w:jc w:val="center"/>
                    <w:rPr>
                      <w:sz w:val="21"/>
                      <w:szCs w:val="21"/>
                    </w:rPr>
                  </w:pPr>
                  <w:r>
                    <w:rPr>
                      <w:rFonts w:hint="eastAsia"/>
                      <w:sz w:val="21"/>
                      <w:szCs w:val="21"/>
                    </w:rPr>
                    <w:t>0.5</w:t>
                  </w:r>
                </w:p>
              </w:tc>
              <w:tc>
                <w:tcPr>
                  <w:tcW w:w="640" w:type="pct"/>
                  <w:vAlign w:val="center"/>
                </w:tcPr>
                <w:p>
                  <w:pPr>
                    <w:snapToGrid w:val="0"/>
                    <w:jc w:val="center"/>
                    <w:rPr>
                      <w:sz w:val="21"/>
                      <w:szCs w:val="21"/>
                    </w:rPr>
                  </w:pPr>
                  <w:r>
                    <w:rPr>
                      <w:rFonts w:hint="eastAsia"/>
                      <w:sz w:val="21"/>
                      <w:szCs w:val="21"/>
                    </w:rPr>
                    <w:t>/</w:t>
                  </w:r>
                </w:p>
              </w:tc>
              <w:tc>
                <w:tcPr>
                  <w:tcW w:w="548" w:type="pct"/>
                  <w:vAlign w:val="center"/>
                </w:tcPr>
                <w:p>
                  <w:pPr>
                    <w:snapToGrid w:val="0"/>
                    <w:jc w:val="center"/>
                    <w:rPr>
                      <w:sz w:val="21"/>
                      <w:szCs w:val="21"/>
                    </w:rPr>
                  </w:pPr>
                  <w:r>
                    <w:rPr>
                      <w:rFonts w:hint="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286" w:type="pct"/>
                  <w:vMerge w:val="continue"/>
                  <w:vAlign w:val="center"/>
                </w:tcPr>
                <w:p>
                  <w:pPr>
                    <w:snapToGrid w:val="0"/>
                    <w:jc w:val="center"/>
                    <w:rPr>
                      <w:sz w:val="21"/>
                      <w:szCs w:val="21"/>
                    </w:rPr>
                  </w:pPr>
                </w:p>
              </w:tc>
              <w:tc>
                <w:tcPr>
                  <w:tcW w:w="3067" w:type="pct"/>
                  <w:gridSpan w:val="9"/>
                  <w:vAlign w:val="center"/>
                </w:tcPr>
                <w:p>
                  <w:pPr>
                    <w:snapToGrid w:val="0"/>
                    <w:jc w:val="center"/>
                    <w:rPr>
                      <w:sz w:val="21"/>
                      <w:szCs w:val="21"/>
                    </w:rPr>
                  </w:pPr>
                  <w:r>
                    <w:rPr>
                      <w:rFonts w:hint="eastAsia"/>
                      <w:sz w:val="21"/>
                      <w:szCs w:val="21"/>
                    </w:rPr>
                    <w:t>达标情况</w:t>
                  </w:r>
                </w:p>
              </w:tc>
              <w:tc>
                <w:tcPr>
                  <w:tcW w:w="459" w:type="pct"/>
                  <w:vAlign w:val="center"/>
                </w:tcPr>
                <w:p>
                  <w:pPr>
                    <w:snapToGrid w:val="0"/>
                    <w:jc w:val="center"/>
                    <w:rPr>
                      <w:sz w:val="21"/>
                      <w:szCs w:val="21"/>
                    </w:rPr>
                  </w:pPr>
                  <w:r>
                    <w:rPr>
                      <w:rFonts w:hint="eastAsia"/>
                      <w:sz w:val="21"/>
                      <w:szCs w:val="21"/>
                    </w:rPr>
                    <w:t>达标</w:t>
                  </w:r>
                </w:p>
              </w:tc>
              <w:tc>
                <w:tcPr>
                  <w:tcW w:w="640" w:type="pct"/>
                  <w:vAlign w:val="center"/>
                </w:tcPr>
                <w:p>
                  <w:pPr>
                    <w:snapToGrid w:val="0"/>
                    <w:jc w:val="center"/>
                    <w:rPr>
                      <w:sz w:val="21"/>
                      <w:szCs w:val="21"/>
                    </w:rPr>
                  </w:pPr>
                  <w:r>
                    <w:rPr>
                      <w:rFonts w:hint="eastAsia"/>
                      <w:sz w:val="21"/>
                      <w:szCs w:val="21"/>
                    </w:rPr>
                    <w:t>达标</w:t>
                  </w:r>
                </w:p>
              </w:tc>
              <w:tc>
                <w:tcPr>
                  <w:tcW w:w="548" w:type="pct"/>
                  <w:vAlign w:val="center"/>
                </w:tcPr>
                <w:p>
                  <w:pPr>
                    <w:snapToGrid w:val="0"/>
                    <w:jc w:val="center"/>
                    <w:rPr>
                      <w:sz w:val="21"/>
                      <w:szCs w:val="21"/>
                    </w:rPr>
                  </w:pPr>
                  <w:r>
                    <w:rPr>
                      <w:rFonts w:hint="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5000" w:type="pct"/>
                  <w:gridSpan w:val="13"/>
                  <w:vAlign w:val="center"/>
                </w:tcPr>
                <w:p>
                  <w:pPr>
                    <w:snapToGrid w:val="0"/>
                    <w:jc w:val="center"/>
                    <w:rPr>
                      <w:b/>
                      <w:sz w:val="21"/>
                      <w:szCs w:val="21"/>
                    </w:rPr>
                  </w:pPr>
                  <w:r>
                    <w:rPr>
                      <w:rFonts w:hint="eastAsia"/>
                      <w:b/>
                      <w:sz w:val="21"/>
                      <w:szCs w:val="21"/>
                    </w:rPr>
                    <w:t>监测要求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286"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监测点位</w:t>
                  </w:r>
                </w:p>
              </w:tc>
              <w:tc>
                <w:tcPr>
                  <w:tcW w:w="1186" w:type="pct"/>
                  <w:gridSpan w:val="3"/>
                  <w:vAlign w:val="center"/>
                </w:tcPr>
                <w:p>
                  <w:pPr>
                    <w:snapToGrid w:val="0"/>
                    <w:jc w:val="center"/>
                    <w:rPr>
                      <w:rFonts w:hint="eastAsia" w:asciiTheme="minorEastAsia" w:hAnsiTheme="minorEastAsia" w:eastAsiaTheme="minorEastAsia"/>
                      <w:sz w:val="21"/>
                      <w:szCs w:val="21"/>
                    </w:rPr>
                  </w:pPr>
                  <w:r>
                    <w:rPr>
                      <w:rFonts w:hint="eastAsia"/>
                      <w:sz w:val="21"/>
                      <w:szCs w:val="21"/>
                    </w:rPr>
                    <w:t>厂界</w:t>
                  </w:r>
                </w:p>
              </w:tc>
              <w:tc>
                <w:tcPr>
                  <w:tcW w:w="641" w:type="pct"/>
                  <w:gridSpan w:val="2"/>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监测因子</w:t>
                  </w:r>
                </w:p>
              </w:tc>
              <w:tc>
                <w:tcPr>
                  <w:tcW w:w="252" w:type="pct"/>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颗粒物</w:t>
                  </w:r>
                </w:p>
              </w:tc>
              <w:tc>
                <w:tcPr>
                  <w:tcW w:w="533" w:type="pct"/>
                  <w:gridSpan w:val="2"/>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监测频次</w:t>
                  </w:r>
                </w:p>
              </w:tc>
              <w:tc>
                <w:tcPr>
                  <w:tcW w:w="2102" w:type="pct"/>
                  <w:gridSpan w:val="4"/>
                  <w:vAlign w:val="center"/>
                </w:tcPr>
                <w:p>
                  <w:pPr>
                    <w:snapToGrid w:val="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1次/季度</w:t>
                  </w:r>
                </w:p>
              </w:tc>
            </w:tr>
          </w:tbl>
          <w:p>
            <w:pPr>
              <w:ind w:firstLine="354" w:firstLineChars="196"/>
              <w:rPr>
                <w:b/>
                <w:sz w:val="18"/>
                <w:szCs w:val="18"/>
              </w:rPr>
            </w:pPr>
            <w:r>
              <w:rPr>
                <w:rFonts w:hint="eastAsia"/>
                <w:b/>
                <w:sz w:val="18"/>
                <w:szCs w:val="18"/>
              </w:rPr>
              <w:t>备注：1、监测频次依据为《排污单位自行监测技术指南 水泥工业》（HJ848-2017）。</w:t>
            </w:r>
          </w:p>
          <w:p>
            <w:pPr>
              <w:spacing w:line="360" w:lineRule="auto"/>
              <w:ind w:firstLine="470" w:firstLineChars="196"/>
            </w:pPr>
          </w:p>
          <w:p>
            <w:pPr>
              <w:spacing w:line="360" w:lineRule="auto"/>
              <w:ind w:firstLine="470" w:firstLineChars="196"/>
              <w:rPr>
                <w:b/>
              </w:rPr>
            </w:pPr>
            <w:r>
              <w:rPr>
                <w:rFonts w:hint="eastAsia"/>
              </w:rPr>
              <w:t>根据表4-4，物料混合搅拌粉尘经布袋除尘器处理后颗粒物排放浓度可以满足</w:t>
            </w:r>
            <w:r>
              <w:rPr>
                <w:rFonts w:hint="eastAsia"/>
                <w:bCs/>
              </w:rPr>
              <w:t>《水泥工业大气污染物排放标准》（GB4915-2013）</w:t>
            </w:r>
            <w:r>
              <w:rPr>
                <w:bCs/>
              </w:rPr>
              <w:t>标准限值要求</w:t>
            </w:r>
            <w:r>
              <w:rPr>
                <w:rFonts w:hint="eastAsia"/>
                <w:bCs/>
              </w:rPr>
              <w:t>，</w:t>
            </w:r>
            <w:r>
              <w:rPr>
                <w:rFonts w:hint="eastAsia"/>
              </w:rPr>
              <w:t>由于搅拌塔楼不具备监测条件，因此，搅拌塔楼污染物排放按无组织进行监控，污染物排放量较小，厂界无组织颗粒物排放浓度可以满足</w:t>
            </w:r>
            <w:r>
              <w:rPr>
                <w:rFonts w:hint="eastAsia"/>
                <w:bCs/>
              </w:rPr>
              <w:t>《水泥工业大气污染物排放标准》（GB4915-2013）</w:t>
            </w:r>
            <w:r>
              <w:rPr>
                <w:rFonts w:hint="eastAsia"/>
              </w:rPr>
              <w:t>排放标准限值，</w:t>
            </w:r>
            <w:r>
              <w:rPr>
                <w:bCs/>
              </w:rPr>
              <w:t>可以做到达标排放</w:t>
            </w:r>
            <w:r>
              <w:rPr>
                <w:rFonts w:hint="eastAsia"/>
                <w:bCs/>
              </w:rPr>
              <w:t>。</w:t>
            </w:r>
          </w:p>
          <w:p>
            <w:pPr>
              <w:pStyle w:val="45"/>
              <w:spacing w:line="240" w:lineRule="auto"/>
              <w:ind w:firstLine="480"/>
            </w:pPr>
            <w:r>
              <w:rPr>
                <w:rFonts w:hint="eastAsia"/>
              </w:rPr>
              <w:t>项目废气源强汇总情况见表4-5。</w:t>
            </w:r>
          </w:p>
          <w:p>
            <w:pPr>
              <w:pStyle w:val="45"/>
              <w:spacing w:line="240" w:lineRule="auto"/>
              <w:ind w:firstLine="1925" w:firstLineChars="799"/>
              <w:rPr>
                <w:b/>
              </w:rPr>
            </w:pPr>
          </w:p>
          <w:p>
            <w:pPr>
              <w:pStyle w:val="45"/>
              <w:spacing w:line="240" w:lineRule="auto"/>
              <w:ind w:firstLine="1925" w:firstLineChars="799"/>
              <w:rPr>
                <w:b/>
              </w:rPr>
            </w:pPr>
            <w:r>
              <w:rPr>
                <w:rFonts w:hint="eastAsia"/>
                <w:b/>
              </w:rPr>
              <w:t>表4-5         废气源强产排一览表</w:t>
            </w:r>
          </w:p>
          <w:tbl>
            <w:tblPr>
              <w:tblStyle w:val="1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6"/>
              <w:gridCol w:w="1185"/>
              <w:gridCol w:w="2265"/>
              <w:gridCol w:w="1260"/>
              <w:gridCol w:w="1680"/>
              <w:gridCol w:w="13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1" w:type="dxa"/>
                  <w:gridSpan w:val="2"/>
                  <w:vAlign w:val="center"/>
                </w:tcPr>
                <w:p>
                  <w:pPr>
                    <w:pStyle w:val="78"/>
                    <w:spacing w:line="240" w:lineRule="auto"/>
                    <w:rPr>
                      <w:b w:val="0"/>
                      <w:bCs/>
                      <w:sz w:val="21"/>
                      <w:szCs w:val="21"/>
                    </w:rPr>
                  </w:pPr>
                  <w:r>
                    <w:rPr>
                      <w:b w:val="0"/>
                      <w:bCs/>
                      <w:sz w:val="21"/>
                      <w:szCs w:val="21"/>
                    </w:rPr>
                    <w:t>类别</w:t>
                  </w:r>
                </w:p>
              </w:tc>
              <w:tc>
                <w:tcPr>
                  <w:tcW w:w="2265" w:type="dxa"/>
                  <w:vAlign w:val="center"/>
                </w:tcPr>
                <w:p>
                  <w:pPr>
                    <w:pStyle w:val="78"/>
                    <w:spacing w:line="240" w:lineRule="auto"/>
                    <w:rPr>
                      <w:b w:val="0"/>
                      <w:bCs/>
                      <w:sz w:val="21"/>
                      <w:szCs w:val="21"/>
                    </w:rPr>
                  </w:pPr>
                  <w:r>
                    <w:rPr>
                      <w:b w:val="0"/>
                      <w:bCs/>
                      <w:sz w:val="21"/>
                      <w:szCs w:val="21"/>
                    </w:rPr>
                    <w:t>污染物名称</w:t>
                  </w:r>
                </w:p>
              </w:tc>
              <w:tc>
                <w:tcPr>
                  <w:tcW w:w="1260" w:type="dxa"/>
                  <w:vAlign w:val="center"/>
                </w:tcPr>
                <w:p>
                  <w:pPr>
                    <w:pStyle w:val="78"/>
                    <w:spacing w:line="240" w:lineRule="auto"/>
                    <w:rPr>
                      <w:b w:val="0"/>
                      <w:bCs/>
                      <w:sz w:val="21"/>
                      <w:szCs w:val="21"/>
                    </w:rPr>
                  </w:pPr>
                  <w:r>
                    <w:rPr>
                      <w:b w:val="0"/>
                      <w:bCs/>
                      <w:sz w:val="21"/>
                      <w:szCs w:val="21"/>
                    </w:rPr>
                    <w:t>产生量t/a</w:t>
                  </w:r>
                </w:p>
              </w:tc>
              <w:tc>
                <w:tcPr>
                  <w:tcW w:w="1680" w:type="dxa"/>
                  <w:vAlign w:val="center"/>
                </w:tcPr>
                <w:p>
                  <w:pPr>
                    <w:pStyle w:val="78"/>
                    <w:spacing w:line="240" w:lineRule="auto"/>
                    <w:rPr>
                      <w:b w:val="0"/>
                      <w:bCs/>
                      <w:sz w:val="21"/>
                      <w:szCs w:val="21"/>
                    </w:rPr>
                  </w:pPr>
                  <w:r>
                    <w:rPr>
                      <w:b w:val="0"/>
                      <w:bCs/>
                      <w:sz w:val="21"/>
                      <w:szCs w:val="21"/>
                    </w:rPr>
                    <w:t>自身消减量t/a</w:t>
                  </w:r>
                </w:p>
              </w:tc>
              <w:tc>
                <w:tcPr>
                  <w:tcW w:w="1306" w:type="dxa"/>
                  <w:vAlign w:val="center"/>
                </w:tcPr>
                <w:p>
                  <w:pPr>
                    <w:pStyle w:val="78"/>
                    <w:spacing w:line="240" w:lineRule="auto"/>
                    <w:rPr>
                      <w:b w:val="0"/>
                      <w:bCs/>
                      <w:sz w:val="21"/>
                      <w:szCs w:val="21"/>
                    </w:rPr>
                  </w:pPr>
                  <w:r>
                    <w:rPr>
                      <w:b w:val="0"/>
                      <w:bCs/>
                      <w:sz w:val="21"/>
                      <w:szCs w:val="21"/>
                    </w:rPr>
                    <w:t>排放量t/a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6" w:type="dxa"/>
                  <w:vMerge w:val="restart"/>
                  <w:vAlign w:val="center"/>
                </w:tcPr>
                <w:p>
                  <w:pPr>
                    <w:pStyle w:val="78"/>
                    <w:spacing w:line="240" w:lineRule="auto"/>
                    <w:rPr>
                      <w:b w:val="0"/>
                      <w:bCs/>
                      <w:sz w:val="21"/>
                      <w:szCs w:val="21"/>
                      <w:highlight w:val="yellow"/>
                    </w:rPr>
                  </w:pPr>
                  <w:r>
                    <w:rPr>
                      <w:b w:val="0"/>
                      <w:bCs/>
                      <w:sz w:val="21"/>
                      <w:szCs w:val="21"/>
                    </w:rPr>
                    <w:t>废气</w:t>
                  </w:r>
                </w:p>
              </w:tc>
              <w:tc>
                <w:tcPr>
                  <w:tcW w:w="1185" w:type="dxa"/>
                  <w:vAlign w:val="center"/>
                </w:tcPr>
                <w:p>
                  <w:pPr>
                    <w:pStyle w:val="78"/>
                    <w:spacing w:line="240" w:lineRule="auto"/>
                    <w:rPr>
                      <w:b w:val="0"/>
                      <w:bCs/>
                      <w:sz w:val="21"/>
                      <w:szCs w:val="21"/>
                    </w:rPr>
                  </w:pPr>
                  <w:r>
                    <w:rPr>
                      <w:b w:val="0"/>
                      <w:bCs/>
                      <w:sz w:val="21"/>
                      <w:szCs w:val="21"/>
                    </w:rPr>
                    <w:t>有组织</w:t>
                  </w:r>
                </w:p>
              </w:tc>
              <w:tc>
                <w:tcPr>
                  <w:tcW w:w="2265" w:type="dxa"/>
                  <w:vAlign w:val="center"/>
                </w:tcPr>
                <w:p>
                  <w:pPr>
                    <w:pStyle w:val="78"/>
                    <w:spacing w:line="240" w:lineRule="auto"/>
                    <w:rPr>
                      <w:b w:val="0"/>
                      <w:bCs/>
                      <w:sz w:val="21"/>
                      <w:szCs w:val="21"/>
                    </w:rPr>
                  </w:pPr>
                  <w:r>
                    <w:rPr>
                      <w:b w:val="0"/>
                      <w:bCs/>
                      <w:sz w:val="21"/>
                      <w:szCs w:val="21"/>
                    </w:rPr>
                    <w:t>工艺粉尘</w:t>
                  </w:r>
                </w:p>
              </w:tc>
              <w:tc>
                <w:tcPr>
                  <w:tcW w:w="1260" w:type="dxa"/>
                  <w:vAlign w:val="center"/>
                </w:tcPr>
                <w:p>
                  <w:pPr>
                    <w:pStyle w:val="78"/>
                    <w:spacing w:line="240" w:lineRule="auto"/>
                    <w:rPr>
                      <w:b w:val="0"/>
                      <w:bCs/>
                      <w:sz w:val="21"/>
                      <w:szCs w:val="21"/>
                    </w:rPr>
                  </w:pPr>
                  <w:r>
                    <w:rPr>
                      <w:rFonts w:hint="eastAsia"/>
                      <w:b w:val="0"/>
                      <w:bCs/>
                      <w:sz w:val="21"/>
                      <w:szCs w:val="21"/>
                    </w:rPr>
                    <w:t>192.82</w:t>
                  </w:r>
                </w:p>
              </w:tc>
              <w:tc>
                <w:tcPr>
                  <w:tcW w:w="1680" w:type="dxa"/>
                  <w:vAlign w:val="center"/>
                </w:tcPr>
                <w:p>
                  <w:pPr>
                    <w:pStyle w:val="78"/>
                    <w:spacing w:line="240" w:lineRule="auto"/>
                    <w:rPr>
                      <w:b w:val="0"/>
                      <w:bCs/>
                      <w:sz w:val="21"/>
                      <w:szCs w:val="21"/>
                    </w:rPr>
                  </w:pPr>
                  <w:r>
                    <w:rPr>
                      <w:rFonts w:hint="eastAsia"/>
                      <w:b w:val="0"/>
                      <w:bCs/>
                      <w:sz w:val="21"/>
                      <w:szCs w:val="21"/>
                    </w:rPr>
                    <w:t>191.038</w:t>
                  </w:r>
                </w:p>
              </w:tc>
              <w:tc>
                <w:tcPr>
                  <w:tcW w:w="1306" w:type="dxa"/>
                  <w:vAlign w:val="center"/>
                </w:tcPr>
                <w:p>
                  <w:pPr>
                    <w:pStyle w:val="78"/>
                    <w:spacing w:line="240" w:lineRule="auto"/>
                    <w:rPr>
                      <w:b w:val="0"/>
                      <w:bCs/>
                      <w:sz w:val="21"/>
                      <w:szCs w:val="21"/>
                    </w:rPr>
                  </w:pPr>
                  <w:r>
                    <w:rPr>
                      <w:rFonts w:hint="eastAsia"/>
                      <w:b w:val="0"/>
                      <w:bCs/>
                      <w:sz w:val="21"/>
                      <w:szCs w:val="21"/>
                    </w:rPr>
                    <w:t>1.782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6" w:type="dxa"/>
                  <w:vMerge w:val="continue"/>
                  <w:vAlign w:val="center"/>
                </w:tcPr>
                <w:p>
                  <w:pPr>
                    <w:pStyle w:val="78"/>
                    <w:spacing w:line="240" w:lineRule="auto"/>
                    <w:rPr>
                      <w:b w:val="0"/>
                      <w:bCs/>
                      <w:sz w:val="21"/>
                      <w:szCs w:val="21"/>
                      <w:highlight w:val="yellow"/>
                    </w:rPr>
                  </w:pPr>
                </w:p>
              </w:tc>
              <w:tc>
                <w:tcPr>
                  <w:tcW w:w="1185" w:type="dxa"/>
                  <w:vAlign w:val="center"/>
                </w:tcPr>
                <w:p>
                  <w:pPr>
                    <w:pStyle w:val="78"/>
                    <w:spacing w:line="240" w:lineRule="auto"/>
                    <w:rPr>
                      <w:b w:val="0"/>
                      <w:bCs/>
                      <w:sz w:val="21"/>
                      <w:szCs w:val="21"/>
                    </w:rPr>
                  </w:pPr>
                  <w:r>
                    <w:rPr>
                      <w:b w:val="0"/>
                      <w:bCs/>
                      <w:sz w:val="21"/>
                      <w:szCs w:val="21"/>
                    </w:rPr>
                    <w:t>无组织</w:t>
                  </w:r>
                </w:p>
              </w:tc>
              <w:tc>
                <w:tcPr>
                  <w:tcW w:w="2265" w:type="dxa"/>
                  <w:vAlign w:val="center"/>
                </w:tcPr>
                <w:p>
                  <w:pPr>
                    <w:pStyle w:val="78"/>
                    <w:spacing w:line="240" w:lineRule="auto"/>
                    <w:rPr>
                      <w:b w:val="0"/>
                      <w:bCs/>
                      <w:sz w:val="21"/>
                      <w:szCs w:val="21"/>
                    </w:rPr>
                  </w:pPr>
                  <w:r>
                    <w:rPr>
                      <w:rFonts w:hint="eastAsia"/>
                      <w:b w:val="0"/>
                      <w:bCs/>
                      <w:sz w:val="21"/>
                      <w:szCs w:val="21"/>
                    </w:rPr>
                    <w:t>无组织</w:t>
                  </w:r>
                  <w:r>
                    <w:rPr>
                      <w:b w:val="0"/>
                      <w:bCs/>
                      <w:sz w:val="21"/>
                      <w:szCs w:val="21"/>
                    </w:rPr>
                    <w:t>粉尘</w:t>
                  </w:r>
                </w:p>
              </w:tc>
              <w:tc>
                <w:tcPr>
                  <w:tcW w:w="1260" w:type="dxa"/>
                  <w:vAlign w:val="center"/>
                </w:tcPr>
                <w:p>
                  <w:pPr>
                    <w:pStyle w:val="78"/>
                    <w:spacing w:line="240" w:lineRule="auto"/>
                    <w:rPr>
                      <w:b w:val="0"/>
                      <w:bCs/>
                      <w:sz w:val="21"/>
                      <w:szCs w:val="21"/>
                      <w:highlight w:val="yellow"/>
                    </w:rPr>
                  </w:pPr>
                  <w:r>
                    <w:rPr>
                      <w:rFonts w:hint="eastAsia"/>
                      <w:b w:val="0"/>
                      <w:bCs/>
                      <w:sz w:val="21"/>
                      <w:szCs w:val="21"/>
                    </w:rPr>
                    <w:t>62.75</w:t>
                  </w:r>
                </w:p>
              </w:tc>
              <w:tc>
                <w:tcPr>
                  <w:tcW w:w="1680" w:type="dxa"/>
                  <w:vAlign w:val="center"/>
                </w:tcPr>
                <w:p>
                  <w:pPr>
                    <w:pStyle w:val="78"/>
                    <w:spacing w:line="240" w:lineRule="auto"/>
                    <w:rPr>
                      <w:b w:val="0"/>
                      <w:bCs/>
                      <w:sz w:val="21"/>
                      <w:szCs w:val="21"/>
                      <w:highlight w:val="yellow"/>
                    </w:rPr>
                  </w:pPr>
                  <w:r>
                    <w:rPr>
                      <w:rFonts w:hint="eastAsia"/>
                      <w:b w:val="0"/>
                      <w:bCs/>
                      <w:sz w:val="21"/>
                      <w:szCs w:val="21"/>
                    </w:rPr>
                    <w:t>62.59</w:t>
                  </w:r>
                </w:p>
              </w:tc>
              <w:tc>
                <w:tcPr>
                  <w:tcW w:w="1306" w:type="dxa"/>
                  <w:vAlign w:val="center"/>
                </w:tcPr>
                <w:p>
                  <w:pPr>
                    <w:pStyle w:val="78"/>
                    <w:spacing w:line="240" w:lineRule="auto"/>
                    <w:rPr>
                      <w:b w:val="0"/>
                      <w:bCs/>
                      <w:sz w:val="21"/>
                      <w:szCs w:val="21"/>
                    </w:rPr>
                  </w:pPr>
                  <w:r>
                    <w:rPr>
                      <w:rFonts w:hint="eastAsia"/>
                      <w:b w:val="0"/>
                      <w:bCs/>
                      <w:sz w:val="21"/>
                      <w:szCs w:val="21"/>
                    </w:rPr>
                    <w:t>0.16</w:t>
                  </w:r>
                </w:p>
              </w:tc>
            </w:tr>
          </w:tbl>
          <w:p>
            <w:pPr>
              <w:spacing w:line="360" w:lineRule="auto"/>
              <w:ind w:firstLine="472" w:firstLineChars="196"/>
              <w:rPr>
                <w:b/>
              </w:rPr>
            </w:pPr>
          </w:p>
          <w:p>
            <w:pPr>
              <w:spacing w:line="360" w:lineRule="auto"/>
              <w:ind w:firstLine="472" w:firstLineChars="196"/>
              <w:rPr>
                <w:b/>
              </w:rPr>
            </w:pPr>
            <w:r>
              <w:rPr>
                <w:rFonts w:hint="eastAsia"/>
                <w:b/>
              </w:rPr>
              <w:t>（5）厂内道路运输扬尘及厂界无组织颗粒物控制措施</w:t>
            </w:r>
          </w:p>
          <w:p>
            <w:pPr>
              <w:pStyle w:val="62"/>
              <w:ind w:firstLine="480"/>
              <w:rPr>
                <w:sz w:val="24"/>
                <w:szCs w:val="24"/>
              </w:rPr>
            </w:pPr>
            <w:r>
              <w:rPr>
                <w:rFonts w:hint="eastAsia"/>
                <w:sz w:val="24"/>
                <w:szCs w:val="24"/>
              </w:rPr>
              <w:t>项目原料及产品均采用汽车运输，会引起厂内道路扬尘量的增加。</w:t>
            </w:r>
          </w:p>
          <w:p>
            <w:pPr>
              <w:pStyle w:val="62"/>
              <w:ind w:firstLine="480"/>
              <w:rPr>
                <w:sz w:val="24"/>
                <w:szCs w:val="24"/>
              </w:rPr>
            </w:pPr>
            <w:r>
              <w:rPr>
                <w:rFonts w:hint="eastAsia"/>
                <w:sz w:val="24"/>
                <w:szCs w:val="24"/>
              </w:rPr>
              <w:t>根据类比分析，汽车行驶时产生的扬尘污染对道路两侧2~30m范围内的影响较大。</w:t>
            </w:r>
          </w:p>
          <w:p>
            <w:pPr>
              <w:pStyle w:val="62"/>
              <w:ind w:firstLine="480"/>
              <w:rPr>
                <w:sz w:val="24"/>
                <w:szCs w:val="24"/>
              </w:rPr>
            </w:pPr>
            <w:r>
              <w:rPr>
                <w:rFonts w:hint="eastAsia"/>
                <w:sz w:val="24"/>
                <w:szCs w:val="24"/>
              </w:rPr>
              <w:t>为减小项目无组织颗粒物对周边大气环境的影响，项目运输采取以下措施：</w:t>
            </w:r>
          </w:p>
          <w:p>
            <w:pPr>
              <w:pStyle w:val="62"/>
              <w:ind w:firstLine="480"/>
              <w:rPr>
                <w:sz w:val="24"/>
                <w:szCs w:val="24"/>
              </w:rPr>
            </w:pPr>
            <w:r>
              <w:rPr>
                <w:rFonts w:hint="eastAsia"/>
                <w:sz w:val="24"/>
                <w:szCs w:val="24"/>
              </w:rPr>
              <w:t>①项目区道路全部水泥硬化，并注意道路的维护；</w:t>
            </w:r>
          </w:p>
          <w:p>
            <w:pPr>
              <w:pStyle w:val="62"/>
              <w:ind w:firstLine="480"/>
              <w:rPr>
                <w:sz w:val="24"/>
                <w:szCs w:val="24"/>
              </w:rPr>
            </w:pPr>
            <w:r>
              <w:rPr>
                <w:rFonts w:hint="eastAsia"/>
                <w:sz w:val="24"/>
                <w:szCs w:val="24"/>
              </w:rPr>
              <w:t>②行驶速度应小于10km/h；</w:t>
            </w:r>
          </w:p>
          <w:p>
            <w:pPr>
              <w:pStyle w:val="62"/>
              <w:ind w:firstLine="480"/>
              <w:rPr>
                <w:sz w:val="24"/>
                <w:szCs w:val="24"/>
              </w:rPr>
            </w:pPr>
            <w:r>
              <w:rPr>
                <w:rFonts w:hint="eastAsia"/>
                <w:sz w:val="24"/>
                <w:szCs w:val="24"/>
              </w:rPr>
              <w:t>③定期清扫路面，并设置洒水车，适时进行洒水抑尘。</w:t>
            </w:r>
          </w:p>
          <w:p>
            <w:pPr>
              <w:snapToGrid w:val="0"/>
              <w:spacing w:line="360" w:lineRule="auto"/>
              <w:ind w:firstLine="481" w:firstLineChars="200"/>
              <w:rPr>
                <w:rFonts w:hint="eastAsia" w:ascii="宋体" w:hAnsi="宋体"/>
                <w:b/>
              </w:rPr>
            </w:pPr>
            <w:r>
              <w:rPr>
                <w:rFonts w:hint="eastAsia" w:ascii="宋体" w:hAnsi="宋体"/>
                <w:b/>
              </w:rPr>
              <w:t>（6）非正常工况</w:t>
            </w:r>
          </w:p>
          <w:p>
            <w:pPr>
              <w:widowControl/>
              <w:adjustRightInd w:val="0"/>
              <w:snapToGrid w:val="0"/>
              <w:spacing w:line="360" w:lineRule="auto"/>
              <w:ind w:firstLine="480" w:firstLineChars="200"/>
              <w:jc w:val="left"/>
              <w:rPr>
                <w:rFonts w:hint="eastAsia" w:ascii="宋体" w:hAnsi="宋体"/>
              </w:rPr>
            </w:pPr>
            <w:r>
              <w:rPr>
                <w:rFonts w:ascii="宋体" w:hAnsi="宋体"/>
              </w:rPr>
              <w:t>非正常工况主要是指袋式除尘器滤袋破损后，除尘效率降低。袋式除尘器滤袋破损后，</w:t>
            </w:r>
            <w:r>
              <w:rPr>
                <w:rFonts w:hint="eastAsia" w:ascii="宋体" w:hAnsi="宋体"/>
              </w:rPr>
              <w:t>颗粒物</w:t>
            </w:r>
            <w:r>
              <w:rPr>
                <w:rFonts w:ascii="宋体" w:hAnsi="宋体"/>
              </w:rPr>
              <w:t>排放增加量</w:t>
            </w:r>
            <w:r>
              <w:rPr>
                <w:rFonts w:hint="eastAsia" w:ascii="宋体" w:hAnsi="宋体"/>
              </w:rPr>
              <w:t>。</w:t>
            </w:r>
          </w:p>
          <w:p>
            <w:pPr>
              <w:snapToGrid w:val="0"/>
              <w:spacing w:line="360" w:lineRule="auto"/>
              <w:ind w:firstLine="465" w:firstLineChars="194"/>
              <w:rPr>
                <w:rFonts w:hint="eastAsia" w:ascii="宋体" w:hAnsi="宋体"/>
              </w:rPr>
            </w:pPr>
            <w:r>
              <w:rPr>
                <w:rFonts w:hint="eastAsia" w:hAnsi="宋体"/>
              </w:rPr>
              <w:t>由于石料破碎工序颗粒物排放量较大，因此，本次评价非正常工况选取石料破碎工序作为非正常工序污染物排放进行核算。</w:t>
            </w:r>
          </w:p>
          <w:p>
            <w:pPr>
              <w:widowControl/>
              <w:adjustRightInd w:val="0"/>
              <w:snapToGrid w:val="0"/>
              <w:spacing w:line="360" w:lineRule="auto"/>
              <w:ind w:firstLine="480" w:firstLineChars="200"/>
              <w:jc w:val="left"/>
              <w:rPr>
                <w:rFonts w:hint="eastAsia" w:ascii="宋体" w:hAnsi="宋体"/>
              </w:rPr>
            </w:pPr>
            <w:r>
              <w:rPr>
                <w:rFonts w:hint="eastAsia" w:ascii="宋体" w:hAnsi="宋体"/>
              </w:rPr>
              <w:t>布袋除尘器在发生故障时，布袋除尘器除尘效率按60%考虑，非正常工况下颗粒物</w:t>
            </w:r>
            <w:r>
              <w:rPr>
                <w:rFonts w:ascii="宋体" w:hAnsi="宋体"/>
              </w:rPr>
              <w:t>排放量为</w:t>
            </w:r>
            <w:r>
              <w:rPr>
                <w:rFonts w:hint="eastAsia" w:ascii="宋体" w:hAnsi="宋体"/>
              </w:rPr>
              <w:t>17.92</w:t>
            </w:r>
            <w:r>
              <w:rPr>
                <w:rFonts w:ascii="宋体" w:hAnsi="宋体"/>
              </w:rPr>
              <w:t>kg/h，排放浓度为</w:t>
            </w:r>
            <w:r>
              <w:rPr>
                <w:rFonts w:hint="eastAsia" w:ascii="宋体" w:hAnsi="宋体"/>
              </w:rPr>
              <w:t>622</w:t>
            </w:r>
            <w:r>
              <w:rPr>
                <w:rFonts w:ascii="宋体" w:hAnsi="宋体"/>
              </w:rPr>
              <w:t>mg/m</w:t>
            </w:r>
            <w:r>
              <w:rPr>
                <w:rFonts w:ascii="宋体" w:hAnsi="宋体"/>
                <w:vertAlign w:val="superscript"/>
              </w:rPr>
              <w:t>3</w:t>
            </w:r>
            <w:r>
              <w:rPr>
                <w:rFonts w:ascii="宋体" w:hAnsi="宋体"/>
              </w:rPr>
              <w:t>。</w:t>
            </w:r>
          </w:p>
          <w:p>
            <w:pPr>
              <w:widowControl/>
              <w:spacing w:line="360" w:lineRule="auto"/>
              <w:ind w:firstLine="480" w:firstLineChars="200"/>
              <w:jc w:val="left"/>
              <w:rPr>
                <w:rFonts w:hint="eastAsia" w:ascii="宋体" w:hAnsi="宋体"/>
              </w:rPr>
            </w:pPr>
            <w:r>
              <w:rPr>
                <w:rFonts w:ascii="宋体" w:hAnsi="宋体"/>
              </w:rPr>
              <w:t>则非正常工况下污染物排放情况见表</w:t>
            </w:r>
            <w:r>
              <w:rPr>
                <w:rFonts w:hint="eastAsia" w:ascii="宋体" w:hAnsi="宋体"/>
              </w:rPr>
              <w:t>4-6</w:t>
            </w:r>
            <w:r>
              <w:rPr>
                <w:rFonts w:ascii="宋体" w:hAnsi="宋体"/>
              </w:rPr>
              <w:t>。</w:t>
            </w:r>
          </w:p>
          <w:p>
            <w:pPr>
              <w:pStyle w:val="8"/>
              <w:rPr>
                <w:rFonts w:hint="eastAsia" w:ascii="宋体" w:hAnsi="宋体"/>
                <w:szCs w:val="24"/>
              </w:rPr>
            </w:pPr>
            <w:r>
              <w:rPr>
                <w:rFonts w:ascii="宋体" w:hAnsi="宋体"/>
                <w:szCs w:val="24"/>
              </w:rPr>
              <w:t>表</w:t>
            </w:r>
            <w:r>
              <w:rPr>
                <w:rFonts w:hint="eastAsia" w:ascii="宋体" w:hAnsi="宋体"/>
                <w:szCs w:val="24"/>
              </w:rPr>
              <w:t xml:space="preserve">4-6          </w:t>
            </w:r>
            <w:r>
              <w:rPr>
                <w:rFonts w:ascii="宋体" w:hAnsi="宋体"/>
                <w:szCs w:val="24"/>
              </w:rPr>
              <w:t>非正常工况下污染物排放情况</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3"/>
              <w:gridCol w:w="1821"/>
              <w:gridCol w:w="1770"/>
              <w:gridCol w:w="1530"/>
              <w:gridCol w:w="826"/>
              <w:gridCol w:w="8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1010" w:type="pct"/>
                  <w:vAlign w:val="center"/>
                </w:tcPr>
                <w:p>
                  <w:pPr>
                    <w:pStyle w:val="73"/>
                    <w:rPr>
                      <w:color w:val="auto"/>
                    </w:rPr>
                  </w:pPr>
                  <w:r>
                    <w:rPr>
                      <w:color w:val="auto"/>
                    </w:rPr>
                    <w:t>污染物名称</w:t>
                  </w:r>
                </w:p>
              </w:tc>
              <w:tc>
                <w:tcPr>
                  <w:tcW w:w="1074" w:type="pct"/>
                  <w:vAlign w:val="center"/>
                </w:tcPr>
                <w:p>
                  <w:pPr>
                    <w:pStyle w:val="73"/>
                    <w:rPr>
                      <w:color w:val="auto"/>
                    </w:rPr>
                  </w:pPr>
                  <w:r>
                    <w:rPr>
                      <w:color w:val="auto"/>
                    </w:rPr>
                    <w:t>排放浓度</w:t>
                  </w:r>
                </w:p>
                <w:p>
                  <w:pPr>
                    <w:pStyle w:val="73"/>
                    <w:rPr>
                      <w:color w:val="auto"/>
                    </w:rPr>
                  </w:pPr>
                  <w:r>
                    <w:rPr>
                      <w:color w:val="auto"/>
                    </w:rPr>
                    <w:t>（mg/m</w:t>
                  </w:r>
                  <w:r>
                    <w:rPr>
                      <w:color w:val="auto"/>
                      <w:vertAlign w:val="superscript"/>
                    </w:rPr>
                    <w:t>3</w:t>
                  </w:r>
                  <w:r>
                    <w:rPr>
                      <w:color w:val="auto"/>
                    </w:rPr>
                    <w:t>）</w:t>
                  </w:r>
                </w:p>
              </w:tc>
              <w:tc>
                <w:tcPr>
                  <w:tcW w:w="1044" w:type="pct"/>
                  <w:vAlign w:val="center"/>
                </w:tcPr>
                <w:p>
                  <w:pPr>
                    <w:pStyle w:val="73"/>
                    <w:rPr>
                      <w:color w:val="auto"/>
                    </w:rPr>
                  </w:pPr>
                  <w:r>
                    <w:rPr>
                      <w:color w:val="auto"/>
                    </w:rPr>
                    <w:t>排放速率</w:t>
                  </w:r>
                </w:p>
                <w:p>
                  <w:pPr>
                    <w:pStyle w:val="73"/>
                    <w:rPr>
                      <w:color w:val="auto"/>
                    </w:rPr>
                  </w:pPr>
                  <w:r>
                    <w:rPr>
                      <w:color w:val="auto"/>
                    </w:rPr>
                    <w:t>（kg/h）</w:t>
                  </w:r>
                </w:p>
              </w:tc>
              <w:tc>
                <w:tcPr>
                  <w:tcW w:w="902" w:type="pct"/>
                  <w:vAlign w:val="center"/>
                </w:tcPr>
                <w:p>
                  <w:pPr>
                    <w:pStyle w:val="73"/>
                    <w:rPr>
                      <w:color w:val="auto"/>
                    </w:rPr>
                  </w:pPr>
                  <w:r>
                    <w:rPr>
                      <w:color w:val="auto"/>
                    </w:rPr>
                    <w:t>浓度标准限值（mg/m</w:t>
                  </w:r>
                  <w:r>
                    <w:rPr>
                      <w:color w:val="auto"/>
                      <w:vertAlign w:val="superscript"/>
                    </w:rPr>
                    <w:t>3</w:t>
                  </w:r>
                  <w:r>
                    <w:rPr>
                      <w:color w:val="auto"/>
                    </w:rPr>
                    <w:t>）</w:t>
                  </w:r>
                </w:p>
              </w:tc>
              <w:tc>
                <w:tcPr>
                  <w:tcW w:w="487" w:type="pct"/>
                  <w:vAlign w:val="center"/>
                </w:tcPr>
                <w:p>
                  <w:pPr>
                    <w:pStyle w:val="73"/>
                    <w:rPr>
                      <w:color w:val="auto"/>
                    </w:rPr>
                  </w:pPr>
                  <w:r>
                    <w:rPr>
                      <w:color w:val="auto"/>
                    </w:rPr>
                    <w:t>达标情况</w:t>
                  </w:r>
                </w:p>
              </w:tc>
              <w:tc>
                <w:tcPr>
                  <w:tcW w:w="483" w:type="pct"/>
                  <w:vAlign w:val="center"/>
                </w:tcPr>
                <w:p>
                  <w:pPr>
                    <w:pStyle w:val="73"/>
                    <w:rPr>
                      <w:color w:val="auto"/>
                    </w:rPr>
                  </w:pPr>
                  <w:r>
                    <w:rPr>
                      <w:color w:val="auto"/>
                    </w:rPr>
                    <w:t>持续</w:t>
                  </w:r>
                  <w:r>
                    <w:rPr>
                      <w:rFonts w:hint="eastAsia"/>
                      <w:color w:val="auto"/>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1010" w:type="pct"/>
                  <w:vAlign w:val="center"/>
                </w:tcPr>
                <w:p>
                  <w:pPr>
                    <w:pStyle w:val="73"/>
                    <w:rPr>
                      <w:color w:val="auto"/>
                    </w:rPr>
                  </w:pPr>
                  <w:r>
                    <w:rPr>
                      <w:rFonts w:hint="eastAsia"/>
                      <w:color w:val="auto"/>
                    </w:rPr>
                    <w:t>颗粒物</w:t>
                  </w:r>
                </w:p>
              </w:tc>
              <w:tc>
                <w:tcPr>
                  <w:tcW w:w="1074" w:type="pct"/>
                  <w:vAlign w:val="center"/>
                </w:tcPr>
                <w:p>
                  <w:pPr>
                    <w:pStyle w:val="73"/>
                    <w:rPr>
                      <w:color w:val="auto"/>
                    </w:rPr>
                  </w:pPr>
                  <w:r>
                    <w:rPr>
                      <w:rFonts w:hint="eastAsia"/>
                      <w:color w:val="auto"/>
                    </w:rPr>
                    <w:t>622</w:t>
                  </w:r>
                </w:p>
              </w:tc>
              <w:tc>
                <w:tcPr>
                  <w:tcW w:w="1044" w:type="pct"/>
                  <w:vAlign w:val="center"/>
                </w:tcPr>
                <w:p>
                  <w:pPr>
                    <w:pStyle w:val="73"/>
                    <w:rPr>
                      <w:color w:val="auto"/>
                    </w:rPr>
                  </w:pPr>
                  <w:r>
                    <w:rPr>
                      <w:rFonts w:hint="eastAsia"/>
                      <w:color w:val="auto"/>
                    </w:rPr>
                    <w:t>17.92</w:t>
                  </w:r>
                </w:p>
              </w:tc>
              <w:tc>
                <w:tcPr>
                  <w:tcW w:w="902" w:type="pct"/>
                  <w:vAlign w:val="center"/>
                </w:tcPr>
                <w:p>
                  <w:pPr>
                    <w:pStyle w:val="73"/>
                    <w:rPr>
                      <w:color w:val="auto"/>
                    </w:rPr>
                  </w:pPr>
                  <w:r>
                    <w:rPr>
                      <w:rFonts w:hint="eastAsia"/>
                      <w:color w:val="auto"/>
                    </w:rPr>
                    <w:t>20</w:t>
                  </w:r>
                </w:p>
              </w:tc>
              <w:tc>
                <w:tcPr>
                  <w:tcW w:w="487" w:type="pct"/>
                  <w:vAlign w:val="center"/>
                </w:tcPr>
                <w:p>
                  <w:pPr>
                    <w:pStyle w:val="73"/>
                    <w:rPr>
                      <w:color w:val="auto"/>
                    </w:rPr>
                  </w:pPr>
                  <w:r>
                    <w:rPr>
                      <w:rFonts w:hint="eastAsia"/>
                      <w:color w:val="auto"/>
                    </w:rPr>
                    <w:t>超标</w:t>
                  </w:r>
                </w:p>
              </w:tc>
              <w:tc>
                <w:tcPr>
                  <w:tcW w:w="483" w:type="pct"/>
                  <w:vAlign w:val="center"/>
                </w:tcPr>
                <w:p>
                  <w:pPr>
                    <w:pStyle w:val="73"/>
                    <w:rPr>
                      <w:color w:val="auto"/>
                    </w:rPr>
                  </w:pPr>
                  <w:r>
                    <w:rPr>
                      <w:rFonts w:hint="eastAsia"/>
                      <w:color w:val="auto"/>
                    </w:rPr>
                    <w:t>1h</w:t>
                  </w:r>
                </w:p>
              </w:tc>
            </w:tr>
          </w:tbl>
          <w:p>
            <w:pPr>
              <w:snapToGrid w:val="0"/>
              <w:spacing w:line="360" w:lineRule="auto"/>
              <w:ind w:firstLine="465" w:firstLineChars="194"/>
            </w:pPr>
          </w:p>
          <w:p>
            <w:pPr>
              <w:snapToGrid w:val="0"/>
              <w:spacing w:line="360" w:lineRule="auto"/>
              <w:ind w:firstLine="465" w:firstLineChars="194"/>
              <w:rPr>
                <w:rFonts w:hint="eastAsia" w:hAnsi="宋体"/>
              </w:rPr>
            </w:pPr>
            <w:r>
              <w:rPr>
                <w:rFonts w:hint="eastAsia"/>
              </w:rPr>
              <w:t>由表4-6可知，</w:t>
            </w:r>
            <w:r>
              <w:rPr>
                <w:rFonts w:hint="eastAsia" w:hAnsi="宋体"/>
              </w:rPr>
              <w:t>若污染防治措施发生故障，污染物出现超标排放，且污染排放量较大，因此污染防治措施的非正常工况必须严格控制。建设单位应加强环保设施日常维护，确保其长期稳定运行。在出现事故且无法控制时，需及时停产。</w:t>
            </w:r>
          </w:p>
          <w:p>
            <w:pPr>
              <w:snapToGrid w:val="0"/>
              <w:spacing w:line="360" w:lineRule="auto"/>
              <w:ind w:firstLine="481" w:firstLineChars="200"/>
              <w:rPr>
                <w:b/>
              </w:rPr>
            </w:pPr>
            <w:r>
              <w:rPr>
                <w:rFonts w:hint="eastAsia"/>
                <w:b/>
              </w:rPr>
              <w:t>2）废气治理措施可行性分析</w:t>
            </w:r>
          </w:p>
          <w:p>
            <w:pPr>
              <w:spacing w:line="360" w:lineRule="auto"/>
              <w:ind w:firstLine="480"/>
            </w:pPr>
            <w:r>
              <w:t>本项目有组织</w:t>
            </w:r>
            <w:r>
              <w:rPr>
                <w:rFonts w:hint="eastAsia"/>
              </w:rPr>
              <w:t>颗粒物</w:t>
            </w:r>
            <w:r>
              <w:t>均</w:t>
            </w:r>
            <w:r>
              <w:rPr>
                <w:szCs w:val="22"/>
              </w:rPr>
              <w:t>采用袋式除尘器处理后由排气筒排放。处理后粉尘排放浓度</w:t>
            </w:r>
            <w:r>
              <w:rPr>
                <w:rFonts w:hint="eastAsia"/>
              </w:rPr>
              <w:t>满足</w:t>
            </w:r>
            <w:r>
              <w:rPr>
                <w:rFonts w:hint="eastAsia"/>
                <w:bCs/>
              </w:rPr>
              <w:t>《水泥工业大气污染物排放标准》（GB4915-2013）中表1标准限值要求</w:t>
            </w:r>
            <w:r>
              <w:rPr>
                <w:szCs w:val="22"/>
              </w:rPr>
              <w:t>。</w:t>
            </w:r>
          </w:p>
          <w:p>
            <w:pPr>
              <w:spacing w:line="360" w:lineRule="auto"/>
              <w:ind w:firstLine="480"/>
            </w:pPr>
            <w:r>
              <w:t>本次采用袋式除尘器属于</w:t>
            </w:r>
            <w:r>
              <w:rPr>
                <w:rFonts w:hint="eastAsia"/>
              </w:rPr>
              <w:t>《排放源统计调查产排污核算方法和系数手册》（公告2021年第24号）中《3021水泥制品制造行业系数手册》中末端治理技术，属于可行性技术。</w:t>
            </w:r>
          </w:p>
          <w:p>
            <w:pPr>
              <w:spacing w:line="360" w:lineRule="auto"/>
              <w:ind w:firstLine="480"/>
            </w:pPr>
            <w:r>
              <w:rPr>
                <w:rFonts w:hint="eastAsia"/>
              </w:rPr>
              <w:t>综上，本项目粉尘采用布袋除尘器处理是可行的。</w:t>
            </w:r>
          </w:p>
          <w:p>
            <w:pPr>
              <w:pStyle w:val="5"/>
              <w:ind w:firstLine="481" w:firstLineChars="200"/>
              <w:rPr>
                <w:color w:val="auto"/>
              </w:rPr>
            </w:pPr>
            <w:r>
              <w:rPr>
                <w:rFonts w:hint="eastAsia"/>
                <w:color w:val="auto"/>
              </w:rPr>
              <w:t>3)大气环境影响分析</w:t>
            </w:r>
          </w:p>
          <w:p>
            <w:pPr>
              <w:spacing w:line="360" w:lineRule="auto"/>
              <w:ind w:firstLine="480"/>
              <w:rPr>
                <w:bCs/>
              </w:rPr>
            </w:pPr>
            <w:r>
              <w:rPr>
                <w:rFonts w:hint="eastAsia"/>
              </w:rPr>
              <w:t>项目物料生产过程产生的工艺粉尘主要包括筒仓粉尘、破碎粉尘、搅拌机粉尘，各筒仓顶均安装布袋除尘器，经布袋除尘器处理后由仓顶排气口排放；破碎粉尘经布袋除尘器处理后汇集至1根15m高排气筒排放；搅拌机粉尘经布袋除尘器处理后由搅拌塔楼顶排气口排放；各工序粉尘经布袋除尘器处理后颗粒物排放浓度可以满足</w:t>
            </w:r>
            <w:r>
              <w:rPr>
                <w:rFonts w:hint="eastAsia"/>
                <w:bCs/>
              </w:rPr>
              <w:t>《水泥工业大气污染物排放标准》（GB4915-2013）</w:t>
            </w:r>
            <w:r>
              <w:rPr>
                <w:bCs/>
              </w:rPr>
              <w:t>标准限值要求</w:t>
            </w:r>
            <w:r>
              <w:rPr>
                <w:rFonts w:hint="eastAsia"/>
                <w:bCs/>
              </w:rPr>
              <w:t>；</w:t>
            </w:r>
            <w:r>
              <w:rPr>
                <w:rFonts w:hint="eastAsia"/>
              </w:rPr>
              <w:t>污染物排放量较小，厂界</w:t>
            </w:r>
            <w:r>
              <w:rPr>
                <w:bCs/>
              </w:rPr>
              <w:t>可以做到达标排放</w:t>
            </w:r>
            <w:r>
              <w:rPr>
                <w:rFonts w:hint="eastAsia"/>
                <w:bCs/>
              </w:rPr>
              <w:t>。</w:t>
            </w:r>
          </w:p>
          <w:p>
            <w:pPr>
              <w:pStyle w:val="56"/>
              <w:ind w:firstLine="470" w:firstLineChars="196"/>
              <w:rPr>
                <w:sz w:val="24"/>
                <w:szCs w:val="24"/>
              </w:rPr>
            </w:pPr>
            <w:r>
              <w:rPr>
                <w:rFonts w:hint="eastAsia"/>
                <w:sz w:val="24"/>
                <w:szCs w:val="24"/>
              </w:rPr>
              <w:t>②无组织粉尘</w:t>
            </w:r>
          </w:p>
          <w:p>
            <w:pPr>
              <w:pStyle w:val="56"/>
              <w:ind w:firstLine="470" w:firstLineChars="196"/>
              <w:rPr>
                <w:sz w:val="24"/>
              </w:rPr>
            </w:pPr>
            <w:r>
              <w:rPr>
                <w:rFonts w:hint="eastAsia"/>
                <w:bCs/>
                <w:sz w:val="24"/>
              </w:rPr>
              <w:t>原料储库采用全封闭储库措施；储库内物料装卸、转运时进行洒水抑尘，物料输送采用全封闭皮带进行输送；</w:t>
            </w:r>
            <w:r>
              <w:rPr>
                <w:rFonts w:hint="eastAsia"/>
                <w:sz w:val="24"/>
              </w:rPr>
              <w:t>定期清扫路面，并设置洒水车，适时进行洒水抑尘；控制运输车辆车速；通过采取上述措施，可确保无组织颗粒物厂界达标。</w:t>
            </w:r>
          </w:p>
          <w:p>
            <w:pPr>
              <w:tabs>
                <w:tab w:val="left" w:pos="0"/>
              </w:tabs>
              <w:spacing w:line="360" w:lineRule="auto"/>
              <w:ind w:firstLine="470" w:firstLineChars="196"/>
            </w:pPr>
            <w:r>
              <w:rPr>
                <w:rFonts w:hint="eastAsia"/>
                <w:bCs/>
              </w:rPr>
              <w:t>项目所在区域大气环境质量较好，且项目周边无集中居民区；项目采取的大气污染防治措施均为技术可行性措施，可确保污染物长期稳定达标排放，对周边大气环境影响较小。</w:t>
            </w:r>
          </w:p>
          <w:p>
            <w:pPr>
              <w:pStyle w:val="5"/>
              <w:ind w:firstLine="481" w:firstLineChars="200"/>
              <w:rPr>
                <w:color w:val="auto"/>
              </w:rPr>
            </w:pPr>
            <w:r>
              <w:rPr>
                <w:rFonts w:hint="eastAsia"/>
                <w:color w:val="auto"/>
              </w:rPr>
              <w:t>2、水环境影响分析及防治措施</w:t>
            </w:r>
          </w:p>
          <w:p>
            <w:pPr>
              <w:pStyle w:val="56"/>
              <w:ind w:firstLine="470" w:firstLineChars="196"/>
              <w:rPr>
                <w:sz w:val="24"/>
                <w:szCs w:val="24"/>
              </w:rPr>
            </w:pPr>
            <w:r>
              <w:rPr>
                <w:rFonts w:hint="eastAsia"/>
                <w:sz w:val="24"/>
                <w:szCs w:val="24"/>
              </w:rPr>
              <w:t>项目废水主要为设备清洗废水、混凝土罐车清洗废水及生活污水，设备及混凝土罐车清洗废水经沉淀池处理后回用于工艺用水，循环利用不外排；项目废水主要为生活污水，生活污水排入防渗化粪池处理，处理后定期拉运至内蒙古神东天隆集团股份有限公司霍洛湾煤矿处理，不外排。</w:t>
            </w:r>
          </w:p>
          <w:p>
            <w:pPr>
              <w:spacing w:line="360" w:lineRule="auto"/>
              <w:ind w:firstLine="480" w:firstLineChars="200"/>
              <w:outlineLvl w:val="0"/>
            </w:pPr>
            <w:r>
              <w:rPr>
                <w:rFonts w:hint="eastAsia"/>
              </w:rPr>
              <w:t>本项目生活用水量为0.75m</w:t>
            </w:r>
            <w:r>
              <w:rPr>
                <w:rFonts w:hint="eastAsia"/>
                <w:vertAlign w:val="superscript"/>
              </w:rPr>
              <w:t>3</w:t>
            </w:r>
            <w:r>
              <w:rPr>
                <w:rFonts w:hint="eastAsia"/>
              </w:rPr>
              <w:t>/d（180m</w:t>
            </w:r>
            <w:r>
              <w:rPr>
                <w:rFonts w:hint="eastAsia"/>
                <w:vertAlign w:val="superscript"/>
              </w:rPr>
              <w:t>3</w:t>
            </w:r>
            <w:r>
              <w:rPr>
                <w:rFonts w:hint="eastAsia"/>
              </w:rPr>
              <w:t>/a），排水系数按0.8计，则生活污水排放量为0.6m</w:t>
            </w:r>
            <w:r>
              <w:rPr>
                <w:rFonts w:hint="eastAsia"/>
                <w:vertAlign w:val="superscript"/>
              </w:rPr>
              <w:t>3</w:t>
            </w:r>
            <w:r>
              <w:rPr>
                <w:rFonts w:hint="eastAsia"/>
              </w:rPr>
              <w:t>/d（144m</w:t>
            </w:r>
            <w:r>
              <w:rPr>
                <w:rFonts w:hint="eastAsia"/>
                <w:vertAlign w:val="superscript"/>
              </w:rPr>
              <w:t>3</w:t>
            </w:r>
            <w:r>
              <w:rPr>
                <w:rFonts w:hint="eastAsia"/>
              </w:rPr>
              <w:t>/a）。生活污水经化粪池处理，处理后定期拉运至内蒙古神东天隆集团股份有限公司霍洛湾煤矿处理，不直接外排。</w:t>
            </w:r>
          </w:p>
          <w:p>
            <w:pPr>
              <w:pStyle w:val="56"/>
              <w:ind w:firstLine="470" w:firstLineChars="196"/>
              <w:rPr>
                <w:sz w:val="24"/>
                <w:szCs w:val="24"/>
              </w:rPr>
            </w:pPr>
            <w:r>
              <w:rPr>
                <w:rFonts w:hint="eastAsia"/>
                <w:sz w:val="24"/>
                <w:szCs w:val="24"/>
              </w:rPr>
              <w:t>类比典型生活污水水质，本项目污水中主要污染物产生量、排放量及其产生浓度、排放浓度见表4-7。</w:t>
            </w:r>
          </w:p>
          <w:p>
            <w:pPr>
              <w:pStyle w:val="56"/>
              <w:spacing w:line="240" w:lineRule="auto"/>
              <w:ind w:firstLine="470" w:firstLineChars="196"/>
              <w:rPr>
                <w:sz w:val="24"/>
                <w:szCs w:val="24"/>
              </w:rPr>
            </w:pPr>
          </w:p>
          <w:p>
            <w:pPr>
              <w:jc w:val="center"/>
              <w:rPr>
                <w:b/>
              </w:rPr>
            </w:pPr>
            <w:r>
              <w:rPr>
                <w:rFonts w:hint="eastAsia"/>
                <w:b/>
              </w:rPr>
              <w:t>表4-7      生活污水污染物排放情况一览表</w:t>
            </w:r>
          </w:p>
          <w:tbl>
            <w:tblPr>
              <w:tblStyle w:val="19"/>
              <w:tblW w:w="8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7"/>
              <w:gridCol w:w="1128"/>
              <w:gridCol w:w="1430"/>
              <w:gridCol w:w="818"/>
              <w:gridCol w:w="1173"/>
              <w:gridCol w:w="12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499"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废水类别</w:t>
                  </w:r>
                </w:p>
              </w:tc>
              <w:tc>
                <w:tcPr>
                  <w:tcW w:w="3501" w:type="pct"/>
                  <w:gridSpan w:val="5"/>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生活污水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499"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污染物</w:t>
                  </w:r>
                </w:p>
              </w:tc>
              <w:tc>
                <w:tcPr>
                  <w:tcW w:w="696" w:type="pct"/>
                  <w:vAlign w:val="center"/>
                </w:tcPr>
                <w:p>
                  <w:pPr>
                    <w:jc w:val="center"/>
                    <w:rPr>
                      <w:sz w:val="21"/>
                      <w:szCs w:val="21"/>
                    </w:rPr>
                  </w:pPr>
                  <w:r>
                    <w:rPr>
                      <w:rFonts w:hint="eastAsia"/>
                      <w:sz w:val="21"/>
                      <w:szCs w:val="21"/>
                    </w:rPr>
                    <w:t>BOD</w:t>
                  </w:r>
                  <w:r>
                    <w:rPr>
                      <w:rFonts w:hint="eastAsia"/>
                      <w:sz w:val="21"/>
                      <w:szCs w:val="21"/>
                      <w:vertAlign w:val="subscript"/>
                    </w:rPr>
                    <w:t>5</w:t>
                  </w:r>
                </w:p>
              </w:tc>
              <w:tc>
                <w:tcPr>
                  <w:tcW w:w="879" w:type="pct"/>
                  <w:vAlign w:val="center"/>
                </w:tcPr>
                <w:p>
                  <w:pPr>
                    <w:jc w:val="center"/>
                    <w:rPr>
                      <w:sz w:val="21"/>
                      <w:szCs w:val="21"/>
                    </w:rPr>
                  </w:pPr>
                  <w:r>
                    <w:rPr>
                      <w:rFonts w:hint="eastAsia"/>
                      <w:sz w:val="21"/>
                      <w:szCs w:val="21"/>
                    </w:rPr>
                    <w:t>COD</w:t>
                  </w:r>
                </w:p>
              </w:tc>
              <w:tc>
                <w:tcPr>
                  <w:tcW w:w="451" w:type="pct"/>
                  <w:vAlign w:val="center"/>
                </w:tcPr>
                <w:p>
                  <w:pPr>
                    <w:jc w:val="center"/>
                    <w:rPr>
                      <w:sz w:val="21"/>
                      <w:szCs w:val="21"/>
                    </w:rPr>
                  </w:pPr>
                  <w:r>
                    <w:rPr>
                      <w:rFonts w:hint="eastAsia"/>
                      <w:sz w:val="21"/>
                      <w:szCs w:val="21"/>
                    </w:rPr>
                    <w:t>SS</w:t>
                  </w:r>
                </w:p>
              </w:tc>
              <w:tc>
                <w:tcPr>
                  <w:tcW w:w="723" w:type="pct"/>
                  <w:vAlign w:val="center"/>
                </w:tcPr>
                <w:p>
                  <w:pPr>
                    <w:jc w:val="center"/>
                    <w:rPr>
                      <w:sz w:val="21"/>
                      <w:szCs w:val="21"/>
                    </w:rPr>
                  </w:pPr>
                  <w:r>
                    <w:rPr>
                      <w:rFonts w:hint="eastAsia"/>
                      <w:sz w:val="21"/>
                      <w:szCs w:val="21"/>
                    </w:rPr>
                    <w:t>氨氮</w:t>
                  </w:r>
                </w:p>
              </w:tc>
              <w:tc>
                <w:tcPr>
                  <w:tcW w:w="752" w:type="pct"/>
                  <w:vAlign w:val="center"/>
                </w:tcPr>
                <w:p>
                  <w:pPr>
                    <w:jc w:val="center"/>
                    <w:rPr>
                      <w:sz w:val="21"/>
                      <w:szCs w:val="21"/>
                    </w:rPr>
                  </w:pPr>
                  <w:r>
                    <w:rPr>
                      <w:rFonts w:hint="eastAsia"/>
                      <w:sz w:val="21"/>
                      <w:szCs w:val="21"/>
                    </w:rPr>
                    <w:t>动植物油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499"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产生浓度（mg/l）</w:t>
                  </w:r>
                </w:p>
              </w:tc>
              <w:tc>
                <w:tcPr>
                  <w:tcW w:w="696" w:type="pct"/>
                  <w:vAlign w:val="center"/>
                </w:tcPr>
                <w:p>
                  <w:pPr>
                    <w:jc w:val="center"/>
                    <w:rPr>
                      <w:sz w:val="21"/>
                      <w:szCs w:val="21"/>
                    </w:rPr>
                  </w:pPr>
                  <w:r>
                    <w:rPr>
                      <w:rFonts w:hint="eastAsia"/>
                      <w:sz w:val="21"/>
                      <w:szCs w:val="21"/>
                    </w:rPr>
                    <w:t>250</w:t>
                  </w:r>
                </w:p>
              </w:tc>
              <w:tc>
                <w:tcPr>
                  <w:tcW w:w="879" w:type="pct"/>
                  <w:vAlign w:val="center"/>
                </w:tcPr>
                <w:p>
                  <w:pPr>
                    <w:jc w:val="center"/>
                    <w:rPr>
                      <w:sz w:val="21"/>
                      <w:szCs w:val="21"/>
                    </w:rPr>
                  </w:pPr>
                  <w:r>
                    <w:rPr>
                      <w:rFonts w:hint="eastAsia"/>
                      <w:sz w:val="21"/>
                      <w:szCs w:val="21"/>
                    </w:rPr>
                    <w:t>400</w:t>
                  </w:r>
                </w:p>
              </w:tc>
              <w:tc>
                <w:tcPr>
                  <w:tcW w:w="451" w:type="pct"/>
                  <w:vAlign w:val="center"/>
                </w:tcPr>
                <w:p>
                  <w:pPr>
                    <w:jc w:val="center"/>
                    <w:rPr>
                      <w:sz w:val="21"/>
                      <w:szCs w:val="21"/>
                    </w:rPr>
                  </w:pPr>
                  <w:r>
                    <w:rPr>
                      <w:rFonts w:hint="eastAsia"/>
                      <w:sz w:val="21"/>
                      <w:szCs w:val="21"/>
                    </w:rPr>
                    <w:t>250</w:t>
                  </w:r>
                </w:p>
              </w:tc>
              <w:tc>
                <w:tcPr>
                  <w:tcW w:w="723" w:type="pct"/>
                  <w:vAlign w:val="center"/>
                </w:tcPr>
                <w:p>
                  <w:pPr>
                    <w:jc w:val="center"/>
                    <w:rPr>
                      <w:sz w:val="21"/>
                      <w:szCs w:val="21"/>
                    </w:rPr>
                  </w:pPr>
                  <w:r>
                    <w:rPr>
                      <w:rFonts w:hint="eastAsia"/>
                      <w:sz w:val="21"/>
                      <w:szCs w:val="21"/>
                    </w:rPr>
                    <w:t>30</w:t>
                  </w:r>
                </w:p>
              </w:tc>
              <w:tc>
                <w:tcPr>
                  <w:tcW w:w="752" w:type="pct"/>
                  <w:vAlign w:val="center"/>
                </w:tcPr>
                <w:p>
                  <w:pPr>
                    <w:jc w:val="center"/>
                    <w:rPr>
                      <w:sz w:val="21"/>
                      <w:szCs w:val="21"/>
                    </w:rPr>
                  </w:pPr>
                  <w:r>
                    <w:rPr>
                      <w:rFonts w:hint="eastAsia"/>
                      <w:sz w:val="21"/>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499"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产生量（t/a）</w:t>
                  </w:r>
                </w:p>
              </w:tc>
              <w:tc>
                <w:tcPr>
                  <w:tcW w:w="696" w:type="pct"/>
                  <w:vAlign w:val="center"/>
                </w:tcPr>
                <w:p>
                  <w:pPr>
                    <w:jc w:val="center"/>
                    <w:rPr>
                      <w:sz w:val="21"/>
                      <w:szCs w:val="21"/>
                      <w:highlight w:val="yellow"/>
                    </w:rPr>
                  </w:pPr>
                  <w:r>
                    <w:rPr>
                      <w:sz w:val="21"/>
                      <w:szCs w:val="21"/>
                    </w:rPr>
                    <w:t>0.</w:t>
                  </w:r>
                  <w:r>
                    <w:rPr>
                      <w:rFonts w:hint="eastAsia"/>
                      <w:sz w:val="21"/>
                      <w:szCs w:val="21"/>
                    </w:rPr>
                    <w:t>036</w:t>
                  </w:r>
                </w:p>
              </w:tc>
              <w:tc>
                <w:tcPr>
                  <w:tcW w:w="879" w:type="pct"/>
                  <w:vAlign w:val="center"/>
                </w:tcPr>
                <w:p>
                  <w:pPr>
                    <w:jc w:val="center"/>
                    <w:rPr>
                      <w:sz w:val="21"/>
                      <w:szCs w:val="21"/>
                      <w:highlight w:val="yellow"/>
                    </w:rPr>
                  </w:pPr>
                  <w:r>
                    <w:rPr>
                      <w:rFonts w:hint="eastAsia"/>
                      <w:sz w:val="21"/>
                      <w:szCs w:val="21"/>
                    </w:rPr>
                    <w:t>0.058</w:t>
                  </w:r>
                </w:p>
              </w:tc>
              <w:tc>
                <w:tcPr>
                  <w:tcW w:w="451" w:type="pct"/>
                  <w:vAlign w:val="center"/>
                </w:tcPr>
                <w:p>
                  <w:pPr>
                    <w:jc w:val="center"/>
                    <w:rPr>
                      <w:sz w:val="21"/>
                      <w:szCs w:val="21"/>
                      <w:highlight w:val="yellow"/>
                    </w:rPr>
                  </w:pPr>
                  <w:r>
                    <w:rPr>
                      <w:rFonts w:hint="eastAsia"/>
                      <w:sz w:val="21"/>
                      <w:szCs w:val="21"/>
                    </w:rPr>
                    <w:t>0.036</w:t>
                  </w:r>
                </w:p>
              </w:tc>
              <w:tc>
                <w:tcPr>
                  <w:tcW w:w="723" w:type="pct"/>
                  <w:vAlign w:val="center"/>
                </w:tcPr>
                <w:p>
                  <w:pPr>
                    <w:jc w:val="center"/>
                    <w:rPr>
                      <w:sz w:val="21"/>
                      <w:szCs w:val="21"/>
                      <w:highlight w:val="yellow"/>
                    </w:rPr>
                  </w:pPr>
                  <w:r>
                    <w:rPr>
                      <w:rFonts w:hint="eastAsia"/>
                      <w:sz w:val="21"/>
                      <w:szCs w:val="21"/>
                    </w:rPr>
                    <w:t>0.0043</w:t>
                  </w:r>
                </w:p>
              </w:tc>
              <w:tc>
                <w:tcPr>
                  <w:tcW w:w="752" w:type="pct"/>
                  <w:vAlign w:val="center"/>
                </w:tcPr>
                <w:p>
                  <w:pPr>
                    <w:jc w:val="center"/>
                    <w:rPr>
                      <w:sz w:val="21"/>
                      <w:szCs w:val="21"/>
                      <w:highlight w:val="yellow"/>
                    </w:rPr>
                  </w:pPr>
                  <w:r>
                    <w:rPr>
                      <w:rFonts w:hint="eastAsia"/>
                      <w:sz w:val="21"/>
                      <w:szCs w:val="21"/>
                    </w:rPr>
                    <w:t>0.014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499"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治理设施</w:t>
                  </w:r>
                </w:p>
              </w:tc>
              <w:tc>
                <w:tcPr>
                  <w:tcW w:w="3501" w:type="pct"/>
                  <w:gridSpan w:val="5"/>
                  <w:vAlign w:val="center"/>
                </w:tcPr>
                <w:p>
                  <w:pPr>
                    <w:jc w:val="center"/>
                    <w:rPr>
                      <w:sz w:val="21"/>
                      <w:szCs w:val="21"/>
                    </w:rPr>
                  </w:pPr>
                  <w:r>
                    <w:rPr>
                      <w:rFonts w:hint="eastAsia"/>
                      <w:sz w:val="21"/>
                      <w:szCs w:val="21"/>
                    </w:rPr>
                    <w:t>化粪池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499"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排放浓度（mg/l）</w:t>
                  </w:r>
                </w:p>
              </w:tc>
              <w:tc>
                <w:tcPr>
                  <w:tcW w:w="696" w:type="pct"/>
                  <w:vAlign w:val="center"/>
                </w:tcPr>
                <w:p>
                  <w:pPr>
                    <w:jc w:val="center"/>
                    <w:rPr>
                      <w:sz w:val="21"/>
                      <w:szCs w:val="21"/>
                    </w:rPr>
                  </w:pPr>
                  <w:r>
                    <w:rPr>
                      <w:rFonts w:hint="eastAsia"/>
                      <w:sz w:val="21"/>
                      <w:szCs w:val="21"/>
                    </w:rPr>
                    <w:t>200</w:t>
                  </w:r>
                </w:p>
              </w:tc>
              <w:tc>
                <w:tcPr>
                  <w:tcW w:w="879" w:type="pct"/>
                  <w:vAlign w:val="center"/>
                </w:tcPr>
                <w:p>
                  <w:pPr>
                    <w:jc w:val="center"/>
                    <w:rPr>
                      <w:sz w:val="21"/>
                      <w:szCs w:val="21"/>
                    </w:rPr>
                  </w:pPr>
                  <w:r>
                    <w:rPr>
                      <w:rFonts w:hint="eastAsia"/>
                      <w:sz w:val="21"/>
                      <w:szCs w:val="21"/>
                    </w:rPr>
                    <w:t>250</w:t>
                  </w:r>
                </w:p>
              </w:tc>
              <w:tc>
                <w:tcPr>
                  <w:tcW w:w="451" w:type="pct"/>
                  <w:vAlign w:val="center"/>
                </w:tcPr>
                <w:p>
                  <w:pPr>
                    <w:jc w:val="center"/>
                    <w:rPr>
                      <w:sz w:val="21"/>
                      <w:szCs w:val="21"/>
                    </w:rPr>
                  </w:pPr>
                  <w:r>
                    <w:rPr>
                      <w:rFonts w:hint="eastAsia"/>
                      <w:sz w:val="21"/>
                      <w:szCs w:val="21"/>
                    </w:rPr>
                    <w:t>200</w:t>
                  </w:r>
                </w:p>
              </w:tc>
              <w:tc>
                <w:tcPr>
                  <w:tcW w:w="723" w:type="pct"/>
                  <w:vAlign w:val="center"/>
                </w:tcPr>
                <w:p>
                  <w:pPr>
                    <w:jc w:val="center"/>
                    <w:rPr>
                      <w:sz w:val="21"/>
                      <w:szCs w:val="21"/>
                    </w:rPr>
                  </w:pPr>
                  <w:r>
                    <w:rPr>
                      <w:rFonts w:hint="eastAsia"/>
                      <w:sz w:val="21"/>
                      <w:szCs w:val="21"/>
                    </w:rPr>
                    <w:t>30</w:t>
                  </w:r>
                </w:p>
              </w:tc>
              <w:tc>
                <w:tcPr>
                  <w:tcW w:w="752" w:type="pct"/>
                  <w:vAlign w:val="center"/>
                </w:tcPr>
                <w:p>
                  <w:pPr>
                    <w:jc w:val="center"/>
                    <w:rPr>
                      <w:sz w:val="21"/>
                      <w:szCs w:val="21"/>
                    </w:rPr>
                  </w:pPr>
                  <w:r>
                    <w:rPr>
                      <w:rFonts w:hint="eastAsia"/>
                      <w:sz w:val="21"/>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499"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排放量(t/a)</w:t>
                  </w:r>
                </w:p>
              </w:tc>
              <w:tc>
                <w:tcPr>
                  <w:tcW w:w="696" w:type="pct"/>
                  <w:vAlign w:val="center"/>
                </w:tcPr>
                <w:p>
                  <w:pPr>
                    <w:jc w:val="center"/>
                    <w:rPr>
                      <w:sz w:val="21"/>
                      <w:szCs w:val="21"/>
                    </w:rPr>
                  </w:pPr>
                  <w:r>
                    <w:rPr>
                      <w:rFonts w:hint="eastAsia"/>
                      <w:sz w:val="21"/>
                      <w:szCs w:val="21"/>
                    </w:rPr>
                    <w:t>0.028</w:t>
                  </w:r>
                </w:p>
              </w:tc>
              <w:tc>
                <w:tcPr>
                  <w:tcW w:w="879" w:type="pct"/>
                  <w:vAlign w:val="center"/>
                </w:tcPr>
                <w:p>
                  <w:pPr>
                    <w:jc w:val="center"/>
                    <w:rPr>
                      <w:sz w:val="21"/>
                      <w:szCs w:val="21"/>
                    </w:rPr>
                  </w:pPr>
                  <w:r>
                    <w:rPr>
                      <w:rFonts w:hint="eastAsia"/>
                      <w:sz w:val="21"/>
                      <w:szCs w:val="21"/>
                    </w:rPr>
                    <w:t>0.036</w:t>
                  </w:r>
                </w:p>
              </w:tc>
              <w:tc>
                <w:tcPr>
                  <w:tcW w:w="451" w:type="pct"/>
                  <w:vAlign w:val="center"/>
                </w:tcPr>
                <w:p>
                  <w:pPr>
                    <w:jc w:val="center"/>
                    <w:rPr>
                      <w:sz w:val="21"/>
                      <w:szCs w:val="21"/>
                    </w:rPr>
                  </w:pPr>
                  <w:r>
                    <w:rPr>
                      <w:rFonts w:hint="eastAsia"/>
                      <w:sz w:val="21"/>
                      <w:szCs w:val="21"/>
                    </w:rPr>
                    <w:t>0.028</w:t>
                  </w:r>
                </w:p>
              </w:tc>
              <w:tc>
                <w:tcPr>
                  <w:tcW w:w="723" w:type="pct"/>
                  <w:vAlign w:val="center"/>
                </w:tcPr>
                <w:p>
                  <w:pPr>
                    <w:jc w:val="center"/>
                    <w:rPr>
                      <w:sz w:val="21"/>
                      <w:szCs w:val="21"/>
                    </w:rPr>
                  </w:pPr>
                  <w:r>
                    <w:rPr>
                      <w:rFonts w:hint="eastAsia"/>
                      <w:sz w:val="21"/>
                      <w:szCs w:val="21"/>
                    </w:rPr>
                    <w:t>0.004</w:t>
                  </w:r>
                </w:p>
              </w:tc>
              <w:tc>
                <w:tcPr>
                  <w:tcW w:w="752" w:type="pct"/>
                  <w:vAlign w:val="center"/>
                </w:tcPr>
                <w:p>
                  <w:pPr>
                    <w:jc w:val="center"/>
                    <w:rPr>
                      <w:sz w:val="21"/>
                      <w:szCs w:val="21"/>
                    </w:rPr>
                  </w:pPr>
                  <w:r>
                    <w:rPr>
                      <w:rFonts w:hint="eastAsia"/>
                      <w:sz w:val="21"/>
                      <w:szCs w:val="21"/>
                    </w:rPr>
                    <w:t>0.007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499"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排放去向</w:t>
                  </w:r>
                </w:p>
              </w:tc>
              <w:tc>
                <w:tcPr>
                  <w:tcW w:w="3501" w:type="pct"/>
                  <w:gridSpan w:val="5"/>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内蒙古神东天隆集团股份有限公司霍洛湾煤矿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499"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排放方式</w:t>
                  </w:r>
                </w:p>
              </w:tc>
              <w:tc>
                <w:tcPr>
                  <w:tcW w:w="3501" w:type="pct"/>
                  <w:gridSpan w:val="5"/>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间接排放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499"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排放口类型</w:t>
                  </w:r>
                </w:p>
              </w:tc>
              <w:tc>
                <w:tcPr>
                  <w:tcW w:w="3501" w:type="pct"/>
                  <w:gridSpan w:val="5"/>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一般排放口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499"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污染防治设施</w:t>
                  </w:r>
                </w:p>
              </w:tc>
              <w:tc>
                <w:tcPr>
                  <w:tcW w:w="3501" w:type="pct"/>
                  <w:gridSpan w:val="5"/>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防渗化粪池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499"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是否为可行性技术</w:t>
                  </w:r>
                </w:p>
              </w:tc>
              <w:tc>
                <w:tcPr>
                  <w:tcW w:w="3501" w:type="pct"/>
                  <w:gridSpan w:val="5"/>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499"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排放标准</w:t>
                  </w:r>
                </w:p>
              </w:tc>
              <w:tc>
                <w:tcPr>
                  <w:tcW w:w="3501" w:type="pct"/>
                  <w:gridSpan w:val="5"/>
                  <w:vAlign w:val="center"/>
                </w:tcPr>
                <w:p>
                  <w:pPr>
                    <w:jc w:val="center"/>
                    <w:rPr>
                      <w:rFonts w:hint="eastAsia" w:asciiTheme="minorEastAsia" w:hAnsiTheme="minorEastAsia" w:eastAsiaTheme="minorEastAsia"/>
                      <w:sz w:val="21"/>
                      <w:szCs w:val="21"/>
                    </w:rPr>
                  </w:pPr>
                  <w:r>
                    <w:rPr>
                      <w:sz w:val="21"/>
                      <w:szCs w:val="21"/>
                    </w:rPr>
                    <w:t>《污水综合排放标准》（GB8978-1996）中</w:t>
                  </w:r>
                  <w:r>
                    <w:rPr>
                      <w:rFonts w:hint="eastAsia"/>
                      <w:sz w:val="21"/>
                      <w:szCs w:val="21"/>
                    </w:rPr>
                    <w:t>三</w:t>
                  </w:r>
                  <w:r>
                    <w:rPr>
                      <w:sz w:val="21"/>
                      <w:szCs w:val="21"/>
                    </w:rPr>
                    <w:t>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1499"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监测计划</w:t>
                  </w:r>
                </w:p>
              </w:tc>
              <w:tc>
                <w:tcPr>
                  <w:tcW w:w="3501" w:type="pct"/>
                  <w:gridSpan w:val="5"/>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w:t>
                  </w:r>
                </w:p>
              </w:tc>
            </w:tr>
          </w:tbl>
          <w:p>
            <w:pPr>
              <w:pStyle w:val="56"/>
              <w:ind w:firstLine="470" w:firstLineChars="196"/>
              <w:rPr>
                <w:sz w:val="24"/>
              </w:rPr>
            </w:pPr>
          </w:p>
          <w:p>
            <w:pPr>
              <w:pStyle w:val="56"/>
              <w:ind w:firstLine="470" w:firstLineChars="196"/>
              <w:rPr>
                <w:sz w:val="24"/>
              </w:rPr>
            </w:pPr>
            <w:r>
              <w:rPr>
                <w:rFonts w:hint="eastAsia"/>
                <w:sz w:val="24"/>
              </w:rPr>
              <w:t>项目产生的生活污水经化粪池处理后</w:t>
            </w:r>
            <w:r>
              <w:rPr>
                <w:rFonts w:hint="eastAsia"/>
                <w:sz w:val="24"/>
                <w:szCs w:val="24"/>
              </w:rPr>
              <w:t>定期拉运至内蒙古神东天隆集团股份有限公司霍洛湾煤矿处理</w:t>
            </w:r>
            <w:r>
              <w:rPr>
                <w:rFonts w:hint="eastAsia"/>
                <w:sz w:val="24"/>
              </w:rPr>
              <w:t>，不外排。</w:t>
            </w:r>
          </w:p>
          <w:p>
            <w:pPr>
              <w:pStyle w:val="56"/>
              <w:ind w:firstLine="470" w:firstLineChars="196"/>
              <w:rPr>
                <w:sz w:val="24"/>
              </w:rPr>
            </w:pPr>
            <w:r>
              <w:rPr>
                <w:rFonts w:hint="eastAsia"/>
                <w:sz w:val="24"/>
              </w:rPr>
              <w:t>（1）生活污水</w:t>
            </w:r>
          </w:p>
          <w:p>
            <w:pPr>
              <w:pStyle w:val="56"/>
              <w:ind w:firstLine="470" w:firstLineChars="196"/>
              <w:rPr>
                <w:sz w:val="24"/>
              </w:rPr>
            </w:pPr>
            <w:r>
              <w:rPr>
                <w:rFonts w:hint="eastAsia"/>
                <w:sz w:val="24"/>
              </w:rPr>
              <w:t>本项目与内蒙古神东天隆集团股份有限公司霍洛湾煤矿（污水处理）距离</w:t>
            </w:r>
            <w:r>
              <w:rPr>
                <w:sz w:val="24"/>
              </w:rPr>
              <w:t>1</w:t>
            </w:r>
            <w:r>
              <w:rPr>
                <w:rFonts w:hint="eastAsia"/>
                <w:sz w:val="24"/>
              </w:rPr>
              <w:t>km，该矿污水处理能力</w:t>
            </w:r>
            <w:r>
              <w:rPr>
                <w:sz w:val="24"/>
              </w:rPr>
              <w:t>20m</w:t>
            </w:r>
            <w:r>
              <w:rPr>
                <w:sz w:val="24"/>
                <w:vertAlign w:val="superscript"/>
              </w:rPr>
              <w:t>3</w:t>
            </w:r>
            <w:r>
              <w:rPr>
                <w:sz w:val="24"/>
              </w:rPr>
              <w:t>/h</w:t>
            </w:r>
            <w:r>
              <w:rPr>
                <w:rFonts w:hint="eastAsia"/>
                <w:sz w:val="24"/>
              </w:rPr>
              <w:t>，处理工艺采用</w:t>
            </w:r>
            <w:r>
              <w:rPr>
                <w:sz w:val="24"/>
              </w:rPr>
              <w:t>SBR</w:t>
            </w:r>
            <w:r>
              <w:rPr>
                <w:rFonts w:hint="eastAsia"/>
                <w:sz w:val="24"/>
              </w:rPr>
              <w:t>工艺（序批间歇式活性污泥法），现状处理量</w:t>
            </w:r>
            <w:r>
              <w:rPr>
                <w:sz w:val="24"/>
              </w:rPr>
              <w:t>130m</w:t>
            </w:r>
            <w:r>
              <w:rPr>
                <w:rFonts w:hint="eastAsia"/>
                <w:sz w:val="24"/>
              </w:rPr>
              <w:t>³</w:t>
            </w:r>
            <w:r>
              <w:rPr>
                <w:sz w:val="24"/>
              </w:rPr>
              <w:t>/d</w:t>
            </w:r>
            <w:r>
              <w:rPr>
                <w:rFonts w:hint="eastAsia"/>
                <w:sz w:val="24"/>
              </w:rPr>
              <w:t>，污水采用罐车拉运，项目建设单位已与该公司签订污水处理协议，本项目污水排入内蒙古神东天隆集团股份有限公司霍洛湾煤矿可行。</w:t>
            </w:r>
          </w:p>
          <w:p>
            <w:pPr>
              <w:pStyle w:val="56"/>
              <w:ind w:firstLine="470" w:firstLineChars="196"/>
              <w:rPr>
                <w:sz w:val="24"/>
              </w:rPr>
            </w:pPr>
            <w:r>
              <w:rPr>
                <w:rFonts w:hint="eastAsia"/>
                <w:sz w:val="24"/>
              </w:rPr>
              <w:t>项目已签订污水处理协议，项目无废水直接外排，不会对周边环境造成影响。</w:t>
            </w:r>
          </w:p>
          <w:p>
            <w:pPr>
              <w:tabs>
                <w:tab w:val="left" w:pos="0"/>
              </w:tabs>
              <w:spacing w:line="360" w:lineRule="auto"/>
              <w:ind w:firstLine="472" w:firstLineChars="196"/>
              <w:rPr>
                <w:b/>
              </w:rPr>
            </w:pPr>
            <w:r>
              <w:rPr>
                <w:rFonts w:hint="eastAsia"/>
                <w:b/>
              </w:rPr>
              <w:t>3、噪声污染源及影响分析</w:t>
            </w:r>
          </w:p>
          <w:p>
            <w:pPr>
              <w:tabs>
                <w:tab w:val="left" w:pos="0"/>
              </w:tabs>
              <w:spacing w:line="360" w:lineRule="auto"/>
              <w:ind w:firstLine="472" w:firstLineChars="196"/>
              <w:rPr>
                <w:b/>
              </w:rPr>
            </w:pPr>
            <w:r>
              <w:rPr>
                <w:rFonts w:hint="eastAsia"/>
                <w:b/>
              </w:rPr>
              <w:t>1）噪声污染源</w:t>
            </w:r>
          </w:p>
          <w:p>
            <w:pPr>
              <w:spacing w:line="360" w:lineRule="auto"/>
              <w:ind w:firstLine="510"/>
            </w:pPr>
            <w:r>
              <w:rPr>
                <w:rFonts w:hint="eastAsia"/>
              </w:rPr>
              <w:t>本项目</w:t>
            </w:r>
            <w:r>
              <w:t>主要噪声源如下：双轴</w:t>
            </w:r>
            <w:r>
              <w:rPr>
                <w:rFonts w:hint="eastAsia"/>
              </w:rPr>
              <w:t>搅拌机、皮带输送机、空气压缩机、卸料斗、除尘风机、振动</w:t>
            </w:r>
            <w:r>
              <w:t>电机等。设备噪声级在</w:t>
            </w:r>
            <w:r>
              <w:rPr>
                <w:rFonts w:hint="eastAsia"/>
              </w:rPr>
              <w:t>75</w:t>
            </w:r>
            <w:r>
              <w:t>—</w:t>
            </w:r>
            <w:r>
              <w:rPr>
                <w:rFonts w:hint="eastAsia"/>
              </w:rPr>
              <w:t>90</w:t>
            </w:r>
            <w:r>
              <w:t>dB（A）之间。</w:t>
            </w:r>
            <w:r>
              <w:rPr>
                <w:rFonts w:hint="eastAsia"/>
              </w:rPr>
              <w:t>主要设备噪声值见表4-8。</w:t>
            </w:r>
          </w:p>
          <w:p>
            <w:pPr>
              <w:tabs>
                <w:tab w:val="left" w:pos="6840"/>
              </w:tabs>
              <w:spacing w:line="320" w:lineRule="exact"/>
              <w:jc w:val="center"/>
              <w:rPr>
                <w:rFonts w:hint="eastAsia" w:ascii="宋体" w:hAnsi="宋体" w:cs="宋体"/>
                <w:b/>
              </w:rPr>
            </w:pPr>
            <w:r>
              <w:rPr>
                <w:b/>
              </w:rPr>
              <w:t>表</w:t>
            </w:r>
            <w:r>
              <w:rPr>
                <w:rFonts w:hint="eastAsia"/>
                <w:b/>
              </w:rPr>
              <w:t>4-8    工业企业噪声源强调查清单    噪声级单位：</w:t>
            </w:r>
            <w:r>
              <w:rPr>
                <w:rFonts w:eastAsia="Times New Roman"/>
                <w:b/>
              </w:rPr>
              <w:t>dB</w:t>
            </w:r>
            <w:r>
              <w:rPr>
                <w:rFonts w:hint="eastAsia" w:ascii="宋体" w:hAnsi="宋体" w:cs="宋体"/>
                <w:b/>
              </w:rPr>
              <w:t>（</w:t>
            </w:r>
            <w:r>
              <w:rPr>
                <w:rFonts w:eastAsia="Times New Roman"/>
                <w:b/>
              </w:rPr>
              <w:t>A</w:t>
            </w:r>
            <w:r>
              <w:rPr>
                <w:rFonts w:hint="eastAsia" w:ascii="宋体" w:hAnsi="宋体" w:cs="宋体"/>
                <w:b/>
              </w:rPr>
              <w:t>）</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418"/>
              <w:gridCol w:w="1064"/>
              <w:gridCol w:w="313"/>
              <w:gridCol w:w="491"/>
              <w:gridCol w:w="551"/>
              <w:gridCol w:w="90"/>
              <w:gridCol w:w="781"/>
              <w:gridCol w:w="643"/>
              <w:gridCol w:w="980"/>
              <w:gridCol w:w="180"/>
              <w:gridCol w:w="1013"/>
              <w:gridCol w:w="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700" w:type="dxa"/>
                  <w:vAlign w:val="center"/>
                </w:tcPr>
                <w:p>
                  <w:pPr>
                    <w:jc w:val="center"/>
                    <w:rPr>
                      <w:b/>
                      <w:bCs/>
                      <w:sz w:val="21"/>
                      <w:szCs w:val="21"/>
                    </w:rPr>
                  </w:pPr>
                  <w:r>
                    <w:rPr>
                      <w:b/>
                      <w:bCs/>
                      <w:sz w:val="21"/>
                      <w:szCs w:val="21"/>
                    </w:rPr>
                    <w:t>序号</w:t>
                  </w:r>
                </w:p>
              </w:tc>
              <w:tc>
                <w:tcPr>
                  <w:tcW w:w="1482" w:type="dxa"/>
                  <w:gridSpan w:val="2"/>
                  <w:vAlign w:val="center"/>
                </w:tcPr>
                <w:p>
                  <w:pPr>
                    <w:jc w:val="center"/>
                    <w:rPr>
                      <w:b/>
                      <w:bCs/>
                      <w:sz w:val="21"/>
                      <w:szCs w:val="21"/>
                    </w:rPr>
                  </w:pPr>
                  <w:r>
                    <w:rPr>
                      <w:b/>
                      <w:bCs/>
                      <w:sz w:val="21"/>
                      <w:szCs w:val="21"/>
                    </w:rPr>
                    <w:t>设备名称</w:t>
                  </w:r>
                </w:p>
              </w:tc>
              <w:tc>
                <w:tcPr>
                  <w:tcW w:w="804" w:type="dxa"/>
                  <w:gridSpan w:val="2"/>
                  <w:vAlign w:val="center"/>
                </w:tcPr>
                <w:p>
                  <w:pPr>
                    <w:jc w:val="center"/>
                    <w:rPr>
                      <w:b/>
                      <w:bCs/>
                      <w:sz w:val="21"/>
                      <w:szCs w:val="21"/>
                    </w:rPr>
                  </w:pPr>
                  <w:r>
                    <w:rPr>
                      <w:b/>
                      <w:bCs/>
                      <w:sz w:val="21"/>
                      <w:szCs w:val="21"/>
                    </w:rPr>
                    <w:t>单位</w:t>
                  </w:r>
                </w:p>
              </w:tc>
              <w:tc>
                <w:tcPr>
                  <w:tcW w:w="641" w:type="dxa"/>
                  <w:gridSpan w:val="2"/>
                  <w:vAlign w:val="center"/>
                </w:tcPr>
                <w:p>
                  <w:pPr>
                    <w:jc w:val="center"/>
                    <w:rPr>
                      <w:b/>
                      <w:bCs/>
                      <w:sz w:val="21"/>
                      <w:szCs w:val="21"/>
                    </w:rPr>
                  </w:pPr>
                  <w:r>
                    <w:rPr>
                      <w:b/>
                      <w:bCs/>
                      <w:sz w:val="21"/>
                      <w:szCs w:val="21"/>
                    </w:rPr>
                    <w:t>数量</w:t>
                  </w:r>
                </w:p>
              </w:tc>
              <w:tc>
                <w:tcPr>
                  <w:tcW w:w="781" w:type="dxa"/>
                  <w:vAlign w:val="center"/>
                </w:tcPr>
                <w:p>
                  <w:pPr>
                    <w:jc w:val="center"/>
                    <w:rPr>
                      <w:b/>
                      <w:bCs/>
                      <w:sz w:val="21"/>
                      <w:szCs w:val="21"/>
                    </w:rPr>
                  </w:pPr>
                  <w:r>
                    <w:rPr>
                      <w:b/>
                      <w:bCs/>
                      <w:sz w:val="21"/>
                      <w:szCs w:val="21"/>
                    </w:rPr>
                    <w:t>噪声源</w:t>
                  </w:r>
                </w:p>
              </w:tc>
              <w:tc>
                <w:tcPr>
                  <w:tcW w:w="1803" w:type="dxa"/>
                  <w:gridSpan w:val="3"/>
                  <w:vAlign w:val="center"/>
                </w:tcPr>
                <w:p>
                  <w:pPr>
                    <w:jc w:val="center"/>
                    <w:rPr>
                      <w:b/>
                      <w:bCs/>
                      <w:sz w:val="21"/>
                      <w:szCs w:val="21"/>
                    </w:rPr>
                  </w:pPr>
                  <w:r>
                    <w:rPr>
                      <w:b/>
                      <w:bCs/>
                      <w:sz w:val="21"/>
                      <w:szCs w:val="21"/>
                    </w:rPr>
                    <w:t>措施</w:t>
                  </w:r>
                </w:p>
              </w:tc>
              <w:tc>
                <w:tcPr>
                  <w:tcW w:w="1013" w:type="dxa"/>
                  <w:vAlign w:val="center"/>
                </w:tcPr>
                <w:p>
                  <w:pPr>
                    <w:jc w:val="center"/>
                    <w:rPr>
                      <w:b/>
                      <w:bCs/>
                      <w:sz w:val="21"/>
                      <w:szCs w:val="21"/>
                    </w:rPr>
                  </w:pPr>
                  <w:r>
                    <w:rPr>
                      <w:b/>
                      <w:bCs/>
                      <w:sz w:val="21"/>
                      <w:szCs w:val="21"/>
                    </w:rPr>
                    <w:t>排放源强</w:t>
                  </w:r>
                </w:p>
              </w:tc>
              <w:tc>
                <w:tcPr>
                  <w:tcW w:w="994" w:type="dxa"/>
                  <w:vAlign w:val="center"/>
                </w:tcPr>
                <w:p>
                  <w:pPr>
                    <w:jc w:val="center"/>
                    <w:rPr>
                      <w:b/>
                      <w:bCs/>
                      <w:sz w:val="21"/>
                      <w:szCs w:val="21"/>
                    </w:rPr>
                  </w:pPr>
                  <w:r>
                    <w:rPr>
                      <w:b/>
                      <w:bCs/>
                      <w:sz w:val="21"/>
                      <w:szCs w:val="21"/>
                    </w:rPr>
                    <w:t>持续时间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700" w:type="dxa"/>
                  <w:vAlign w:val="center"/>
                </w:tcPr>
                <w:p>
                  <w:pPr>
                    <w:jc w:val="center"/>
                    <w:rPr>
                      <w:sz w:val="21"/>
                      <w:szCs w:val="21"/>
                    </w:rPr>
                  </w:pPr>
                  <w:r>
                    <w:rPr>
                      <w:sz w:val="21"/>
                      <w:szCs w:val="21"/>
                    </w:rPr>
                    <w:t>1</w:t>
                  </w:r>
                </w:p>
              </w:tc>
              <w:tc>
                <w:tcPr>
                  <w:tcW w:w="1482" w:type="dxa"/>
                  <w:gridSpan w:val="2"/>
                  <w:vAlign w:val="center"/>
                </w:tcPr>
                <w:p>
                  <w:pPr>
                    <w:jc w:val="center"/>
                    <w:rPr>
                      <w:sz w:val="21"/>
                      <w:szCs w:val="21"/>
                    </w:rPr>
                  </w:pPr>
                  <w:r>
                    <w:rPr>
                      <w:sz w:val="21"/>
                      <w:szCs w:val="21"/>
                    </w:rPr>
                    <w:t>双轴</w:t>
                  </w:r>
                  <w:r>
                    <w:rPr>
                      <w:rFonts w:hint="eastAsia"/>
                      <w:sz w:val="21"/>
                      <w:szCs w:val="21"/>
                    </w:rPr>
                    <w:t>搅拌机</w:t>
                  </w:r>
                </w:p>
              </w:tc>
              <w:tc>
                <w:tcPr>
                  <w:tcW w:w="804" w:type="dxa"/>
                  <w:gridSpan w:val="2"/>
                  <w:vAlign w:val="center"/>
                </w:tcPr>
                <w:p>
                  <w:pPr>
                    <w:jc w:val="center"/>
                    <w:rPr>
                      <w:rFonts w:hint="eastAsia" w:ascii="宋体" w:hAnsi="宋体"/>
                      <w:sz w:val="21"/>
                      <w:szCs w:val="21"/>
                    </w:rPr>
                  </w:pPr>
                  <w:r>
                    <w:rPr>
                      <w:rFonts w:ascii="宋体" w:hAnsi="宋体"/>
                      <w:sz w:val="21"/>
                      <w:szCs w:val="21"/>
                    </w:rPr>
                    <w:t>台</w:t>
                  </w:r>
                </w:p>
              </w:tc>
              <w:tc>
                <w:tcPr>
                  <w:tcW w:w="641" w:type="dxa"/>
                  <w:gridSpan w:val="2"/>
                  <w:vAlign w:val="center"/>
                </w:tcPr>
                <w:p>
                  <w:pPr>
                    <w:jc w:val="center"/>
                    <w:rPr>
                      <w:bCs/>
                      <w:sz w:val="21"/>
                      <w:szCs w:val="21"/>
                    </w:rPr>
                  </w:pPr>
                  <w:r>
                    <w:rPr>
                      <w:rFonts w:hint="eastAsia"/>
                      <w:bCs/>
                      <w:sz w:val="21"/>
                      <w:szCs w:val="21"/>
                    </w:rPr>
                    <w:t>1</w:t>
                  </w:r>
                </w:p>
              </w:tc>
              <w:tc>
                <w:tcPr>
                  <w:tcW w:w="781" w:type="dxa"/>
                  <w:vAlign w:val="center"/>
                </w:tcPr>
                <w:p>
                  <w:pPr>
                    <w:jc w:val="center"/>
                    <w:rPr>
                      <w:bCs/>
                      <w:sz w:val="21"/>
                      <w:szCs w:val="21"/>
                    </w:rPr>
                  </w:pPr>
                  <w:r>
                    <w:rPr>
                      <w:rFonts w:hint="eastAsia"/>
                      <w:bCs/>
                      <w:sz w:val="21"/>
                      <w:szCs w:val="21"/>
                    </w:rPr>
                    <w:t>90</w:t>
                  </w:r>
                </w:p>
              </w:tc>
              <w:tc>
                <w:tcPr>
                  <w:tcW w:w="1803" w:type="dxa"/>
                  <w:gridSpan w:val="3"/>
                  <w:vAlign w:val="center"/>
                </w:tcPr>
                <w:p>
                  <w:pPr>
                    <w:jc w:val="center"/>
                    <w:rPr>
                      <w:b/>
                      <w:bCs/>
                      <w:sz w:val="21"/>
                      <w:szCs w:val="21"/>
                    </w:rPr>
                  </w:pPr>
                  <w:r>
                    <w:rPr>
                      <w:rFonts w:hint="eastAsia"/>
                      <w:sz w:val="21"/>
                      <w:szCs w:val="21"/>
                    </w:rPr>
                    <w:t>基础减振、隔声</w:t>
                  </w:r>
                </w:p>
              </w:tc>
              <w:tc>
                <w:tcPr>
                  <w:tcW w:w="1013" w:type="dxa"/>
                  <w:vAlign w:val="center"/>
                </w:tcPr>
                <w:p>
                  <w:pPr>
                    <w:jc w:val="center"/>
                    <w:rPr>
                      <w:b/>
                      <w:bCs/>
                      <w:sz w:val="21"/>
                      <w:szCs w:val="21"/>
                    </w:rPr>
                  </w:pPr>
                  <w:r>
                    <w:rPr>
                      <w:rFonts w:hint="eastAsia"/>
                      <w:sz w:val="21"/>
                      <w:szCs w:val="21"/>
                    </w:rPr>
                    <w:t>70</w:t>
                  </w:r>
                </w:p>
              </w:tc>
              <w:tc>
                <w:tcPr>
                  <w:tcW w:w="994" w:type="dxa"/>
                  <w:vMerge w:val="restart"/>
                  <w:vAlign w:val="center"/>
                </w:tcPr>
                <w:p>
                  <w:pPr>
                    <w:jc w:val="center"/>
                    <w:rPr>
                      <w:sz w:val="21"/>
                      <w:szCs w:val="21"/>
                    </w:rPr>
                  </w:pPr>
                  <w:r>
                    <w:rPr>
                      <w:rFonts w:hint="eastAsia"/>
                      <w:sz w:val="21"/>
                      <w:szCs w:val="21"/>
                    </w:rPr>
                    <w:t>16h/d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700" w:type="dxa"/>
                  <w:vAlign w:val="center"/>
                </w:tcPr>
                <w:p>
                  <w:pPr>
                    <w:jc w:val="center"/>
                    <w:rPr>
                      <w:sz w:val="21"/>
                      <w:szCs w:val="21"/>
                    </w:rPr>
                  </w:pPr>
                  <w:r>
                    <w:rPr>
                      <w:rFonts w:hint="eastAsia"/>
                      <w:sz w:val="21"/>
                      <w:szCs w:val="21"/>
                    </w:rPr>
                    <w:t>2</w:t>
                  </w:r>
                </w:p>
              </w:tc>
              <w:tc>
                <w:tcPr>
                  <w:tcW w:w="1482" w:type="dxa"/>
                  <w:gridSpan w:val="2"/>
                  <w:vAlign w:val="center"/>
                </w:tcPr>
                <w:p>
                  <w:pPr>
                    <w:jc w:val="center"/>
                    <w:rPr>
                      <w:sz w:val="21"/>
                      <w:szCs w:val="21"/>
                    </w:rPr>
                  </w:pPr>
                  <w:r>
                    <w:rPr>
                      <w:kern w:val="0"/>
                      <w:sz w:val="21"/>
                      <w:szCs w:val="21"/>
                    </w:rPr>
                    <w:t>多辊破碎机</w:t>
                  </w:r>
                </w:p>
              </w:tc>
              <w:tc>
                <w:tcPr>
                  <w:tcW w:w="804" w:type="dxa"/>
                  <w:gridSpan w:val="2"/>
                  <w:vAlign w:val="center"/>
                </w:tcPr>
                <w:p>
                  <w:pPr>
                    <w:jc w:val="center"/>
                    <w:rPr>
                      <w:rFonts w:hint="eastAsia" w:ascii="宋体" w:hAnsi="宋体"/>
                      <w:sz w:val="21"/>
                      <w:szCs w:val="21"/>
                    </w:rPr>
                  </w:pPr>
                  <w:r>
                    <w:rPr>
                      <w:rFonts w:ascii="宋体" w:hAnsi="宋体"/>
                      <w:sz w:val="21"/>
                      <w:szCs w:val="21"/>
                    </w:rPr>
                    <w:t>台</w:t>
                  </w:r>
                </w:p>
              </w:tc>
              <w:tc>
                <w:tcPr>
                  <w:tcW w:w="641" w:type="dxa"/>
                  <w:gridSpan w:val="2"/>
                  <w:vAlign w:val="center"/>
                </w:tcPr>
                <w:p>
                  <w:pPr>
                    <w:jc w:val="center"/>
                    <w:rPr>
                      <w:bCs/>
                      <w:sz w:val="21"/>
                      <w:szCs w:val="21"/>
                    </w:rPr>
                  </w:pPr>
                  <w:r>
                    <w:rPr>
                      <w:rFonts w:hint="eastAsia"/>
                      <w:bCs/>
                      <w:sz w:val="21"/>
                      <w:szCs w:val="21"/>
                    </w:rPr>
                    <w:t>1</w:t>
                  </w:r>
                </w:p>
              </w:tc>
              <w:tc>
                <w:tcPr>
                  <w:tcW w:w="781" w:type="dxa"/>
                  <w:vAlign w:val="center"/>
                </w:tcPr>
                <w:p>
                  <w:pPr>
                    <w:jc w:val="center"/>
                    <w:rPr>
                      <w:bCs/>
                      <w:sz w:val="21"/>
                      <w:szCs w:val="21"/>
                    </w:rPr>
                  </w:pPr>
                  <w:r>
                    <w:rPr>
                      <w:rFonts w:hint="eastAsia"/>
                      <w:bCs/>
                      <w:sz w:val="21"/>
                      <w:szCs w:val="21"/>
                    </w:rPr>
                    <w:t>90</w:t>
                  </w:r>
                </w:p>
              </w:tc>
              <w:tc>
                <w:tcPr>
                  <w:tcW w:w="1803" w:type="dxa"/>
                  <w:gridSpan w:val="3"/>
                  <w:vAlign w:val="center"/>
                </w:tcPr>
                <w:p>
                  <w:pPr>
                    <w:jc w:val="center"/>
                    <w:rPr>
                      <w:sz w:val="21"/>
                      <w:szCs w:val="21"/>
                    </w:rPr>
                  </w:pPr>
                  <w:r>
                    <w:rPr>
                      <w:rFonts w:hint="eastAsia"/>
                      <w:sz w:val="21"/>
                      <w:szCs w:val="21"/>
                    </w:rPr>
                    <w:t>基础减振、隔声</w:t>
                  </w:r>
                </w:p>
              </w:tc>
              <w:tc>
                <w:tcPr>
                  <w:tcW w:w="1013" w:type="dxa"/>
                  <w:vAlign w:val="center"/>
                </w:tcPr>
                <w:p>
                  <w:pPr>
                    <w:jc w:val="center"/>
                    <w:rPr>
                      <w:sz w:val="21"/>
                      <w:szCs w:val="21"/>
                    </w:rPr>
                  </w:pPr>
                  <w:r>
                    <w:rPr>
                      <w:rFonts w:hint="eastAsia"/>
                      <w:sz w:val="21"/>
                      <w:szCs w:val="21"/>
                    </w:rPr>
                    <w:t>70</w:t>
                  </w:r>
                </w:p>
              </w:tc>
              <w:tc>
                <w:tcPr>
                  <w:tcW w:w="994" w:type="dxa"/>
                  <w:vMerge w:val="continue"/>
                  <w:vAlign w:val="center"/>
                </w:tcPr>
                <w:p>
                  <w:pPr>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700" w:type="dxa"/>
                  <w:vAlign w:val="center"/>
                </w:tcPr>
                <w:p>
                  <w:pPr>
                    <w:jc w:val="center"/>
                    <w:rPr>
                      <w:sz w:val="21"/>
                      <w:szCs w:val="21"/>
                    </w:rPr>
                  </w:pPr>
                  <w:r>
                    <w:rPr>
                      <w:rFonts w:hint="eastAsia"/>
                      <w:sz w:val="21"/>
                      <w:szCs w:val="21"/>
                    </w:rPr>
                    <w:t>3</w:t>
                  </w:r>
                </w:p>
              </w:tc>
              <w:tc>
                <w:tcPr>
                  <w:tcW w:w="1482" w:type="dxa"/>
                  <w:gridSpan w:val="2"/>
                  <w:vAlign w:val="center"/>
                </w:tcPr>
                <w:p>
                  <w:pPr>
                    <w:jc w:val="center"/>
                    <w:rPr>
                      <w:sz w:val="21"/>
                      <w:szCs w:val="21"/>
                    </w:rPr>
                  </w:pPr>
                  <w:r>
                    <w:rPr>
                      <w:kern w:val="0"/>
                      <w:sz w:val="21"/>
                      <w:szCs w:val="21"/>
                    </w:rPr>
                    <w:t>圆锥破碎机</w:t>
                  </w:r>
                </w:p>
              </w:tc>
              <w:tc>
                <w:tcPr>
                  <w:tcW w:w="804" w:type="dxa"/>
                  <w:gridSpan w:val="2"/>
                  <w:vAlign w:val="center"/>
                </w:tcPr>
                <w:p>
                  <w:pPr>
                    <w:jc w:val="center"/>
                    <w:rPr>
                      <w:rFonts w:hint="eastAsia" w:ascii="宋体" w:hAnsi="宋体"/>
                      <w:sz w:val="21"/>
                      <w:szCs w:val="21"/>
                    </w:rPr>
                  </w:pPr>
                  <w:r>
                    <w:rPr>
                      <w:rFonts w:ascii="宋体" w:hAnsi="宋体"/>
                      <w:sz w:val="21"/>
                      <w:szCs w:val="21"/>
                    </w:rPr>
                    <w:t>台</w:t>
                  </w:r>
                </w:p>
              </w:tc>
              <w:tc>
                <w:tcPr>
                  <w:tcW w:w="641" w:type="dxa"/>
                  <w:gridSpan w:val="2"/>
                  <w:vAlign w:val="center"/>
                </w:tcPr>
                <w:p>
                  <w:pPr>
                    <w:jc w:val="center"/>
                    <w:rPr>
                      <w:bCs/>
                      <w:sz w:val="21"/>
                      <w:szCs w:val="21"/>
                    </w:rPr>
                  </w:pPr>
                  <w:r>
                    <w:rPr>
                      <w:rFonts w:hint="eastAsia"/>
                      <w:bCs/>
                      <w:sz w:val="21"/>
                      <w:szCs w:val="21"/>
                    </w:rPr>
                    <w:t>1</w:t>
                  </w:r>
                </w:p>
              </w:tc>
              <w:tc>
                <w:tcPr>
                  <w:tcW w:w="781" w:type="dxa"/>
                  <w:vAlign w:val="center"/>
                </w:tcPr>
                <w:p>
                  <w:pPr>
                    <w:jc w:val="center"/>
                    <w:rPr>
                      <w:bCs/>
                      <w:sz w:val="21"/>
                      <w:szCs w:val="21"/>
                    </w:rPr>
                  </w:pPr>
                  <w:r>
                    <w:rPr>
                      <w:rFonts w:hint="eastAsia"/>
                      <w:bCs/>
                      <w:sz w:val="21"/>
                      <w:szCs w:val="21"/>
                    </w:rPr>
                    <w:t>90</w:t>
                  </w:r>
                </w:p>
              </w:tc>
              <w:tc>
                <w:tcPr>
                  <w:tcW w:w="1803" w:type="dxa"/>
                  <w:gridSpan w:val="3"/>
                  <w:vAlign w:val="center"/>
                </w:tcPr>
                <w:p>
                  <w:pPr>
                    <w:jc w:val="center"/>
                    <w:rPr>
                      <w:sz w:val="21"/>
                      <w:szCs w:val="21"/>
                    </w:rPr>
                  </w:pPr>
                  <w:r>
                    <w:rPr>
                      <w:rFonts w:hint="eastAsia"/>
                      <w:sz w:val="21"/>
                      <w:szCs w:val="21"/>
                    </w:rPr>
                    <w:t>基础减振、隔声</w:t>
                  </w:r>
                </w:p>
              </w:tc>
              <w:tc>
                <w:tcPr>
                  <w:tcW w:w="1013" w:type="dxa"/>
                  <w:vAlign w:val="center"/>
                </w:tcPr>
                <w:p>
                  <w:pPr>
                    <w:jc w:val="center"/>
                    <w:rPr>
                      <w:sz w:val="21"/>
                      <w:szCs w:val="21"/>
                    </w:rPr>
                  </w:pPr>
                  <w:r>
                    <w:rPr>
                      <w:rFonts w:hint="eastAsia"/>
                      <w:sz w:val="21"/>
                      <w:szCs w:val="21"/>
                    </w:rPr>
                    <w:t>70</w:t>
                  </w:r>
                </w:p>
              </w:tc>
              <w:tc>
                <w:tcPr>
                  <w:tcW w:w="994" w:type="dxa"/>
                  <w:vMerge w:val="continue"/>
                  <w:vAlign w:val="center"/>
                </w:tcPr>
                <w:p>
                  <w:pPr>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700" w:type="dxa"/>
                  <w:vAlign w:val="center"/>
                </w:tcPr>
                <w:p>
                  <w:pPr>
                    <w:jc w:val="center"/>
                    <w:rPr>
                      <w:sz w:val="21"/>
                      <w:szCs w:val="21"/>
                    </w:rPr>
                  </w:pPr>
                  <w:r>
                    <w:rPr>
                      <w:rFonts w:hint="eastAsia"/>
                      <w:sz w:val="21"/>
                      <w:szCs w:val="21"/>
                    </w:rPr>
                    <w:t>4</w:t>
                  </w:r>
                </w:p>
              </w:tc>
              <w:tc>
                <w:tcPr>
                  <w:tcW w:w="1482" w:type="dxa"/>
                  <w:gridSpan w:val="2"/>
                  <w:vAlign w:val="center"/>
                </w:tcPr>
                <w:p>
                  <w:pPr>
                    <w:jc w:val="center"/>
                    <w:rPr>
                      <w:sz w:val="21"/>
                      <w:szCs w:val="21"/>
                    </w:rPr>
                  </w:pPr>
                  <w:r>
                    <w:rPr>
                      <w:rFonts w:hint="eastAsia"/>
                      <w:kern w:val="0"/>
                      <w:sz w:val="21"/>
                      <w:szCs w:val="21"/>
                    </w:rPr>
                    <w:t>立轴锤式破碎机</w:t>
                  </w:r>
                </w:p>
              </w:tc>
              <w:tc>
                <w:tcPr>
                  <w:tcW w:w="804" w:type="dxa"/>
                  <w:gridSpan w:val="2"/>
                  <w:vAlign w:val="center"/>
                </w:tcPr>
                <w:p>
                  <w:pPr>
                    <w:jc w:val="center"/>
                    <w:rPr>
                      <w:rFonts w:hint="eastAsia" w:ascii="宋体" w:hAnsi="宋体"/>
                      <w:sz w:val="21"/>
                      <w:szCs w:val="21"/>
                    </w:rPr>
                  </w:pPr>
                  <w:r>
                    <w:rPr>
                      <w:rFonts w:ascii="宋体" w:hAnsi="宋体"/>
                      <w:sz w:val="21"/>
                      <w:szCs w:val="21"/>
                    </w:rPr>
                    <w:t>台</w:t>
                  </w:r>
                </w:p>
              </w:tc>
              <w:tc>
                <w:tcPr>
                  <w:tcW w:w="641" w:type="dxa"/>
                  <w:gridSpan w:val="2"/>
                  <w:vAlign w:val="center"/>
                </w:tcPr>
                <w:p>
                  <w:pPr>
                    <w:jc w:val="center"/>
                    <w:rPr>
                      <w:bCs/>
                      <w:sz w:val="21"/>
                      <w:szCs w:val="21"/>
                    </w:rPr>
                  </w:pPr>
                  <w:r>
                    <w:rPr>
                      <w:rFonts w:hint="eastAsia"/>
                      <w:bCs/>
                      <w:sz w:val="21"/>
                      <w:szCs w:val="21"/>
                    </w:rPr>
                    <w:t>1</w:t>
                  </w:r>
                </w:p>
              </w:tc>
              <w:tc>
                <w:tcPr>
                  <w:tcW w:w="781" w:type="dxa"/>
                  <w:vAlign w:val="center"/>
                </w:tcPr>
                <w:p>
                  <w:pPr>
                    <w:jc w:val="center"/>
                    <w:rPr>
                      <w:bCs/>
                      <w:sz w:val="21"/>
                      <w:szCs w:val="21"/>
                    </w:rPr>
                  </w:pPr>
                  <w:r>
                    <w:rPr>
                      <w:rFonts w:hint="eastAsia"/>
                      <w:bCs/>
                      <w:sz w:val="21"/>
                      <w:szCs w:val="21"/>
                    </w:rPr>
                    <w:t>90</w:t>
                  </w:r>
                </w:p>
              </w:tc>
              <w:tc>
                <w:tcPr>
                  <w:tcW w:w="1803" w:type="dxa"/>
                  <w:gridSpan w:val="3"/>
                  <w:vAlign w:val="center"/>
                </w:tcPr>
                <w:p>
                  <w:pPr>
                    <w:jc w:val="center"/>
                    <w:rPr>
                      <w:sz w:val="21"/>
                      <w:szCs w:val="21"/>
                    </w:rPr>
                  </w:pPr>
                  <w:r>
                    <w:rPr>
                      <w:rFonts w:hint="eastAsia"/>
                      <w:sz w:val="21"/>
                      <w:szCs w:val="21"/>
                    </w:rPr>
                    <w:t>基础减振、隔声</w:t>
                  </w:r>
                </w:p>
              </w:tc>
              <w:tc>
                <w:tcPr>
                  <w:tcW w:w="1013" w:type="dxa"/>
                  <w:vAlign w:val="center"/>
                </w:tcPr>
                <w:p>
                  <w:pPr>
                    <w:jc w:val="center"/>
                    <w:rPr>
                      <w:sz w:val="21"/>
                      <w:szCs w:val="21"/>
                    </w:rPr>
                  </w:pPr>
                  <w:r>
                    <w:rPr>
                      <w:rFonts w:hint="eastAsia"/>
                      <w:sz w:val="21"/>
                      <w:szCs w:val="21"/>
                    </w:rPr>
                    <w:t>70</w:t>
                  </w:r>
                </w:p>
              </w:tc>
              <w:tc>
                <w:tcPr>
                  <w:tcW w:w="994" w:type="dxa"/>
                  <w:vMerge w:val="continue"/>
                  <w:vAlign w:val="center"/>
                </w:tcPr>
                <w:p>
                  <w:pPr>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700" w:type="dxa"/>
                  <w:vAlign w:val="center"/>
                </w:tcPr>
                <w:p>
                  <w:pPr>
                    <w:jc w:val="center"/>
                    <w:rPr>
                      <w:sz w:val="21"/>
                      <w:szCs w:val="21"/>
                    </w:rPr>
                  </w:pPr>
                  <w:r>
                    <w:rPr>
                      <w:rFonts w:hint="eastAsia"/>
                      <w:sz w:val="21"/>
                      <w:szCs w:val="21"/>
                    </w:rPr>
                    <w:t>5</w:t>
                  </w:r>
                </w:p>
              </w:tc>
              <w:tc>
                <w:tcPr>
                  <w:tcW w:w="1482" w:type="dxa"/>
                  <w:gridSpan w:val="2"/>
                  <w:vAlign w:val="center"/>
                </w:tcPr>
                <w:p>
                  <w:pPr>
                    <w:jc w:val="center"/>
                    <w:rPr>
                      <w:sz w:val="21"/>
                      <w:szCs w:val="21"/>
                    </w:rPr>
                  </w:pPr>
                  <w:r>
                    <w:rPr>
                      <w:sz w:val="21"/>
                      <w:szCs w:val="21"/>
                    </w:rPr>
                    <w:t>皮带输送机</w:t>
                  </w:r>
                </w:p>
              </w:tc>
              <w:tc>
                <w:tcPr>
                  <w:tcW w:w="804" w:type="dxa"/>
                  <w:gridSpan w:val="2"/>
                  <w:vAlign w:val="center"/>
                </w:tcPr>
                <w:p>
                  <w:pPr>
                    <w:jc w:val="center"/>
                    <w:rPr>
                      <w:sz w:val="21"/>
                      <w:szCs w:val="21"/>
                    </w:rPr>
                  </w:pPr>
                  <w:r>
                    <w:rPr>
                      <w:sz w:val="21"/>
                      <w:szCs w:val="21"/>
                    </w:rPr>
                    <w:t>台</w:t>
                  </w:r>
                </w:p>
              </w:tc>
              <w:tc>
                <w:tcPr>
                  <w:tcW w:w="641" w:type="dxa"/>
                  <w:gridSpan w:val="2"/>
                  <w:vAlign w:val="center"/>
                </w:tcPr>
                <w:p>
                  <w:pPr>
                    <w:jc w:val="center"/>
                    <w:rPr>
                      <w:bCs/>
                      <w:sz w:val="21"/>
                      <w:szCs w:val="21"/>
                    </w:rPr>
                  </w:pPr>
                  <w:r>
                    <w:rPr>
                      <w:rFonts w:hint="eastAsia"/>
                      <w:bCs/>
                      <w:sz w:val="21"/>
                      <w:szCs w:val="21"/>
                    </w:rPr>
                    <w:t>1</w:t>
                  </w:r>
                </w:p>
              </w:tc>
              <w:tc>
                <w:tcPr>
                  <w:tcW w:w="781" w:type="dxa"/>
                  <w:vAlign w:val="center"/>
                </w:tcPr>
                <w:p>
                  <w:pPr>
                    <w:jc w:val="center"/>
                    <w:rPr>
                      <w:bCs/>
                      <w:sz w:val="21"/>
                      <w:szCs w:val="21"/>
                    </w:rPr>
                  </w:pPr>
                  <w:r>
                    <w:rPr>
                      <w:rFonts w:hint="eastAsia"/>
                      <w:bCs/>
                      <w:sz w:val="21"/>
                      <w:szCs w:val="21"/>
                    </w:rPr>
                    <w:t>85</w:t>
                  </w:r>
                </w:p>
              </w:tc>
              <w:tc>
                <w:tcPr>
                  <w:tcW w:w="1803" w:type="dxa"/>
                  <w:gridSpan w:val="3"/>
                  <w:vAlign w:val="center"/>
                </w:tcPr>
                <w:p>
                  <w:pPr>
                    <w:jc w:val="center"/>
                    <w:rPr>
                      <w:b/>
                      <w:bCs/>
                      <w:sz w:val="21"/>
                      <w:szCs w:val="21"/>
                    </w:rPr>
                  </w:pPr>
                  <w:r>
                    <w:rPr>
                      <w:rFonts w:hint="eastAsia"/>
                      <w:sz w:val="21"/>
                      <w:szCs w:val="21"/>
                    </w:rPr>
                    <w:t>基础减振、隔声</w:t>
                  </w:r>
                </w:p>
              </w:tc>
              <w:tc>
                <w:tcPr>
                  <w:tcW w:w="1013" w:type="dxa"/>
                  <w:vAlign w:val="center"/>
                </w:tcPr>
                <w:p>
                  <w:pPr>
                    <w:jc w:val="center"/>
                    <w:rPr>
                      <w:b/>
                      <w:bCs/>
                      <w:sz w:val="21"/>
                      <w:szCs w:val="21"/>
                    </w:rPr>
                  </w:pPr>
                  <w:r>
                    <w:rPr>
                      <w:rFonts w:hint="eastAsia"/>
                      <w:sz w:val="21"/>
                      <w:szCs w:val="21"/>
                    </w:rPr>
                    <w:t>65</w:t>
                  </w:r>
                </w:p>
              </w:tc>
              <w:tc>
                <w:tcPr>
                  <w:tcW w:w="994" w:type="dxa"/>
                  <w:vMerge w:val="continue"/>
                  <w:vAlign w:val="center"/>
                </w:tcPr>
                <w:p>
                  <w:pPr>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700" w:type="dxa"/>
                  <w:vAlign w:val="center"/>
                </w:tcPr>
                <w:p>
                  <w:pPr>
                    <w:jc w:val="center"/>
                    <w:rPr>
                      <w:sz w:val="21"/>
                      <w:szCs w:val="21"/>
                    </w:rPr>
                  </w:pPr>
                  <w:r>
                    <w:rPr>
                      <w:rFonts w:hint="eastAsia"/>
                      <w:sz w:val="21"/>
                      <w:szCs w:val="21"/>
                    </w:rPr>
                    <w:t>6</w:t>
                  </w:r>
                </w:p>
              </w:tc>
              <w:tc>
                <w:tcPr>
                  <w:tcW w:w="1482" w:type="dxa"/>
                  <w:gridSpan w:val="2"/>
                  <w:vAlign w:val="center"/>
                </w:tcPr>
                <w:p>
                  <w:pPr>
                    <w:jc w:val="center"/>
                    <w:rPr>
                      <w:sz w:val="21"/>
                      <w:szCs w:val="21"/>
                    </w:rPr>
                  </w:pPr>
                  <w:r>
                    <w:rPr>
                      <w:rFonts w:hint="eastAsia"/>
                      <w:sz w:val="21"/>
                      <w:szCs w:val="21"/>
                    </w:rPr>
                    <w:t>空气压缩机</w:t>
                  </w:r>
                </w:p>
              </w:tc>
              <w:tc>
                <w:tcPr>
                  <w:tcW w:w="804" w:type="dxa"/>
                  <w:gridSpan w:val="2"/>
                  <w:vAlign w:val="center"/>
                </w:tcPr>
                <w:p>
                  <w:pPr>
                    <w:jc w:val="center"/>
                    <w:rPr>
                      <w:sz w:val="21"/>
                      <w:szCs w:val="21"/>
                    </w:rPr>
                  </w:pPr>
                  <w:r>
                    <w:rPr>
                      <w:sz w:val="21"/>
                      <w:szCs w:val="21"/>
                    </w:rPr>
                    <w:t>台</w:t>
                  </w:r>
                </w:p>
              </w:tc>
              <w:tc>
                <w:tcPr>
                  <w:tcW w:w="641" w:type="dxa"/>
                  <w:gridSpan w:val="2"/>
                  <w:vAlign w:val="center"/>
                </w:tcPr>
                <w:p>
                  <w:pPr>
                    <w:jc w:val="center"/>
                    <w:rPr>
                      <w:sz w:val="21"/>
                      <w:szCs w:val="21"/>
                    </w:rPr>
                  </w:pPr>
                  <w:r>
                    <w:rPr>
                      <w:rFonts w:hint="eastAsia"/>
                      <w:sz w:val="21"/>
                      <w:szCs w:val="21"/>
                    </w:rPr>
                    <w:t>1</w:t>
                  </w:r>
                </w:p>
              </w:tc>
              <w:tc>
                <w:tcPr>
                  <w:tcW w:w="781" w:type="dxa"/>
                  <w:vAlign w:val="center"/>
                </w:tcPr>
                <w:p>
                  <w:pPr>
                    <w:jc w:val="center"/>
                    <w:rPr>
                      <w:sz w:val="21"/>
                      <w:szCs w:val="21"/>
                    </w:rPr>
                  </w:pPr>
                  <w:r>
                    <w:rPr>
                      <w:rFonts w:hint="eastAsia"/>
                      <w:sz w:val="21"/>
                      <w:szCs w:val="21"/>
                    </w:rPr>
                    <w:t>85</w:t>
                  </w:r>
                </w:p>
              </w:tc>
              <w:tc>
                <w:tcPr>
                  <w:tcW w:w="1803" w:type="dxa"/>
                  <w:gridSpan w:val="3"/>
                  <w:vAlign w:val="center"/>
                </w:tcPr>
                <w:p>
                  <w:pPr>
                    <w:jc w:val="center"/>
                    <w:rPr>
                      <w:sz w:val="21"/>
                      <w:szCs w:val="21"/>
                    </w:rPr>
                  </w:pPr>
                  <w:r>
                    <w:rPr>
                      <w:rFonts w:hint="eastAsia"/>
                      <w:sz w:val="21"/>
                      <w:szCs w:val="21"/>
                    </w:rPr>
                    <w:t>基础减振、隔声</w:t>
                  </w:r>
                </w:p>
              </w:tc>
              <w:tc>
                <w:tcPr>
                  <w:tcW w:w="1013" w:type="dxa"/>
                  <w:vAlign w:val="center"/>
                </w:tcPr>
                <w:p>
                  <w:pPr>
                    <w:jc w:val="center"/>
                    <w:rPr>
                      <w:sz w:val="21"/>
                      <w:szCs w:val="21"/>
                    </w:rPr>
                  </w:pPr>
                  <w:r>
                    <w:rPr>
                      <w:rFonts w:hint="eastAsia"/>
                      <w:sz w:val="21"/>
                      <w:szCs w:val="21"/>
                    </w:rPr>
                    <w:t>65</w:t>
                  </w:r>
                </w:p>
              </w:tc>
              <w:tc>
                <w:tcPr>
                  <w:tcW w:w="994" w:type="dxa"/>
                  <w:vMerge w:val="continue"/>
                  <w:vAlign w:val="center"/>
                </w:tcPr>
                <w:p>
                  <w:pPr>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700" w:type="dxa"/>
                  <w:vAlign w:val="center"/>
                </w:tcPr>
                <w:p>
                  <w:pPr>
                    <w:jc w:val="center"/>
                    <w:rPr>
                      <w:sz w:val="21"/>
                      <w:szCs w:val="21"/>
                    </w:rPr>
                  </w:pPr>
                  <w:r>
                    <w:rPr>
                      <w:rFonts w:hint="eastAsia"/>
                      <w:sz w:val="21"/>
                      <w:szCs w:val="21"/>
                    </w:rPr>
                    <w:t>7</w:t>
                  </w:r>
                </w:p>
              </w:tc>
              <w:tc>
                <w:tcPr>
                  <w:tcW w:w="1482" w:type="dxa"/>
                  <w:gridSpan w:val="2"/>
                  <w:vAlign w:val="center"/>
                </w:tcPr>
                <w:p>
                  <w:pPr>
                    <w:jc w:val="center"/>
                    <w:rPr>
                      <w:sz w:val="21"/>
                      <w:szCs w:val="21"/>
                    </w:rPr>
                  </w:pPr>
                  <w:r>
                    <w:rPr>
                      <w:rFonts w:hint="eastAsia"/>
                      <w:sz w:val="21"/>
                      <w:szCs w:val="21"/>
                    </w:rPr>
                    <w:t>卸料斗</w:t>
                  </w:r>
                </w:p>
              </w:tc>
              <w:tc>
                <w:tcPr>
                  <w:tcW w:w="804" w:type="dxa"/>
                  <w:gridSpan w:val="2"/>
                  <w:vAlign w:val="center"/>
                </w:tcPr>
                <w:p>
                  <w:pPr>
                    <w:jc w:val="center"/>
                    <w:rPr>
                      <w:sz w:val="21"/>
                      <w:szCs w:val="21"/>
                    </w:rPr>
                  </w:pPr>
                  <w:r>
                    <w:rPr>
                      <w:sz w:val="21"/>
                      <w:szCs w:val="21"/>
                    </w:rPr>
                    <w:t>台</w:t>
                  </w:r>
                </w:p>
              </w:tc>
              <w:tc>
                <w:tcPr>
                  <w:tcW w:w="641" w:type="dxa"/>
                  <w:gridSpan w:val="2"/>
                  <w:vAlign w:val="center"/>
                </w:tcPr>
                <w:p>
                  <w:pPr>
                    <w:jc w:val="center"/>
                    <w:rPr>
                      <w:sz w:val="21"/>
                      <w:szCs w:val="21"/>
                    </w:rPr>
                  </w:pPr>
                  <w:r>
                    <w:rPr>
                      <w:rFonts w:hint="eastAsia"/>
                      <w:sz w:val="21"/>
                      <w:szCs w:val="21"/>
                    </w:rPr>
                    <w:t>1</w:t>
                  </w:r>
                </w:p>
              </w:tc>
              <w:tc>
                <w:tcPr>
                  <w:tcW w:w="781" w:type="dxa"/>
                  <w:vAlign w:val="center"/>
                </w:tcPr>
                <w:p>
                  <w:pPr>
                    <w:jc w:val="center"/>
                    <w:rPr>
                      <w:sz w:val="21"/>
                      <w:szCs w:val="21"/>
                    </w:rPr>
                  </w:pPr>
                  <w:r>
                    <w:rPr>
                      <w:sz w:val="21"/>
                      <w:szCs w:val="21"/>
                    </w:rPr>
                    <w:t>7</w:t>
                  </w:r>
                  <w:r>
                    <w:rPr>
                      <w:rFonts w:hint="eastAsia"/>
                      <w:sz w:val="21"/>
                      <w:szCs w:val="21"/>
                    </w:rPr>
                    <w:t>5</w:t>
                  </w:r>
                </w:p>
              </w:tc>
              <w:tc>
                <w:tcPr>
                  <w:tcW w:w="1803" w:type="dxa"/>
                  <w:gridSpan w:val="3"/>
                  <w:vAlign w:val="center"/>
                </w:tcPr>
                <w:p>
                  <w:pPr>
                    <w:jc w:val="center"/>
                    <w:rPr>
                      <w:sz w:val="21"/>
                      <w:szCs w:val="21"/>
                    </w:rPr>
                  </w:pPr>
                  <w:r>
                    <w:rPr>
                      <w:rFonts w:hint="eastAsia"/>
                      <w:sz w:val="21"/>
                      <w:szCs w:val="21"/>
                    </w:rPr>
                    <w:t>基础减振、隔声</w:t>
                  </w:r>
                </w:p>
              </w:tc>
              <w:tc>
                <w:tcPr>
                  <w:tcW w:w="1013" w:type="dxa"/>
                  <w:vAlign w:val="center"/>
                </w:tcPr>
                <w:p>
                  <w:pPr>
                    <w:jc w:val="center"/>
                    <w:rPr>
                      <w:sz w:val="21"/>
                      <w:szCs w:val="21"/>
                    </w:rPr>
                  </w:pPr>
                  <w:r>
                    <w:rPr>
                      <w:sz w:val="21"/>
                      <w:szCs w:val="21"/>
                    </w:rPr>
                    <w:t>5</w:t>
                  </w:r>
                  <w:r>
                    <w:rPr>
                      <w:rFonts w:hint="eastAsia"/>
                      <w:sz w:val="21"/>
                      <w:szCs w:val="21"/>
                    </w:rPr>
                    <w:t>5</w:t>
                  </w:r>
                </w:p>
              </w:tc>
              <w:tc>
                <w:tcPr>
                  <w:tcW w:w="994" w:type="dxa"/>
                  <w:vMerge w:val="continue"/>
                  <w:vAlign w:val="center"/>
                </w:tcPr>
                <w:p>
                  <w:pPr>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700" w:type="dxa"/>
                  <w:vAlign w:val="center"/>
                </w:tcPr>
                <w:p>
                  <w:pPr>
                    <w:jc w:val="center"/>
                    <w:rPr>
                      <w:sz w:val="21"/>
                      <w:szCs w:val="21"/>
                    </w:rPr>
                  </w:pPr>
                  <w:r>
                    <w:rPr>
                      <w:rFonts w:hint="eastAsia"/>
                      <w:sz w:val="21"/>
                      <w:szCs w:val="21"/>
                    </w:rPr>
                    <w:t>8</w:t>
                  </w:r>
                </w:p>
              </w:tc>
              <w:tc>
                <w:tcPr>
                  <w:tcW w:w="1482" w:type="dxa"/>
                  <w:gridSpan w:val="2"/>
                  <w:vAlign w:val="center"/>
                </w:tcPr>
                <w:p>
                  <w:pPr>
                    <w:jc w:val="center"/>
                    <w:rPr>
                      <w:sz w:val="21"/>
                      <w:szCs w:val="21"/>
                    </w:rPr>
                  </w:pPr>
                  <w:r>
                    <w:rPr>
                      <w:rFonts w:hint="eastAsia"/>
                      <w:sz w:val="21"/>
                      <w:szCs w:val="21"/>
                    </w:rPr>
                    <w:t>除尘风机</w:t>
                  </w:r>
                </w:p>
              </w:tc>
              <w:tc>
                <w:tcPr>
                  <w:tcW w:w="804" w:type="dxa"/>
                  <w:gridSpan w:val="2"/>
                  <w:vAlign w:val="center"/>
                </w:tcPr>
                <w:p>
                  <w:pPr>
                    <w:jc w:val="center"/>
                    <w:rPr>
                      <w:sz w:val="21"/>
                      <w:szCs w:val="21"/>
                    </w:rPr>
                  </w:pPr>
                  <w:r>
                    <w:rPr>
                      <w:sz w:val="21"/>
                      <w:szCs w:val="21"/>
                    </w:rPr>
                    <w:t>台</w:t>
                  </w:r>
                </w:p>
              </w:tc>
              <w:tc>
                <w:tcPr>
                  <w:tcW w:w="641" w:type="dxa"/>
                  <w:gridSpan w:val="2"/>
                  <w:vAlign w:val="center"/>
                </w:tcPr>
                <w:p>
                  <w:pPr>
                    <w:jc w:val="center"/>
                    <w:rPr>
                      <w:sz w:val="21"/>
                      <w:szCs w:val="21"/>
                    </w:rPr>
                  </w:pPr>
                  <w:r>
                    <w:rPr>
                      <w:rFonts w:hint="eastAsia"/>
                      <w:sz w:val="21"/>
                      <w:szCs w:val="21"/>
                    </w:rPr>
                    <w:t>6</w:t>
                  </w:r>
                </w:p>
              </w:tc>
              <w:tc>
                <w:tcPr>
                  <w:tcW w:w="781" w:type="dxa"/>
                  <w:vAlign w:val="center"/>
                </w:tcPr>
                <w:p>
                  <w:pPr>
                    <w:jc w:val="center"/>
                    <w:rPr>
                      <w:bCs/>
                      <w:sz w:val="21"/>
                      <w:szCs w:val="21"/>
                    </w:rPr>
                  </w:pPr>
                  <w:r>
                    <w:rPr>
                      <w:rFonts w:hint="eastAsia"/>
                      <w:bCs/>
                      <w:sz w:val="21"/>
                      <w:szCs w:val="21"/>
                    </w:rPr>
                    <w:t>90</w:t>
                  </w:r>
                </w:p>
              </w:tc>
              <w:tc>
                <w:tcPr>
                  <w:tcW w:w="1803" w:type="dxa"/>
                  <w:gridSpan w:val="3"/>
                  <w:vAlign w:val="center"/>
                </w:tcPr>
                <w:p>
                  <w:pPr>
                    <w:jc w:val="center"/>
                    <w:rPr>
                      <w:sz w:val="21"/>
                      <w:szCs w:val="21"/>
                    </w:rPr>
                  </w:pPr>
                  <w:r>
                    <w:rPr>
                      <w:rFonts w:hint="eastAsia"/>
                      <w:sz w:val="21"/>
                      <w:szCs w:val="21"/>
                    </w:rPr>
                    <w:t>基础减振、隔声</w:t>
                  </w:r>
                </w:p>
              </w:tc>
              <w:tc>
                <w:tcPr>
                  <w:tcW w:w="1013" w:type="dxa"/>
                  <w:vAlign w:val="center"/>
                </w:tcPr>
                <w:p>
                  <w:pPr>
                    <w:jc w:val="center"/>
                    <w:rPr>
                      <w:sz w:val="21"/>
                      <w:szCs w:val="21"/>
                    </w:rPr>
                  </w:pPr>
                  <w:r>
                    <w:rPr>
                      <w:rFonts w:hint="eastAsia"/>
                      <w:sz w:val="21"/>
                      <w:szCs w:val="21"/>
                    </w:rPr>
                    <w:t>70</w:t>
                  </w:r>
                </w:p>
              </w:tc>
              <w:tc>
                <w:tcPr>
                  <w:tcW w:w="994" w:type="dxa"/>
                  <w:vMerge w:val="continue"/>
                  <w:vAlign w:val="center"/>
                </w:tcPr>
                <w:p>
                  <w:pPr>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700" w:type="dxa"/>
                  <w:vAlign w:val="center"/>
                </w:tcPr>
                <w:p>
                  <w:pPr>
                    <w:jc w:val="center"/>
                    <w:rPr>
                      <w:sz w:val="21"/>
                      <w:szCs w:val="21"/>
                    </w:rPr>
                  </w:pPr>
                  <w:r>
                    <w:rPr>
                      <w:rFonts w:hint="eastAsia"/>
                      <w:sz w:val="21"/>
                      <w:szCs w:val="21"/>
                    </w:rPr>
                    <w:t>9</w:t>
                  </w:r>
                </w:p>
              </w:tc>
              <w:tc>
                <w:tcPr>
                  <w:tcW w:w="1482" w:type="dxa"/>
                  <w:gridSpan w:val="2"/>
                  <w:vAlign w:val="center"/>
                </w:tcPr>
                <w:p>
                  <w:pPr>
                    <w:jc w:val="center"/>
                    <w:rPr>
                      <w:sz w:val="21"/>
                      <w:szCs w:val="21"/>
                    </w:rPr>
                  </w:pPr>
                  <w:r>
                    <w:rPr>
                      <w:rFonts w:hint="eastAsia"/>
                      <w:sz w:val="21"/>
                      <w:szCs w:val="21"/>
                    </w:rPr>
                    <w:t>振动</w:t>
                  </w:r>
                  <w:r>
                    <w:rPr>
                      <w:sz w:val="21"/>
                      <w:szCs w:val="21"/>
                    </w:rPr>
                    <w:t>电机</w:t>
                  </w:r>
                </w:p>
              </w:tc>
              <w:tc>
                <w:tcPr>
                  <w:tcW w:w="804" w:type="dxa"/>
                  <w:gridSpan w:val="2"/>
                  <w:vAlign w:val="center"/>
                </w:tcPr>
                <w:p>
                  <w:pPr>
                    <w:jc w:val="center"/>
                    <w:rPr>
                      <w:sz w:val="21"/>
                      <w:szCs w:val="21"/>
                    </w:rPr>
                  </w:pPr>
                  <w:r>
                    <w:rPr>
                      <w:sz w:val="21"/>
                      <w:szCs w:val="21"/>
                    </w:rPr>
                    <w:t>台</w:t>
                  </w:r>
                </w:p>
              </w:tc>
              <w:tc>
                <w:tcPr>
                  <w:tcW w:w="641" w:type="dxa"/>
                  <w:gridSpan w:val="2"/>
                  <w:vAlign w:val="center"/>
                </w:tcPr>
                <w:p>
                  <w:pPr>
                    <w:jc w:val="center"/>
                    <w:rPr>
                      <w:sz w:val="21"/>
                      <w:szCs w:val="21"/>
                    </w:rPr>
                  </w:pPr>
                  <w:r>
                    <w:rPr>
                      <w:rFonts w:hint="eastAsia"/>
                      <w:sz w:val="21"/>
                      <w:szCs w:val="21"/>
                    </w:rPr>
                    <w:t>1</w:t>
                  </w:r>
                </w:p>
              </w:tc>
              <w:tc>
                <w:tcPr>
                  <w:tcW w:w="781" w:type="dxa"/>
                  <w:vAlign w:val="center"/>
                </w:tcPr>
                <w:p>
                  <w:pPr>
                    <w:jc w:val="center"/>
                    <w:rPr>
                      <w:sz w:val="21"/>
                      <w:szCs w:val="21"/>
                    </w:rPr>
                  </w:pPr>
                  <w:r>
                    <w:rPr>
                      <w:sz w:val="21"/>
                      <w:szCs w:val="21"/>
                    </w:rPr>
                    <w:t>7</w:t>
                  </w:r>
                  <w:r>
                    <w:rPr>
                      <w:rFonts w:hint="eastAsia"/>
                      <w:sz w:val="21"/>
                      <w:szCs w:val="21"/>
                    </w:rPr>
                    <w:t>5</w:t>
                  </w:r>
                </w:p>
              </w:tc>
              <w:tc>
                <w:tcPr>
                  <w:tcW w:w="1803" w:type="dxa"/>
                  <w:gridSpan w:val="3"/>
                  <w:vAlign w:val="center"/>
                </w:tcPr>
                <w:p>
                  <w:pPr>
                    <w:jc w:val="center"/>
                    <w:rPr>
                      <w:sz w:val="21"/>
                      <w:szCs w:val="21"/>
                    </w:rPr>
                  </w:pPr>
                  <w:r>
                    <w:rPr>
                      <w:rFonts w:hint="eastAsia"/>
                      <w:sz w:val="21"/>
                      <w:szCs w:val="21"/>
                    </w:rPr>
                    <w:t>基础减振、隔声</w:t>
                  </w:r>
                </w:p>
              </w:tc>
              <w:tc>
                <w:tcPr>
                  <w:tcW w:w="1013" w:type="dxa"/>
                  <w:vAlign w:val="center"/>
                </w:tcPr>
                <w:p>
                  <w:pPr>
                    <w:jc w:val="center"/>
                    <w:rPr>
                      <w:sz w:val="21"/>
                      <w:szCs w:val="21"/>
                    </w:rPr>
                  </w:pPr>
                  <w:r>
                    <w:rPr>
                      <w:sz w:val="21"/>
                      <w:szCs w:val="21"/>
                    </w:rPr>
                    <w:t>5</w:t>
                  </w:r>
                  <w:r>
                    <w:rPr>
                      <w:rFonts w:hint="eastAsia"/>
                      <w:sz w:val="21"/>
                      <w:szCs w:val="21"/>
                    </w:rPr>
                    <w:t>5</w:t>
                  </w:r>
                </w:p>
              </w:tc>
              <w:tc>
                <w:tcPr>
                  <w:tcW w:w="994" w:type="dxa"/>
                  <w:vMerge w:val="continue"/>
                  <w:vAlign w:val="center"/>
                </w:tcPr>
                <w:p>
                  <w:pPr>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8218" w:type="dxa"/>
                  <w:gridSpan w:val="13"/>
                  <w:vAlign w:val="center"/>
                </w:tcPr>
                <w:p>
                  <w:pPr>
                    <w:jc w:val="center"/>
                    <w:rPr>
                      <w:b/>
                      <w:sz w:val="21"/>
                      <w:szCs w:val="21"/>
                    </w:rPr>
                  </w:pPr>
                  <w:r>
                    <w:rPr>
                      <w:b/>
                      <w:sz w:val="21"/>
                      <w:szCs w:val="21"/>
                    </w:rPr>
                    <w:t>监测计划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118" w:type="dxa"/>
                  <w:gridSpan w:val="2"/>
                  <w:vAlign w:val="center"/>
                </w:tcPr>
                <w:p>
                  <w:pPr>
                    <w:jc w:val="center"/>
                    <w:rPr>
                      <w:sz w:val="21"/>
                      <w:szCs w:val="21"/>
                    </w:rPr>
                  </w:pPr>
                  <w:r>
                    <w:rPr>
                      <w:sz w:val="21"/>
                      <w:szCs w:val="21"/>
                    </w:rPr>
                    <w:t>监测点位</w:t>
                  </w:r>
                </w:p>
              </w:tc>
              <w:tc>
                <w:tcPr>
                  <w:tcW w:w="1377" w:type="dxa"/>
                  <w:gridSpan w:val="2"/>
                  <w:vAlign w:val="center"/>
                </w:tcPr>
                <w:p>
                  <w:pPr>
                    <w:jc w:val="center"/>
                    <w:rPr>
                      <w:sz w:val="21"/>
                      <w:szCs w:val="21"/>
                    </w:rPr>
                  </w:pPr>
                  <w:r>
                    <w:rPr>
                      <w:sz w:val="21"/>
                      <w:szCs w:val="21"/>
                    </w:rPr>
                    <w:t>项目厂界四周</w:t>
                  </w:r>
                </w:p>
              </w:tc>
              <w:tc>
                <w:tcPr>
                  <w:tcW w:w="1042" w:type="dxa"/>
                  <w:gridSpan w:val="2"/>
                  <w:vAlign w:val="center"/>
                </w:tcPr>
                <w:p>
                  <w:pPr>
                    <w:jc w:val="center"/>
                    <w:rPr>
                      <w:sz w:val="21"/>
                      <w:szCs w:val="21"/>
                    </w:rPr>
                  </w:pPr>
                  <w:r>
                    <w:rPr>
                      <w:sz w:val="21"/>
                      <w:szCs w:val="21"/>
                    </w:rPr>
                    <w:t>监测项目</w:t>
                  </w:r>
                </w:p>
              </w:tc>
              <w:tc>
                <w:tcPr>
                  <w:tcW w:w="1514" w:type="dxa"/>
                  <w:gridSpan w:val="3"/>
                  <w:vAlign w:val="center"/>
                </w:tcPr>
                <w:p>
                  <w:pPr>
                    <w:jc w:val="center"/>
                    <w:rPr>
                      <w:sz w:val="21"/>
                      <w:szCs w:val="21"/>
                    </w:rPr>
                  </w:pPr>
                  <w:r>
                    <w:rPr>
                      <w:sz w:val="21"/>
                      <w:szCs w:val="21"/>
                    </w:rPr>
                    <w:t>连续等效A声级</w:t>
                  </w:r>
                </w:p>
              </w:tc>
              <w:tc>
                <w:tcPr>
                  <w:tcW w:w="980" w:type="dxa"/>
                  <w:vAlign w:val="center"/>
                </w:tcPr>
                <w:p>
                  <w:pPr>
                    <w:jc w:val="center"/>
                    <w:rPr>
                      <w:sz w:val="21"/>
                      <w:szCs w:val="21"/>
                    </w:rPr>
                  </w:pPr>
                  <w:r>
                    <w:rPr>
                      <w:sz w:val="21"/>
                      <w:szCs w:val="21"/>
                    </w:rPr>
                    <w:t>监测频次</w:t>
                  </w:r>
                </w:p>
              </w:tc>
              <w:tc>
                <w:tcPr>
                  <w:tcW w:w="2187" w:type="dxa"/>
                  <w:gridSpan w:val="3"/>
                  <w:vAlign w:val="center"/>
                </w:tcPr>
                <w:p>
                  <w:pPr>
                    <w:jc w:val="center"/>
                    <w:rPr>
                      <w:sz w:val="21"/>
                      <w:szCs w:val="21"/>
                    </w:rPr>
                  </w:pPr>
                  <w:r>
                    <w:rPr>
                      <w:sz w:val="21"/>
                      <w:szCs w:val="21"/>
                    </w:rPr>
                    <w:t>每</w:t>
                  </w:r>
                  <w:r>
                    <w:rPr>
                      <w:rFonts w:hint="eastAsia"/>
                      <w:sz w:val="21"/>
                      <w:szCs w:val="21"/>
                    </w:rPr>
                    <w:t>季</w:t>
                  </w:r>
                  <w:r>
                    <w:rPr>
                      <w:sz w:val="21"/>
                      <w:szCs w:val="21"/>
                    </w:rPr>
                    <w:t>1次</w:t>
                  </w:r>
                </w:p>
              </w:tc>
            </w:tr>
          </w:tbl>
          <w:p>
            <w:pPr>
              <w:tabs>
                <w:tab w:val="left" w:pos="6840"/>
              </w:tabs>
              <w:spacing w:line="320" w:lineRule="exact"/>
              <w:ind w:firstLine="481" w:firstLineChars="200"/>
              <w:rPr>
                <w:b/>
              </w:rPr>
            </w:pPr>
          </w:p>
          <w:p>
            <w:pPr>
              <w:tabs>
                <w:tab w:val="left" w:pos="6840"/>
              </w:tabs>
              <w:spacing w:line="360" w:lineRule="auto"/>
              <w:ind w:firstLine="481" w:firstLineChars="200"/>
              <w:rPr>
                <w:b/>
              </w:rPr>
            </w:pPr>
            <w:r>
              <w:rPr>
                <w:rFonts w:hint="eastAsia"/>
                <w:b/>
              </w:rPr>
              <w:t>2）噪声影响分析</w:t>
            </w:r>
          </w:p>
          <w:p>
            <w:pPr>
              <w:snapToGrid w:val="0"/>
              <w:spacing w:line="360" w:lineRule="auto"/>
              <w:ind w:firstLine="480" w:firstLineChars="200"/>
              <w:rPr>
                <w:snapToGrid w:val="0"/>
              </w:rPr>
            </w:pPr>
            <w:r>
              <w:rPr>
                <w:snapToGrid w:val="0"/>
              </w:rPr>
              <w:t>拟建工程声源对预测点产生的贡献值为（Leqg）：</w:t>
            </w:r>
          </w:p>
          <w:p>
            <w:pPr>
              <w:snapToGrid w:val="0"/>
              <w:spacing w:line="360" w:lineRule="auto"/>
              <w:ind w:firstLine="480" w:firstLineChars="200"/>
            </w:pPr>
            <w:r>
              <w:rPr>
                <w:snapToGrid w:val="0"/>
                <w:position w:val="-34"/>
              </w:rPr>
              <w:object>
                <v:shape id="_x0000_i1027" o:spt="75" type="#_x0000_t75" style="height:36.75pt;width:187.55pt;" o:ole="t" filled="f" o:preferrelative="t" stroked="f" coordsize="21600,21600">
                  <v:path/>
                  <v:fill on="f" focussize="0,0"/>
                  <v:stroke on="f" joinstyle="miter"/>
                  <v:imagedata r:id="rId14" o:title=""/>
                  <o:lock v:ext="edit" aspectratio="t"/>
                  <w10:wrap type="none"/>
                  <w10:anchorlock/>
                </v:shape>
                <o:OLEObject Type="Embed" ProgID="Equation.3" ShapeID="_x0000_i1027" DrawAspect="Content" ObjectID="_1468075727" r:id="rId13">
                  <o:LockedField>false</o:LockedField>
                </o:OLEObject>
              </w:object>
            </w:r>
          </w:p>
          <w:p>
            <w:pPr>
              <w:pStyle w:val="63"/>
              <w:spacing w:line="360" w:lineRule="auto"/>
              <w:ind w:firstLine="439" w:firstLineChars="183"/>
              <w:rPr>
                <w:snapToGrid w:val="0"/>
              </w:rPr>
            </w:pPr>
            <w:r>
              <w:rPr>
                <w:snapToGrid w:val="0"/>
              </w:rPr>
              <w:t>式中：</w:t>
            </w:r>
          </w:p>
          <w:p>
            <w:pPr>
              <w:pStyle w:val="63"/>
              <w:spacing w:line="360" w:lineRule="auto"/>
              <w:ind w:firstLine="960" w:firstLineChars="400"/>
              <w:rPr>
                <w:snapToGrid w:val="0"/>
              </w:rPr>
            </w:pPr>
            <w:r>
              <w:rPr>
                <w:snapToGrid w:val="0"/>
              </w:rPr>
              <w:t>tj—在T时间内j声源工作时间，s；</w:t>
            </w:r>
          </w:p>
          <w:p>
            <w:pPr>
              <w:pStyle w:val="63"/>
              <w:spacing w:line="360" w:lineRule="auto"/>
              <w:ind w:firstLine="960" w:firstLineChars="400"/>
              <w:rPr>
                <w:snapToGrid w:val="0"/>
              </w:rPr>
            </w:pPr>
            <w:r>
              <w:rPr>
                <w:snapToGrid w:val="0"/>
              </w:rPr>
              <w:t>ti—在T时间内i声源工作时间，s；</w:t>
            </w:r>
          </w:p>
          <w:p>
            <w:pPr>
              <w:pStyle w:val="63"/>
              <w:spacing w:line="360" w:lineRule="auto"/>
              <w:ind w:firstLine="960" w:firstLineChars="400"/>
              <w:rPr>
                <w:snapToGrid w:val="0"/>
              </w:rPr>
            </w:pPr>
            <w:r>
              <w:rPr>
                <w:snapToGrid w:val="0"/>
              </w:rPr>
              <w:t>T—用于计算等效声级的时间，s；</w:t>
            </w:r>
          </w:p>
          <w:p>
            <w:pPr>
              <w:pStyle w:val="63"/>
              <w:spacing w:line="360" w:lineRule="auto"/>
              <w:ind w:firstLine="960" w:firstLineChars="400"/>
              <w:rPr>
                <w:snapToGrid w:val="0"/>
              </w:rPr>
            </w:pPr>
            <w:r>
              <w:rPr>
                <w:snapToGrid w:val="0"/>
              </w:rPr>
              <w:t>N—室外声源个数；</w:t>
            </w:r>
          </w:p>
          <w:p>
            <w:pPr>
              <w:snapToGrid w:val="0"/>
              <w:spacing w:line="360" w:lineRule="auto"/>
              <w:ind w:firstLine="960" w:firstLineChars="400"/>
            </w:pPr>
            <w:r>
              <w:t>M—等效室外声源个数。</w:t>
            </w:r>
          </w:p>
          <w:p>
            <w:pPr>
              <w:snapToGrid w:val="0"/>
              <w:spacing w:line="360" w:lineRule="auto"/>
              <w:ind w:firstLine="480" w:firstLineChars="200"/>
            </w:pPr>
            <w:r>
              <w:t>根据本</w:t>
            </w:r>
            <w:r>
              <w:rPr>
                <w:rFonts w:hint="eastAsia"/>
              </w:rPr>
              <w:t>项目</w:t>
            </w:r>
            <w:r>
              <w:t>投产后主要噪声源的位置、声功率级值以及所采取的噪声防治措施，</w:t>
            </w:r>
            <w:r>
              <w:rPr>
                <w:rFonts w:hint="eastAsia"/>
              </w:rPr>
              <w:t>运营期</w:t>
            </w:r>
            <w:r>
              <w:t>厂界噪声</w:t>
            </w:r>
            <w:r>
              <w:rPr>
                <w:rFonts w:hint="eastAsia"/>
              </w:rPr>
              <w:t>预测</w:t>
            </w:r>
            <w:r>
              <w:t>结果见表</w:t>
            </w:r>
            <w:r>
              <w:rPr>
                <w:rFonts w:hint="eastAsia"/>
              </w:rPr>
              <w:t>4-9。</w:t>
            </w:r>
          </w:p>
          <w:p>
            <w:pPr>
              <w:ind w:firstLine="1308" w:firstLineChars="543"/>
              <w:rPr>
                <w:rFonts w:hint="eastAsia" w:hAnsi="宋体"/>
                <w:b/>
              </w:rPr>
            </w:pPr>
            <w:r>
              <w:rPr>
                <w:rFonts w:hAnsi="宋体"/>
                <w:b/>
              </w:rPr>
              <w:t>表</w:t>
            </w:r>
            <w:r>
              <w:rPr>
                <w:rFonts w:hint="eastAsia" w:hAnsi="宋体"/>
                <w:b/>
              </w:rPr>
              <w:t xml:space="preserve">4-9         </w:t>
            </w:r>
            <w:r>
              <w:rPr>
                <w:rFonts w:hAnsi="宋体"/>
                <w:b/>
              </w:rPr>
              <w:t xml:space="preserve">厂界噪声预测结果 </w:t>
            </w:r>
            <w:r>
              <w:rPr>
                <w:rFonts w:hint="eastAsia" w:hAnsi="宋体"/>
                <w:b/>
              </w:rPr>
              <w:t xml:space="preserve">      </w:t>
            </w:r>
            <w:r>
              <w:rPr>
                <w:rFonts w:hAnsi="宋体"/>
                <w:b/>
              </w:rPr>
              <w:t>单位: Leq</w:t>
            </w:r>
            <w:r>
              <w:rPr>
                <w:rFonts w:hint="eastAsia" w:hAnsi="宋体"/>
                <w:b/>
              </w:rPr>
              <w:t>[</w:t>
            </w:r>
            <w:r>
              <w:rPr>
                <w:rFonts w:hAnsi="宋体"/>
                <w:b/>
              </w:rPr>
              <w:t>dB</w:t>
            </w:r>
            <w:r>
              <w:rPr>
                <w:rFonts w:hint="eastAsia" w:hAnsi="宋体"/>
                <w:b/>
              </w:rPr>
              <w:t>（</w:t>
            </w:r>
            <w:r>
              <w:rPr>
                <w:rFonts w:hAnsi="宋体"/>
                <w:b/>
              </w:rPr>
              <w:t>A）</w:t>
            </w:r>
            <w:r>
              <w:rPr>
                <w:rFonts w:hint="eastAsia" w:hAnsi="宋体"/>
                <w:b/>
              </w:rPr>
              <w:t>]</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2"/>
              <w:gridCol w:w="894"/>
              <w:gridCol w:w="860"/>
              <w:gridCol w:w="785"/>
              <w:gridCol w:w="848"/>
              <w:gridCol w:w="845"/>
              <w:gridCol w:w="917"/>
              <w:gridCol w:w="902"/>
              <w:gridCol w:w="8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51" w:type="pct"/>
                  <w:vAlign w:val="center"/>
                </w:tcPr>
                <w:p>
                  <w:pPr>
                    <w:widowControl/>
                    <w:jc w:val="center"/>
                    <w:rPr>
                      <w:bCs/>
                      <w:snapToGrid w:val="0"/>
                      <w:kern w:val="28"/>
                      <w:sz w:val="21"/>
                      <w:szCs w:val="21"/>
                    </w:rPr>
                  </w:pPr>
                  <w:r>
                    <w:rPr>
                      <w:bCs/>
                      <w:snapToGrid w:val="0"/>
                      <w:kern w:val="28"/>
                      <w:sz w:val="21"/>
                      <w:szCs w:val="21"/>
                    </w:rPr>
                    <w:t>厂界</w:t>
                  </w:r>
                </w:p>
              </w:tc>
              <w:tc>
                <w:tcPr>
                  <w:tcW w:w="1034" w:type="pct"/>
                  <w:gridSpan w:val="2"/>
                  <w:vAlign w:val="center"/>
                </w:tcPr>
                <w:p>
                  <w:pPr>
                    <w:widowControl/>
                    <w:jc w:val="center"/>
                    <w:rPr>
                      <w:bCs/>
                      <w:snapToGrid w:val="0"/>
                      <w:kern w:val="28"/>
                      <w:sz w:val="21"/>
                      <w:szCs w:val="21"/>
                    </w:rPr>
                  </w:pPr>
                  <w:r>
                    <w:rPr>
                      <w:rFonts w:hint="eastAsia"/>
                      <w:bCs/>
                      <w:snapToGrid w:val="0"/>
                      <w:kern w:val="28"/>
                      <w:sz w:val="21"/>
                      <w:szCs w:val="21"/>
                    </w:rPr>
                    <w:t>东</w:t>
                  </w:r>
                </w:p>
              </w:tc>
              <w:tc>
                <w:tcPr>
                  <w:tcW w:w="963" w:type="pct"/>
                  <w:gridSpan w:val="2"/>
                  <w:vAlign w:val="center"/>
                </w:tcPr>
                <w:p>
                  <w:pPr>
                    <w:widowControl/>
                    <w:jc w:val="center"/>
                    <w:rPr>
                      <w:bCs/>
                      <w:snapToGrid w:val="0"/>
                      <w:kern w:val="28"/>
                      <w:sz w:val="21"/>
                      <w:szCs w:val="21"/>
                    </w:rPr>
                  </w:pPr>
                  <w:r>
                    <w:rPr>
                      <w:rFonts w:hint="eastAsia"/>
                      <w:bCs/>
                      <w:snapToGrid w:val="0"/>
                      <w:kern w:val="28"/>
                      <w:sz w:val="21"/>
                      <w:szCs w:val="21"/>
                    </w:rPr>
                    <w:t>南</w:t>
                  </w:r>
                </w:p>
              </w:tc>
              <w:tc>
                <w:tcPr>
                  <w:tcW w:w="1039" w:type="pct"/>
                  <w:gridSpan w:val="2"/>
                  <w:vAlign w:val="center"/>
                </w:tcPr>
                <w:p>
                  <w:pPr>
                    <w:widowControl/>
                    <w:jc w:val="center"/>
                    <w:rPr>
                      <w:bCs/>
                      <w:snapToGrid w:val="0"/>
                      <w:kern w:val="28"/>
                      <w:sz w:val="21"/>
                      <w:szCs w:val="21"/>
                    </w:rPr>
                  </w:pPr>
                  <w:r>
                    <w:rPr>
                      <w:rFonts w:hint="eastAsia"/>
                      <w:bCs/>
                      <w:snapToGrid w:val="0"/>
                      <w:kern w:val="28"/>
                      <w:sz w:val="21"/>
                      <w:szCs w:val="21"/>
                    </w:rPr>
                    <w:t>西</w:t>
                  </w:r>
                </w:p>
              </w:tc>
              <w:tc>
                <w:tcPr>
                  <w:tcW w:w="1014" w:type="pct"/>
                  <w:gridSpan w:val="2"/>
                  <w:vAlign w:val="center"/>
                </w:tcPr>
                <w:p>
                  <w:pPr>
                    <w:widowControl/>
                    <w:jc w:val="center"/>
                    <w:rPr>
                      <w:bCs/>
                      <w:snapToGrid w:val="0"/>
                      <w:kern w:val="28"/>
                      <w:sz w:val="21"/>
                      <w:szCs w:val="21"/>
                    </w:rPr>
                  </w:pPr>
                  <w:r>
                    <w:rPr>
                      <w:rFonts w:hint="eastAsia"/>
                      <w:bCs/>
                      <w:snapToGrid w:val="0"/>
                      <w:kern w:val="28"/>
                      <w:sz w:val="21"/>
                      <w:szCs w:val="21"/>
                    </w:rPr>
                    <w:t>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951" w:type="pct"/>
                  <w:vAlign w:val="center"/>
                </w:tcPr>
                <w:p>
                  <w:pPr>
                    <w:widowControl/>
                    <w:jc w:val="center"/>
                    <w:rPr>
                      <w:bCs/>
                      <w:snapToGrid w:val="0"/>
                      <w:kern w:val="28"/>
                      <w:sz w:val="21"/>
                      <w:szCs w:val="21"/>
                    </w:rPr>
                  </w:pPr>
                  <w:r>
                    <w:rPr>
                      <w:bCs/>
                      <w:snapToGrid w:val="0"/>
                      <w:kern w:val="28"/>
                      <w:sz w:val="21"/>
                      <w:szCs w:val="21"/>
                    </w:rPr>
                    <w:t>时间</w:t>
                  </w:r>
                </w:p>
              </w:tc>
              <w:tc>
                <w:tcPr>
                  <w:tcW w:w="527" w:type="pct"/>
                  <w:vAlign w:val="center"/>
                </w:tcPr>
                <w:p>
                  <w:pPr>
                    <w:widowControl/>
                    <w:jc w:val="center"/>
                    <w:rPr>
                      <w:bCs/>
                      <w:snapToGrid w:val="0"/>
                      <w:kern w:val="28"/>
                      <w:sz w:val="21"/>
                      <w:szCs w:val="21"/>
                    </w:rPr>
                  </w:pPr>
                  <w:r>
                    <w:rPr>
                      <w:bCs/>
                      <w:snapToGrid w:val="0"/>
                      <w:kern w:val="28"/>
                      <w:sz w:val="21"/>
                      <w:szCs w:val="21"/>
                    </w:rPr>
                    <w:t>昼间</w:t>
                  </w:r>
                </w:p>
              </w:tc>
              <w:tc>
                <w:tcPr>
                  <w:tcW w:w="507" w:type="pct"/>
                  <w:vAlign w:val="center"/>
                </w:tcPr>
                <w:p>
                  <w:pPr>
                    <w:widowControl/>
                    <w:jc w:val="center"/>
                    <w:rPr>
                      <w:bCs/>
                      <w:snapToGrid w:val="0"/>
                      <w:kern w:val="28"/>
                      <w:sz w:val="21"/>
                      <w:szCs w:val="21"/>
                    </w:rPr>
                  </w:pPr>
                  <w:r>
                    <w:rPr>
                      <w:bCs/>
                      <w:snapToGrid w:val="0"/>
                      <w:kern w:val="28"/>
                      <w:sz w:val="21"/>
                      <w:szCs w:val="21"/>
                    </w:rPr>
                    <w:t>夜间</w:t>
                  </w:r>
                </w:p>
              </w:tc>
              <w:tc>
                <w:tcPr>
                  <w:tcW w:w="463" w:type="pct"/>
                  <w:vAlign w:val="center"/>
                </w:tcPr>
                <w:p>
                  <w:pPr>
                    <w:widowControl/>
                    <w:jc w:val="center"/>
                    <w:rPr>
                      <w:bCs/>
                      <w:snapToGrid w:val="0"/>
                      <w:kern w:val="28"/>
                      <w:sz w:val="21"/>
                      <w:szCs w:val="21"/>
                    </w:rPr>
                  </w:pPr>
                  <w:r>
                    <w:rPr>
                      <w:bCs/>
                      <w:snapToGrid w:val="0"/>
                      <w:kern w:val="28"/>
                      <w:sz w:val="21"/>
                      <w:szCs w:val="21"/>
                    </w:rPr>
                    <w:t>昼间</w:t>
                  </w:r>
                </w:p>
              </w:tc>
              <w:tc>
                <w:tcPr>
                  <w:tcW w:w="500" w:type="pct"/>
                  <w:vAlign w:val="center"/>
                </w:tcPr>
                <w:p>
                  <w:pPr>
                    <w:widowControl/>
                    <w:jc w:val="center"/>
                    <w:rPr>
                      <w:bCs/>
                      <w:snapToGrid w:val="0"/>
                      <w:kern w:val="28"/>
                      <w:sz w:val="21"/>
                      <w:szCs w:val="21"/>
                    </w:rPr>
                  </w:pPr>
                  <w:r>
                    <w:rPr>
                      <w:bCs/>
                      <w:snapToGrid w:val="0"/>
                      <w:kern w:val="28"/>
                      <w:sz w:val="21"/>
                      <w:szCs w:val="21"/>
                    </w:rPr>
                    <w:t>夜间</w:t>
                  </w:r>
                </w:p>
              </w:tc>
              <w:tc>
                <w:tcPr>
                  <w:tcW w:w="498" w:type="pct"/>
                  <w:vAlign w:val="center"/>
                </w:tcPr>
                <w:p>
                  <w:pPr>
                    <w:widowControl/>
                    <w:jc w:val="center"/>
                    <w:rPr>
                      <w:bCs/>
                      <w:snapToGrid w:val="0"/>
                      <w:kern w:val="28"/>
                      <w:sz w:val="21"/>
                      <w:szCs w:val="21"/>
                    </w:rPr>
                  </w:pPr>
                  <w:r>
                    <w:rPr>
                      <w:bCs/>
                      <w:snapToGrid w:val="0"/>
                      <w:kern w:val="28"/>
                      <w:sz w:val="21"/>
                      <w:szCs w:val="21"/>
                    </w:rPr>
                    <w:t>昼间</w:t>
                  </w:r>
                </w:p>
              </w:tc>
              <w:tc>
                <w:tcPr>
                  <w:tcW w:w="541" w:type="pct"/>
                  <w:vAlign w:val="center"/>
                </w:tcPr>
                <w:p>
                  <w:pPr>
                    <w:widowControl/>
                    <w:jc w:val="center"/>
                    <w:rPr>
                      <w:bCs/>
                      <w:snapToGrid w:val="0"/>
                      <w:kern w:val="28"/>
                      <w:sz w:val="21"/>
                      <w:szCs w:val="21"/>
                    </w:rPr>
                  </w:pPr>
                  <w:r>
                    <w:rPr>
                      <w:bCs/>
                      <w:snapToGrid w:val="0"/>
                      <w:kern w:val="28"/>
                      <w:sz w:val="21"/>
                      <w:szCs w:val="21"/>
                    </w:rPr>
                    <w:t>夜间</w:t>
                  </w:r>
                </w:p>
              </w:tc>
              <w:tc>
                <w:tcPr>
                  <w:tcW w:w="532" w:type="pct"/>
                  <w:vAlign w:val="center"/>
                </w:tcPr>
                <w:p>
                  <w:pPr>
                    <w:widowControl/>
                    <w:jc w:val="center"/>
                    <w:rPr>
                      <w:bCs/>
                      <w:snapToGrid w:val="0"/>
                      <w:kern w:val="28"/>
                      <w:sz w:val="21"/>
                      <w:szCs w:val="21"/>
                    </w:rPr>
                  </w:pPr>
                  <w:r>
                    <w:rPr>
                      <w:bCs/>
                      <w:snapToGrid w:val="0"/>
                      <w:kern w:val="28"/>
                      <w:sz w:val="21"/>
                      <w:szCs w:val="21"/>
                    </w:rPr>
                    <w:t>昼间</w:t>
                  </w:r>
                </w:p>
              </w:tc>
              <w:tc>
                <w:tcPr>
                  <w:tcW w:w="481" w:type="pct"/>
                  <w:vAlign w:val="center"/>
                </w:tcPr>
                <w:p>
                  <w:pPr>
                    <w:widowControl/>
                    <w:jc w:val="center"/>
                    <w:rPr>
                      <w:bCs/>
                      <w:snapToGrid w:val="0"/>
                      <w:kern w:val="28"/>
                      <w:sz w:val="21"/>
                      <w:szCs w:val="21"/>
                    </w:rPr>
                  </w:pPr>
                  <w:r>
                    <w:rPr>
                      <w:bCs/>
                      <w:snapToGrid w:val="0"/>
                      <w:kern w:val="28"/>
                      <w:sz w:val="21"/>
                      <w:szCs w:val="21"/>
                    </w:rPr>
                    <w:t>夜间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51" w:type="pct"/>
                  <w:vAlign w:val="center"/>
                </w:tcPr>
                <w:p>
                  <w:pPr>
                    <w:widowControl/>
                    <w:jc w:val="center"/>
                    <w:rPr>
                      <w:bCs/>
                      <w:snapToGrid w:val="0"/>
                      <w:kern w:val="28"/>
                      <w:sz w:val="21"/>
                      <w:szCs w:val="21"/>
                    </w:rPr>
                  </w:pPr>
                  <w:r>
                    <w:rPr>
                      <w:rFonts w:hint="eastAsia"/>
                      <w:bCs/>
                      <w:snapToGrid w:val="0"/>
                      <w:kern w:val="28"/>
                      <w:sz w:val="21"/>
                      <w:szCs w:val="21"/>
                    </w:rPr>
                    <w:t>贡献值</w:t>
                  </w:r>
                </w:p>
              </w:tc>
              <w:tc>
                <w:tcPr>
                  <w:tcW w:w="527" w:type="pct"/>
                  <w:vAlign w:val="center"/>
                </w:tcPr>
                <w:p>
                  <w:pPr>
                    <w:widowControl/>
                    <w:jc w:val="center"/>
                    <w:rPr>
                      <w:bCs/>
                      <w:snapToGrid w:val="0"/>
                      <w:kern w:val="28"/>
                      <w:sz w:val="21"/>
                      <w:szCs w:val="21"/>
                    </w:rPr>
                  </w:pPr>
                  <w:r>
                    <w:rPr>
                      <w:rFonts w:hint="eastAsia"/>
                      <w:bCs/>
                      <w:snapToGrid w:val="0"/>
                      <w:kern w:val="28"/>
                      <w:sz w:val="21"/>
                      <w:szCs w:val="21"/>
                    </w:rPr>
                    <w:t>33</w:t>
                  </w:r>
                </w:p>
              </w:tc>
              <w:tc>
                <w:tcPr>
                  <w:tcW w:w="507" w:type="pct"/>
                  <w:vAlign w:val="center"/>
                </w:tcPr>
                <w:p>
                  <w:pPr>
                    <w:widowControl/>
                    <w:jc w:val="center"/>
                    <w:rPr>
                      <w:bCs/>
                      <w:snapToGrid w:val="0"/>
                      <w:kern w:val="28"/>
                      <w:sz w:val="21"/>
                      <w:szCs w:val="21"/>
                    </w:rPr>
                  </w:pPr>
                  <w:r>
                    <w:rPr>
                      <w:rFonts w:hint="eastAsia"/>
                      <w:bCs/>
                      <w:snapToGrid w:val="0"/>
                      <w:kern w:val="28"/>
                      <w:sz w:val="21"/>
                      <w:szCs w:val="21"/>
                    </w:rPr>
                    <w:t>33</w:t>
                  </w:r>
                </w:p>
              </w:tc>
              <w:tc>
                <w:tcPr>
                  <w:tcW w:w="463" w:type="pct"/>
                  <w:vAlign w:val="center"/>
                </w:tcPr>
                <w:p>
                  <w:pPr>
                    <w:widowControl/>
                    <w:jc w:val="center"/>
                    <w:rPr>
                      <w:bCs/>
                      <w:snapToGrid w:val="0"/>
                      <w:kern w:val="28"/>
                      <w:sz w:val="21"/>
                      <w:szCs w:val="21"/>
                    </w:rPr>
                  </w:pPr>
                  <w:r>
                    <w:rPr>
                      <w:rFonts w:hint="eastAsia"/>
                      <w:bCs/>
                      <w:snapToGrid w:val="0"/>
                      <w:kern w:val="28"/>
                      <w:sz w:val="21"/>
                      <w:szCs w:val="21"/>
                    </w:rPr>
                    <w:t>25</w:t>
                  </w:r>
                </w:p>
              </w:tc>
              <w:tc>
                <w:tcPr>
                  <w:tcW w:w="500" w:type="pct"/>
                  <w:vAlign w:val="center"/>
                </w:tcPr>
                <w:p>
                  <w:pPr>
                    <w:widowControl/>
                    <w:jc w:val="center"/>
                    <w:rPr>
                      <w:bCs/>
                      <w:snapToGrid w:val="0"/>
                      <w:kern w:val="28"/>
                      <w:sz w:val="21"/>
                      <w:szCs w:val="21"/>
                    </w:rPr>
                  </w:pPr>
                  <w:r>
                    <w:rPr>
                      <w:rFonts w:hint="eastAsia"/>
                      <w:bCs/>
                      <w:snapToGrid w:val="0"/>
                      <w:kern w:val="28"/>
                      <w:sz w:val="21"/>
                      <w:szCs w:val="21"/>
                    </w:rPr>
                    <w:t>25</w:t>
                  </w:r>
                </w:p>
              </w:tc>
              <w:tc>
                <w:tcPr>
                  <w:tcW w:w="498" w:type="pct"/>
                  <w:vAlign w:val="center"/>
                </w:tcPr>
                <w:p>
                  <w:pPr>
                    <w:widowControl/>
                    <w:jc w:val="center"/>
                    <w:rPr>
                      <w:bCs/>
                      <w:snapToGrid w:val="0"/>
                      <w:kern w:val="28"/>
                      <w:sz w:val="21"/>
                      <w:szCs w:val="21"/>
                    </w:rPr>
                  </w:pPr>
                  <w:r>
                    <w:rPr>
                      <w:rFonts w:hint="eastAsia"/>
                      <w:bCs/>
                      <w:snapToGrid w:val="0"/>
                      <w:kern w:val="28"/>
                      <w:sz w:val="21"/>
                      <w:szCs w:val="21"/>
                    </w:rPr>
                    <w:t>23</w:t>
                  </w:r>
                </w:p>
              </w:tc>
              <w:tc>
                <w:tcPr>
                  <w:tcW w:w="541" w:type="pct"/>
                  <w:vAlign w:val="center"/>
                </w:tcPr>
                <w:p>
                  <w:pPr>
                    <w:widowControl/>
                    <w:jc w:val="center"/>
                    <w:rPr>
                      <w:bCs/>
                      <w:snapToGrid w:val="0"/>
                      <w:kern w:val="28"/>
                      <w:sz w:val="21"/>
                      <w:szCs w:val="21"/>
                    </w:rPr>
                  </w:pPr>
                  <w:r>
                    <w:rPr>
                      <w:rFonts w:hint="eastAsia"/>
                      <w:bCs/>
                      <w:snapToGrid w:val="0"/>
                      <w:kern w:val="28"/>
                      <w:sz w:val="21"/>
                      <w:szCs w:val="21"/>
                    </w:rPr>
                    <w:t>23</w:t>
                  </w:r>
                </w:p>
              </w:tc>
              <w:tc>
                <w:tcPr>
                  <w:tcW w:w="532" w:type="pct"/>
                  <w:vAlign w:val="center"/>
                </w:tcPr>
                <w:p>
                  <w:pPr>
                    <w:widowControl/>
                    <w:jc w:val="center"/>
                    <w:rPr>
                      <w:bCs/>
                      <w:snapToGrid w:val="0"/>
                      <w:kern w:val="28"/>
                      <w:sz w:val="21"/>
                      <w:szCs w:val="21"/>
                    </w:rPr>
                  </w:pPr>
                  <w:r>
                    <w:rPr>
                      <w:rFonts w:hint="eastAsia"/>
                      <w:bCs/>
                      <w:snapToGrid w:val="0"/>
                      <w:kern w:val="28"/>
                      <w:sz w:val="21"/>
                      <w:szCs w:val="21"/>
                    </w:rPr>
                    <w:t>35</w:t>
                  </w:r>
                </w:p>
              </w:tc>
              <w:tc>
                <w:tcPr>
                  <w:tcW w:w="481" w:type="pct"/>
                  <w:vAlign w:val="center"/>
                </w:tcPr>
                <w:p>
                  <w:pPr>
                    <w:widowControl/>
                    <w:jc w:val="center"/>
                    <w:rPr>
                      <w:bCs/>
                      <w:snapToGrid w:val="0"/>
                      <w:kern w:val="28"/>
                      <w:sz w:val="21"/>
                      <w:szCs w:val="21"/>
                    </w:rPr>
                  </w:pPr>
                  <w:r>
                    <w:rPr>
                      <w:rFonts w:hint="eastAsia"/>
                      <w:bCs/>
                      <w:snapToGrid w:val="0"/>
                      <w:kern w:val="28"/>
                      <w:sz w:val="21"/>
                      <w:szCs w:val="21"/>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jc w:val="center"/>
              </w:trPr>
              <w:tc>
                <w:tcPr>
                  <w:tcW w:w="951" w:type="pct"/>
                  <w:vAlign w:val="center"/>
                </w:tcPr>
                <w:p>
                  <w:pPr>
                    <w:widowControl/>
                    <w:jc w:val="center"/>
                    <w:rPr>
                      <w:rFonts w:hint="eastAsia" w:hAnsi="宋体"/>
                      <w:bCs/>
                      <w:snapToGrid w:val="0"/>
                      <w:kern w:val="28"/>
                      <w:sz w:val="21"/>
                      <w:szCs w:val="21"/>
                    </w:rPr>
                  </w:pPr>
                  <w:r>
                    <w:rPr>
                      <w:rFonts w:hint="eastAsia" w:hAnsi="宋体"/>
                      <w:bCs/>
                      <w:snapToGrid w:val="0"/>
                      <w:kern w:val="28"/>
                      <w:sz w:val="21"/>
                      <w:szCs w:val="21"/>
                    </w:rPr>
                    <w:t>标准值</w:t>
                  </w:r>
                </w:p>
              </w:tc>
              <w:tc>
                <w:tcPr>
                  <w:tcW w:w="527" w:type="pct"/>
                  <w:vAlign w:val="center"/>
                </w:tcPr>
                <w:p>
                  <w:pPr>
                    <w:widowControl/>
                    <w:jc w:val="center"/>
                    <w:rPr>
                      <w:rFonts w:hint="eastAsia" w:hAnsi="宋体"/>
                      <w:bCs/>
                      <w:snapToGrid w:val="0"/>
                      <w:kern w:val="28"/>
                      <w:sz w:val="21"/>
                      <w:szCs w:val="21"/>
                    </w:rPr>
                  </w:pPr>
                  <w:r>
                    <w:rPr>
                      <w:rFonts w:hint="eastAsia" w:hAnsi="宋体"/>
                      <w:bCs/>
                      <w:snapToGrid w:val="0"/>
                      <w:kern w:val="28"/>
                      <w:sz w:val="21"/>
                      <w:szCs w:val="21"/>
                    </w:rPr>
                    <w:t>60</w:t>
                  </w:r>
                </w:p>
              </w:tc>
              <w:tc>
                <w:tcPr>
                  <w:tcW w:w="507" w:type="pct"/>
                  <w:vAlign w:val="center"/>
                </w:tcPr>
                <w:p>
                  <w:pPr>
                    <w:widowControl/>
                    <w:jc w:val="center"/>
                    <w:rPr>
                      <w:rFonts w:hint="eastAsia" w:hAnsi="宋体"/>
                      <w:bCs/>
                      <w:snapToGrid w:val="0"/>
                      <w:kern w:val="28"/>
                      <w:sz w:val="21"/>
                      <w:szCs w:val="21"/>
                    </w:rPr>
                  </w:pPr>
                  <w:r>
                    <w:rPr>
                      <w:rFonts w:hint="eastAsia" w:hAnsi="宋体"/>
                      <w:bCs/>
                      <w:snapToGrid w:val="0"/>
                      <w:kern w:val="28"/>
                      <w:sz w:val="21"/>
                      <w:szCs w:val="21"/>
                    </w:rPr>
                    <w:t>50</w:t>
                  </w:r>
                </w:p>
              </w:tc>
              <w:tc>
                <w:tcPr>
                  <w:tcW w:w="463" w:type="pct"/>
                  <w:vAlign w:val="center"/>
                </w:tcPr>
                <w:p>
                  <w:pPr>
                    <w:widowControl/>
                    <w:jc w:val="center"/>
                    <w:rPr>
                      <w:rFonts w:hint="eastAsia" w:hAnsi="宋体"/>
                      <w:bCs/>
                      <w:snapToGrid w:val="0"/>
                      <w:kern w:val="28"/>
                      <w:sz w:val="21"/>
                      <w:szCs w:val="21"/>
                    </w:rPr>
                  </w:pPr>
                  <w:r>
                    <w:rPr>
                      <w:rFonts w:hint="eastAsia" w:hAnsi="宋体"/>
                      <w:bCs/>
                      <w:snapToGrid w:val="0"/>
                      <w:kern w:val="28"/>
                      <w:sz w:val="21"/>
                      <w:szCs w:val="21"/>
                    </w:rPr>
                    <w:t>60</w:t>
                  </w:r>
                </w:p>
              </w:tc>
              <w:tc>
                <w:tcPr>
                  <w:tcW w:w="500" w:type="pct"/>
                  <w:vAlign w:val="center"/>
                </w:tcPr>
                <w:p>
                  <w:pPr>
                    <w:widowControl/>
                    <w:jc w:val="center"/>
                    <w:rPr>
                      <w:rFonts w:hint="eastAsia" w:hAnsi="宋体"/>
                      <w:bCs/>
                      <w:snapToGrid w:val="0"/>
                      <w:kern w:val="28"/>
                      <w:sz w:val="21"/>
                      <w:szCs w:val="21"/>
                    </w:rPr>
                  </w:pPr>
                  <w:r>
                    <w:rPr>
                      <w:rFonts w:hint="eastAsia" w:hAnsi="宋体"/>
                      <w:bCs/>
                      <w:snapToGrid w:val="0"/>
                      <w:kern w:val="28"/>
                      <w:sz w:val="21"/>
                      <w:szCs w:val="21"/>
                    </w:rPr>
                    <w:t>50</w:t>
                  </w:r>
                </w:p>
              </w:tc>
              <w:tc>
                <w:tcPr>
                  <w:tcW w:w="498" w:type="pct"/>
                  <w:vAlign w:val="center"/>
                </w:tcPr>
                <w:p>
                  <w:pPr>
                    <w:widowControl/>
                    <w:jc w:val="center"/>
                    <w:rPr>
                      <w:rFonts w:hint="eastAsia" w:hAnsi="宋体"/>
                      <w:bCs/>
                      <w:snapToGrid w:val="0"/>
                      <w:kern w:val="28"/>
                      <w:sz w:val="21"/>
                      <w:szCs w:val="21"/>
                    </w:rPr>
                  </w:pPr>
                  <w:r>
                    <w:rPr>
                      <w:rFonts w:hint="eastAsia" w:hAnsi="宋体"/>
                      <w:bCs/>
                      <w:snapToGrid w:val="0"/>
                      <w:kern w:val="28"/>
                      <w:sz w:val="21"/>
                      <w:szCs w:val="21"/>
                    </w:rPr>
                    <w:t>60</w:t>
                  </w:r>
                </w:p>
              </w:tc>
              <w:tc>
                <w:tcPr>
                  <w:tcW w:w="541" w:type="pct"/>
                  <w:vAlign w:val="center"/>
                </w:tcPr>
                <w:p>
                  <w:pPr>
                    <w:widowControl/>
                    <w:jc w:val="center"/>
                    <w:rPr>
                      <w:rFonts w:hint="eastAsia" w:hAnsi="宋体"/>
                      <w:bCs/>
                      <w:snapToGrid w:val="0"/>
                      <w:kern w:val="28"/>
                      <w:sz w:val="21"/>
                      <w:szCs w:val="21"/>
                    </w:rPr>
                  </w:pPr>
                  <w:r>
                    <w:rPr>
                      <w:rFonts w:hint="eastAsia" w:hAnsi="宋体"/>
                      <w:bCs/>
                      <w:snapToGrid w:val="0"/>
                      <w:kern w:val="28"/>
                      <w:sz w:val="21"/>
                      <w:szCs w:val="21"/>
                    </w:rPr>
                    <w:t>50</w:t>
                  </w:r>
                </w:p>
              </w:tc>
              <w:tc>
                <w:tcPr>
                  <w:tcW w:w="532" w:type="pct"/>
                  <w:vAlign w:val="center"/>
                </w:tcPr>
                <w:p>
                  <w:pPr>
                    <w:widowControl/>
                    <w:jc w:val="center"/>
                    <w:rPr>
                      <w:rFonts w:hint="eastAsia" w:hAnsi="宋体"/>
                      <w:bCs/>
                      <w:snapToGrid w:val="0"/>
                      <w:kern w:val="28"/>
                      <w:sz w:val="21"/>
                      <w:szCs w:val="21"/>
                    </w:rPr>
                  </w:pPr>
                  <w:r>
                    <w:rPr>
                      <w:rFonts w:hint="eastAsia" w:hAnsi="宋体"/>
                      <w:bCs/>
                      <w:snapToGrid w:val="0"/>
                      <w:kern w:val="28"/>
                      <w:sz w:val="21"/>
                      <w:szCs w:val="21"/>
                    </w:rPr>
                    <w:t>60</w:t>
                  </w:r>
                </w:p>
              </w:tc>
              <w:tc>
                <w:tcPr>
                  <w:tcW w:w="481" w:type="pct"/>
                  <w:vAlign w:val="center"/>
                </w:tcPr>
                <w:p>
                  <w:pPr>
                    <w:widowControl/>
                    <w:jc w:val="center"/>
                    <w:rPr>
                      <w:rFonts w:hint="eastAsia" w:hAnsi="宋体"/>
                      <w:bCs/>
                      <w:snapToGrid w:val="0"/>
                      <w:kern w:val="28"/>
                      <w:sz w:val="21"/>
                      <w:szCs w:val="21"/>
                    </w:rPr>
                  </w:pPr>
                  <w:r>
                    <w:rPr>
                      <w:rFonts w:hint="eastAsia" w:hAnsi="宋体"/>
                      <w:bCs/>
                      <w:snapToGrid w:val="0"/>
                      <w:kern w:val="28"/>
                      <w:sz w:val="21"/>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951" w:type="pct"/>
                  <w:vAlign w:val="center"/>
                </w:tcPr>
                <w:p>
                  <w:pPr>
                    <w:widowControl/>
                    <w:jc w:val="center"/>
                    <w:rPr>
                      <w:bCs/>
                      <w:snapToGrid w:val="0"/>
                      <w:kern w:val="28"/>
                      <w:sz w:val="21"/>
                      <w:szCs w:val="21"/>
                    </w:rPr>
                  </w:pPr>
                  <w:r>
                    <w:rPr>
                      <w:rFonts w:hAnsi="宋体"/>
                      <w:bCs/>
                      <w:snapToGrid w:val="0"/>
                      <w:kern w:val="28"/>
                      <w:sz w:val="21"/>
                      <w:szCs w:val="21"/>
                    </w:rPr>
                    <w:t>达标情况</w:t>
                  </w:r>
                </w:p>
              </w:tc>
              <w:tc>
                <w:tcPr>
                  <w:tcW w:w="527" w:type="pct"/>
                  <w:vAlign w:val="center"/>
                </w:tcPr>
                <w:p>
                  <w:pPr>
                    <w:widowControl/>
                    <w:jc w:val="center"/>
                    <w:rPr>
                      <w:bCs/>
                      <w:snapToGrid w:val="0"/>
                      <w:kern w:val="28"/>
                      <w:sz w:val="21"/>
                      <w:szCs w:val="21"/>
                    </w:rPr>
                  </w:pPr>
                  <w:r>
                    <w:rPr>
                      <w:rFonts w:hAnsi="宋体"/>
                      <w:bCs/>
                      <w:snapToGrid w:val="0"/>
                      <w:kern w:val="28"/>
                      <w:sz w:val="21"/>
                      <w:szCs w:val="21"/>
                    </w:rPr>
                    <w:t>达标</w:t>
                  </w:r>
                </w:p>
              </w:tc>
              <w:tc>
                <w:tcPr>
                  <w:tcW w:w="507" w:type="pct"/>
                  <w:vAlign w:val="center"/>
                </w:tcPr>
                <w:p>
                  <w:pPr>
                    <w:widowControl/>
                    <w:jc w:val="center"/>
                    <w:rPr>
                      <w:bCs/>
                      <w:snapToGrid w:val="0"/>
                      <w:kern w:val="28"/>
                      <w:sz w:val="21"/>
                      <w:szCs w:val="21"/>
                    </w:rPr>
                  </w:pPr>
                  <w:r>
                    <w:rPr>
                      <w:rFonts w:hAnsi="宋体"/>
                      <w:bCs/>
                      <w:snapToGrid w:val="0"/>
                      <w:kern w:val="28"/>
                      <w:sz w:val="21"/>
                      <w:szCs w:val="21"/>
                    </w:rPr>
                    <w:t>达标</w:t>
                  </w:r>
                </w:p>
              </w:tc>
              <w:tc>
                <w:tcPr>
                  <w:tcW w:w="463" w:type="pct"/>
                  <w:vAlign w:val="center"/>
                </w:tcPr>
                <w:p>
                  <w:pPr>
                    <w:widowControl/>
                    <w:jc w:val="center"/>
                    <w:rPr>
                      <w:bCs/>
                      <w:snapToGrid w:val="0"/>
                      <w:kern w:val="28"/>
                      <w:sz w:val="21"/>
                      <w:szCs w:val="21"/>
                    </w:rPr>
                  </w:pPr>
                  <w:r>
                    <w:rPr>
                      <w:rFonts w:hAnsi="宋体"/>
                      <w:bCs/>
                      <w:snapToGrid w:val="0"/>
                      <w:kern w:val="28"/>
                      <w:sz w:val="21"/>
                      <w:szCs w:val="21"/>
                    </w:rPr>
                    <w:t>达标</w:t>
                  </w:r>
                </w:p>
              </w:tc>
              <w:tc>
                <w:tcPr>
                  <w:tcW w:w="500" w:type="pct"/>
                  <w:vAlign w:val="center"/>
                </w:tcPr>
                <w:p>
                  <w:pPr>
                    <w:widowControl/>
                    <w:jc w:val="center"/>
                    <w:rPr>
                      <w:bCs/>
                      <w:snapToGrid w:val="0"/>
                      <w:kern w:val="28"/>
                      <w:sz w:val="21"/>
                      <w:szCs w:val="21"/>
                    </w:rPr>
                  </w:pPr>
                  <w:r>
                    <w:rPr>
                      <w:rFonts w:hAnsi="宋体"/>
                      <w:bCs/>
                      <w:snapToGrid w:val="0"/>
                      <w:kern w:val="28"/>
                      <w:sz w:val="21"/>
                      <w:szCs w:val="21"/>
                    </w:rPr>
                    <w:t>达标</w:t>
                  </w:r>
                </w:p>
              </w:tc>
              <w:tc>
                <w:tcPr>
                  <w:tcW w:w="498" w:type="pct"/>
                  <w:vAlign w:val="center"/>
                </w:tcPr>
                <w:p>
                  <w:pPr>
                    <w:widowControl/>
                    <w:jc w:val="center"/>
                    <w:rPr>
                      <w:bCs/>
                      <w:snapToGrid w:val="0"/>
                      <w:kern w:val="28"/>
                      <w:sz w:val="21"/>
                      <w:szCs w:val="21"/>
                    </w:rPr>
                  </w:pPr>
                  <w:r>
                    <w:rPr>
                      <w:rFonts w:hAnsi="宋体"/>
                      <w:bCs/>
                      <w:snapToGrid w:val="0"/>
                      <w:kern w:val="28"/>
                      <w:sz w:val="21"/>
                      <w:szCs w:val="21"/>
                    </w:rPr>
                    <w:t>达标</w:t>
                  </w:r>
                </w:p>
              </w:tc>
              <w:tc>
                <w:tcPr>
                  <w:tcW w:w="541" w:type="pct"/>
                  <w:vAlign w:val="center"/>
                </w:tcPr>
                <w:p>
                  <w:pPr>
                    <w:widowControl/>
                    <w:jc w:val="center"/>
                    <w:rPr>
                      <w:bCs/>
                      <w:snapToGrid w:val="0"/>
                      <w:kern w:val="28"/>
                      <w:sz w:val="21"/>
                      <w:szCs w:val="21"/>
                    </w:rPr>
                  </w:pPr>
                  <w:r>
                    <w:rPr>
                      <w:rFonts w:hAnsi="宋体"/>
                      <w:bCs/>
                      <w:snapToGrid w:val="0"/>
                      <w:kern w:val="28"/>
                      <w:sz w:val="21"/>
                      <w:szCs w:val="21"/>
                    </w:rPr>
                    <w:t>达标</w:t>
                  </w:r>
                </w:p>
              </w:tc>
              <w:tc>
                <w:tcPr>
                  <w:tcW w:w="532" w:type="pct"/>
                  <w:vAlign w:val="center"/>
                </w:tcPr>
                <w:p>
                  <w:pPr>
                    <w:widowControl/>
                    <w:jc w:val="center"/>
                    <w:rPr>
                      <w:bCs/>
                      <w:snapToGrid w:val="0"/>
                      <w:kern w:val="28"/>
                      <w:sz w:val="21"/>
                      <w:szCs w:val="21"/>
                    </w:rPr>
                  </w:pPr>
                  <w:r>
                    <w:rPr>
                      <w:rFonts w:hAnsi="宋体"/>
                      <w:bCs/>
                      <w:snapToGrid w:val="0"/>
                      <w:kern w:val="28"/>
                      <w:sz w:val="21"/>
                      <w:szCs w:val="21"/>
                    </w:rPr>
                    <w:t>达标</w:t>
                  </w:r>
                </w:p>
              </w:tc>
              <w:tc>
                <w:tcPr>
                  <w:tcW w:w="481" w:type="pct"/>
                  <w:vAlign w:val="center"/>
                </w:tcPr>
                <w:p>
                  <w:pPr>
                    <w:widowControl/>
                    <w:jc w:val="center"/>
                    <w:rPr>
                      <w:bCs/>
                      <w:snapToGrid w:val="0"/>
                      <w:kern w:val="28"/>
                      <w:sz w:val="21"/>
                      <w:szCs w:val="21"/>
                    </w:rPr>
                  </w:pPr>
                  <w:r>
                    <w:rPr>
                      <w:rFonts w:hAnsi="宋体"/>
                      <w:bCs/>
                      <w:snapToGrid w:val="0"/>
                      <w:kern w:val="28"/>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951" w:type="pct"/>
                  <w:vAlign w:val="center"/>
                </w:tcPr>
                <w:p>
                  <w:pPr>
                    <w:widowControl/>
                    <w:jc w:val="center"/>
                    <w:rPr>
                      <w:bCs/>
                      <w:snapToGrid w:val="0"/>
                      <w:kern w:val="28"/>
                      <w:sz w:val="21"/>
                      <w:szCs w:val="21"/>
                    </w:rPr>
                  </w:pPr>
                  <w:r>
                    <w:rPr>
                      <w:rFonts w:hAnsi="宋体"/>
                      <w:bCs/>
                      <w:snapToGrid w:val="0"/>
                      <w:kern w:val="28"/>
                      <w:sz w:val="21"/>
                      <w:szCs w:val="21"/>
                    </w:rPr>
                    <w:t>执行标准</w:t>
                  </w:r>
                </w:p>
              </w:tc>
              <w:tc>
                <w:tcPr>
                  <w:tcW w:w="4049" w:type="pct"/>
                  <w:gridSpan w:val="8"/>
                  <w:vAlign w:val="center"/>
                </w:tcPr>
                <w:p>
                  <w:pPr>
                    <w:widowControl/>
                    <w:jc w:val="center"/>
                    <w:rPr>
                      <w:bCs/>
                      <w:snapToGrid w:val="0"/>
                      <w:kern w:val="28"/>
                      <w:sz w:val="21"/>
                      <w:szCs w:val="21"/>
                    </w:rPr>
                  </w:pPr>
                  <w:r>
                    <w:rPr>
                      <w:rFonts w:hAnsi="宋体"/>
                      <w:bCs/>
                      <w:snapToGrid w:val="0"/>
                      <w:kern w:val="28"/>
                      <w:sz w:val="21"/>
                      <w:szCs w:val="21"/>
                    </w:rPr>
                    <w:t>《工业企业厂界环境噪声排放标准》(GB12348-2008)</w:t>
                  </w:r>
                  <w:r>
                    <w:rPr>
                      <w:rFonts w:hint="eastAsia" w:hAnsi="宋体"/>
                      <w:bCs/>
                      <w:snapToGrid w:val="0"/>
                      <w:kern w:val="28"/>
                      <w:sz w:val="21"/>
                      <w:szCs w:val="21"/>
                    </w:rPr>
                    <w:t>2</w:t>
                  </w:r>
                  <w:r>
                    <w:rPr>
                      <w:rFonts w:hAnsi="宋体"/>
                      <w:bCs/>
                      <w:snapToGrid w:val="0"/>
                      <w:kern w:val="28"/>
                      <w:sz w:val="21"/>
                      <w:szCs w:val="21"/>
                    </w:rPr>
                    <w:t>类</w:t>
                  </w:r>
                  <w:r>
                    <w:rPr>
                      <w:rFonts w:hint="eastAsia" w:hAnsi="宋体"/>
                      <w:bCs/>
                      <w:snapToGrid w:val="0"/>
                      <w:kern w:val="28"/>
                      <w:sz w:val="21"/>
                      <w:szCs w:val="21"/>
                    </w:rPr>
                    <w:t>区</w:t>
                  </w:r>
                  <w:r>
                    <w:rPr>
                      <w:rFonts w:hAnsi="宋体"/>
                      <w:bCs/>
                      <w:snapToGrid w:val="0"/>
                      <w:kern w:val="28"/>
                      <w:sz w:val="21"/>
                      <w:szCs w:val="21"/>
                    </w:rPr>
                    <w:t>标准</w:t>
                  </w:r>
                </w:p>
              </w:tc>
            </w:tr>
          </w:tbl>
          <w:p>
            <w:pPr>
              <w:tabs>
                <w:tab w:val="left" w:pos="0"/>
              </w:tabs>
              <w:spacing w:line="360" w:lineRule="auto"/>
              <w:ind w:firstLine="470" w:firstLineChars="196"/>
            </w:pPr>
          </w:p>
          <w:p>
            <w:pPr>
              <w:tabs>
                <w:tab w:val="left" w:pos="0"/>
              </w:tabs>
              <w:spacing w:line="360" w:lineRule="auto"/>
              <w:ind w:firstLine="470" w:firstLineChars="196"/>
            </w:pPr>
            <w:r>
              <w:t>由表</w:t>
            </w:r>
            <w:r>
              <w:rPr>
                <w:rFonts w:hint="eastAsia"/>
              </w:rPr>
              <w:t>4-9</w:t>
            </w:r>
            <w:r>
              <w:t>可见，</w:t>
            </w:r>
            <w:r>
              <w:rPr>
                <w:rFonts w:hint="eastAsia"/>
              </w:rPr>
              <w:t>项目各监测点昼间</w:t>
            </w:r>
            <w:r>
              <w:t>噪声</w:t>
            </w:r>
            <w:r>
              <w:rPr>
                <w:rFonts w:hint="eastAsia"/>
              </w:rPr>
              <w:t>值</w:t>
            </w:r>
            <w:r>
              <w:t>均未超过《工业企业厂界环境噪声排放标准》(GB12348-2008)</w:t>
            </w:r>
            <w:r>
              <w:rPr>
                <w:rFonts w:hint="eastAsia"/>
              </w:rPr>
              <w:t>2</w:t>
            </w:r>
            <w:r>
              <w:t>类标准的限值要求</w:t>
            </w:r>
            <w:r>
              <w:rPr>
                <w:rFonts w:hint="eastAsia"/>
              </w:rPr>
              <w:t>，对环境影响不大。</w:t>
            </w:r>
          </w:p>
          <w:p>
            <w:pPr>
              <w:tabs>
                <w:tab w:val="left" w:pos="0"/>
              </w:tabs>
              <w:spacing w:line="360" w:lineRule="auto"/>
              <w:ind w:firstLine="472" w:firstLineChars="196"/>
              <w:rPr>
                <w:b/>
              </w:rPr>
            </w:pPr>
            <w:r>
              <w:rPr>
                <w:rFonts w:hint="eastAsia"/>
                <w:b/>
              </w:rPr>
              <w:t>3）噪声防治措施</w:t>
            </w:r>
          </w:p>
          <w:p>
            <w:pPr>
              <w:spacing w:line="360" w:lineRule="auto"/>
              <w:ind w:firstLine="480" w:firstLineChars="200"/>
            </w:pPr>
            <w:r>
              <w:t>本项目实施后，主要从设备选型、阻隔传播途径</w:t>
            </w:r>
            <w:r>
              <w:rPr>
                <w:rFonts w:hint="eastAsia"/>
              </w:rPr>
              <w:t>两</w:t>
            </w:r>
            <w:r>
              <w:t>方面入手。</w:t>
            </w:r>
          </w:p>
          <w:p>
            <w:pPr>
              <w:spacing w:line="360" w:lineRule="auto"/>
              <w:ind w:firstLine="480" w:firstLineChars="200"/>
            </w:pPr>
            <w:r>
              <w:t>（1）在设备选型中选择可靠先进的低噪声设施。</w:t>
            </w:r>
          </w:p>
          <w:p>
            <w:pPr>
              <w:spacing w:line="360" w:lineRule="auto"/>
              <w:ind w:firstLine="480" w:firstLineChars="200"/>
            </w:pPr>
            <w:r>
              <w:t>（2）对于产生较大噪声的设备，如空气压缩机等噪声源，在进出口处安装消声器和设隔音操作间，以阻隔噪声的传播。</w:t>
            </w:r>
          </w:p>
          <w:p>
            <w:pPr>
              <w:spacing w:line="360" w:lineRule="auto"/>
              <w:ind w:firstLine="480" w:firstLineChars="200"/>
            </w:pPr>
            <w:r>
              <w:t>（3）振动转动设备安装时设置减振支座，包扎阻尼材料，并提高安装质量。</w:t>
            </w:r>
          </w:p>
          <w:p>
            <w:pPr>
              <w:spacing w:line="360" w:lineRule="auto"/>
              <w:ind w:firstLine="480" w:firstLineChars="200"/>
            </w:pPr>
            <w:r>
              <w:t>（4）</w:t>
            </w:r>
            <w:r>
              <w:rPr>
                <w:rFonts w:hint="eastAsia"/>
              </w:rPr>
              <w:t>高噪声设备均布置于封闭式厂房内，在减振等其他措施的基础上，进一步利用厂房进行隔声。</w:t>
            </w:r>
          </w:p>
          <w:p>
            <w:pPr>
              <w:spacing w:line="360" w:lineRule="auto"/>
              <w:ind w:firstLine="480" w:firstLineChars="200"/>
            </w:pPr>
            <w:r>
              <w:t>（5）在总图布置时应尽可能少地将噪声设备布设在厂界</w:t>
            </w:r>
            <w:r>
              <w:rPr>
                <w:rFonts w:hint="eastAsia"/>
              </w:rPr>
              <w:t>附近</w:t>
            </w:r>
            <w:r>
              <w:t>，以保证厂界噪声达标，确保工程不会对周围环境产生大的影响。</w:t>
            </w:r>
          </w:p>
          <w:p>
            <w:pPr>
              <w:spacing w:line="360" w:lineRule="auto"/>
              <w:ind w:firstLine="480" w:firstLineChars="200"/>
            </w:pPr>
            <w:r>
              <w:t>采取以上措施后，可保证厂界噪声不会超过《工业企业厂界环境噪声排放标准》（GB12348-2008）</w:t>
            </w:r>
            <w:r>
              <w:rPr>
                <w:rFonts w:hint="eastAsia"/>
              </w:rPr>
              <w:t>2</w:t>
            </w:r>
            <w:r>
              <w:t>类标准要求，同时可确保厂界噪声达标排放</w:t>
            </w:r>
            <w:r>
              <w:rPr>
                <w:rFonts w:hint="eastAsia"/>
              </w:rPr>
              <w:t>；同时，项目厂界外50m范围内无噪声敏感点，对周边环境影响不大</w:t>
            </w:r>
            <w:r>
              <w:t>。</w:t>
            </w:r>
          </w:p>
          <w:p>
            <w:pPr>
              <w:pStyle w:val="5"/>
              <w:ind w:firstLine="481" w:firstLineChars="200"/>
              <w:rPr>
                <w:color w:val="auto"/>
                <w:highlight w:val="yellow"/>
              </w:rPr>
            </w:pPr>
            <w:r>
              <w:rPr>
                <w:rFonts w:hint="eastAsia"/>
                <w:color w:val="auto"/>
              </w:rPr>
              <w:t>4、固体废物环境影响分析及防治措施</w:t>
            </w:r>
          </w:p>
          <w:p>
            <w:pPr>
              <w:spacing w:line="360" w:lineRule="auto"/>
              <w:ind w:firstLine="480" w:firstLineChars="200"/>
              <w:rPr>
                <w:rFonts w:hint="eastAsia" w:ascii="宋体" w:hAnsi="宋体"/>
              </w:rPr>
            </w:pPr>
            <w:r>
              <w:rPr>
                <w:rFonts w:hint="eastAsia" w:ascii="宋体" w:hAnsi="宋体"/>
              </w:rPr>
              <w:t>本项目运营期产生的固体废弃物主要是沉淀池泥沙、布袋除尘器收集的粉尘及员工生活垃圾。</w:t>
            </w:r>
          </w:p>
          <w:p>
            <w:pPr>
              <w:spacing w:line="360" w:lineRule="auto"/>
              <w:ind w:firstLine="480" w:firstLineChars="200"/>
              <w:rPr>
                <w:rFonts w:hint="eastAsia" w:ascii="宋体" w:hAnsi="宋体"/>
              </w:rPr>
            </w:pPr>
            <w:r>
              <w:rPr>
                <w:rFonts w:hint="eastAsia" w:ascii="宋体" w:hAnsi="宋体"/>
              </w:rPr>
              <w:t>（1）沉淀池泥沙</w:t>
            </w:r>
          </w:p>
          <w:p>
            <w:pPr>
              <w:snapToGrid w:val="0"/>
              <w:spacing w:line="360" w:lineRule="auto"/>
              <w:ind w:firstLine="480" w:firstLineChars="200"/>
              <w:rPr>
                <w:rFonts w:hint="eastAsia" w:hAnsi="宋体" w:cs="宋体"/>
                <w:kern w:val="0"/>
              </w:rPr>
            </w:pPr>
            <w:r>
              <w:rPr>
                <w:rFonts w:hint="eastAsia" w:hAnsi="宋体" w:cs="宋体"/>
                <w:kern w:val="0"/>
              </w:rPr>
              <w:t>沉淀池主要用于处理设备清洗废水，底部会沉淀一部分泥沙，产生量约5t/a，定期清理，清理后回用于混凝土生产用作原料，不外排。</w:t>
            </w:r>
          </w:p>
          <w:p>
            <w:pPr>
              <w:snapToGrid w:val="0"/>
              <w:spacing w:line="360" w:lineRule="auto"/>
              <w:ind w:firstLine="480" w:firstLineChars="200"/>
              <w:rPr>
                <w:rFonts w:hint="eastAsia" w:hAnsi="宋体" w:cs="宋体"/>
                <w:kern w:val="0"/>
              </w:rPr>
            </w:pPr>
            <w:r>
              <w:rPr>
                <w:rFonts w:hint="eastAsia" w:hAnsi="宋体" w:cs="宋体"/>
                <w:kern w:val="0"/>
              </w:rPr>
              <w:t>由于沉淀池废水循环使用，且水量远大于泥沙量，泥沙在沉淀池内不会凝结，产生的泥沙量约占原料总用量的0.000004%，占比非常少；根据设计，沉淀泥沙收集后返回至原料使用不会影响产品质量。</w:t>
            </w:r>
          </w:p>
          <w:p>
            <w:pPr>
              <w:pStyle w:val="75"/>
              <w:spacing w:line="360" w:lineRule="auto"/>
              <w:rPr>
                <w:sz w:val="24"/>
                <w:szCs w:val="24"/>
              </w:rPr>
            </w:pPr>
            <w:r>
              <w:rPr>
                <w:rFonts w:hint="eastAsia" w:ascii="宋体" w:hAnsi="宋体"/>
                <w:sz w:val="24"/>
                <w:szCs w:val="24"/>
              </w:rPr>
              <w:t>（2）除尘灰</w:t>
            </w:r>
          </w:p>
          <w:p>
            <w:pPr>
              <w:pStyle w:val="75"/>
              <w:spacing w:line="360" w:lineRule="auto"/>
              <w:rPr>
                <w:rFonts w:hint="eastAsia" w:hAnsi="宋体"/>
                <w:kern w:val="0"/>
                <w:sz w:val="24"/>
              </w:rPr>
            </w:pPr>
            <w:r>
              <w:rPr>
                <w:rFonts w:hint="eastAsia" w:hAnsi="宋体"/>
                <w:sz w:val="24"/>
              </w:rPr>
              <w:t>工艺过程布袋</w:t>
            </w:r>
            <w:r>
              <w:rPr>
                <w:rFonts w:hint="eastAsia" w:ascii="宋体" w:hAnsi="宋体"/>
                <w:sz w:val="24"/>
                <w:szCs w:val="24"/>
              </w:rPr>
              <w:t>除尘器收集的粉尘量为191.038t/a，定期清理，清理至灰斗，然后</w:t>
            </w:r>
            <w:r>
              <w:rPr>
                <w:rFonts w:hint="eastAsia" w:hAnsi="宋体"/>
                <w:kern w:val="0"/>
                <w:sz w:val="24"/>
              </w:rPr>
              <w:t>回用于混凝土生产用作原料，不外排。</w:t>
            </w:r>
          </w:p>
          <w:p>
            <w:pPr>
              <w:pStyle w:val="75"/>
              <w:spacing w:line="360" w:lineRule="auto"/>
              <w:rPr>
                <w:rFonts w:hint="eastAsia" w:ascii="宋体" w:hAnsi="宋体"/>
                <w:sz w:val="24"/>
                <w:szCs w:val="24"/>
              </w:rPr>
            </w:pPr>
            <w:r>
              <w:rPr>
                <w:rFonts w:ascii="宋体" w:hAnsi="宋体"/>
                <w:sz w:val="24"/>
                <w:szCs w:val="24"/>
              </w:rPr>
              <w:t>（</w:t>
            </w:r>
            <w:r>
              <w:rPr>
                <w:rFonts w:hint="eastAsia" w:ascii="宋体" w:hAnsi="宋体"/>
                <w:sz w:val="24"/>
                <w:szCs w:val="24"/>
              </w:rPr>
              <w:t>3</w:t>
            </w:r>
            <w:r>
              <w:rPr>
                <w:rFonts w:ascii="宋体" w:hAnsi="宋体"/>
                <w:sz w:val="24"/>
                <w:szCs w:val="24"/>
              </w:rPr>
              <w:t>）废旧布袋</w:t>
            </w:r>
          </w:p>
          <w:p>
            <w:pPr>
              <w:pStyle w:val="75"/>
              <w:spacing w:line="360" w:lineRule="auto"/>
              <w:rPr>
                <w:rFonts w:hint="eastAsia" w:ascii="宋体" w:hAnsi="宋体"/>
                <w:sz w:val="24"/>
                <w:szCs w:val="24"/>
              </w:rPr>
            </w:pPr>
            <w:r>
              <w:rPr>
                <w:rFonts w:ascii="宋体" w:hAnsi="宋体"/>
                <w:sz w:val="24"/>
                <w:szCs w:val="24"/>
              </w:rPr>
              <w:t>根据设计，每</w:t>
            </w:r>
            <w:r>
              <w:rPr>
                <w:rFonts w:hint="eastAsia" w:ascii="宋体" w:hAnsi="宋体"/>
                <w:sz w:val="24"/>
                <w:szCs w:val="24"/>
              </w:rPr>
              <w:t>4年更换1次除尘器</w:t>
            </w:r>
            <w:r>
              <w:rPr>
                <w:rFonts w:ascii="宋体" w:hAnsi="宋体"/>
                <w:sz w:val="24"/>
                <w:szCs w:val="24"/>
              </w:rPr>
              <w:t>布袋，本项目共用</w:t>
            </w:r>
            <w:r>
              <w:rPr>
                <w:rFonts w:hint="eastAsia" w:ascii="宋体" w:hAnsi="宋体"/>
                <w:sz w:val="24"/>
                <w:szCs w:val="24"/>
              </w:rPr>
              <w:t>6套除尘器</w:t>
            </w:r>
            <w:r>
              <w:rPr>
                <w:rFonts w:ascii="宋体" w:hAnsi="宋体"/>
                <w:sz w:val="24"/>
                <w:szCs w:val="24"/>
              </w:rPr>
              <w:t>布袋，</w:t>
            </w:r>
            <w:r>
              <w:rPr>
                <w:rFonts w:hint="eastAsia" w:ascii="宋体" w:hAnsi="宋体"/>
                <w:sz w:val="24"/>
                <w:szCs w:val="24"/>
              </w:rPr>
              <w:t>每套布袋重约20kg，则本次除尘器布袋产生量为0.12t/4a，产生的废旧除尘器布袋集中收集，收集后由厂家回收利用，不外排。</w:t>
            </w:r>
          </w:p>
          <w:p>
            <w:pPr>
              <w:spacing w:line="360" w:lineRule="auto"/>
              <w:ind w:firstLine="510"/>
            </w:pPr>
            <w:r>
              <w:rPr>
                <w:rFonts w:hint="eastAsia"/>
              </w:rPr>
              <w:t>（4）</w:t>
            </w:r>
            <w:r>
              <w:t>生活垃圾</w:t>
            </w:r>
          </w:p>
          <w:p>
            <w:pPr>
              <w:tabs>
                <w:tab w:val="left" w:pos="0"/>
              </w:tabs>
              <w:spacing w:line="360" w:lineRule="auto"/>
              <w:ind w:firstLine="470" w:firstLineChars="196"/>
            </w:pPr>
            <w:r>
              <w:rPr>
                <w:rFonts w:hint="eastAsia"/>
              </w:rPr>
              <w:t>项目劳动定员15人，生活垃圾产生量按0.5kg/人.d，年工作240天，则本项目运营期生活垃圾产生量为1.8t/a，生活垃圾经垃圾收集装置集中收集后，</w:t>
            </w:r>
            <w:r>
              <w:rPr>
                <w:rFonts w:hint="eastAsia" w:hAnsi="宋体" w:cs="宋体"/>
              </w:rPr>
              <w:t>定期交由环卫部门清理处置</w:t>
            </w:r>
            <w:r>
              <w:rPr>
                <w:rFonts w:hint="eastAsia"/>
              </w:rPr>
              <w:t>。</w:t>
            </w:r>
          </w:p>
          <w:p>
            <w:pPr>
              <w:spacing w:line="360" w:lineRule="auto"/>
              <w:ind w:firstLine="510"/>
              <w:rPr>
                <w:kern w:val="24"/>
              </w:rPr>
            </w:pPr>
            <w:r>
              <w:rPr>
                <w:rFonts w:hint="eastAsia"/>
                <w:kern w:val="24"/>
              </w:rPr>
              <w:t>项目固体废物产生及处理情况见表4-10。</w:t>
            </w:r>
          </w:p>
          <w:p>
            <w:pPr>
              <w:jc w:val="center"/>
              <w:rPr>
                <w:b/>
                <w:bCs/>
              </w:rPr>
            </w:pPr>
            <w:r>
              <w:rPr>
                <w:rFonts w:ascii="宋体" w:hAnsi="宋体"/>
                <w:b/>
                <w:bCs/>
              </w:rPr>
              <w:t>表</w:t>
            </w:r>
            <w:r>
              <w:rPr>
                <w:rFonts w:hint="eastAsia"/>
                <w:b/>
                <w:bCs/>
              </w:rPr>
              <w:t xml:space="preserve">4-10 </w:t>
            </w:r>
            <w:r>
              <w:rPr>
                <w:b/>
                <w:bCs/>
              </w:rPr>
              <w:t xml:space="preserve">  </w:t>
            </w:r>
            <w:r>
              <w:rPr>
                <w:rFonts w:ascii="宋体" w:hAnsi="宋体"/>
                <w:b/>
                <w:bCs/>
              </w:rPr>
              <w:t>固体废物产生量一览表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3"/>
              <w:gridCol w:w="1194"/>
              <w:gridCol w:w="1194"/>
              <w:gridCol w:w="1045"/>
              <w:gridCol w:w="37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9" w:type="pct"/>
                  <w:vAlign w:val="center"/>
                </w:tcPr>
                <w:p>
                  <w:pPr>
                    <w:jc w:val="center"/>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产生</w:t>
                  </w:r>
                  <w:r>
                    <w:rPr>
                      <w:rFonts w:asciiTheme="minorEastAsia" w:hAnsiTheme="minorEastAsia" w:eastAsiaTheme="minorEastAsia"/>
                      <w:b/>
                      <w:sz w:val="21"/>
                      <w:szCs w:val="21"/>
                    </w:rPr>
                    <w:t>环节</w:t>
                  </w:r>
                </w:p>
              </w:tc>
              <w:tc>
                <w:tcPr>
                  <w:tcW w:w="704" w:type="pct"/>
                  <w:vAlign w:val="center"/>
                </w:tcPr>
                <w:p>
                  <w:pPr>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污染物</w:t>
                  </w:r>
                  <w:r>
                    <w:rPr>
                      <w:rFonts w:hint="eastAsia" w:asciiTheme="minorEastAsia" w:hAnsiTheme="minorEastAsia" w:eastAsiaTheme="minorEastAsia"/>
                      <w:b/>
                      <w:sz w:val="21"/>
                      <w:szCs w:val="21"/>
                    </w:rPr>
                    <w:t>及编号</w:t>
                  </w:r>
                </w:p>
              </w:tc>
              <w:tc>
                <w:tcPr>
                  <w:tcW w:w="704" w:type="pct"/>
                  <w:vAlign w:val="center"/>
                </w:tcPr>
                <w:p>
                  <w:pPr>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固废属性</w:t>
                  </w:r>
                </w:p>
              </w:tc>
              <w:tc>
                <w:tcPr>
                  <w:tcW w:w="616" w:type="pct"/>
                  <w:vAlign w:val="center"/>
                </w:tcPr>
                <w:p>
                  <w:pPr>
                    <w:jc w:val="center"/>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产生</w:t>
                  </w:r>
                  <w:r>
                    <w:rPr>
                      <w:rFonts w:asciiTheme="minorEastAsia" w:hAnsiTheme="minorEastAsia" w:eastAsiaTheme="minorEastAsia"/>
                      <w:b/>
                      <w:sz w:val="21"/>
                      <w:szCs w:val="21"/>
                    </w:rPr>
                    <w:t>量（t/a）</w:t>
                  </w:r>
                </w:p>
              </w:tc>
              <w:tc>
                <w:tcPr>
                  <w:tcW w:w="2207" w:type="pct"/>
                  <w:vAlign w:val="center"/>
                </w:tcPr>
                <w:p>
                  <w:pPr>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贮存措施及去向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9"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沉淀池</w:t>
                  </w:r>
                </w:p>
              </w:tc>
              <w:tc>
                <w:tcPr>
                  <w:tcW w:w="704"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沉淀泥沙</w:t>
                  </w:r>
                </w:p>
              </w:tc>
              <w:tc>
                <w:tcPr>
                  <w:tcW w:w="704"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一般固废</w:t>
                  </w:r>
                </w:p>
              </w:tc>
              <w:tc>
                <w:tcPr>
                  <w:tcW w:w="616"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5</w:t>
                  </w:r>
                </w:p>
              </w:tc>
              <w:tc>
                <w:tcPr>
                  <w:tcW w:w="2207"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定期清理，清理后回用于混凝土生产用作原料，不外排。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769"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布袋除尘器</w:t>
                  </w:r>
                </w:p>
              </w:tc>
              <w:tc>
                <w:tcPr>
                  <w:tcW w:w="704"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除尘灰</w:t>
                  </w:r>
                </w:p>
              </w:tc>
              <w:tc>
                <w:tcPr>
                  <w:tcW w:w="704"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一般固废</w:t>
                  </w:r>
                </w:p>
              </w:tc>
              <w:tc>
                <w:tcPr>
                  <w:tcW w:w="616"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191.038</w:t>
                  </w:r>
                </w:p>
              </w:tc>
              <w:tc>
                <w:tcPr>
                  <w:tcW w:w="2207"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定期清理，清理至灰斗，然后回用于混凝土生产用作原料，不外排。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769"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废旧布袋</w:t>
                  </w:r>
                </w:p>
              </w:tc>
              <w:tc>
                <w:tcPr>
                  <w:tcW w:w="704"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废旧布袋</w:t>
                  </w:r>
                </w:p>
              </w:tc>
              <w:tc>
                <w:tcPr>
                  <w:tcW w:w="704"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一般固废</w:t>
                  </w:r>
                </w:p>
              </w:tc>
              <w:tc>
                <w:tcPr>
                  <w:tcW w:w="616"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0.12t/4a</w:t>
                  </w:r>
                </w:p>
              </w:tc>
              <w:tc>
                <w:tcPr>
                  <w:tcW w:w="2207"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集中收集，收集后由厂家回收利用，不外排。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769"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办公生活</w:t>
                  </w:r>
                </w:p>
              </w:tc>
              <w:tc>
                <w:tcPr>
                  <w:tcW w:w="704" w:type="pct"/>
                  <w:vAlign w:val="center"/>
                </w:tcPr>
                <w:p>
                  <w:pPr>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生活垃圾</w:t>
                  </w:r>
                </w:p>
              </w:tc>
              <w:tc>
                <w:tcPr>
                  <w:tcW w:w="704"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生活垃圾</w:t>
                  </w:r>
                </w:p>
              </w:tc>
              <w:tc>
                <w:tcPr>
                  <w:tcW w:w="616" w:type="pct"/>
                  <w:vAlign w:val="center"/>
                </w:tcPr>
                <w:p>
                  <w:pPr>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1.8</w:t>
                  </w:r>
                </w:p>
              </w:tc>
              <w:tc>
                <w:tcPr>
                  <w:tcW w:w="2207" w:type="pct"/>
                  <w:vAlign w:val="center"/>
                </w:tcPr>
                <w:p>
                  <w:pPr>
                    <w:widowControl/>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职工生活垃圾集中收集至封闭式垃圾箱中，定期交由环卫部门统一处理。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5000" w:type="pct"/>
                  <w:gridSpan w:val="5"/>
                  <w:vAlign w:val="center"/>
                </w:tcPr>
                <w:p>
                  <w:pPr>
                    <w:widowControl/>
                    <w:jc w:val="center"/>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环境管理要求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5000" w:type="pct"/>
                  <w:gridSpan w:val="5"/>
                  <w:vAlign w:val="center"/>
                </w:tcPr>
                <w:p>
                  <w:pPr>
                    <w:widowControl/>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建立固体废物处理处置台账记录</w:t>
                  </w:r>
                </w:p>
              </w:tc>
            </w:tr>
          </w:tbl>
          <w:p>
            <w:pPr>
              <w:spacing w:line="360" w:lineRule="auto"/>
              <w:ind w:firstLine="470" w:firstLineChars="196"/>
              <w:rPr>
                <w:rFonts w:hint="eastAsia" w:ascii="宋体" w:hAnsi="宋体" w:cs="宋体"/>
              </w:rPr>
            </w:pPr>
            <w:r>
              <w:rPr>
                <w:rFonts w:ascii="宋体" w:hAnsi="宋体" w:cs="宋体"/>
              </w:rPr>
              <w:t xml:space="preserve"> </w:t>
            </w:r>
            <w:r>
              <w:rPr>
                <w:rFonts w:hint="eastAsia" w:ascii="宋体" w:hAnsi="宋体" w:cs="宋体"/>
              </w:rPr>
              <w:t>综上，本项目产生的固体废物均得到合理处理及资源化利用，不会对周围环境造成影响。</w:t>
            </w:r>
          </w:p>
          <w:p>
            <w:pPr>
              <w:tabs>
                <w:tab w:val="left" w:pos="0"/>
              </w:tabs>
              <w:spacing w:line="360" w:lineRule="auto"/>
              <w:ind w:firstLine="472" w:firstLineChars="196"/>
              <w:rPr>
                <w:b/>
              </w:rPr>
            </w:pPr>
            <w:r>
              <w:rPr>
                <w:rFonts w:hint="eastAsia"/>
                <w:b/>
              </w:rPr>
              <w:t>5、地下水、土壤风险防控措施</w:t>
            </w:r>
          </w:p>
          <w:p>
            <w:pPr>
              <w:spacing w:line="360" w:lineRule="auto"/>
              <w:ind w:firstLine="470" w:firstLineChars="196"/>
              <w:rPr>
                <w:bCs/>
              </w:rPr>
            </w:pPr>
            <w:r>
              <w:rPr>
                <w:rFonts w:hint="eastAsia" w:ascii="宋体" w:hAnsi="宋体" w:cs="宋体"/>
              </w:rPr>
              <w:t>项目为混凝土生产项目</w:t>
            </w:r>
            <w:r>
              <w:rPr>
                <w:rFonts w:hint="eastAsia"/>
                <w:kern w:val="0"/>
              </w:rPr>
              <w:t>，为确保项目不会对地下水、土壤环境产生影响，项目主要通过对化粪池、沉淀池采取防渗措施，从而避免对地下水、土壤环境造成影响。</w:t>
            </w:r>
          </w:p>
          <w:p>
            <w:pPr>
              <w:pStyle w:val="56"/>
              <w:ind w:firstLine="470" w:firstLineChars="196"/>
              <w:rPr>
                <w:sz w:val="24"/>
                <w:szCs w:val="24"/>
              </w:rPr>
            </w:pPr>
            <w:r>
              <w:rPr>
                <w:rFonts w:hint="eastAsia"/>
                <w:sz w:val="24"/>
                <w:szCs w:val="24"/>
              </w:rPr>
              <w:t>化粪池、沉淀池采取防渗措施，</w:t>
            </w:r>
            <w:r>
              <w:rPr>
                <w:sz w:val="24"/>
                <w:szCs w:val="24"/>
              </w:rPr>
              <w:t>防渗技术要求为：等效黏土防渗层Mb≥1.5m，K≤1×10</w:t>
            </w:r>
            <w:r>
              <w:rPr>
                <w:sz w:val="24"/>
                <w:szCs w:val="24"/>
                <w:vertAlign w:val="superscript"/>
              </w:rPr>
              <w:t>-7</w:t>
            </w:r>
            <w:r>
              <w:rPr>
                <w:sz w:val="24"/>
                <w:szCs w:val="24"/>
              </w:rPr>
              <w:t>cm/s。</w:t>
            </w:r>
            <w:r>
              <w:rPr>
                <w:rFonts w:hint="eastAsia"/>
                <w:sz w:val="24"/>
                <w:szCs w:val="24"/>
              </w:rPr>
              <w:t>分区防渗情况见表4-11。</w:t>
            </w:r>
          </w:p>
          <w:p>
            <w:pPr>
              <w:pStyle w:val="56"/>
              <w:ind w:firstLine="470" w:firstLineChars="196"/>
              <w:rPr>
                <w:sz w:val="24"/>
                <w:szCs w:val="24"/>
              </w:rPr>
            </w:pPr>
            <w:r>
              <w:rPr>
                <w:rFonts w:hint="eastAsia"/>
                <w:sz w:val="24"/>
                <w:szCs w:val="24"/>
              </w:rPr>
              <w:t>通过采取上述措施，项目不会对地下水、土壤环境造成影响。</w:t>
            </w:r>
          </w:p>
          <w:p>
            <w:pPr>
              <w:jc w:val="center"/>
              <w:rPr>
                <w:rFonts w:hint="eastAsia" w:ascii="宋体" w:hAnsi="宋体"/>
                <w:b/>
                <w:bCs/>
              </w:rPr>
            </w:pPr>
            <w:r>
              <w:rPr>
                <w:rFonts w:ascii="宋体" w:hAnsi="宋体"/>
                <w:b/>
                <w:bCs/>
              </w:rPr>
              <w:t>表</w:t>
            </w:r>
            <w:r>
              <w:rPr>
                <w:rFonts w:hint="eastAsia"/>
                <w:b/>
                <w:bCs/>
              </w:rPr>
              <w:t>4-11</w:t>
            </w:r>
            <w:r>
              <w:rPr>
                <w:b/>
                <w:bCs/>
              </w:rPr>
              <w:t xml:space="preserve"> </w:t>
            </w:r>
            <w:r>
              <w:rPr>
                <w:rFonts w:hint="eastAsia"/>
                <w:b/>
                <w:bCs/>
              </w:rPr>
              <w:t xml:space="preserve">  </w:t>
            </w:r>
            <w:r>
              <w:rPr>
                <w:b/>
                <w:bCs/>
              </w:rPr>
              <w:t xml:space="preserve"> </w:t>
            </w:r>
            <w:r>
              <w:rPr>
                <w:rFonts w:ascii="宋体" w:hAnsi="宋体"/>
                <w:b/>
                <w:bCs/>
              </w:rPr>
              <w:t>项目</w:t>
            </w:r>
            <w:r>
              <w:rPr>
                <w:rFonts w:hint="eastAsia" w:ascii="宋体" w:hAnsi="宋体"/>
                <w:b/>
                <w:bCs/>
              </w:rPr>
              <w:t>区分区</w:t>
            </w:r>
            <w:r>
              <w:rPr>
                <w:rFonts w:ascii="宋体" w:hAnsi="宋体"/>
                <w:b/>
                <w:bCs/>
              </w:rPr>
              <w:t>防渗等级一览表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5"/>
              <w:gridCol w:w="1998"/>
              <w:gridCol w:w="2701"/>
              <w:gridCol w:w="2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587" w:type="pct"/>
                  <w:tcBorders>
                    <w:top w:val="single" w:color="auto" w:sz="4" w:space="0"/>
                    <w:left w:val="single" w:color="auto" w:sz="4" w:space="0"/>
                    <w:bottom w:val="single" w:color="auto" w:sz="4" w:space="0"/>
                    <w:right w:val="single" w:color="auto" w:sz="4" w:space="0"/>
                  </w:tcBorders>
                  <w:vAlign w:val="center"/>
                </w:tcPr>
                <w:p>
                  <w:pPr>
                    <w:jc w:val="center"/>
                    <w:rPr>
                      <w:rFonts w:ascii="Arial" w:hAnsi="Arial" w:cs="Arial"/>
                      <w:bCs/>
                      <w:sz w:val="21"/>
                      <w:szCs w:val="21"/>
                    </w:rPr>
                  </w:pPr>
                  <w:r>
                    <w:rPr>
                      <w:rFonts w:ascii="宋体" w:hAnsi="宋体" w:cs="Arial"/>
                      <w:bCs/>
                      <w:sz w:val="21"/>
                      <w:szCs w:val="21"/>
                    </w:rPr>
                    <w:t>分区</w:t>
                  </w:r>
                </w:p>
              </w:tc>
              <w:tc>
                <w:tcPr>
                  <w:tcW w:w="1178" w:type="pct"/>
                  <w:tcBorders>
                    <w:top w:val="single" w:color="auto" w:sz="4" w:space="0"/>
                    <w:left w:val="single" w:color="auto" w:sz="4" w:space="0"/>
                    <w:bottom w:val="single" w:color="auto" w:sz="4" w:space="0"/>
                    <w:right w:val="single" w:color="auto" w:sz="4" w:space="0"/>
                  </w:tcBorders>
                  <w:vAlign w:val="center"/>
                </w:tcPr>
                <w:p>
                  <w:pPr>
                    <w:jc w:val="center"/>
                    <w:rPr>
                      <w:rFonts w:ascii="Arial" w:hAnsi="Arial" w:cs="Arial"/>
                      <w:bCs/>
                      <w:sz w:val="21"/>
                      <w:szCs w:val="21"/>
                    </w:rPr>
                  </w:pPr>
                  <w:r>
                    <w:rPr>
                      <w:rFonts w:ascii="宋体" w:hAnsi="宋体" w:cs="Arial"/>
                      <w:bCs/>
                      <w:sz w:val="21"/>
                      <w:szCs w:val="21"/>
                    </w:rPr>
                    <w:t>项目区防渗区域</w:t>
                  </w:r>
                </w:p>
              </w:tc>
              <w:tc>
                <w:tcPr>
                  <w:tcW w:w="1593" w:type="pct"/>
                  <w:tcBorders>
                    <w:top w:val="single" w:color="auto" w:sz="4" w:space="0"/>
                    <w:left w:val="single" w:color="auto" w:sz="4" w:space="0"/>
                    <w:bottom w:val="single" w:color="auto" w:sz="4" w:space="0"/>
                    <w:right w:val="single" w:color="auto" w:sz="4" w:space="0"/>
                  </w:tcBorders>
                  <w:vAlign w:val="center"/>
                </w:tcPr>
                <w:p>
                  <w:pPr>
                    <w:jc w:val="center"/>
                    <w:rPr>
                      <w:rFonts w:ascii="Arial" w:hAnsi="Arial" w:cs="Arial"/>
                      <w:bCs/>
                      <w:sz w:val="21"/>
                      <w:szCs w:val="21"/>
                    </w:rPr>
                  </w:pPr>
                  <w:r>
                    <w:rPr>
                      <w:rFonts w:ascii="宋体" w:hAnsi="宋体" w:cs="Arial"/>
                      <w:bCs/>
                      <w:sz w:val="21"/>
                      <w:szCs w:val="21"/>
                    </w:rPr>
                    <w:t>防渗</w:t>
                  </w:r>
                  <w:r>
                    <w:rPr>
                      <w:rFonts w:hint="eastAsia" w:ascii="宋体" w:hAnsi="宋体" w:cs="Arial"/>
                      <w:bCs/>
                      <w:sz w:val="21"/>
                      <w:szCs w:val="21"/>
                    </w:rPr>
                    <w:t>技术</w:t>
                  </w:r>
                  <w:r>
                    <w:rPr>
                      <w:rFonts w:ascii="宋体" w:hAnsi="宋体" w:cs="Arial"/>
                      <w:bCs/>
                      <w:sz w:val="21"/>
                      <w:szCs w:val="21"/>
                    </w:rPr>
                    <w:t>要求</w:t>
                  </w:r>
                </w:p>
              </w:tc>
              <w:tc>
                <w:tcPr>
                  <w:tcW w:w="1642" w:type="pct"/>
                  <w:tcBorders>
                    <w:top w:val="single" w:color="auto" w:sz="4" w:space="0"/>
                    <w:left w:val="single" w:color="auto" w:sz="4" w:space="0"/>
                    <w:bottom w:val="single" w:color="auto" w:sz="4" w:space="0"/>
                    <w:right w:val="single" w:color="auto" w:sz="4" w:space="0"/>
                  </w:tcBorders>
                  <w:vAlign w:val="center"/>
                </w:tcPr>
                <w:p>
                  <w:pPr>
                    <w:jc w:val="center"/>
                    <w:rPr>
                      <w:rFonts w:ascii="Arial" w:hAnsi="Arial" w:cs="Arial"/>
                      <w:bCs/>
                      <w:sz w:val="21"/>
                      <w:szCs w:val="21"/>
                    </w:rPr>
                  </w:pPr>
                  <w:r>
                    <w:rPr>
                      <w:rFonts w:ascii="宋体" w:hAnsi="宋体" w:cs="Arial"/>
                      <w:bCs/>
                      <w:sz w:val="21"/>
                      <w:szCs w:val="21"/>
                    </w:rPr>
                    <w:t>建议防渗具体做法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587" w:type="pct"/>
                  <w:tcBorders>
                    <w:top w:val="single" w:color="auto" w:sz="4" w:space="0"/>
                    <w:left w:val="single" w:color="auto" w:sz="4" w:space="0"/>
                    <w:bottom w:val="single" w:color="auto" w:sz="4" w:space="0"/>
                    <w:right w:val="single" w:color="auto" w:sz="4" w:space="0"/>
                  </w:tcBorders>
                  <w:vAlign w:val="center"/>
                </w:tcPr>
                <w:p>
                  <w:pPr>
                    <w:jc w:val="center"/>
                    <w:rPr>
                      <w:rFonts w:ascii="Arial" w:hAnsi="Arial" w:cs="Arial"/>
                      <w:bCs/>
                      <w:sz w:val="21"/>
                      <w:szCs w:val="21"/>
                    </w:rPr>
                  </w:pPr>
                  <w:r>
                    <w:rPr>
                      <w:rFonts w:ascii="宋体" w:hAnsi="宋体" w:cs="Arial"/>
                      <w:bCs/>
                      <w:sz w:val="21"/>
                      <w:szCs w:val="21"/>
                    </w:rPr>
                    <w:t>一般</w:t>
                  </w:r>
                  <w:r>
                    <w:rPr>
                      <w:rFonts w:hint="eastAsia" w:ascii="宋体" w:hAnsi="宋体" w:cs="Arial"/>
                      <w:bCs/>
                      <w:sz w:val="21"/>
                      <w:szCs w:val="21"/>
                    </w:rPr>
                    <w:t>防渗区</w:t>
                  </w:r>
                </w:p>
              </w:tc>
              <w:tc>
                <w:tcPr>
                  <w:tcW w:w="1178" w:type="pc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Arial"/>
                      <w:bCs/>
                      <w:sz w:val="21"/>
                      <w:szCs w:val="21"/>
                    </w:rPr>
                  </w:pPr>
                  <w:r>
                    <w:rPr>
                      <w:rFonts w:hint="eastAsia" w:ascii="Arial" w:hAnsi="Arial" w:cs="Arial"/>
                      <w:bCs/>
                      <w:sz w:val="21"/>
                      <w:szCs w:val="21"/>
                    </w:rPr>
                    <w:t>化粪池、沉淀池</w:t>
                  </w:r>
                </w:p>
              </w:tc>
              <w:tc>
                <w:tcPr>
                  <w:tcW w:w="1593" w:type="pct"/>
                  <w:tcBorders>
                    <w:top w:val="single" w:color="auto" w:sz="4" w:space="0"/>
                    <w:left w:val="single" w:color="auto" w:sz="4" w:space="0"/>
                    <w:bottom w:val="single" w:color="auto" w:sz="4" w:space="0"/>
                    <w:right w:val="single" w:color="auto" w:sz="4" w:space="0"/>
                  </w:tcBorders>
                  <w:vAlign w:val="center"/>
                </w:tcPr>
                <w:p>
                  <w:pPr>
                    <w:jc w:val="center"/>
                    <w:rPr>
                      <w:rFonts w:ascii="Arial" w:hAnsi="Arial" w:cs="Arial"/>
                      <w:bCs/>
                      <w:sz w:val="21"/>
                      <w:szCs w:val="21"/>
                    </w:rPr>
                  </w:pPr>
                  <w:r>
                    <w:rPr>
                      <w:rFonts w:ascii="宋体" w:hAnsi="宋体" w:cs="Arial"/>
                      <w:sz w:val="21"/>
                      <w:szCs w:val="21"/>
                    </w:rPr>
                    <w:t>等效黏土防渗层</w:t>
                  </w:r>
                  <w:r>
                    <w:rPr>
                      <w:rFonts w:ascii="Arial" w:hAnsi="Arial" w:cs="Arial"/>
                      <w:sz w:val="21"/>
                      <w:szCs w:val="21"/>
                    </w:rPr>
                    <w:t>Mb≥1.5m</w:t>
                  </w:r>
                  <w:r>
                    <w:rPr>
                      <w:rFonts w:ascii="宋体" w:hAnsi="宋体" w:cs="Arial"/>
                      <w:sz w:val="21"/>
                      <w:szCs w:val="21"/>
                    </w:rPr>
                    <w:t>，</w:t>
                  </w:r>
                  <w:r>
                    <w:rPr>
                      <w:rFonts w:ascii="Arial" w:hAnsi="Arial" w:cs="Arial"/>
                      <w:sz w:val="21"/>
                      <w:szCs w:val="21"/>
                    </w:rPr>
                    <w:t>K</w:t>
                  </w:r>
                  <w:r>
                    <w:rPr>
                      <w:rFonts w:ascii="Arial" w:hAnsi="Arial" w:cs="Arial"/>
                      <w:bCs/>
                      <w:sz w:val="21"/>
                      <w:szCs w:val="21"/>
                    </w:rPr>
                    <w:t>≤1×10</w:t>
                  </w:r>
                  <w:r>
                    <w:rPr>
                      <w:rFonts w:ascii="Arial" w:hAnsi="Arial" w:cs="Arial"/>
                      <w:bCs/>
                      <w:sz w:val="21"/>
                      <w:szCs w:val="21"/>
                      <w:vertAlign w:val="superscript"/>
                    </w:rPr>
                    <w:t>-7</w:t>
                  </w:r>
                  <w:r>
                    <w:rPr>
                      <w:rFonts w:ascii="Arial" w:hAnsi="Arial" w:cs="Arial"/>
                      <w:bCs/>
                      <w:sz w:val="21"/>
                      <w:szCs w:val="21"/>
                    </w:rPr>
                    <w:t>cm/s</w:t>
                  </w:r>
                </w:p>
              </w:tc>
              <w:tc>
                <w:tcPr>
                  <w:tcW w:w="1642" w:type="pct"/>
                  <w:tcBorders>
                    <w:top w:val="single" w:color="auto" w:sz="4" w:space="0"/>
                    <w:left w:val="single" w:color="auto" w:sz="4" w:space="0"/>
                    <w:bottom w:val="single" w:color="auto" w:sz="4" w:space="0"/>
                    <w:right w:val="single" w:color="auto" w:sz="4" w:space="0"/>
                  </w:tcBorders>
                  <w:vAlign w:val="center"/>
                </w:tcPr>
                <w:p>
                  <w:pPr>
                    <w:jc w:val="center"/>
                    <w:rPr>
                      <w:rFonts w:ascii="Arial" w:hAnsi="Arial" w:cs="Arial"/>
                      <w:bCs/>
                      <w:sz w:val="21"/>
                      <w:szCs w:val="21"/>
                    </w:rPr>
                  </w:pPr>
                  <w:r>
                    <w:rPr>
                      <w:rFonts w:ascii="宋体" w:hAnsi="宋体" w:cs="Arial"/>
                      <w:sz w:val="21"/>
                      <w:szCs w:val="21"/>
                    </w:rPr>
                    <w:t>基础采用</w:t>
                  </w:r>
                  <w:r>
                    <w:rPr>
                      <w:rFonts w:hint="eastAsia" w:ascii="Arial" w:hAnsi="Arial" w:cs="Arial"/>
                      <w:sz w:val="21"/>
                      <w:szCs w:val="21"/>
                    </w:rPr>
                    <w:t>10cm</w:t>
                  </w:r>
                  <w:r>
                    <w:rPr>
                      <w:rFonts w:hint="eastAsia" w:ascii="宋体" w:hAnsi="宋体" w:cs="Arial"/>
                      <w:sz w:val="21"/>
                      <w:szCs w:val="21"/>
                    </w:rPr>
                    <w:t>的厚防渗</w:t>
                  </w:r>
                  <w:r>
                    <w:rPr>
                      <w:rFonts w:ascii="宋体" w:hAnsi="宋体" w:cs="Arial"/>
                      <w:sz w:val="21"/>
                      <w:szCs w:val="21"/>
                    </w:rPr>
                    <w:t>砼结构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4" w:hRule="atLeast"/>
                <w:jc w:val="center"/>
              </w:trPr>
              <w:tc>
                <w:tcPr>
                  <w:tcW w:w="587" w:type="pct"/>
                  <w:tcBorders>
                    <w:top w:val="single" w:color="auto" w:sz="4" w:space="0"/>
                    <w:left w:val="single" w:color="auto" w:sz="4" w:space="0"/>
                    <w:bottom w:val="single" w:color="auto" w:sz="4" w:space="0"/>
                    <w:right w:val="single" w:color="auto" w:sz="4" w:space="0"/>
                  </w:tcBorders>
                  <w:vAlign w:val="center"/>
                </w:tcPr>
                <w:p>
                  <w:pPr>
                    <w:jc w:val="center"/>
                    <w:rPr>
                      <w:rFonts w:ascii="Arial" w:hAnsi="Arial" w:cs="Arial"/>
                      <w:bCs/>
                      <w:sz w:val="21"/>
                      <w:szCs w:val="21"/>
                    </w:rPr>
                  </w:pPr>
                  <w:r>
                    <w:rPr>
                      <w:rFonts w:ascii="宋体" w:hAnsi="宋体" w:cs="Arial"/>
                      <w:bCs/>
                      <w:sz w:val="21"/>
                      <w:szCs w:val="21"/>
                    </w:rPr>
                    <w:t>简单防渗区</w:t>
                  </w:r>
                </w:p>
              </w:tc>
              <w:tc>
                <w:tcPr>
                  <w:tcW w:w="1178" w:type="pct"/>
                  <w:tcBorders>
                    <w:top w:val="single" w:color="auto" w:sz="4" w:space="0"/>
                    <w:left w:val="single" w:color="auto" w:sz="4" w:space="0"/>
                    <w:bottom w:val="single" w:color="auto" w:sz="4" w:space="0"/>
                    <w:right w:val="single" w:color="auto" w:sz="4" w:space="0"/>
                  </w:tcBorders>
                  <w:vAlign w:val="center"/>
                </w:tcPr>
                <w:p>
                  <w:pPr>
                    <w:jc w:val="center"/>
                    <w:rPr>
                      <w:rFonts w:ascii="Arial" w:hAnsi="Arial" w:cs="Arial"/>
                      <w:bCs/>
                      <w:sz w:val="21"/>
                      <w:szCs w:val="21"/>
                    </w:rPr>
                  </w:pPr>
                  <w:r>
                    <w:rPr>
                      <w:rFonts w:hint="eastAsia" w:ascii="宋体" w:hAnsi="宋体" w:cs="Arial"/>
                      <w:bCs/>
                      <w:sz w:val="21"/>
                      <w:szCs w:val="21"/>
                    </w:rPr>
                    <w:t>其他区域</w:t>
                  </w:r>
                </w:p>
              </w:tc>
              <w:tc>
                <w:tcPr>
                  <w:tcW w:w="1593" w:type="pct"/>
                  <w:tcBorders>
                    <w:top w:val="single" w:color="auto" w:sz="4" w:space="0"/>
                    <w:left w:val="single" w:color="auto" w:sz="4" w:space="0"/>
                    <w:bottom w:val="single" w:color="auto" w:sz="4" w:space="0"/>
                    <w:right w:val="single" w:color="auto" w:sz="4" w:space="0"/>
                  </w:tcBorders>
                  <w:vAlign w:val="center"/>
                </w:tcPr>
                <w:p>
                  <w:pPr>
                    <w:jc w:val="center"/>
                    <w:rPr>
                      <w:rFonts w:ascii="Arial" w:hAnsi="Arial" w:cs="Arial"/>
                      <w:bCs/>
                      <w:sz w:val="21"/>
                      <w:szCs w:val="21"/>
                    </w:rPr>
                  </w:pPr>
                  <w:r>
                    <w:rPr>
                      <w:rFonts w:ascii="宋体" w:hAnsi="宋体" w:cs="Arial"/>
                      <w:bCs/>
                      <w:sz w:val="21"/>
                      <w:szCs w:val="21"/>
                    </w:rPr>
                    <w:t>不需设置防渗等级</w:t>
                  </w:r>
                </w:p>
              </w:tc>
              <w:tc>
                <w:tcPr>
                  <w:tcW w:w="1642" w:type="pct"/>
                  <w:tcBorders>
                    <w:top w:val="single" w:color="auto" w:sz="4" w:space="0"/>
                    <w:left w:val="single" w:color="auto" w:sz="4" w:space="0"/>
                    <w:bottom w:val="single" w:color="auto" w:sz="4" w:space="0"/>
                    <w:right w:val="single" w:color="auto" w:sz="4" w:space="0"/>
                  </w:tcBorders>
                  <w:vAlign w:val="center"/>
                </w:tcPr>
                <w:p>
                  <w:pPr>
                    <w:jc w:val="center"/>
                    <w:rPr>
                      <w:rFonts w:ascii="Arial" w:hAnsi="Arial" w:cs="Arial"/>
                      <w:bCs/>
                      <w:sz w:val="21"/>
                      <w:szCs w:val="21"/>
                    </w:rPr>
                  </w:pPr>
                  <w:r>
                    <w:rPr>
                      <w:rFonts w:hint="eastAsia" w:ascii="Arial" w:hAnsi="Arial" w:cs="Arial"/>
                      <w:bCs/>
                      <w:sz w:val="21"/>
                      <w:szCs w:val="21"/>
                    </w:rPr>
                    <w:t>一般地面硬化</w:t>
                  </w:r>
                </w:p>
              </w:tc>
            </w:tr>
          </w:tbl>
          <w:p>
            <w:pPr>
              <w:tabs>
                <w:tab w:val="left" w:pos="0"/>
              </w:tabs>
              <w:ind w:firstLine="472" w:firstLineChars="196"/>
              <w:rPr>
                <w:b/>
              </w:rPr>
            </w:pPr>
          </w:p>
          <w:p>
            <w:pPr>
              <w:tabs>
                <w:tab w:val="left" w:pos="0"/>
              </w:tabs>
              <w:spacing w:line="360" w:lineRule="auto"/>
              <w:ind w:firstLine="472" w:firstLineChars="196"/>
              <w:rPr>
                <w:b/>
              </w:rPr>
            </w:pPr>
            <w:r>
              <w:rPr>
                <w:rFonts w:hint="eastAsia"/>
                <w:b/>
              </w:rPr>
              <w:t>6、生态环境影响分析</w:t>
            </w:r>
          </w:p>
          <w:p>
            <w:pPr>
              <w:tabs>
                <w:tab w:val="left" w:pos="0"/>
              </w:tabs>
              <w:spacing w:line="360" w:lineRule="auto"/>
              <w:ind w:firstLine="480" w:firstLineChars="200"/>
            </w:pPr>
            <w:r>
              <w:rPr>
                <w:rFonts w:hint="eastAsia"/>
              </w:rPr>
              <w:t>项目</w:t>
            </w:r>
            <w:r>
              <w:t>运营期通过对扰动植被及土壤的硬化</w:t>
            </w:r>
            <w:r>
              <w:rPr>
                <w:rFonts w:hint="eastAsia"/>
              </w:rPr>
              <w:t>，</w:t>
            </w:r>
            <w:r>
              <w:t>运营期设有厂区运输道路</w:t>
            </w:r>
            <w:r>
              <w:rPr>
                <w:rFonts w:hint="eastAsia"/>
              </w:rPr>
              <w:t>，</w:t>
            </w:r>
            <w:r>
              <w:t>不会对生态环境造成影响</w:t>
            </w:r>
            <w:r>
              <w:rPr>
                <w:rFonts w:hint="eastAsia"/>
              </w:rPr>
              <w:t>。</w:t>
            </w:r>
          </w:p>
          <w:p>
            <w:pPr>
              <w:tabs>
                <w:tab w:val="left" w:pos="0"/>
              </w:tabs>
              <w:spacing w:line="360" w:lineRule="auto"/>
              <w:ind w:firstLine="472" w:firstLineChars="196"/>
              <w:rPr>
                <w:b/>
              </w:rPr>
            </w:pPr>
            <w:r>
              <w:rPr>
                <w:rFonts w:hint="eastAsia"/>
                <w:b/>
              </w:rPr>
              <w:t>7、环境风险分析</w:t>
            </w:r>
          </w:p>
          <w:p>
            <w:pPr>
              <w:spacing w:line="360" w:lineRule="auto"/>
              <w:ind w:firstLine="480" w:firstLineChars="200"/>
              <w:jc w:val="left"/>
              <w:rPr>
                <w:kern w:val="0"/>
                <w:szCs w:val="22"/>
              </w:rPr>
            </w:pPr>
            <w:r>
              <w:rPr>
                <w:rFonts w:hint="eastAsia"/>
                <w:kern w:val="0"/>
                <w:szCs w:val="22"/>
              </w:rPr>
              <w:t>项目原料水泥、砂子、石子、骨料，产品为混凝土，根据原辅料及产品情况，同时结合工艺过程，项目不涉及</w:t>
            </w:r>
            <w:r>
              <w:rPr>
                <w:rFonts w:hint="eastAsia"/>
              </w:rPr>
              <w:t>《建设项目环境风险评价技术导则》（HJ169-2018）中规定的</w:t>
            </w:r>
            <w:r>
              <w:rPr>
                <w:rFonts w:hint="eastAsia"/>
                <w:kern w:val="0"/>
                <w:szCs w:val="22"/>
              </w:rPr>
              <w:t>有毒有害、易燃易爆物质及工艺危险性。</w:t>
            </w:r>
          </w:p>
          <w:p>
            <w:pPr>
              <w:spacing w:line="360" w:lineRule="auto"/>
              <w:ind w:firstLine="472" w:firstLineChars="200"/>
              <w:jc w:val="left"/>
              <w:rPr>
                <w:kern w:val="0"/>
                <w:szCs w:val="22"/>
              </w:rPr>
            </w:pPr>
            <w:r>
              <w:rPr>
                <w:rFonts w:hint="eastAsia"/>
                <w:spacing w:val="-2"/>
              </w:rPr>
              <w:t>原料、产品及工艺过程不会发生突发性事故，因此，本次评价不涉及环境风险评价。</w:t>
            </w:r>
          </w:p>
          <w:p>
            <w:pPr>
              <w:pStyle w:val="5"/>
              <w:ind w:firstLine="481" w:firstLineChars="200"/>
              <w:rPr>
                <w:color w:val="auto"/>
              </w:rPr>
            </w:pPr>
            <w:r>
              <w:rPr>
                <w:rFonts w:hint="eastAsia"/>
                <w:color w:val="auto"/>
              </w:rPr>
              <w:t>8、环境监测计划</w:t>
            </w:r>
          </w:p>
          <w:p>
            <w:pPr>
              <w:spacing w:line="360" w:lineRule="auto"/>
              <w:ind w:firstLine="480" w:firstLineChars="200"/>
              <w:jc w:val="left"/>
              <w:rPr>
                <w:kern w:val="0"/>
                <w:szCs w:val="22"/>
              </w:rPr>
            </w:pPr>
            <w:r>
              <w:rPr>
                <w:kern w:val="0"/>
                <w:szCs w:val="22"/>
              </w:rPr>
              <w:t>根据《排污单位自行监测技术指南 总则》（HJ 819-2017）、</w:t>
            </w:r>
            <w:r>
              <w:rPr>
                <w:rFonts w:hint="eastAsia"/>
                <w:kern w:val="0"/>
                <w:szCs w:val="22"/>
              </w:rPr>
              <w:t>《排污单位自行监测技术指南 水泥工业》（HJ848-2017）</w:t>
            </w:r>
            <w:r>
              <w:rPr>
                <w:kern w:val="0"/>
                <w:szCs w:val="22"/>
              </w:rPr>
              <w:t>等拟定本项目的监测计划见表</w:t>
            </w:r>
            <w:r>
              <w:rPr>
                <w:rFonts w:hint="eastAsia"/>
                <w:kern w:val="0"/>
                <w:szCs w:val="22"/>
              </w:rPr>
              <w:t>4-12</w:t>
            </w:r>
            <w:r>
              <w:rPr>
                <w:kern w:val="0"/>
                <w:szCs w:val="22"/>
              </w:rPr>
              <w:t>。</w:t>
            </w:r>
          </w:p>
          <w:p>
            <w:pPr>
              <w:spacing w:line="60" w:lineRule="auto"/>
              <w:jc w:val="center"/>
              <w:rPr>
                <w:rFonts w:hint="eastAsia" w:ascii="宋体" w:hAnsi="宋体"/>
                <w:b/>
                <w:bCs/>
              </w:rPr>
            </w:pPr>
          </w:p>
          <w:p>
            <w:pPr>
              <w:jc w:val="center"/>
              <w:rPr>
                <w:rFonts w:ascii="宋体" w:hAnsi="宋体"/>
                <w:b/>
                <w:bCs/>
              </w:rPr>
            </w:pPr>
          </w:p>
          <w:p>
            <w:pPr>
              <w:jc w:val="center"/>
              <w:rPr>
                <w:rFonts w:hint="eastAsia" w:ascii="宋体" w:hAnsi="宋体"/>
                <w:b/>
                <w:bCs/>
              </w:rPr>
            </w:pPr>
            <w:r>
              <w:rPr>
                <w:rFonts w:ascii="宋体" w:hAnsi="宋体"/>
                <w:b/>
                <w:bCs/>
              </w:rPr>
              <w:t>表</w:t>
            </w:r>
            <w:r>
              <w:rPr>
                <w:rFonts w:hint="eastAsia" w:ascii="宋体" w:hAnsi="宋体"/>
                <w:b/>
                <w:bCs/>
              </w:rPr>
              <w:t>4-12</w:t>
            </w:r>
            <w:r>
              <w:rPr>
                <w:rFonts w:ascii="宋体" w:hAnsi="宋体"/>
                <w:b/>
                <w:bCs/>
              </w:rPr>
              <w:t xml:space="preserve">  </w:t>
            </w:r>
            <w:r>
              <w:rPr>
                <w:rFonts w:hint="eastAsia" w:ascii="宋体" w:hAnsi="宋体"/>
                <w:b/>
                <w:bCs/>
              </w:rPr>
              <w:t xml:space="preserve">  </w:t>
            </w:r>
            <w:r>
              <w:rPr>
                <w:rFonts w:ascii="宋体" w:hAnsi="宋体"/>
                <w:b/>
                <w:bCs/>
              </w:rPr>
              <w:t xml:space="preserve">  运营期监测计划一览表</w:t>
            </w:r>
          </w:p>
          <w:tbl>
            <w:tblPr>
              <w:tblStyle w:val="19"/>
              <w:tblW w:w="82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13"/>
              <w:gridCol w:w="1701"/>
              <w:gridCol w:w="2410"/>
              <w:gridCol w:w="26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5" w:hRule="atLeast"/>
                <w:jc w:val="center"/>
              </w:trPr>
              <w:tc>
                <w:tcPr>
                  <w:tcW w:w="860" w:type="pct"/>
                  <w:vAlign w:val="center"/>
                </w:tcPr>
                <w:p>
                  <w:pPr>
                    <w:autoSpaceDE w:val="0"/>
                    <w:autoSpaceDN w:val="0"/>
                    <w:jc w:val="center"/>
                    <w:rPr>
                      <w:rFonts w:hint="eastAsia" w:asciiTheme="majorEastAsia" w:hAnsiTheme="majorEastAsia" w:eastAsiaTheme="majorEastAsia"/>
                      <w:sz w:val="21"/>
                      <w:szCs w:val="21"/>
                    </w:rPr>
                  </w:pPr>
                  <w:r>
                    <w:rPr>
                      <w:rFonts w:asciiTheme="majorEastAsia" w:hAnsiTheme="majorEastAsia" w:eastAsiaTheme="majorEastAsia"/>
                      <w:sz w:val="21"/>
                      <w:szCs w:val="21"/>
                    </w:rPr>
                    <w:t>影响因素</w:t>
                  </w:r>
                </w:p>
              </w:tc>
              <w:tc>
                <w:tcPr>
                  <w:tcW w:w="1035" w:type="pct"/>
                  <w:vAlign w:val="center"/>
                </w:tcPr>
                <w:p>
                  <w:pPr>
                    <w:autoSpaceDE w:val="0"/>
                    <w:autoSpaceDN w:val="0"/>
                    <w:jc w:val="center"/>
                    <w:rPr>
                      <w:rFonts w:hint="eastAsia" w:asciiTheme="majorEastAsia" w:hAnsiTheme="majorEastAsia" w:eastAsiaTheme="majorEastAsia"/>
                      <w:sz w:val="21"/>
                      <w:szCs w:val="21"/>
                    </w:rPr>
                  </w:pPr>
                  <w:r>
                    <w:rPr>
                      <w:rFonts w:asciiTheme="majorEastAsia" w:hAnsiTheme="majorEastAsia" w:eastAsiaTheme="majorEastAsia"/>
                      <w:sz w:val="21"/>
                      <w:szCs w:val="21"/>
                    </w:rPr>
                    <w:t>监测位置</w:t>
                  </w:r>
                </w:p>
              </w:tc>
              <w:tc>
                <w:tcPr>
                  <w:tcW w:w="1466" w:type="pct"/>
                  <w:vAlign w:val="center"/>
                </w:tcPr>
                <w:p>
                  <w:pPr>
                    <w:autoSpaceDE w:val="0"/>
                    <w:autoSpaceDN w:val="0"/>
                    <w:jc w:val="center"/>
                    <w:rPr>
                      <w:rFonts w:hint="eastAsia" w:asciiTheme="majorEastAsia" w:hAnsiTheme="majorEastAsia" w:eastAsiaTheme="majorEastAsia"/>
                      <w:sz w:val="21"/>
                      <w:szCs w:val="21"/>
                    </w:rPr>
                  </w:pPr>
                  <w:r>
                    <w:rPr>
                      <w:rFonts w:asciiTheme="majorEastAsia" w:hAnsiTheme="majorEastAsia" w:eastAsiaTheme="majorEastAsia"/>
                      <w:sz w:val="21"/>
                      <w:szCs w:val="21"/>
                    </w:rPr>
                    <w:t>监测项目</w:t>
                  </w:r>
                </w:p>
              </w:tc>
              <w:tc>
                <w:tcPr>
                  <w:tcW w:w="1639" w:type="pct"/>
                  <w:vAlign w:val="center"/>
                </w:tcPr>
                <w:p>
                  <w:pPr>
                    <w:autoSpaceDE w:val="0"/>
                    <w:autoSpaceDN w:val="0"/>
                    <w:jc w:val="center"/>
                    <w:rPr>
                      <w:rFonts w:hint="eastAsia" w:asciiTheme="majorEastAsia" w:hAnsiTheme="majorEastAsia" w:eastAsiaTheme="majorEastAsia"/>
                      <w:sz w:val="21"/>
                      <w:szCs w:val="21"/>
                    </w:rPr>
                  </w:pPr>
                  <w:r>
                    <w:rPr>
                      <w:rFonts w:asciiTheme="majorEastAsia" w:hAnsiTheme="majorEastAsia" w:eastAsiaTheme="majorEastAsia"/>
                      <w:sz w:val="21"/>
                      <w:szCs w:val="21"/>
                    </w:rPr>
                    <w:t>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 w:hRule="atLeast"/>
                <w:jc w:val="center"/>
              </w:trPr>
              <w:tc>
                <w:tcPr>
                  <w:tcW w:w="860" w:type="pct"/>
                  <w:vMerge w:val="restart"/>
                  <w:vAlign w:val="center"/>
                </w:tcPr>
                <w:p>
                  <w:pPr>
                    <w:autoSpaceDE w:val="0"/>
                    <w:autoSpaceDN w:val="0"/>
                    <w:jc w:val="center"/>
                    <w:rPr>
                      <w:rFonts w:hint="eastAsia" w:asciiTheme="majorEastAsia" w:hAnsiTheme="majorEastAsia" w:eastAsiaTheme="majorEastAsia"/>
                      <w:sz w:val="21"/>
                      <w:szCs w:val="21"/>
                    </w:rPr>
                  </w:pPr>
                  <w:r>
                    <w:rPr>
                      <w:rFonts w:asciiTheme="majorEastAsia" w:hAnsiTheme="majorEastAsia" w:eastAsiaTheme="majorEastAsia"/>
                      <w:sz w:val="21"/>
                      <w:szCs w:val="21"/>
                    </w:rPr>
                    <w:t>废气</w:t>
                  </w:r>
                </w:p>
              </w:tc>
              <w:tc>
                <w:tcPr>
                  <w:tcW w:w="1035" w:type="pct"/>
                  <w:vAlign w:val="center"/>
                </w:tcPr>
                <w:p>
                  <w:pPr>
                    <w:pStyle w:val="64"/>
                    <w:rPr>
                      <w:rFonts w:hint="eastAsia" w:asciiTheme="majorEastAsia" w:hAnsiTheme="majorEastAsia" w:eastAsiaTheme="majorEastAsia"/>
                      <w:szCs w:val="21"/>
                    </w:rPr>
                  </w:pPr>
                  <w:r>
                    <w:rPr>
                      <w:rFonts w:asciiTheme="majorEastAsia" w:hAnsiTheme="majorEastAsia" w:eastAsiaTheme="majorEastAsia"/>
                      <w:szCs w:val="21"/>
                    </w:rPr>
                    <w:t>破碎机排气筒</w:t>
                  </w:r>
                  <w:r>
                    <w:rPr>
                      <w:rFonts w:hint="eastAsia" w:asciiTheme="majorEastAsia" w:hAnsiTheme="majorEastAsia" w:eastAsiaTheme="majorEastAsia"/>
                      <w:szCs w:val="21"/>
                    </w:rPr>
                    <w:t>P1</w:t>
                  </w:r>
                </w:p>
              </w:tc>
              <w:tc>
                <w:tcPr>
                  <w:tcW w:w="1466" w:type="pct"/>
                  <w:vAlign w:val="center"/>
                </w:tcPr>
                <w:p>
                  <w:pPr>
                    <w:pStyle w:val="64"/>
                    <w:rPr>
                      <w:rFonts w:hint="eastAsia" w:asciiTheme="majorEastAsia" w:hAnsiTheme="majorEastAsia" w:eastAsiaTheme="majorEastAsia"/>
                      <w:szCs w:val="21"/>
                    </w:rPr>
                  </w:pPr>
                  <w:r>
                    <w:rPr>
                      <w:rFonts w:hint="eastAsia" w:asciiTheme="majorEastAsia" w:hAnsiTheme="majorEastAsia" w:eastAsiaTheme="majorEastAsia"/>
                      <w:szCs w:val="21"/>
                    </w:rPr>
                    <w:t>颗粒物</w:t>
                  </w:r>
                </w:p>
              </w:tc>
              <w:tc>
                <w:tcPr>
                  <w:tcW w:w="1639" w:type="pct"/>
                  <w:vAlign w:val="center"/>
                </w:tcPr>
                <w:p>
                  <w:pPr>
                    <w:pStyle w:val="64"/>
                    <w:rPr>
                      <w:rFonts w:hint="eastAsia" w:asciiTheme="majorEastAsia" w:hAnsiTheme="majorEastAsia" w:eastAsiaTheme="majorEastAsia"/>
                      <w:szCs w:val="21"/>
                    </w:rPr>
                  </w:pPr>
                  <w:r>
                    <w:rPr>
                      <w:rFonts w:hint="eastAsia" w:asciiTheme="majorEastAsia" w:hAnsiTheme="majorEastAsia" w:eastAsiaTheme="majorEastAsia"/>
                      <w:szCs w:val="21"/>
                    </w:rPr>
                    <w:t>1次/半年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5" w:hRule="atLeast"/>
                <w:jc w:val="center"/>
              </w:trPr>
              <w:tc>
                <w:tcPr>
                  <w:tcW w:w="860" w:type="pct"/>
                  <w:vMerge w:val="continue"/>
                  <w:vAlign w:val="center"/>
                </w:tcPr>
                <w:p>
                  <w:pPr>
                    <w:autoSpaceDE w:val="0"/>
                    <w:autoSpaceDN w:val="0"/>
                    <w:jc w:val="center"/>
                    <w:rPr>
                      <w:rFonts w:hint="eastAsia" w:asciiTheme="majorEastAsia" w:hAnsiTheme="majorEastAsia" w:eastAsiaTheme="majorEastAsia"/>
                      <w:sz w:val="21"/>
                      <w:szCs w:val="21"/>
                    </w:rPr>
                  </w:pPr>
                </w:p>
              </w:tc>
              <w:tc>
                <w:tcPr>
                  <w:tcW w:w="1035" w:type="pct"/>
                  <w:vAlign w:val="center"/>
                </w:tcPr>
                <w:p>
                  <w:pPr>
                    <w:pStyle w:val="64"/>
                    <w:rPr>
                      <w:rFonts w:hint="eastAsia" w:asciiTheme="majorEastAsia" w:hAnsiTheme="majorEastAsia" w:eastAsiaTheme="majorEastAsia"/>
                      <w:szCs w:val="21"/>
                    </w:rPr>
                  </w:pPr>
                  <w:r>
                    <w:rPr>
                      <w:rFonts w:asciiTheme="majorEastAsia" w:hAnsiTheme="majorEastAsia" w:eastAsiaTheme="majorEastAsia"/>
                      <w:szCs w:val="21"/>
                    </w:rPr>
                    <w:t>厂界</w:t>
                  </w:r>
                </w:p>
              </w:tc>
              <w:tc>
                <w:tcPr>
                  <w:tcW w:w="1466" w:type="pct"/>
                  <w:vAlign w:val="center"/>
                </w:tcPr>
                <w:p>
                  <w:pPr>
                    <w:pStyle w:val="64"/>
                    <w:rPr>
                      <w:rFonts w:hint="eastAsia" w:asciiTheme="majorEastAsia" w:hAnsiTheme="majorEastAsia" w:eastAsiaTheme="majorEastAsia"/>
                      <w:szCs w:val="21"/>
                    </w:rPr>
                  </w:pPr>
                  <w:r>
                    <w:rPr>
                      <w:rFonts w:hint="eastAsia" w:asciiTheme="majorEastAsia" w:hAnsiTheme="majorEastAsia" w:eastAsiaTheme="majorEastAsia"/>
                      <w:szCs w:val="21"/>
                    </w:rPr>
                    <w:t>颗粒物</w:t>
                  </w:r>
                </w:p>
              </w:tc>
              <w:tc>
                <w:tcPr>
                  <w:tcW w:w="1639" w:type="pct"/>
                  <w:vAlign w:val="center"/>
                </w:tcPr>
                <w:p>
                  <w:pPr>
                    <w:pStyle w:val="64"/>
                    <w:rPr>
                      <w:rFonts w:hint="eastAsia" w:asciiTheme="majorEastAsia" w:hAnsiTheme="majorEastAsia" w:eastAsiaTheme="majorEastAsia"/>
                      <w:szCs w:val="21"/>
                    </w:rPr>
                  </w:pPr>
                  <w:r>
                    <w:rPr>
                      <w:rFonts w:hint="eastAsia" w:asciiTheme="majorEastAsia" w:hAnsiTheme="majorEastAsia" w:eastAsiaTheme="majorEastAsia"/>
                      <w:szCs w:val="21"/>
                    </w:rPr>
                    <w:t>1次/季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5" w:hRule="atLeast"/>
                <w:jc w:val="center"/>
              </w:trPr>
              <w:tc>
                <w:tcPr>
                  <w:tcW w:w="860" w:type="pct"/>
                  <w:vAlign w:val="center"/>
                </w:tcPr>
                <w:p>
                  <w:pPr>
                    <w:autoSpaceDE w:val="0"/>
                    <w:autoSpaceDN w:val="0"/>
                    <w:jc w:val="center"/>
                    <w:rPr>
                      <w:rFonts w:hint="eastAsia" w:asciiTheme="majorEastAsia" w:hAnsiTheme="majorEastAsia" w:eastAsiaTheme="majorEastAsia"/>
                      <w:sz w:val="21"/>
                      <w:szCs w:val="21"/>
                    </w:rPr>
                  </w:pPr>
                  <w:r>
                    <w:rPr>
                      <w:rFonts w:asciiTheme="majorEastAsia" w:hAnsiTheme="majorEastAsia" w:eastAsiaTheme="majorEastAsia"/>
                      <w:sz w:val="21"/>
                      <w:szCs w:val="21"/>
                    </w:rPr>
                    <w:t>噪声</w:t>
                  </w:r>
                </w:p>
              </w:tc>
              <w:tc>
                <w:tcPr>
                  <w:tcW w:w="1035" w:type="pct"/>
                  <w:vAlign w:val="center"/>
                </w:tcPr>
                <w:p>
                  <w:pPr>
                    <w:autoSpaceDE w:val="0"/>
                    <w:autoSpaceDN w:val="0"/>
                    <w:jc w:val="center"/>
                    <w:rPr>
                      <w:rFonts w:hint="eastAsia" w:asciiTheme="majorEastAsia" w:hAnsiTheme="majorEastAsia" w:eastAsiaTheme="majorEastAsia"/>
                      <w:sz w:val="21"/>
                      <w:szCs w:val="21"/>
                    </w:rPr>
                  </w:pPr>
                  <w:r>
                    <w:rPr>
                      <w:rFonts w:asciiTheme="majorEastAsia" w:hAnsiTheme="majorEastAsia" w:eastAsiaTheme="majorEastAsia"/>
                      <w:sz w:val="21"/>
                      <w:szCs w:val="21"/>
                    </w:rPr>
                    <w:t>厂界外1m处</w:t>
                  </w:r>
                </w:p>
              </w:tc>
              <w:tc>
                <w:tcPr>
                  <w:tcW w:w="1466" w:type="pct"/>
                  <w:vAlign w:val="center"/>
                </w:tcPr>
                <w:p>
                  <w:pPr>
                    <w:autoSpaceDE w:val="0"/>
                    <w:autoSpaceDN w:val="0"/>
                    <w:jc w:val="center"/>
                    <w:rPr>
                      <w:rFonts w:hint="eastAsia" w:asciiTheme="majorEastAsia" w:hAnsiTheme="majorEastAsia" w:eastAsiaTheme="majorEastAsia"/>
                      <w:sz w:val="21"/>
                      <w:szCs w:val="21"/>
                    </w:rPr>
                  </w:pPr>
                  <w:r>
                    <w:rPr>
                      <w:rFonts w:asciiTheme="majorEastAsia" w:hAnsiTheme="majorEastAsia" w:eastAsiaTheme="majorEastAsia"/>
                      <w:sz w:val="21"/>
                      <w:szCs w:val="21"/>
                    </w:rPr>
                    <w:t>Leq(A)</w:t>
                  </w:r>
                </w:p>
              </w:tc>
              <w:tc>
                <w:tcPr>
                  <w:tcW w:w="1639" w:type="pct"/>
                  <w:vAlign w:val="center"/>
                </w:tcPr>
                <w:p>
                  <w:pPr>
                    <w:pStyle w:val="64"/>
                    <w:rPr>
                      <w:rFonts w:hint="eastAsia" w:asciiTheme="majorEastAsia" w:hAnsiTheme="majorEastAsia" w:eastAsiaTheme="majorEastAsia"/>
                      <w:szCs w:val="21"/>
                    </w:rPr>
                  </w:pPr>
                  <w:r>
                    <w:rPr>
                      <w:rFonts w:hint="eastAsia" w:asciiTheme="majorEastAsia" w:hAnsiTheme="majorEastAsia" w:eastAsiaTheme="majorEastAsia"/>
                      <w:szCs w:val="21"/>
                    </w:rPr>
                    <w:t>1</w:t>
                  </w:r>
                  <w:r>
                    <w:rPr>
                      <w:rFonts w:asciiTheme="majorEastAsia" w:hAnsiTheme="majorEastAsia" w:eastAsiaTheme="majorEastAsia"/>
                      <w:szCs w:val="21"/>
                    </w:rPr>
                    <w:t>次/</w:t>
                  </w:r>
                  <w:r>
                    <w:rPr>
                      <w:rFonts w:hint="eastAsia" w:asciiTheme="majorEastAsia" w:hAnsiTheme="majorEastAsia" w:eastAsiaTheme="majorEastAsia"/>
                      <w:szCs w:val="21"/>
                    </w:rPr>
                    <w:t>季</w:t>
                  </w:r>
                </w:p>
              </w:tc>
            </w:tr>
          </w:tbl>
          <w:p>
            <w:pPr>
              <w:tabs>
                <w:tab w:val="left" w:pos="0"/>
              </w:tabs>
              <w:spacing w:line="360" w:lineRule="auto"/>
              <w:ind w:firstLine="472" w:firstLineChars="196"/>
              <w:rPr>
                <w:b/>
              </w:rPr>
            </w:pPr>
            <w:r>
              <w:rPr>
                <w:rFonts w:hint="eastAsia"/>
                <w:b/>
              </w:rPr>
              <w:t>9、环保投资估算及“三同时”验收</w:t>
            </w:r>
          </w:p>
          <w:p>
            <w:pPr>
              <w:spacing w:line="360" w:lineRule="auto"/>
              <w:ind w:firstLine="470" w:firstLineChars="196"/>
              <w:jc w:val="left"/>
            </w:pPr>
            <w:r>
              <w:t>本项目</w:t>
            </w:r>
            <w:r>
              <w:rPr>
                <w:rFonts w:hint="eastAsia"/>
              </w:rPr>
              <w:t>估算</w:t>
            </w:r>
            <w:r>
              <w:t>环保投资</w:t>
            </w:r>
            <w:r>
              <w:rPr>
                <w:rFonts w:hint="eastAsia"/>
              </w:rPr>
              <w:t>90</w:t>
            </w:r>
            <w:r>
              <w:t>万元，占总投资</w:t>
            </w:r>
            <w:r>
              <w:rPr>
                <w:rFonts w:hint="eastAsia"/>
              </w:rPr>
              <w:t>380</w:t>
            </w:r>
            <w:r>
              <w:t>万元的</w:t>
            </w:r>
            <w:r>
              <w:rPr>
                <w:rFonts w:hint="eastAsia"/>
              </w:rPr>
              <w:t>23.7</w:t>
            </w:r>
            <w:r>
              <w:t>%，本项目环保投资估算和</w:t>
            </w:r>
            <w:r>
              <w:rPr>
                <w:rFonts w:hint="eastAsia"/>
              </w:rPr>
              <w:t>“三同时”验收情况</w:t>
            </w:r>
            <w:r>
              <w:t>见表</w:t>
            </w:r>
            <w:r>
              <w:rPr>
                <w:rFonts w:hint="eastAsia"/>
              </w:rPr>
              <w:t>4-13</w:t>
            </w:r>
            <w:r>
              <w:t>。</w:t>
            </w:r>
          </w:p>
          <w:p>
            <w:pPr>
              <w:pStyle w:val="3"/>
              <w:adjustRightInd w:val="0"/>
              <w:snapToGrid w:val="0"/>
              <w:spacing w:after="0"/>
              <w:ind w:left="0" w:leftChars="0" w:firstLine="0" w:firstLineChars="0"/>
              <w:jc w:val="center"/>
              <w:rPr>
                <w:b/>
                <w:sz w:val="24"/>
              </w:rPr>
            </w:pPr>
          </w:p>
          <w:p>
            <w:pPr>
              <w:pStyle w:val="3"/>
              <w:adjustRightInd w:val="0"/>
              <w:snapToGrid w:val="0"/>
              <w:spacing w:after="0"/>
              <w:ind w:left="0" w:leftChars="0" w:firstLine="0" w:firstLineChars="0"/>
              <w:jc w:val="center"/>
            </w:pPr>
            <w:r>
              <w:rPr>
                <w:b/>
                <w:sz w:val="24"/>
              </w:rPr>
              <w:t>表</w:t>
            </w:r>
            <w:r>
              <w:rPr>
                <w:rFonts w:hint="eastAsia"/>
                <w:b/>
                <w:sz w:val="24"/>
              </w:rPr>
              <w:t>4-13</w:t>
            </w:r>
            <w:r>
              <w:rPr>
                <w:b/>
                <w:sz w:val="24"/>
              </w:rPr>
              <w:t xml:space="preserve">    </w:t>
            </w:r>
            <w:r>
              <w:rPr>
                <w:rFonts w:hint="eastAsia"/>
                <w:b/>
                <w:sz w:val="24"/>
              </w:rPr>
              <w:t xml:space="preserve">  </w:t>
            </w:r>
            <w:r>
              <w:rPr>
                <w:b/>
                <w:sz w:val="24"/>
              </w:rPr>
              <w:t>环保投资估算及</w:t>
            </w:r>
            <w:r>
              <w:rPr>
                <w:rFonts w:hint="eastAsia"/>
                <w:b/>
                <w:sz w:val="24"/>
              </w:rPr>
              <w:t>“三同时”验收一览表</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605"/>
              <w:gridCol w:w="972"/>
              <w:gridCol w:w="1749"/>
              <w:gridCol w:w="554"/>
              <w:gridCol w:w="951"/>
              <w:gridCol w:w="46"/>
              <w:gridCol w:w="2027"/>
              <w:gridCol w:w="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975" w:type="dxa"/>
                  <w:vAlign w:val="center"/>
                </w:tcPr>
                <w:p>
                  <w:pPr>
                    <w:adjustRightInd w:val="0"/>
                    <w:snapToGrid w:val="0"/>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污染</w:t>
                  </w:r>
                </w:p>
                <w:p>
                  <w:pPr>
                    <w:adjustRightInd w:val="0"/>
                    <w:snapToGrid w:val="0"/>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类型</w:t>
                  </w:r>
                </w:p>
              </w:tc>
              <w:tc>
                <w:tcPr>
                  <w:tcW w:w="611" w:type="dxa"/>
                  <w:vAlign w:val="center"/>
                </w:tcPr>
                <w:p>
                  <w:pPr>
                    <w:adjustRightInd w:val="0"/>
                    <w:snapToGrid w:val="0"/>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排污工艺装置及过程</w:t>
                  </w:r>
                </w:p>
              </w:tc>
              <w:tc>
                <w:tcPr>
                  <w:tcW w:w="987" w:type="dxa"/>
                  <w:vAlign w:val="center"/>
                </w:tcPr>
                <w:p>
                  <w:pPr>
                    <w:adjustRightInd w:val="0"/>
                    <w:snapToGrid w:val="0"/>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污染物及监测因子</w:t>
                  </w:r>
                </w:p>
              </w:tc>
              <w:tc>
                <w:tcPr>
                  <w:tcW w:w="1685" w:type="dxa"/>
                  <w:vAlign w:val="center"/>
                </w:tcPr>
                <w:p>
                  <w:pPr>
                    <w:adjustRightInd w:val="0"/>
                    <w:snapToGrid w:val="0"/>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环保措施</w:t>
                  </w:r>
                </w:p>
              </w:tc>
              <w:tc>
                <w:tcPr>
                  <w:tcW w:w="564" w:type="dxa"/>
                  <w:vAlign w:val="center"/>
                </w:tcPr>
                <w:p>
                  <w:pPr>
                    <w:adjustRightInd w:val="0"/>
                    <w:snapToGrid w:val="0"/>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监测点位</w:t>
                  </w:r>
                </w:p>
              </w:tc>
              <w:tc>
                <w:tcPr>
                  <w:tcW w:w="975" w:type="dxa"/>
                  <w:vAlign w:val="center"/>
                </w:tcPr>
                <w:p>
                  <w:pPr>
                    <w:adjustRightInd w:val="0"/>
                    <w:snapToGrid w:val="0"/>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监测频率</w:t>
                  </w:r>
                </w:p>
              </w:tc>
              <w:tc>
                <w:tcPr>
                  <w:tcW w:w="2025" w:type="dxa"/>
                  <w:gridSpan w:val="2"/>
                  <w:vAlign w:val="center"/>
                </w:tcPr>
                <w:p>
                  <w:pPr>
                    <w:adjustRightInd w:val="0"/>
                    <w:snapToGrid w:val="0"/>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验收标准</w:t>
                  </w:r>
                </w:p>
              </w:tc>
              <w:tc>
                <w:tcPr>
                  <w:tcW w:w="640" w:type="dxa"/>
                  <w:vAlign w:val="center"/>
                </w:tcPr>
                <w:p>
                  <w:pPr>
                    <w:adjustRightInd w:val="0"/>
                    <w:snapToGrid w:val="0"/>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环保投资</w:t>
                  </w:r>
                </w:p>
                <w:p>
                  <w:pPr>
                    <w:adjustRightInd w:val="0"/>
                    <w:snapToGrid w:val="0"/>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6" w:hRule="atLeast"/>
              </w:trPr>
              <w:tc>
                <w:tcPr>
                  <w:tcW w:w="975" w:type="dxa"/>
                  <w:vMerge w:val="restart"/>
                  <w:vAlign w:val="center"/>
                </w:tcPr>
                <w:p>
                  <w:pPr>
                    <w:adjustRightInd w:val="0"/>
                    <w:snapToGrid w:val="0"/>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废气</w:t>
                  </w:r>
                </w:p>
              </w:tc>
              <w:tc>
                <w:tcPr>
                  <w:tcW w:w="611" w:type="dxa"/>
                  <w:vAlign w:val="center"/>
                </w:tcPr>
                <w:p>
                  <w:pPr>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石料</w:t>
                  </w:r>
                  <w:r>
                    <w:rPr>
                      <w:rFonts w:cs="宋体" w:asciiTheme="majorEastAsia" w:hAnsiTheme="majorEastAsia" w:eastAsiaTheme="majorEastAsia"/>
                      <w:sz w:val="21"/>
                      <w:szCs w:val="21"/>
                    </w:rPr>
                    <w:t>储存</w:t>
                  </w:r>
                </w:p>
              </w:tc>
              <w:tc>
                <w:tcPr>
                  <w:tcW w:w="987" w:type="dxa"/>
                  <w:vAlign w:val="center"/>
                </w:tcPr>
                <w:p>
                  <w:pPr>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颗粒物</w:t>
                  </w:r>
                </w:p>
              </w:tc>
              <w:tc>
                <w:tcPr>
                  <w:tcW w:w="1685" w:type="dxa"/>
                  <w:vAlign w:val="center"/>
                </w:tcPr>
                <w:p>
                  <w:pPr>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全封闭</w:t>
                  </w:r>
                  <w:r>
                    <w:rPr>
                      <w:rFonts w:cs="宋体" w:asciiTheme="majorEastAsia" w:hAnsiTheme="majorEastAsia" w:eastAsiaTheme="majorEastAsia"/>
                      <w:sz w:val="21"/>
                      <w:szCs w:val="21"/>
                    </w:rPr>
                    <w:t>原料</w:t>
                  </w:r>
                  <w:r>
                    <w:rPr>
                      <w:rFonts w:hint="eastAsia" w:cs="宋体" w:asciiTheme="majorEastAsia" w:hAnsiTheme="majorEastAsia" w:eastAsiaTheme="majorEastAsia"/>
                      <w:sz w:val="21"/>
                      <w:szCs w:val="21"/>
                    </w:rPr>
                    <w:t>储库+洒水抑尘。</w:t>
                  </w:r>
                  <w:r>
                    <w:rPr>
                      <w:rFonts w:cs="宋体" w:asciiTheme="majorEastAsia" w:hAnsiTheme="majorEastAsia" w:eastAsiaTheme="majorEastAsia"/>
                      <w:sz w:val="21"/>
                      <w:szCs w:val="21"/>
                    </w:rPr>
                    <w:t xml:space="preserve"> </w:t>
                  </w:r>
                </w:p>
              </w:tc>
              <w:tc>
                <w:tcPr>
                  <w:tcW w:w="564" w:type="dxa"/>
                  <w:vAlign w:val="center"/>
                </w:tcPr>
                <w:p>
                  <w:pPr>
                    <w:jc w:val="center"/>
                    <w:rPr>
                      <w:rFonts w:hint="eastAsia" w:cs="宋体" w:asciiTheme="majorEastAsia" w:hAnsiTheme="majorEastAsia" w:eastAsiaTheme="majorEastAsia"/>
                      <w:sz w:val="21"/>
                      <w:szCs w:val="21"/>
                    </w:rPr>
                  </w:pPr>
                  <w:r>
                    <w:rPr>
                      <w:rFonts w:cs="宋体" w:asciiTheme="majorEastAsia" w:hAnsiTheme="majorEastAsia" w:eastAsiaTheme="majorEastAsia"/>
                      <w:sz w:val="21"/>
                      <w:szCs w:val="21"/>
                    </w:rPr>
                    <w:t>厂界</w:t>
                  </w:r>
                </w:p>
              </w:tc>
              <w:tc>
                <w:tcPr>
                  <w:tcW w:w="975" w:type="dxa"/>
                  <w:vMerge w:val="restart"/>
                  <w:vAlign w:val="center"/>
                </w:tcPr>
                <w:p>
                  <w:pPr>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4次/天，连续2天</w:t>
                  </w:r>
                </w:p>
                <w:p>
                  <w:pPr>
                    <w:jc w:val="center"/>
                    <w:rPr>
                      <w:rFonts w:hint="eastAsia" w:cs="宋体" w:asciiTheme="majorEastAsia" w:hAnsiTheme="majorEastAsia" w:eastAsiaTheme="majorEastAsia"/>
                      <w:sz w:val="21"/>
                      <w:szCs w:val="21"/>
                    </w:rPr>
                  </w:pPr>
                </w:p>
              </w:tc>
              <w:tc>
                <w:tcPr>
                  <w:tcW w:w="2025" w:type="dxa"/>
                  <w:gridSpan w:val="2"/>
                  <w:vMerge w:val="restart"/>
                  <w:vAlign w:val="center"/>
                </w:tcPr>
                <w:p>
                  <w:pPr>
                    <w:widowControl/>
                    <w:adjustRightInd w:val="0"/>
                    <w:snapToGrid w:val="0"/>
                    <w:jc w:val="center"/>
                    <w:rPr>
                      <w:rFonts w:hint="eastAsia" w:cs="宋体" w:asciiTheme="majorEastAsia" w:hAnsiTheme="majorEastAsia" w:eastAsiaTheme="majorEastAsia"/>
                      <w:b/>
                      <w:sz w:val="21"/>
                      <w:szCs w:val="21"/>
                      <w:lang w:bidi="en-US"/>
                    </w:rPr>
                  </w:pPr>
                  <w:r>
                    <w:rPr>
                      <w:rFonts w:hint="eastAsia" w:asciiTheme="majorEastAsia" w:hAnsiTheme="majorEastAsia" w:eastAsiaTheme="majorEastAsia"/>
                      <w:bCs/>
                      <w:sz w:val="21"/>
                      <w:szCs w:val="21"/>
                    </w:rPr>
                    <w:t>《水泥工业大气污染物排放标准》（GB4915-2013）</w:t>
                  </w:r>
                  <w:r>
                    <w:rPr>
                      <w:rFonts w:hint="eastAsia" w:cs="宋体" w:asciiTheme="majorEastAsia" w:hAnsiTheme="majorEastAsia" w:eastAsiaTheme="majorEastAsia"/>
                      <w:sz w:val="21"/>
                      <w:szCs w:val="21"/>
                    </w:rPr>
                    <w:t>，</w:t>
                  </w:r>
                </w:p>
                <w:p>
                  <w:pPr>
                    <w:autoSpaceDE w:val="0"/>
                    <w:autoSpaceDN w:val="0"/>
                    <w:adjustRightInd w:val="0"/>
                    <w:snapToGrid w:val="0"/>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颗粒物最高允许排放浓度：20mg/m</w:t>
                  </w:r>
                  <w:r>
                    <w:rPr>
                      <w:rFonts w:hint="eastAsia" w:cs="宋体" w:asciiTheme="majorEastAsia" w:hAnsiTheme="majorEastAsia" w:eastAsiaTheme="majorEastAsia"/>
                      <w:sz w:val="21"/>
                      <w:szCs w:val="21"/>
                      <w:vertAlign w:val="superscript"/>
                    </w:rPr>
                    <w:t>3</w:t>
                  </w:r>
                  <w:r>
                    <w:rPr>
                      <w:rFonts w:hint="eastAsia" w:cs="宋体" w:asciiTheme="majorEastAsia" w:hAnsiTheme="majorEastAsia" w:eastAsiaTheme="majorEastAsia"/>
                      <w:sz w:val="21"/>
                      <w:szCs w:val="21"/>
                    </w:rPr>
                    <w:t>、无组织排放监控浓度限值为0.5 mg/m</w:t>
                  </w:r>
                  <w:r>
                    <w:rPr>
                      <w:rFonts w:hint="eastAsia" w:cs="宋体" w:asciiTheme="majorEastAsia" w:hAnsiTheme="majorEastAsia" w:eastAsiaTheme="majorEastAsia"/>
                      <w:sz w:val="21"/>
                      <w:szCs w:val="21"/>
                      <w:vertAlign w:val="superscript"/>
                    </w:rPr>
                    <w:t>3</w:t>
                  </w:r>
                </w:p>
              </w:tc>
              <w:tc>
                <w:tcPr>
                  <w:tcW w:w="640" w:type="dxa"/>
                  <w:vAlign w:val="center"/>
                </w:tcPr>
                <w:p>
                  <w:pPr>
                    <w:adjustRightInd w:val="0"/>
                    <w:snapToGrid w:val="0"/>
                    <w:jc w:val="center"/>
                    <w:rPr>
                      <w:rFonts w:hint="eastAsia" w:hAnsi="宋体" w:cs="宋体"/>
                      <w:sz w:val="21"/>
                      <w:szCs w:val="21"/>
                    </w:rPr>
                  </w:pPr>
                  <w:r>
                    <w:rPr>
                      <w:rFonts w:hint="eastAsia" w:hAnsi="宋体" w:cs="宋体"/>
                      <w:sz w:val="21"/>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6" w:hRule="atLeast"/>
              </w:trPr>
              <w:tc>
                <w:tcPr>
                  <w:tcW w:w="975" w:type="dxa"/>
                  <w:vMerge w:val="continue"/>
                  <w:vAlign w:val="center"/>
                </w:tcPr>
                <w:p>
                  <w:pPr>
                    <w:adjustRightInd w:val="0"/>
                    <w:snapToGrid w:val="0"/>
                    <w:jc w:val="center"/>
                    <w:rPr>
                      <w:rFonts w:hint="eastAsia" w:cs="宋体" w:asciiTheme="majorEastAsia" w:hAnsiTheme="majorEastAsia" w:eastAsiaTheme="majorEastAsia"/>
                      <w:sz w:val="21"/>
                      <w:szCs w:val="21"/>
                    </w:rPr>
                  </w:pPr>
                </w:p>
              </w:tc>
              <w:tc>
                <w:tcPr>
                  <w:tcW w:w="611" w:type="dxa"/>
                  <w:vAlign w:val="center"/>
                </w:tcPr>
                <w:p>
                  <w:pPr>
                    <w:jc w:val="center"/>
                    <w:rPr>
                      <w:rFonts w:hint="eastAsia" w:cs="宋体" w:asciiTheme="majorEastAsia" w:hAnsiTheme="majorEastAsia" w:eastAsiaTheme="majorEastAsia"/>
                      <w:sz w:val="21"/>
                      <w:szCs w:val="21"/>
                    </w:rPr>
                  </w:pPr>
                  <w:r>
                    <w:rPr>
                      <w:rFonts w:hint="eastAsia" w:hAnsi="宋体" w:cs="宋体"/>
                      <w:sz w:val="21"/>
                      <w:szCs w:val="21"/>
                    </w:rPr>
                    <w:t>物料输送及进料口</w:t>
                  </w:r>
                </w:p>
              </w:tc>
              <w:tc>
                <w:tcPr>
                  <w:tcW w:w="987" w:type="dxa"/>
                  <w:vAlign w:val="center"/>
                </w:tcPr>
                <w:p>
                  <w:pPr>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颗粒物</w:t>
                  </w:r>
                </w:p>
              </w:tc>
              <w:tc>
                <w:tcPr>
                  <w:tcW w:w="1685" w:type="dxa"/>
                  <w:vAlign w:val="center"/>
                </w:tcPr>
                <w:p>
                  <w:pPr>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全封闭皮带</w:t>
                  </w:r>
                  <w:r>
                    <w:rPr>
                      <w:rFonts w:hint="eastAsia" w:hAnsi="宋体" w:cs="宋体"/>
                      <w:sz w:val="21"/>
                      <w:szCs w:val="21"/>
                    </w:rPr>
                    <w:t>输送机</w:t>
                  </w:r>
                </w:p>
              </w:tc>
              <w:tc>
                <w:tcPr>
                  <w:tcW w:w="564" w:type="dxa"/>
                  <w:vAlign w:val="center"/>
                </w:tcPr>
                <w:p>
                  <w:pPr>
                    <w:jc w:val="center"/>
                    <w:rPr>
                      <w:rFonts w:hint="eastAsia" w:cs="宋体" w:asciiTheme="majorEastAsia" w:hAnsiTheme="majorEastAsia" w:eastAsiaTheme="majorEastAsia"/>
                      <w:sz w:val="21"/>
                      <w:szCs w:val="21"/>
                    </w:rPr>
                  </w:pPr>
                  <w:r>
                    <w:rPr>
                      <w:rFonts w:cs="宋体" w:asciiTheme="majorEastAsia" w:hAnsiTheme="majorEastAsia" w:eastAsiaTheme="majorEastAsia"/>
                      <w:sz w:val="21"/>
                      <w:szCs w:val="21"/>
                    </w:rPr>
                    <w:t>厂界</w:t>
                  </w:r>
                </w:p>
              </w:tc>
              <w:tc>
                <w:tcPr>
                  <w:tcW w:w="975" w:type="dxa"/>
                  <w:vMerge w:val="continue"/>
                  <w:vAlign w:val="center"/>
                </w:tcPr>
                <w:p>
                  <w:pPr>
                    <w:jc w:val="center"/>
                    <w:rPr>
                      <w:rFonts w:hint="eastAsia" w:cs="宋体" w:asciiTheme="majorEastAsia" w:hAnsiTheme="majorEastAsia" w:eastAsiaTheme="majorEastAsia"/>
                      <w:sz w:val="21"/>
                      <w:szCs w:val="21"/>
                    </w:rPr>
                  </w:pPr>
                </w:p>
              </w:tc>
              <w:tc>
                <w:tcPr>
                  <w:tcW w:w="2025" w:type="dxa"/>
                  <w:gridSpan w:val="2"/>
                  <w:vMerge w:val="continue"/>
                  <w:vAlign w:val="center"/>
                </w:tcPr>
                <w:p>
                  <w:pPr>
                    <w:widowControl/>
                    <w:adjustRightInd w:val="0"/>
                    <w:snapToGrid w:val="0"/>
                    <w:jc w:val="center"/>
                    <w:rPr>
                      <w:rFonts w:hint="eastAsia" w:asciiTheme="majorEastAsia" w:hAnsiTheme="majorEastAsia" w:eastAsiaTheme="majorEastAsia"/>
                      <w:bCs/>
                      <w:sz w:val="21"/>
                      <w:szCs w:val="21"/>
                    </w:rPr>
                  </w:pPr>
                </w:p>
              </w:tc>
              <w:tc>
                <w:tcPr>
                  <w:tcW w:w="640" w:type="dxa"/>
                  <w:vAlign w:val="center"/>
                </w:tcPr>
                <w:p>
                  <w:pPr>
                    <w:adjustRightInd w:val="0"/>
                    <w:snapToGrid w:val="0"/>
                    <w:jc w:val="center"/>
                    <w:rPr>
                      <w:rFonts w:hint="eastAsia" w:hAnsi="宋体" w:cs="宋体"/>
                      <w:sz w:val="21"/>
                      <w:szCs w:val="21"/>
                    </w:rPr>
                  </w:pPr>
                  <w:r>
                    <w:rPr>
                      <w:rFonts w:hint="eastAsia" w:hAnsi="宋体" w:cs="宋体"/>
                      <w:sz w:val="21"/>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8" w:hRule="atLeast"/>
              </w:trPr>
              <w:tc>
                <w:tcPr>
                  <w:tcW w:w="975" w:type="dxa"/>
                  <w:vMerge w:val="continue"/>
                  <w:vAlign w:val="center"/>
                </w:tcPr>
                <w:p>
                  <w:pPr>
                    <w:adjustRightInd w:val="0"/>
                    <w:snapToGrid w:val="0"/>
                    <w:jc w:val="center"/>
                    <w:rPr>
                      <w:rFonts w:hint="eastAsia" w:cs="宋体" w:asciiTheme="majorEastAsia" w:hAnsiTheme="majorEastAsia" w:eastAsiaTheme="majorEastAsia"/>
                      <w:sz w:val="21"/>
                      <w:szCs w:val="21"/>
                    </w:rPr>
                  </w:pPr>
                </w:p>
              </w:tc>
              <w:tc>
                <w:tcPr>
                  <w:tcW w:w="611" w:type="dxa"/>
                  <w:vAlign w:val="center"/>
                </w:tcPr>
                <w:p>
                  <w:pPr>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水泥筒仓</w:t>
                  </w:r>
                </w:p>
              </w:tc>
              <w:tc>
                <w:tcPr>
                  <w:tcW w:w="987" w:type="dxa"/>
                  <w:vAlign w:val="center"/>
                </w:tcPr>
                <w:p>
                  <w:pPr>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颗粒物</w:t>
                  </w:r>
                </w:p>
              </w:tc>
              <w:tc>
                <w:tcPr>
                  <w:tcW w:w="1685" w:type="dxa"/>
                  <w:vAlign w:val="center"/>
                </w:tcPr>
                <w:p>
                  <w:pPr>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经仓顶布袋除尘器处理后由仓顶排气口排出，处理效率为99.7%。</w:t>
                  </w:r>
                  <w:r>
                    <w:rPr>
                      <w:rFonts w:cs="宋体" w:asciiTheme="majorEastAsia" w:hAnsiTheme="majorEastAsia" w:eastAsiaTheme="majorEastAsia"/>
                      <w:sz w:val="21"/>
                      <w:szCs w:val="21"/>
                    </w:rPr>
                    <w:t xml:space="preserve"> </w:t>
                  </w:r>
                </w:p>
              </w:tc>
              <w:tc>
                <w:tcPr>
                  <w:tcW w:w="564" w:type="dxa"/>
                  <w:vAlign w:val="center"/>
                </w:tcPr>
                <w:p>
                  <w:pPr>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厂界</w:t>
                  </w:r>
                </w:p>
              </w:tc>
              <w:tc>
                <w:tcPr>
                  <w:tcW w:w="975" w:type="dxa"/>
                  <w:vMerge w:val="continue"/>
                  <w:vAlign w:val="center"/>
                </w:tcPr>
                <w:p>
                  <w:pPr>
                    <w:jc w:val="center"/>
                    <w:rPr>
                      <w:rFonts w:hint="eastAsia" w:cs="宋体" w:asciiTheme="majorEastAsia" w:hAnsiTheme="majorEastAsia" w:eastAsiaTheme="majorEastAsia"/>
                      <w:sz w:val="21"/>
                      <w:szCs w:val="21"/>
                    </w:rPr>
                  </w:pPr>
                </w:p>
              </w:tc>
              <w:tc>
                <w:tcPr>
                  <w:tcW w:w="2025" w:type="dxa"/>
                  <w:gridSpan w:val="2"/>
                  <w:vMerge w:val="continue"/>
                  <w:vAlign w:val="center"/>
                </w:tcPr>
                <w:p>
                  <w:pPr>
                    <w:widowControl/>
                    <w:adjustRightInd w:val="0"/>
                    <w:snapToGrid w:val="0"/>
                    <w:jc w:val="center"/>
                    <w:rPr>
                      <w:rFonts w:hint="eastAsia" w:cs="宋体" w:asciiTheme="majorEastAsia" w:hAnsiTheme="majorEastAsia" w:eastAsiaTheme="majorEastAsia"/>
                      <w:sz w:val="21"/>
                      <w:szCs w:val="21"/>
                    </w:rPr>
                  </w:pPr>
                </w:p>
              </w:tc>
              <w:tc>
                <w:tcPr>
                  <w:tcW w:w="640" w:type="dxa"/>
                  <w:vAlign w:val="center"/>
                </w:tcPr>
                <w:p>
                  <w:pPr>
                    <w:adjustRightInd w:val="0"/>
                    <w:snapToGrid w:val="0"/>
                    <w:jc w:val="center"/>
                    <w:rPr>
                      <w:rFonts w:hint="eastAsia" w:hAnsi="宋体" w:cs="宋体"/>
                      <w:sz w:val="21"/>
                      <w:szCs w:val="21"/>
                    </w:rPr>
                  </w:pPr>
                  <w:r>
                    <w:rPr>
                      <w:rFonts w:hint="eastAsia" w:hAnsi="宋体" w:cs="宋体"/>
                      <w:sz w:val="21"/>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8" w:hRule="atLeast"/>
              </w:trPr>
              <w:tc>
                <w:tcPr>
                  <w:tcW w:w="975" w:type="dxa"/>
                  <w:vMerge w:val="continue"/>
                  <w:vAlign w:val="center"/>
                </w:tcPr>
                <w:p>
                  <w:pPr>
                    <w:adjustRightInd w:val="0"/>
                    <w:snapToGrid w:val="0"/>
                    <w:jc w:val="center"/>
                    <w:rPr>
                      <w:rFonts w:hint="eastAsia" w:cs="宋体" w:asciiTheme="majorEastAsia" w:hAnsiTheme="majorEastAsia" w:eastAsiaTheme="majorEastAsia"/>
                      <w:sz w:val="21"/>
                      <w:szCs w:val="21"/>
                    </w:rPr>
                  </w:pPr>
                </w:p>
              </w:tc>
              <w:tc>
                <w:tcPr>
                  <w:tcW w:w="611" w:type="dxa"/>
                  <w:vAlign w:val="center"/>
                </w:tcPr>
                <w:p>
                  <w:pPr>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粉煤灰筒仓</w:t>
                  </w:r>
                </w:p>
              </w:tc>
              <w:tc>
                <w:tcPr>
                  <w:tcW w:w="987" w:type="dxa"/>
                  <w:vAlign w:val="center"/>
                </w:tcPr>
                <w:p>
                  <w:pPr>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颗粒物</w:t>
                  </w:r>
                </w:p>
              </w:tc>
              <w:tc>
                <w:tcPr>
                  <w:tcW w:w="1685" w:type="dxa"/>
                  <w:vAlign w:val="center"/>
                </w:tcPr>
                <w:p>
                  <w:pPr>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经仓顶布袋除尘器处理后由仓顶排气口排出，处理效率为99.7%。</w:t>
                  </w:r>
                  <w:r>
                    <w:rPr>
                      <w:rFonts w:cs="宋体" w:asciiTheme="majorEastAsia" w:hAnsiTheme="majorEastAsia" w:eastAsiaTheme="majorEastAsia"/>
                      <w:sz w:val="21"/>
                      <w:szCs w:val="21"/>
                    </w:rPr>
                    <w:t xml:space="preserve"> </w:t>
                  </w:r>
                </w:p>
              </w:tc>
              <w:tc>
                <w:tcPr>
                  <w:tcW w:w="564" w:type="dxa"/>
                  <w:vAlign w:val="center"/>
                </w:tcPr>
                <w:p>
                  <w:pPr>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厂界</w:t>
                  </w:r>
                </w:p>
              </w:tc>
              <w:tc>
                <w:tcPr>
                  <w:tcW w:w="975" w:type="dxa"/>
                  <w:vMerge w:val="continue"/>
                  <w:vAlign w:val="center"/>
                </w:tcPr>
                <w:p>
                  <w:pPr>
                    <w:jc w:val="center"/>
                    <w:rPr>
                      <w:rFonts w:hint="eastAsia" w:cs="宋体" w:asciiTheme="majorEastAsia" w:hAnsiTheme="majorEastAsia" w:eastAsiaTheme="majorEastAsia"/>
                      <w:sz w:val="21"/>
                      <w:szCs w:val="21"/>
                    </w:rPr>
                  </w:pPr>
                </w:p>
              </w:tc>
              <w:tc>
                <w:tcPr>
                  <w:tcW w:w="2025" w:type="dxa"/>
                  <w:gridSpan w:val="2"/>
                  <w:vMerge w:val="continue"/>
                  <w:vAlign w:val="center"/>
                </w:tcPr>
                <w:p>
                  <w:pPr>
                    <w:widowControl/>
                    <w:adjustRightInd w:val="0"/>
                    <w:snapToGrid w:val="0"/>
                    <w:jc w:val="center"/>
                    <w:rPr>
                      <w:rFonts w:hint="eastAsia" w:cs="宋体" w:asciiTheme="majorEastAsia" w:hAnsiTheme="majorEastAsia" w:eastAsiaTheme="majorEastAsia"/>
                      <w:sz w:val="21"/>
                      <w:szCs w:val="21"/>
                    </w:rPr>
                  </w:pPr>
                </w:p>
              </w:tc>
              <w:tc>
                <w:tcPr>
                  <w:tcW w:w="640" w:type="dxa"/>
                  <w:vAlign w:val="center"/>
                </w:tcPr>
                <w:p>
                  <w:pPr>
                    <w:adjustRightInd w:val="0"/>
                    <w:snapToGrid w:val="0"/>
                    <w:jc w:val="center"/>
                    <w:rPr>
                      <w:rFonts w:hint="eastAsia" w:hAnsi="宋体" w:cs="宋体"/>
                      <w:sz w:val="21"/>
                      <w:szCs w:val="21"/>
                    </w:rPr>
                  </w:pPr>
                  <w:r>
                    <w:rPr>
                      <w:rFonts w:hint="eastAsia" w:hAnsi="宋体" w:cs="宋体"/>
                      <w:sz w:val="21"/>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7" w:hRule="atLeast"/>
              </w:trPr>
              <w:tc>
                <w:tcPr>
                  <w:tcW w:w="975" w:type="dxa"/>
                  <w:vMerge w:val="continue"/>
                  <w:vAlign w:val="center"/>
                </w:tcPr>
                <w:p>
                  <w:pPr>
                    <w:widowControl/>
                    <w:jc w:val="left"/>
                    <w:rPr>
                      <w:rFonts w:hint="eastAsia" w:cs="宋体" w:asciiTheme="majorEastAsia" w:hAnsiTheme="majorEastAsia" w:eastAsiaTheme="majorEastAsia"/>
                      <w:sz w:val="21"/>
                      <w:szCs w:val="21"/>
                    </w:rPr>
                  </w:pPr>
                </w:p>
              </w:tc>
              <w:tc>
                <w:tcPr>
                  <w:tcW w:w="611" w:type="dxa"/>
                  <w:vAlign w:val="center"/>
                </w:tcPr>
                <w:p>
                  <w:pPr>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搅拌机</w:t>
                  </w:r>
                </w:p>
              </w:tc>
              <w:tc>
                <w:tcPr>
                  <w:tcW w:w="987" w:type="dxa"/>
                  <w:vAlign w:val="center"/>
                </w:tcPr>
                <w:p>
                  <w:pPr>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颗粒物</w:t>
                  </w:r>
                </w:p>
              </w:tc>
              <w:tc>
                <w:tcPr>
                  <w:tcW w:w="1685" w:type="dxa"/>
                  <w:vAlign w:val="center"/>
                </w:tcPr>
                <w:p>
                  <w:pPr>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经塔顶布袋除尘器处理后由塔顶排气口排出，处理效率为99.7%。</w:t>
                  </w:r>
                </w:p>
              </w:tc>
              <w:tc>
                <w:tcPr>
                  <w:tcW w:w="564" w:type="dxa"/>
                  <w:vAlign w:val="center"/>
                </w:tcPr>
                <w:p>
                  <w:pPr>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厂界</w:t>
                  </w:r>
                </w:p>
              </w:tc>
              <w:tc>
                <w:tcPr>
                  <w:tcW w:w="975" w:type="dxa"/>
                  <w:vMerge w:val="continue"/>
                  <w:vAlign w:val="center"/>
                </w:tcPr>
                <w:p>
                  <w:pPr>
                    <w:jc w:val="center"/>
                    <w:rPr>
                      <w:rFonts w:hint="eastAsia" w:cs="宋体" w:asciiTheme="majorEastAsia" w:hAnsiTheme="majorEastAsia" w:eastAsiaTheme="majorEastAsia"/>
                      <w:sz w:val="21"/>
                      <w:szCs w:val="21"/>
                    </w:rPr>
                  </w:pPr>
                </w:p>
              </w:tc>
              <w:tc>
                <w:tcPr>
                  <w:tcW w:w="2025" w:type="dxa"/>
                  <w:gridSpan w:val="2"/>
                  <w:vMerge w:val="continue"/>
                  <w:vAlign w:val="center"/>
                </w:tcPr>
                <w:p>
                  <w:pPr>
                    <w:widowControl/>
                    <w:jc w:val="left"/>
                    <w:rPr>
                      <w:rFonts w:hint="eastAsia" w:cs="宋体" w:asciiTheme="majorEastAsia" w:hAnsiTheme="majorEastAsia" w:eastAsiaTheme="majorEastAsia"/>
                      <w:sz w:val="21"/>
                      <w:szCs w:val="21"/>
                    </w:rPr>
                  </w:pPr>
                </w:p>
              </w:tc>
              <w:tc>
                <w:tcPr>
                  <w:tcW w:w="640" w:type="dxa"/>
                  <w:vAlign w:val="center"/>
                </w:tcPr>
                <w:p>
                  <w:pPr>
                    <w:adjustRightInd w:val="0"/>
                    <w:snapToGrid w:val="0"/>
                    <w:jc w:val="center"/>
                    <w:rPr>
                      <w:rFonts w:hint="eastAsia" w:hAnsi="宋体" w:cs="宋体"/>
                      <w:sz w:val="21"/>
                      <w:szCs w:val="21"/>
                    </w:rPr>
                  </w:pPr>
                  <w:r>
                    <w:rPr>
                      <w:rFonts w:hint="eastAsia" w:hAnsi="宋体" w:cs="宋体"/>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7" w:hRule="atLeast"/>
              </w:trPr>
              <w:tc>
                <w:tcPr>
                  <w:tcW w:w="975" w:type="dxa"/>
                  <w:vMerge w:val="continue"/>
                  <w:vAlign w:val="center"/>
                </w:tcPr>
                <w:p>
                  <w:pPr>
                    <w:widowControl/>
                    <w:jc w:val="left"/>
                    <w:rPr>
                      <w:rFonts w:hint="eastAsia" w:cs="宋体" w:asciiTheme="majorEastAsia" w:hAnsiTheme="majorEastAsia" w:eastAsiaTheme="majorEastAsia"/>
                      <w:sz w:val="21"/>
                      <w:szCs w:val="21"/>
                    </w:rPr>
                  </w:pPr>
                </w:p>
              </w:tc>
              <w:tc>
                <w:tcPr>
                  <w:tcW w:w="611" w:type="dxa"/>
                  <w:vAlign w:val="center"/>
                </w:tcPr>
                <w:p>
                  <w:pPr>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破碎机</w:t>
                  </w:r>
                </w:p>
              </w:tc>
              <w:tc>
                <w:tcPr>
                  <w:tcW w:w="987" w:type="dxa"/>
                  <w:vAlign w:val="center"/>
                </w:tcPr>
                <w:p>
                  <w:pPr>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颗粒物</w:t>
                  </w:r>
                </w:p>
              </w:tc>
              <w:tc>
                <w:tcPr>
                  <w:tcW w:w="1685" w:type="dxa"/>
                  <w:vAlign w:val="center"/>
                </w:tcPr>
                <w:p>
                  <w:pPr>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破碎机产生的粉尘经引风管道汇集至1台布袋除尘器处理，处理后由1根15m高排气筒排出，处理效率为99%。</w:t>
                  </w:r>
                </w:p>
              </w:tc>
              <w:tc>
                <w:tcPr>
                  <w:tcW w:w="564" w:type="dxa"/>
                  <w:vAlign w:val="center"/>
                </w:tcPr>
                <w:p>
                  <w:pPr>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排气口</w:t>
                  </w:r>
                </w:p>
              </w:tc>
              <w:tc>
                <w:tcPr>
                  <w:tcW w:w="975" w:type="dxa"/>
                  <w:vAlign w:val="center"/>
                </w:tcPr>
                <w:p>
                  <w:pPr>
                    <w:jc w:val="center"/>
                    <w:rPr>
                      <w:rFonts w:hint="eastAsia" w:cs="宋体" w:asciiTheme="majorEastAsia" w:hAnsiTheme="majorEastAsia" w:eastAsiaTheme="majorEastAsia"/>
                      <w:sz w:val="21"/>
                      <w:szCs w:val="21"/>
                    </w:rPr>
                  </w:pPr>
                  <w:r>
                    <w:rPr>
                      <w:rFonts w:hint="eastAsia" w:ascii="宋体" w:hAnsi="宋体"/>
                      <w:sz w:val="21"/>
                      <w:szCs w:val="21"/>
                    </w:rPr>
                    <w:t>3次/天，连续2天</w:t>
                  </w:r>
                </w:p>
              </w:tc>
              <w:tc>
                <w:tcPr>
                  <w:tcW w:w="2025" w:type="dxa"/>
                  <w:gridSpan w:val="2"/>
                  <w:vMerge w:val="continue"/>
                  <w:vAlign w:val="center"/>
                </w:tcPr>
                <w:p>
                  <w:pPr>
                    <w:widowControl/>
                    <w:jc w:val="left"/>
                    <w:rPr>
                      <w:rFonts w:hint="eastAsia" w:cs="宋体" w:asciiTheme="majorEastAsia" w:hAnsiTheme="majorEastAsia" w:eastAsiaTheme="majorEastAsia"/>
                      <w:sz w:val="21"/>
                      <w:szCs w:val="21"/>
                    </w:rPr>
                  </w:pPr>
                </w:p>
              </w:tc>
              <w:tc>
                <w:tcPr>
                  <w:tcW w:w="640" w:type="dxa"/>
                  <w:vAlign w:val="center"/>
                </w:tcPr>
                <w:p>
                  <w:pPr>
                    <w:adjustRightInd w:val="0"/>
                    <w:snapToGrid w:val="0"/>
                    <w:jc w:val="center"/>
                    <w:rPr>
                      <w:rFonts w:hint="eastAsia" w:hAnsi="宋体" w:cs="宋体"/>
                      <w:sz w:val="21"/>
                      <w:szCs w:val="21"/>
                    </w:rPr>
                  </w:pPr>
                  <w:r>
                    <w:rPr>
                      <w:rFonts w:hint="eastAsia" w:hAnsi="宋体" w:cs="宋体"/>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4" w:hRule="atLeast"/>
              </w:trPr>
              <w:tc>
                <w:tcPr>
                  <w:tcW w:w="975" w:type="dxa"/>
                  <w:vMerge w:val="restart"/>
                  <w:vAlign w:val="center"/>
                </w:tcPr>
                <w:p>
                  <w:pPr>
                    <w:adjustRightInd w:val="0"/>
                    <w:snapToGrid w:val="0"/>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废水</w:t>
                  </w:r>
                </w:p>
              </w:tc>
              <w:tc>
                <w:tcPr>
                  <w:tcW w:w="611" w:type="dxa"/>
                  <w:vAlign w:val="center"/>
                </w:tcPr>
                <w:p>
                  <w:pPr>
                    <w:adjustRightInd w:val="0"/>
                    <w:snapToGrid w:val="0"/>
                    <w:ind w:right="-108" w:rightChars="-45"/>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生活</w:t>
                  </w:r>
                </w:p>
                <w:p>
                  <w:pPr>
                    <w:adjustRightInd w:val="0"/>
                    <w:snapToGrid w:val="0"/>
                    <w:ind w:right="-108" w:rightChars="-45"/>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污水</w:t>
                  </w:r>
                </w:p>
              </w:tc>
              <w:tc>
                <w:tcPr>
                  <w:tcW w:w="987" w:type="dxa"/>
                  <w:vAlign w:val="center"/>
                </w:tcPr>
                <w:p>
                  <w:pPr>
                    <w:adjustRightInd w:val="0"/>
                    <w:snapToGrid w:val="0"/>
                    <w:ind w:right="-108" w:rightChars="-45"/>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COD、BOD</w:t>
                  </w:r>
                  <w:r>
                    <w:rPr>
                      <w:rFonts w:hint="eastAsia" w:cs="宋体" w:asciiTheme="majorEastAsia" w:hAnsiTheme="majorEastAsia" w:eastAsiaTheme="majorEastAsia"/>
                      <w:sz w:val="21"/>
                      <w:szCs w:val="21"/>
                      <w:vertAlign w:val="subscript"/>
                    </w:rPr>
                    <w:t>5</w:t>
                  </w:r>
                  <w:r>
                    <w:rPr>
                      <w:rFonts w:hint="eastAsia" w:cs="宋体" w:asciiTheme="majorEastAsia" w:hAnsiTheme="majorEastAsia" w:eastAsiaTheme="majorEastAsia"/>
                      <w:sz w:val="21"/>
                      <w:szCs w:val="21"/>
                    </w:rPr>
                    <w:t>、SS、氨氮等</w:t>
                  </w:r>
                </w:p>
              </w:tc>
              <w:tc>
                <w:tcPr>
                  <w:tcW w:w="1685" w:type="dxa"/>
                  <w:vAlign w:val="center"/>
                </w:tcPr>
                <w:p>
                  <w:pPr>
                    <w:adjustRightInd w:val="0"/>
                    <w:snapToGrid w:val="0"/>
                    <w:ind w:left="-106" w:leftChars="-45" w:right="-108" w:rightChars="-45" w:hanging="2"/>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生活污水采用化粪池</w:t>
                  </w:r>
                  <w:r>
                    <w:rPr>
                      <w:rFonts w:hint="eastAsia" w:asciiTheme="majorEastAsia" w:hAnsiTheme="majorEastAsia" w:eastAsiaTheme="majorEastAsia"/>
                      <w:caps/>
                      <w:spacing w:val="-2"/>
                      <w:sz w:val="21"/>
                      <w:szCs w:val="21"/>
                    </w:rPr>
                    <w:t>处理，</w:t>
                  </w:r>
                  <w:r>
                    <w:rPr>
                      <w:rFonts w:hint="eastAsia"/>
                      <w:bCs/>
                      <w:sz w:val="21"/>
                      <w:szCs w:val="21"/>
                    </w:rPr>
                    <w:t>定期拉运至内蒙古神东天隆集团股份有限公司霍洛湾煤矿处理。</w:t>
                  </w:r>
                  <w:r>
                    <w:rPr>
                      <w:rFonts w:hint="eastAsia" w:asciiTheme="majorEastAsia" w:hAnsiTheme="majorEastAsia" w:eastAsiaTheme="majorEastAsia"/>
                      <w:caps/>
                      <w:spacing w:val="-2"/>
                      <w:sz w:val="21"/>
                      <w:szCs w:val="21"/>
                    </w:rPr>
                    <w:t>项目设1座10</w:t>
                  </w:r>
                  <w:r>
                    <w:rPr>
                      <w:rFonts w:asciiTheme="majorEastAsia" w:hAnsiTheme="majorEastAsia" w:eastAsiaTheme="majorEastAsia"/>
                      <w:bCs/>
                      <w:sz w:val="21"/>
                      <w:szCs w:val="21"/>
                    </w:rPr>
                    <w:t>m</w:t>
                  </w:r>
                  <w:r>
                    <w:rPr>
                      <w:rFonts w:hint="eastAsia" w:asciiTheme="majorEastAsia" w:hAnsiTheme="majorEastAsia" w:eastAsiaTheme="majorEastAsia"/>
                      <w:bCs/>
                      <w:sz w:val="21"/>
                      <w:szCs w:val="21"/>
                      <w:vertAlign w:val="superscript"/>
                    </w:rPr>
                    <w:t>3</w:t>
                  </w:r>
                  <w:r>
                    <w:rPr>
                      <w:rFonts w:hint="eastAsia" w:asciiTheme="majorEastAsia" w:hAnsiTheme="majorEastAsia" w:eastAsiaTheme="majorEastAsia"/>
                      <w:caps/>
                      <w:spacing w:val="-2"/>
                      <w:sz w:val="21"/>
                      <w:szCs w:val="21"/>
                    </w:rPr>
                    <w:t>的化粪池，化粪池采取防渗措施，</w:t>
                  </w:r>
                  <w:r>
                    <w:rPr>
                      <w:sz w:val="21"/>
                      <w:szCs w:val="21"/>
                    </w:rPr>
                    <w:t>防渗技术要求为：等效黏土防渗层Mb≥1.5m，K≤1×10</w:t>
                  </w:r>
                  <w:r>
                    <w:rPr>
                      <w:sz w:val="21"/>
                      <w:szCs w:val="21"/>
                      <w:vertAlign w:val="superscript"/>
                    </w:rPr>
                    <w:t>-7</w:t>
                  </w:r>
                  <w:r>
                    <w:rPr>
                      <w:sz w:val="21"/>
                      <w:szCs w:val="21"/>
                    </w:rPr>
                    <w:t>cm/s。</w:t>
                  </w:r>
                </w:p>
              </w:tc>
              <w:tc>
                <w:tcPr>
                  <w:tcW w:w="564" w:type="dxa"/>
                  <w:vAlign w:val="center"/>
                </w:tcPr>
                <w:p>
                  <w:pPr>
                    <w:adjustRightInd w:val="0"/>
                    <w:snapToGrid w:val="0"/>
                    <w:ind w:left="-106" w:leftChars="-45" w:right="-108" w:rightChars="-45" w:hanging="2"/>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w:t>
                  </w:r>
                </w:p>
              </w:tc>
              <w:tc>
                <w:tcPr>
                  <w:tcW w:w="975" w:type="dxa"/>
                  <w:vAlign w:val="center"/>
                </w:tcPr>
                <w:p>
                  <w:pPr>
                    <w:adjustRightInd w:val="0"/>
                    <w:snapToGrid w:val="0"/>
                    <w:ind w:left="-106" w:leftChars="-45" w:right="-108" w:rightChars="-45" w:hanging="2"/>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w:t>
                  </w:r>
                </w:p>
              </w:tc>
              <w:tc>
                <w:tcPr>
                  <w:tcW w:w="2025" w:type="dxa"/>
                  <w:gridSpan w:val="2"/>
                  <w:vAlign w:val="center"/>
                </w:tcPr>
                <w:p>
                  <w:pPr>
                    <w:autoSpaceDE w:val="0"/>
                    <w:autoSpaceDN w:val="0"/>
                    <w:adjustRightInd w:val="0"/>
                    <w:snapToGrid w:val="0"/>
                    <w:jc w:val="center"/>
                    <w:rPr>
                      <w:rFonts w:hint="eastAsia" w:cs="宋体" w:asciiTheme="majorEastAsia" w:hAnsiTheme="majorEastAsia" w:eastAsiaTheme="majorEastAsia"/>
                      <w:sz w:val="21"/>
                      <w:szCs w:val="21"/>
                    </w:rPr>
                  </w:pPr>
                  <w:r>
                    <w:rPr>
                      <w:rFonts w:asciiTheme="majorEastAsia" w:hAnsiTheme="majorEastAsia" w:eastAsiaTheme="majorEastAsia"/>
                      <w:sz w:val="21"/>
                      <w:szCs w:val="21"/>
                    </w:rPr>
                    <w:t>《污水综合排放标准》（GB8978-1996）中</w:t>
                  </w:r>
                  <w:r>
                    <w:rPr>
                      <w:rFonts w:hint="eastAsia" w:asciiTheme="majorEastAsia" w:hAnsiTheme="majorEastAsia" w:eastAsiaTheme="majorEastAsia"/>
                      <w:sz w:val="21"/>
                      <w:szCs w:val="21"/>
                    </w:rPr>
                    <w:t>三</w:t>
                  </w:r>
                  <w:r>
                    <w:rPr>
                      <w:rFonts w:asciiTheme="majorEastAsia" w:hAnsiTheme="majorEastAsia" w:eastAsiaTheme="majorEastAsia"/>
                      <w:sz w:val="21"/>
                      <w:szCs w:val="21"/>
                    </w:rPr>
                    <w:t>级标准</w:t>
                  </w:r>
                </w:p>
              </w:tc>
              <w:tc>
                <w:tcPr>
                  <w:tcW w:w="640" w:type="dxa"/>
                  <w:vAlign w:val="center"/>
                </w:tcPr>
                <w:p>
                  <w:pPr>
                    <w:adjustRightInd w:val="0"/>
                    <w:snapToGrid w:val="0"/>
                    <w:jc w:val="center"/>
                    <w:rPr>
                      <w:rFonts w:hint="eastAsia" w:hAnsi="宋体" w:cs="宋体"/>
                      <w:sz w:val="21"/>
                      <w:szCs w:val="21"/>
                    </w:rPr>
                  </w:pPr>
                  <w:r>
                    <w:rPr>
                      <w:rFonts w:hint="eastAsia" w:hAnsi="宋体" w:cs="宋体"/>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4" w:hRule="atLeast"/>
              </w:trPr>
              <w:tc>
                <w:tcPr>
                  <w:tcW w:w="975" w:type="dxa"/>
                  <w:vMerge w:val="continue"/>
                  <w:vAlign w:val="center"/>
                </w:tcPr>
                <w:p>
                  <w:pPr>
                    <w:adjustRightInd w:val="0"/>
                    <w:snapToGrid w:val="0"/>
                    <w:jc w:val="center"/>
                    <w:rPr>
                      <w:rFonts w:hint="eastAsia" w:cs="宋体" w:asciiTheme="majorEastAsia" w:hAnsiTheme="majorEastAsia" w:eastAsiaTheme="majorEastAsia"/>
                      <w:sz w:val="21"/>
                      <w:szCs w:val="21"/>
                    </w:rPr>
                  </w:pPr>
                </w:p>
              </w:tc>
              <w:tc>
                <w:tcPr>
                  <w:tcW w:w="611" w:type="dxa"/>
                  <w:vAlign w:val="center"/>
                </w:tcPr>
                <w:p>
                  <w:pPr>
                    <w:adjustRightInd w:val="0"/>
                    <w:snapToGrid w:val="0"/>
                    <w:ind w:right="-108" w:rightChars="-45"/>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设备、及车辆清洗废水</w:t>
                  </w:r>
                </w:p>
              </w:tc>
              <w:tc>
                <w:tcPr>
                  <w:tcW w:w="987" w:type="dxa"/>
                  <w:vAlign w:val="center"/>
                </w:tcPr>
                <w:p>
                  <w:pPr>
                    <w:adjustRightInd w:val="0"/>
                    <w:snapToGrid w:val="0"/>
                    <w:ind w:right="-108" w:rightChars="-45"/>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SS</w:t>
                  </w:r>
                </w:p>
              </w:tc>
              <w:tc>
                <w:tcPr>
                  <w:tcW w:w="1685" w:type="dxa"/>
                  <w:vAlign w:val="center"/>
                </w:tcPr>
                <w:p>
                  <w:pPr>
                    <w:adjustRightInd w:val="0"/>
                    <w:snapToGrid w:val="0"/>
                    <w:ind w:left="-106" w:leftChars="-45" w:right="-108" w:rightChars="-45" w:hanging="2"/>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配套建设1座有效容积60m</w:t>
                  </w:r>
                  <w:r>
                    <w:rPr>
                      <w:rFonts w:hint="eastAsia" w:cs="宋体" w:asciiTheme="majorEastAsia" w:hAnsiTheme="majorEastAsia" w:eastAsiaTheme="majorEastAsia"/>
                      <w:sz w:val="21"/>
                      <w:szCs w:val="21"/>
                      <w:vertAlign w:val="superscript"/>
                    </w:rPr>
                    <w:t>3</w:t>
                  </w:r>
                  <w:r>
                    <w:rPr>
                      <w:rFonts w:hint="eastAsia" w:cs="宋体" w:asciiTheme="majorEastAsia" w:hAnsiTheme="majorEastAsia" w:eastAsiaTheme="majorEastAsia"/>
                      <w:sz w:val="21"/>
                      <w:szCs w:val="21"/>
                    </w:rPr>
                    <w:t>的沉淀池，处理后回用于工艺用水，不外排。沉淀池</w:t>
                  </w:r>
                  <w:r>
                    <w:rPr>
                      <w:rFonts w:hint="eastAsia" w:asciiTheme="majorEastAsia" w:hAnsiTheme="majorEastAsia" w:eastAsiaTheme="majorEastAsia"/>
                      <w:caps/>
                      <w:spacing w:val="-2"/>
                      <w:sz w:val="21"/>
                      <w:szCs w:val="21"/>
                    </w:rPr>
                    <w:t>采取防渗措施，</w:t>
                  </w:r>
                  <w:r>
                    <w:rPr>
                      <w:sz w:val="21"/>
                      <w:szCs w:val="21"/>
                    </w:rPr>
                    <w:t>防渗技术要求为：等效黏土防渗层Mb≥1.5m，K≤1×10</w:t>
                  </w:r>
                  <w:r>
                    <w:rPr>
                      <w:sz w:val="21"/>
                      <w:szCs w:val="21"/>
                      <w:vertAlign w:val="superscript"/>
                    </w:rPr>
                    <w:t>-7</w:t>
                  </w:r>
                  <w:r>
                    <w:rPr>
                      <w:sz w:val="21"/>
                      <w:szCs w:val="21"/>
                    </w:rPr>
                    <w:t>cm/s。</w:t>
                  </w:r>
                </w:p>
              </w:tc>
              <w:tc>
                <w:tcPr>
                  <w:tcW w:w="564" w:type="dxa"/>
                  <w:vAlign w:val="center"/>
                </w:tcPr>
                <w:p>
                  <w:pPr>
                    <w:adjustRightInd w:val="0"/>
                    <w:snapToGrid w:val="0"/>
                    <w:ind w:left="-106" w:leftChars="-45" w:right="-108" w:rightChars="-45" w:hanging="2"/>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w:t>
                  </w:r>
                </w:p>
              </w:tc>
              <w:tc>
                <w:tcPr>
                  <w:tcW w:w="975" w:type="dxa"/>
                  <w:vAlign w:val="center"/>
                </w:tcPr>
                <w:p>
                  <w:pPr>
                    <w:adjustRightInd w:val="0"/>
                    <w:snapToGrid w:val="0"/>
                    <w:ind w:left="-106" w:leftChars="-45" w:right="-108" w:rightChars="-45" w:hanging="2"/>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w:t>
                  </w:r>
                </w:p>
              </w:tc>
              <w:tc>
                <w:tcPr>
                  <w:tcW w:w="2025" w:type="dxa"/>
                  <w:gridSpan w:val="2"/>
                  <w:vAlign w:val="center"/>
                </w:tcPr>
                <w:p>
                  <w:pPr>
                    <w:autoSpaceDE w:val="0"/>
                    <w:autoSpaceDN w:val="0"/>
                    <w:adjustRightInd w:val="0"/>
                    <w:snapToGrid w:val="0"/>
                    <w:jc w:val="center"/>
                    <w:rPr>
                      <w:rFonts w:hint="eastAsia" w:asciiTheme="majorEastAsia" w:hAnsiTheme="majorEastAsia" w:eastAsiaTheme="majorEastAsia"/>
                      <w:sz w:val="21"/>
                      <w:szCs w:val="21"/>
                    </w:rPr>
                  </w:pPr>
                  <w:r>
                    <w:rPr>
                      <w:rFonts w:hint="eastAsia" w:asciiTheme="majorEastAsia" w:hAnsiTheme="majorEastAsia" w:eastAsiaTheme="majorEastAsia"/>
                      <w:sz w:val="21"/>
                      <w:szCs w:val="21"/>
                    </w:rPr>
                    <w:t>/</w:t>
                  </w:r>
                </w:p>
              </w:tc>
              <w:tc>
                <w:tcPr>
                  <w:tcW w:w="640" w:type="dxa"/>
                  <w:vAlign w:val="center"/>
                </w:tcPr>
                <w:p>
                  <w:pPr>
                    <w:adjustRightInd w:val="0"/>
                    <w:snapToGrid w:val="0"/>
                    <w:jc w:val="center"/>
                    <w:rPr>
                      <w:rFonts w:hint="eastAsia" w:hAnsi="宋体" w:cs="宋体"/>
                      <w:sz w:val="21"/>
                      <w:szCs w:val="21"/>
                    </w:rPr>
                  </w:pPr>
                  <w:r>
                    <w:rPr>
                      <w:rFonts w:hint="eastAsia" w:hAnsi="宋体" w:cs="宋体"/>
                      <w:sz w:val="21"/>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trPr>
              <w:tc>
                <w:tcPr>
                  <w:tcW w:w="975" w:type="dxa"/>
                  <w:vAlign w:val="center"/>
                </w:tcPr>
                <w:p>
                  <w:pPr>
                    <w:adjustRightInd w:val="0"/>
                    <w:snapToGrid w:val="0"/>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噪声</w:t>
                  </w:r>
                </w:p>
              </w:tc>
              <w:tc>
                <w:tcPr>
                  <w:tcW w:w="611" w:type="dxa"/>
                  <w:vAlign w:val="center"/>
                </w:tcPr>
                <w:p>
                  <w:pPr>
                    <w:autoSpaceDE w:val="0"/>
                    <w:autoSpaceDN w:val="0"/>
                    <w:adjustRightInd w:val="0"/>
                    <w:snapToGrid w:val="0"/>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车间</w:t>
                  </w:r>
                </w:p>
              </w:tc>
              <w:tc>
                <w:tcPr>
                  <w:tcW w:w="987" w:type="dxa"/>
                  <w:vAlign w:val="center"/>
                </w:tcPr>
                <w:p>
                  <w:pPr>
                    <w:autoSpaceDE w:val="0"/>
                    <w:autoSpaceDN w:val="0"/>
                    <w:adjustRightInd w:val="0"/>
                    <w:snapToGrid w:val="0"/>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设备噪声</w:t>
                  </w:r>
                </w:p>
              </w:tc>
              <w:tc>
                <w:tcPr>
                  <w:tcW w:w="1685" w:type="dxa"/>
                  <w:vAlign w:val="center"/>
                </w:tcPr>
                <w:p>
                  <w:pPr>
                    <w:autoSpaceDE w:val="0"/>
                    <w:autoSpaceDN w:val="0"/>
                    <w:adjustRightInd w:val="0"/>
                    <w:snapToGrid w:val="0"/>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基础减震、室内布置、距离衰减</w:t>
                  </w:r>
                </w:p>
              </w:tc>
              <w:tc>
                <w:tcPr>
                  <w:tcW w:w="564" w:type="dxa"/>
                  <w:vAlign w:val="center"/>
                </w:tcPr>
                <w:p>
                  <w:pPr>
                    <w:autoSpaceDE w:val="0"/>
                    <w:autoSpaceDN w:val="0"/>
                    <w:adjustRightInd w:val="0"/>
                    <w:snapToGrid w:val="0"/>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bCs/>
                      <w:sz w:val="21"/>
                      <w:szCs w:val="21"/>
                    </w:rPr>
                    <w:t>厂界东南西北外1米处</w:t>
                  </w:r>
                </w:p>
              </w:tc>
              <w:tc>
                <w:tcPr>
                  <w:tcW w:w="975" w:type="dxa"/>
                  <w:vAlign w:val="center"/>
                </w:tcPr>
                <w:p>
                  <w:pPr>
                    <w:autoSpaceDE w:val="0"/>
                    <w:autoSpaceDN w:val="0"/>
                    <w:adjustRightInd w:val="0"/>
                    <w:snapToGrid w:val="0"/>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昼夜各1次；连续2天</w:t>
                  </w:r>
                </w:p>
              </w:tc>
              <w:tc>
                <w:tcPr>
                  <w:tcW w:w="2025" w:type="dxa"/>
                  <w:gridSpan w:val="2"/>
                  <w:vAlign w:val="center"/>
                </w:tcPr>
                <w:p>
                  <w:pPr>
                    <w:autoSpaceDE w:val="0"/>
                    <w:autoSpaceDN w:val="0"/>
                    <w:adjustRightInd w:val="0"/>
                    <w:snapToGrid w:val="0"/>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《工业企业厂界环境噪声排放标准》（GB12348-2008）中3类标准</w:t>
                  </w:r>
                </w:p>
              </w:tc>
              <w:tc>
                <w:tcPr>
                  <w:tcW w:w="640" w:type="dxa"/>
                  <w:vAlign w:val="center"/>
                </w:tcPr>
                <w:p>
                  <w:pPr>
                    <w:adjustRightInd w:val="0"/>
                    <w:snapToGrid w:val="0"/>
                    <w:jc w:val="center"/>
                    <w:rPr>
                      <w:rFonts w:hint="eastAsia" w:hAnsi="宋体" w:cs="宋体"/>
                      <w:sz w:val="21"/>
                      <w:szCs w:val="21"/>
                    </w:rPr>
                  </w:pPr>
                  <w:r>
                    <w:rPr>
                      <w:rFonts w:hint="eastAsia" w:hAnsi="宋体" w:cs="宋体"/>
                      <w:sz w:val="21"/>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0" w:hRule="atLeast"/>
              </w:trPr>
              <w:tc>
                <w:tcPr>
                  <w:tcW w:w="975" w:type="dxa"/>
                  <w:vMerge w:val="restart"/>
                  <w:vAlign w:val="center"/>
                </w:tcPr>
                <w:p>
                  <w:pPr>
                    <w:adjustRightInd w:val="0"/>
                    <w:snapToGrid w:val="0"/>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固废</w:t>
                  </w:r>
                </w:p>
              </w:tc>
              <w:tc>
                <w:tcPr>
                  <w:tcW w:w="611" w:type="dxa"/>
                  <w:vAlign w:val="center"/>
                </w:tcPr>
                <w:p>
                  <w:pPr>
                    <w:adjustRightInd w:val="0"/>
                    <w:snapToGrid w:val="0"/>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除尘灰</w:t>
                  </w:r>
                </w:p>
              </w:tc>
              <w:tc>
                <w:tcPr>
                  <w:tcW w:w="987" w:type="dxa"/>
                  <w:vAlign w:val="center"/>
                </w:tcPr>
                <w:p>
                  <w:pPr>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工艺粉尘布袋除尘器收集的粉尘</w:t>
                  </w:r>
                </w:p>
              </w:tc>
              <w:tc>
                <w:tcPr>
                  <w:tcW w:w="3224" w:type="dxa"/>
                  <w:gridSpan w:val="3"/>
                  <w:vAlign w:val="center"/>
                </w:tcPr>
                <w:p>
                  <w:pPr>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由灰斗收集后用作原料返回至工艺，不外排。</w:t>
                  </w:r>
                </w:p>
              </w:tc>
              <w:tc>
                <w:tcPr>
                  <w:tcW w:w="2025" w:type="dxa"/>
                  <w:gridSpan w:val="2"/>
                  <w:vMerge w:val="restart"/>
                  <w:vAlign w:val="center"/>
                </w:tcPr>
                <w:p>
                  <w:pPr>
                    <w:jc w:val="center"/>
                    <w:rPr>
                      <w:rFonts w:hint="eastAsia" w:cs="宋体" w:asciiTheme="majorEastAsia" w:hAnsiTheme="majorEastAsia" w:eastAsiaTheme="majorEastAsia"/>
                      <w:sz w:val="21"/>
                      <w:szCs w:val="21"/>
                    </w:rPr>
                  </w:pPr>
                  <w:r>
                    <w:rPr>
                      <w:rFonts w:hint="eastAsia" w:asciiTheme="majorEastAsia" w:hAnsiTheme="majorEastAsia" w:eastAsiaTheme="majorEastAsia"/>
                      <w:bCs/>
                      <w:sz w:val="21"/>
                      <w:szCs w:val="21"/>
                    </w:rPr>
                    <w:t>《一般工业固体废物贮存和填埋污染控制标准》（GB18599－2020）</w:t>
                  </w:r>
                </w:p>
              </w:tc>
              <w:tc>
                <w:tcPr>
                  <w:tcW w:w="640" w:type="dxa"/>
                  <w:vAlign w:val="center"/>
                </w:tcPr>
                <w:p>
                  <w:pPr>
                    <w:adjustRightInd w:val="0"/>
                    <w:snapToGrid w:val="0"/>
                    <w:jc w:val="center"/>
                    <w:rPr>
                      <w:rFonts w:hint="eastAsia" w:hAnsi="宋体" w:cs="宋体"/>
                      <w:sz w:val="21"/>
                      <w:szCs w:val="21"/>
                    </w:rPr>
                  </w:pPr>
                  <w:r>
                    <w:rPr>
                      <w:rFonts w:hint="eastAsia" w:hAnsi="宋体" w:cs="宋体"/>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0" w:hRule="atLeast"/>
              </w:trPr>
              <w:tc>
                <w:tcPr>
                  <w:tcW w:w="975" w:type="dxa"/>
                  <w:vMerge w:val="continue"/>
                  <w:vAlign w:val="center"/>
                </w:tcPr>
                <w:p>
                  <w:pPr>
                    <w:adjustRightInd w:val="0"/>
                    <w:snapToGrid w:val="0"/>
                    <w:jc w:val="center"/>
                    <w:rPr>
                      <w:rFonts w:hint="eastAsia" w:cs="宋体" w:asciiTheme="majorEastAsia" w:hAnsiTheme="majorEastAsia" w:eastAsiaTheme="majorEastAsia"/>
                      <w:sz w:val="21"/>
                      <w:szCs w:val="21"/>
                    </w:rPr>
                  </w:pPr>
                </w:p>
              </w:tc>
              <w:tc>
                <w:tcPr>
                  <w:tcW w:w="1598" w:type="dxa"/>
                  <w:gridSpan w:val="2"/>
                  <w:vAlign w:val="center"/>
                </w:tcPr>
                <w:p>
                  <w:pPr>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废旧布袋</w:t>
                  </w:r>
                </w:p>
              </w:tc>
              <w:tc>
                <w:tcPr>
                  <w:tcW w:w="3224" w:type="dxa"/>
                  <w:gridSpan w:val="3"/>
                  <w:vAlign w:val="center"/>
                </w:tcPr>
                <w:p>
                  <w:pPr>
                    <w:jc w:val="center"/>
                    <w:rPr>
                      <w:rFonts w:hint="eastAsia" w:cs="宋体" w:asciiTheme="majorEastAsia" w:hAnsiTheme="majorEastAsia" w:eastAsiaTheme="majorEastAsia"/>
                      <w:sz w:val="21"/>
                      <w:szCs w:val="21"/>
                    </w:rPr>
                  </w:pPr>
                  <w:r>
                    <w:rPr>
                      <w:rFonts w:hint="eastAsia" w:ascii="宋体" w:hAnsi="宋体"/>
                      <w:sz w:val="21"/>
                      <w:szCs w:val="21"/>
                    </w:rPr>
                    <w:t>产生的废旧布袋集中收集，收集后由厂家回收利用，不外排。</w:t>
                  </w:r>
                </w:p>
              </w:tc>
              <w:tc>
                <w:tcPr>
                  <w:tcW w:w="2025" w:type="dxa"/>
                  <w:gridSpan w:val="2"/>
                  <w:vMerge w:val="continue"/>
                  <w:vAlign w:val="center"/>
                </w:tcPr>
                <w:p>
                  <w:pPr>
                    <w:jc w:val="center"/>
                    <w:rPr>
                      <w:rFonts w:hint="eastAsia" w:asciiTheme="majorEastAsia" w:hAnsiTheme="majorEastAsia" w:eastAsiaTheme="majorEastAsia"/>
                      <w:bCs/>
                      <w:sz w:val="21"/>
                      <w:szCs w:val="21"/>
                    </w:rPr>
                  </w:pPr>
                </w:p>
              </w:tc>
              <w:tc>
                <w:tcPr>
                  <w:tcW w:w="640" w:type="dxa"/>
                  <w:vAlign w:val="center"/>
                </w:tcPr>
                <w:p>
                  <w:pPr>
                    <w:adjustRightInd w:val="0"/>
                    <w:snapToGrid w:val="0"/>
                    <w:jc w:val="center"/>
                    <w:rPr>
                      <w:rFonts w:hint="eastAsia" w:hAnsi="宋体" w:cs="宋体"/>
                      <w:sz w:val="21"/>
                      <w:szCs w:val="21"/>
                    </w:rPr>
                  </w:pPr>
                  <w:r>
                    <w:rPr>
                      <w:rFonts w:hint="eastAsia" w:hAnsi="宋体" w:cs="宋体"/>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trPr>
              <w:tc>
                <w:tcPr>
                  <w:tcW w:w="975" w:type="dxa"/>
                  <w:vMerge w:val="continue"/>
                  <w:vAlign w:val="center"/>
                </w:tcPr>
                <w:p>
                  <w:pPr>
                    <w:widowControl/>
                    <w:jc w:val="left"/>
                    <w:rPr>
                      <w:rFonts w:hint="eastAsia" w:cs="宋体" w:asciiTheme="majorEastAsia" w:hAnsiTheme="majorEastAsia" w:eastAsiaTheme="majorEastAsia"/>
                      <w:sz w:val="21"/>
                      <w:szCs w:val="21"/>
                    </w:rPr>
                  </w:pPr>
                </w:p>
              </w:tc>
              <w:tc>
                <w:tcPr>
                  <w:tcW w:w="1598" w:type="dxa"/>
                  <w:gridSpan w:val="2"/>
                  <w:vAlign w:val="center"/>
                </w:tcPr>
                <w:p>
                  <w:pPr>
                    <w:adjustRightInd w:val="0"/>
                    <w:snapToGrid w:val="0"/>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沉淀池沉淀砂石</w:t>
                  </w:r>
                </w:p>
              </w:tc>
              <w:tc>
                <w:tcPr>
                  <w:tcW w:w="3224" w:type="dxa"/>
                  <w:gridSpan w:val="3"/>
                  <w:vAlign w:val="center"/>
                </w:tcPr>
                <w:p>
                  <w:pPr>
                    <w:jc w:val="center"/>
                    <w:rPr>
                      <w:rFonts w:hint="eastAsia" w:cs="宋体" w:asciiTheme="majorEastAsia" w:hAnsiTheme="majorEastAsia" w:eastAsiaTheme="majorEastAsia"/>
                      <w:kern w:val="0"/>
                      <w:sz w:val="21"/>
                      <w:szCs w:val="21"/>
                    </w:rPr>
                  </w:pPr>
                  <w:r>
                    <w:rPr>
                      <w:rFonts w:hint="eastAsia" w:cs="宋体" w:asciiTheme="majorEastAsia" w:hAnsiTheme="majorEastAsia" w:eastAsiaTheme="majorEastAsia"/>
                      <w:sz w:val="21"/>
                      <w:szCs w:val="21"/>
                    </w:rPr>
                    <w:t>收集后用作原料返回至工艺，不外排。</w:t>
                  </w:r>
                </w:p>
              </w:tc>
              <w:tc>
                <w:tcPr>
                  <w:tcW w:w="2025" w:type="dxa"/>
                  <w:gridSpan w:val="2"/>
                  <w:vMerge w:val="continue"/>
                  <w:vAlign w:val="center"/>
                </w:tcPr>
                <w:p>
                  <w:pPr>
                    <w:widowControl/>
                    <w:jc w:val="left"/>
                    <w:rPr>
                      <w:rFonts w:hint="eastAsia" w:cs="宋体" w:asciiTheme="majorEastAsia" w:hAnsiTheme="majorEastAsia" w:eastAsiaTheme="majorEastAsia"/>
                      <w:sz w:val="21"/>
                      <w:szCs w:val="21"/>
                    </w:rPr>
                  </w:pPr>
                </w:p>
              </w:tc>
              <w:tc>
                <w:tcPr>
                  <w:tcW w:w="640" w:type="dxa"/>
                  <w:vAlign w:val="center"/>
                </w:tcPr>
                <w:p>
                  <w:pPr>
                    <w:adjustRightInd w:val="0"/>
                    <w:snapToGrid w:val="0"/>
                    <w:jc w:val="center"/>
                    <w:rPr>
                      <w:rFonts w:hint="eastAsia" w:hAnsi="宋体" w:cs="宋体"/>
                      <w:sz w:val="21"/>
                      <w:szCs w:val="21"/>
                    </w:rPr>
                  </w:pPr>
                  <w:r>
                    <w:rPr>
                      <w:rFonts w:hint="eastAsia" w:hAnsi="宋体" w:cs="宋体"/>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 w:hRule="atLeast"/>
              </w:trPr>
              <w:tc>
                <w:tcPr>
                  <w:tcW w:w="975" w:type="dxa"/>
                  <w:vMerge w:val="continue"/>
                  <w:vAlign w:val="center"/>
                </w:tcPr>
                <w:p>
                  <w:pPr>
                    <w:widowControl/>
                    <w:jc w:val="left"/>
                    <w:rPr>
                      <w:rFonts w:hint="eastAsia" w:cs="宋体" w:asciiTheme="majorEastAsia" w:hAnsiTheme="majorEastAsia" w:eastAsiaTheme="majorEastAsia"/>
                      <w:sz w:val="21"/>
                      <w:szCs w:val="21"/>
                    </w:rPr>
                  </w:pPr>
                </w:p>
              </w:tc>
              <w:tc>
                <w:tcPr>
                  <w:tcW w:w="1598" w:type="dxa"/>
                  <w:gridSpan w:val="2"/>
                  <w:vAlign w:val="center"/>
                </w:tcPr>
                <w:p>
                  <w:pPr>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生活垃圾</w:t>
                  </w:r>
                </w:p>
              </w:tc>
              <w:tc>
                <w:tcPr>
                  <w:tcW w:w="3224" w:type="dxa"/>
                  <w:gridSpan w:val="3"/>
                  <w:vAlign w:val="center"/>
                </w:tcPr>
                <w:p>
                  <w:pPr>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暂存在垃圾桶内，</w:t>
                  </w:r>
                  <w:r>
                    <w:rPr>
                      <w:rFonts w:hint="eastAsia" w:asciiTheme="majorEastAsia" w:hAnsiTheme="majorEastAsia" w:eastAsiaTheme="majorEastAsia"/>
                      <w:bCs/>
                      <w:sz w:val="21"/>
                      <w:szCs w:val="21"/>
                    </w:rPr>
                    <w:t>定期交由环卫部门统一清理、处置。</w:t>
                  </w:r>
                </w:p>
              </w:tc>
              <w:tc>
                <w:tcPr>
                  <w:tcW w:w="2025" w:type="dxa"/>
                  <w:gridSpan w:val="2"/>
                  <w:vAlign w:val="center"/>
                </w:tcPr>
                <w:p>
                  <w:pPr>
                    <w:autoSpaceDE w:val="0"/>
                    <w:autoSpaceDN w:val="0"/>
                    <w:adjustRightInd w:val="0"/>
                    <w:snapToGrid w:val="0"/>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w:t>
                  </w:r>
                </w:p>
              </w:tc>
              <w:tc>
                <w:tcPr>
                  <w:tcW w:w="640" w:type="dxa"/>
                  <w:vAlign w:val="center"/>
                </w:tcPr>
                <w:p>
                  <w:pPr>
                    <w:adjustRightInd w:val="0"/>
                    <w:snapToGrid w:val="0"/>
                    <w:jc w:val="center"/>
                    <w:rPr>
                      <w:rFonts w:hint="eastAsia" w:hAnsi="宋体" w:cs="宋体"/>
                      <w:sz w:val="21"/>
                      <w:szCs w:val="21"/>
                    </w:rPr>
                  </w:pPr>
                  <w:r>
                    <w:rPr>
                      <w:rFonts w:hint="eastAsia" w:hAnsi="宋体" w:cs="宋体"/>
                      <w:sz w:val="21"/>
                      <w:szCs w:val="21"/>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trPr>
              <w:tc>
                <w:tcPr>
                  <w:tcW w:w="975" w:type="dxa"/>
                  <w:vAlign w:val="center"/>
                </w:tcPr>
                <w:p>
                  <w:pPr>
                    <w:jc w:val="center"/>
                    <w:rPr>
                      <w:rFonts w:hint="eastAsia" w:hAnsi="宋体" w:cs="宋体"/>
                      <w:sz w:val="21"/>
                      <w:szCs w:val="21"/>
                    </w:rPr>
                  </w:pPr>
                  <w:r>
                    <w:rPr>
                      <w:rFonts w:hint="eastAsia" w:hAnsi="宋体" w:cs="宋体"/>
                      <w:sz w:val="21"/>
                      <w:szCs w:val="21"/>
                    </w:rPr>
                    <w:t>防渗</w:t>
                  </w:r>
                </w:p>
              </w:tc>
              <w:tc>
                <w:tcPr>
                  <w:tcW w:w="4822" w:type="dxa"/>
                  <w:gridSpan w:val="5"/>
                  <w:vAlign w:val="center"/>
                </w:tcPr>
                <w:p>
                  <w:pPr>
                    <w:adjustRightInd w:val="0"/>
                    <w:snapToGrid w:val="0"/>
                    <w:jc w:val="center"/>
                    <w:rPr>
                      <w:rFonts w:hint="eastAsia" w:hAnsi="宋体" w:cs="宋体"/>
                      <w:sz w:val="21"/>
                      <w:szCs w:val="21"/>
                    </w:rPr>
                  </w:pPr>
                  <w:r>
                    <w:rPr>
                      <w:rFonts w:hint="eastAsia"/>
                      <w:kern w:val="0"/>
                      <w:sz w:val="21"/>
                      <w:szCs w:val="21"/>
                    </w:rPr>
                    <w:t>化粪池、沉淀池采取防渗措施</w:t>
                  </w:r>
                  <w:r>
                    <w:rPr>
                      <w:rFonts w:hint="eastAsia" w:hAnsi="宋体"/>
                      <w:sz w:val="21"/>
                      <w:szCs w:val="21"/>
                    </w:rPr>
                    <w:t>，</w:t>
                  </w:r>
                  <w:r>
                    <w:rPr>
                      <w:sz w:val="21"/>
                      <w:szCs w:val="21"/>
                    </w:rPr>
                    <w:t>防渗技术要求为：等效黏土防渗层Mb≥1.5m，K≤1×10</w:t>
                  </w:r>
                  <w:r>
                    <w:rPr>
                      <w:sz w:val="21"/>
                      <w:szCs w:val="21"/>
                      <w:vertAlign w:val="superscript"/>
                    </w:rPr>
                    <w:t>-7</w:t>
                  </w:r>
                  <w:r>
                    <w:rPr>
                      <w:sz w:val="21"/>
                      <w:szCs w:val="21"/>
                    </w:rPr>
                    <w:t>cm/s</w:t>
                  </w:r>
                  <w:r>
                    <w:rPr>
                      <w:rFonts w:hint="eastAsia" w:hAnsi="宋体"/>
                      <w:sz w:val="21"/>
                      <w:szCs w:val="21"/>
                    </w:rPr>
                    <w:t>；</w:t>
                  </w:r>
                  <w:r>
                    <w:rPr>
                      <w:rFonts w:hint="eastAsia"/>
                      <w:sz w:val="21"/>
                      <w:szCs w:val="21"/>
                    </w:rPr>
                    <w:t>对储棚地面进行一般地面硬化（混凝土硬化）</w:t>
                  </w:r>
                  <w:r>
                    <w:rPr>
                      <w:rFonts w:hint="eastAsia" w:hAnsi="宋体"/>
                      <w:sz w:val="21"/>
                      <w:szCs w:val="21"/>
                    </w:rPr>
                    <w:t>。</w:t>
                  </w:r>
                </w:p>
              </w:tc>
              <w:tc>
                <w:tcPr>
                  <w:tcW w:w="2025" w:type="dxa"/>
                  <w:gridSpan w:val="2"/>
                  <w:vAlign w:val="center"/>
                </w:tcPr>
                <w:p>
                  <w:pPr>
                    <w:adjustRightInd w:val="0"/>
                    <w:snapToGrid w:val="0"/>
                    <w:jc w:val="center"/>
                    <w:rPr>
                      <w:rFonts w:hint="eastAsia" w:hAnsi="宋体" w:cs="宋体"/>
                      <w:sz w:val="21"/>
                      <w:szCs w:val="21"/>
                    </w:rPr>
                  </w:pPr>
                  <w:r>
                    <w:rPr>
                      <w:rFonts w:hint="eastAsia" w:cs="宋体" w:asciiTheme="majorEastAsia" w:hAnsiTheme="majorEastAsia" w:eastAsiaTheme="majorEastAsia"/>
                      <w:sz w:val="21"/>
                      <w:szCs w:val="21"/>
                    </w:rPr>
                    <w:t>-</w:t>
                  </w:r>
                </w:p>
              </w:tc>
              <w:tc>
                <w:tcPr>
                  <w:tcW w:w="640" w:type="dxa"/>
                  <w:vAlign w:val="center"/>
                </w:tcPr>
                <w:p>
                  <w:pPr>
                    <w:adjustRightInd w:val="0"/>
                    <w:snapToGrid w:val="0"/>
                    <w:jc w:val="center"/>
                    <w:rPr>
                      <w:rFonts w:hint="eastAsia" w:hAnsi="宋体" w:cs="宋体"/>
                      <w:sz w:val="21"/>
                      <w:szCs w:val="21"/>
                    </w:rPr>
                  </w:pPr>
                  <w:r>
                    <w:rPr>
                      <w:rFonts w:hint="eastAsia" w:hAnsi="宋体" w:cs="宋体"/>
                      <w:sz w:val="21"/>
                      <w:szCs w:val="21"/>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975" w:type="dxa"/>
                  <w:vAlign w:val="center"/>
                </w:tcPr>
                <w:p>
                  <w:pPr>
                    <w:jc w:val="center"/>
                    <w:rPr>
                      <w:rFonts w:hint="eastAsia" w:hAnsi="宋体" w:cs="宋体"/>
                      <w:sz w:val="21"/>
                      <w:szCs w:val="21"/>
                    </w:rPr>
                  </w:pPr>
                  <w:r>
                    <w:rPr>
                      <w:rFonts w:hAnsi="宋体" w:cs="宋体"/>
                      <w:sz w:val="21"/>
                      <w:szCs w:val="21"/>
                    </w:rPr>
                    <w:t>绿化</w:t>
                  </w:r>
                </w:p>
              </w:tc>
              <w:tc>
                <w:tcPr>
                  <w:tcW w:w="4868" w:type="dxa"/>
                  <w:gridSpan w:val="6"/>
                  <w:vAlign w:val="center"/>
                </w:tcPr>
                <w:p>
                  <w:pPr>
                    <w:adjustRightInd w:val="0"/>
                    <w:snapToGrid w:val="0"/>
                    <w:jc w:val="center"/>
                    <w:rPr>
                      <w:rFonts w:hint="eastAsia" w:hAnsi="宋体" w:cs="宋体"/>
                      <w:sz w:val="21"/>
                      <w:szCs w:val="21"/>
                    </w:rPr>
                  </w:pPr>
                  <w:r>
                    <w:rPr>
                      <w:rFonts w:hint="eastAsia"/>
                      <w:kern w:val="0"/>
                      <w:sz w:val="21"/>
                      <w:szCs w:val="21"/>
                    </w:rPr>
                    <w:t>项目绿化面积为200m</w:t>
                  </w:r>
                  <w:r>
                    <w:rPr>
                      <w:rFonts w:hint="eastAsia"/>
                      <w:kern w:val="0"/>
                      <w:sz w:val="21"/>
                      <w:szCs w:val="21"/>
                      <w:vertAlign w:val="superscript"/>
                    </w:rPr>
                    <w:t>2</w:t>
                  </w:r>
                  <w:r>
                    <w:rPr>
                      <w:kern w:val="0"/>
                      <w:sz w:val="21"/>
                      <w:szCs w:val="21"/>
                    </w:rPr>
                    <w:t>。</w:t>
                  </w:r>
                </w:p>
              </w:tc>
              <w:tc>
                <w:tcPr>
                  <w:tcW w:w="1979" w:type="dxa"/>
                  <w:vAlign w:val="center"/>
                </w:tcPr>
                <w:p>
                  <w:pPr>
                    <w:autoSpaceDE w:val="0"/>
                    <w:autoSpaceDN w:val="0"/>
                    <w:adjustRightInd w:val="0"/>
                    <w:snapToGrid w:val="0"/>
                    <w:jc w:val="center"/>
                    <w:rPr>
                      <w:rFonts w:hint="eastAsia" w:hAnsi="宋体" w:cs="宋体"/>
                      <w:sz w:val="21"/>
                      <w:szCs w:val="21"/>
                    </w:rPr>
                  </w:pPr>
                  <w:r>
                    <w:rPr>
                      <w:rFonts w:hint="eastAsia" w:cs="宋体" w:asciiTheme="majorEastAsia" w:hAnsiTheme="majorEastAsia" w:eastAsiaTheme="majorEastAsia"/>
                      <w:sz w:val="21"/>
                      <w:szCs w:val="21"/>
                    </w:rPr>
                    <w:t>-</w:t>
                  </w:r>
                </w:p>
              </w:tc>
              <w:tc>
                <w:tcPr>
                  <w:tcW w:w="640" w:type="dxa"/>
                  <w:vAlign w:val="center"/>
                </w:tcPr>
                <w:p>
                  <w:pPr>
                    <w:adjustRightInd w:val="0"/>
                    <w:snapToGrid w:val="0"/>
                    <w:jc w:val="center"/>
                    <w:rPr>
                      <w:rFonts w:hint="eastAsia" w:hAnsi="宋体" w:cs="宋体"/>
                      <w:sz w:val="21"/>
                      <w:szCs w:val="21"/>
                    </w:rPr>
                  </w:pPr>
                  <w:r>
                    <w:rPr>
                      <w:rFonts w:hint="eastAsia" w:hAnsi="宋体" w:cs="宋体"/>
                      <w:sz w:val="21"/>
                      <w:szCs w:val="21"/>
                    </w:rPr>
                    <w:t>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trPr>
              <w:tc>
                <w:tcPr>
                  <w:tcW w:w="2573" w:type="dxa"/>
                  <w:gridSpan w:val="3"/>
                  <w:vAlign w:val="center"/>
                </w:tcPr>
                <w:p>
                  <w:pPr>
                    <w:adjustRightInd w:val="0"/>
                    <w:snapToGrid w:val="0"/>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合计</w:t>
                  </w:r>
                </w:p>
              </w:tc>
              <w:tc>
                <w:tcPr>
                  <w:tcW w:w="3224" w:type="dxa"/>
                  <w:gridSpan w:val="3"/>
                  <w:vAlign w:val="center"/>
                </w:tcPr>
                <w:p>
                  <w:pPr>
                    <w:adjustRightInd w:val="0"/>
                    <w:snapToGrid w:val="0"/>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w:t>
                  </w:r>
                </w:p>
              </w:tc>
              <w:tc>
                <w:tcPr>
                  <w:tcW w:w="2025" w:type="dxa"/>
                  <w:gridSpan w:val="2"/>
                  <w:vAlign w:val="center"/>
                </w:tcPr>
                <w:p>
                  <w:pPr>
                    <w:adjustRightInd w:val="0"/>
                    <w:snapToGrid w:val="0"/>
                    <w:jc w:val="center"/>
                    <w:rPr>
                      <w:rFonts w:hint="eastAsia" w:cs="宋体" w:asciiTheme="majorEastAsia" w:hAnsiTheme="majorEastAsia" w:eastAsiaTheme="majorEastAsia"/>
                      <w:sz w:val="21"/>
                      <w:szCs w:val="21"/>
                    </w:rPr>
                  </w:pPr>
                  <w:r>
                    <w:rPr>
                      <w:rFonts w:hint="eastAsia" w:cs="宋体" w:asciiTheme="majorEastAsia" w:hAnsiTheme="majorEastAsia" w:eastAsiaTheme="majorEastAsia"/>
                      <w:sz w:val="21"/>
                      <w:szCs w:val="21"/>
                    </w:rPr>
                    <w:t>-</w:t>
                  </w:r>
                </w:p>
              </w:tc>
              <w:tc>
                <w:tcPr>
                  <w:tcW w:w="640" w:type="dxa"/>
                  <w:vAlign w:val="center"/>
                </w:tcPr>
                <w:p>
                  <w:pPr>
                    <w:adjustRightInd w:val="0"/>
                    <w:snapToGrid w:val="0"/>
                    <w:jc w:val="center"/>
                    <w:rPr>
                      <w:rFonts w:hint="eastAsia" w:hAnsi="宋体" w:cs="宋体"/>
                      <w:sz w:val="21"/>
                      <w:szCs w:val="21"/>
                    </w:rPr>
                  </w:pPr>
                  <w:r>
                    <w:rPr>
                      <w:rFonts w:hint="eastAsia" w:hAnsi="宋体" w:cs="宋体"/>
                      <w:sz w:val="21"/>
                      <w:szCs w:val="21"/>
                    </w:rPr>
                    <w:t>90</w:t>
                  </w:r>
                </w:p>
              </w:tc>
            </w:tr>
          </w:tbl>
          <w:p>
            <w:pPr>
              <w:pStyle w:val="2"/>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pPr>
          </w:p>
          <w:p>
            <w:pPr>
              <w:pStyle w:val="10"/>
              <w:ind w:firstLine="0" w:firstLineChars="0"/>
              <w:rPr>
                <w:rFonts w:hint="eastAsia"/>
              </w:rPr>
            </w:pPr>
          </w:p>
        </w:tc>
      </w:tr>
    </w:tbl>
    <w:p>
      <w:pPr>
        <w:pStyle w:val="17"/>
        <w:jc w:val="center"/>
        <w:outlineLvl w:val="0"/>
        <w:rPr>
          <w:rFonts w:hint="eastAsia" w:ascii="黑体" w:hAnsi="黑体" w:eastAsia="黑体"/>
          <w:snapToGrid w:val="0"/>
          <w:sz w:val="30"/>
          <w:szCs w:val="30"/>
        </w:rPr>
      </w:pPr>
      <w:r>
        <w:rPr>
          <w:rFonts w:hint="eastAsia" w:ascii="黑体" w:hAnsi="黑体" w:eastAsia="黑体"/>
          <w:snapToGrid w:val="0"/>
          <w:sz w:val="30"/>
          <w:szCs w:val="30"/>
        </w:rPr>
        <w:t>五、</w:t>
      </w:r>
      <w:bookmarkStart w:id="2" w:name="_Hlk54167917"/>
      <w:r>
        <w:rPr>
          <w:rFonts w:hint="eastAsia" w:ascii="黑体" w:hAnsi="黑体" w:eastAsia="黑体"/>
          <w:snapToGrid w:val="0"/>
          <w:sz w:val="30"/>
          <w:szCs w:val="30"/>
        </w:rPr>
        <w:t>环境保护措施监督检查清单</w:t>
      </w:r>
      <w:bookmarkEnd w:id="2"/>
    </w:p>
    <w:tbl>
      <w:tblPr>
        <w:tblStyle w:val="1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79"/>
        <w:gridCol w:w="1418"/>
        <w:gridCol w:w="1134"/>
        <w:gridCol w:w="2268"/>
        <w:gridCol w:w="230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679" w:type="dxa"/>
            <w:tcBorders>
              <w:tl2br w:val="single" w:color="auto" w:sz="4" w:space="0"/>
            </w:tcBorders>
          </w:tcPr>
          <w:p>
            <w:pPr>
              <w:adjustRightInd w:val="0"/>
              <w:snapToGrid w:val="0"/>
              <w:ind w:firstLine="840"/>
              <w:rPr>
                <w:rFonts w:hint="eastAsia" w:ascii="宋体" w:hAnsi="宋体" w:cs="宋体"/>
              </w:rPr>
            </w:pPr>
            <w:r>
              <w:rPr>
                <w:rFonts w:hint="eastAsia" w:ascii="宋体" w:hAnsi="宋体" w:cs="宋体"/>
              </w:rPr>
              <w:t>内容</w:t>
            </w:r>
          </w:p>
          <w:p>
            <w:pPr>
              <w:adjustRightInd w:val="0"/>
              <w:snapToGrid w:val="0"/>
              <w:rPr>
                <w:rFonts w:hint="eastAsia" w:ascii="宋体" w:hAnsi="宋体" w:cs="宋体"/>
              </w:rPr>
            </w:pPr>
            <w:r>
              <w:rPr>
                <w:rFonts w:hint="eastAsia" w:ascii="宋体" w:hAnsi="宋体" w:cs="宋体"/>
              </w:rPr>
              <w:t>要素</w:t>
            </w:r>
          </w:p>
        </w:tc>
        <w:tc>
          <w:tcPr>
            <w:tcW w:w="1418" w:type="dxa"/>
            <w:vAlign w:val="center"/>
          </w:tcPr>
          <w:p>
            <w:pPr>
              <w:adjustRightInd w:val="0"/>
              <w:snapToGrid w:val="0"/>
              <w:jc w:val="center"/>
              <w:rPr>
                <w:rFonts w:hint="eastAsia" w:ascii="宋体" w:hAnsi="宋体" w:cs="宋体"/>
              </w:rPr>
            </w:pPr>
            <w:r>
              <w:rPr>
                <w:rFonts w:hint="eastAsia" w:ascii="宋体" w:hAnsi="宋体" w:cs="宋体"/>
              </w:rPr>
              <w:t>排放口(编号、名称)/污染源</w:t>
            </w:r>
          </w:p>
        </w:tc>
        <w:tc>
          <w:tcPr>
            <w:tcW w:w="1134" w:type="dxa"/>
            <w:vAlign w:val="center"/>
          </w:tcPr>
          <w:p>
            <w:pPr>
              <w:adjustRightInd w:val="0"/>
              <w:snapToGrid w:val="0"/>
              <w:jc w:val="center"/>
              <w:rPr>
                <w:rFonts w:hint="eastAsia" w:ascii="宋体" w:hAnsi="宋体" w:cs="宋体"/>
              </w:rPr>
            </w:pPr>
            <w:r>
              <w:rPr>
                <w:rFonts w:hint="eastAsia" w:ascii="宋体" w:hAnsi="宋体" w:cs="宋体"/>
              </w:rPr>
              <w:t>污染物项目</w:t>
            </w:r>
          </w:p>
        </w:tc>
        <w:tc>
          <w:tcPr>
            <w:tcW w:w="2268" w:type="dxa"/>
            <w:vAlign w:val="center"/>
          </w:tcPr>
          <w:p>
            <w:pPr>
              <w:adjustRightInd w:val="0"/>
              <w:snapToGrid w:val="0"/>
              <w:jc w:val="center"/>
              <w:rPr>
                <w:rFonts w:hint="eastAsia" w:ascii="宋体" w:hAnsi="宋体" w:cs="宋体"/>
              </w:rPr>
            </w:pPr>
            <w:r>
              <w:rPr>
                <w:rFonts w:hint="eastAsia" w:ascii="宋体" w:hAnsi="宋体" w:cs="宋体"/>
              </w:rPr>
              <w:t>环境保护措施</w:t>
            </w:r>
          </w:p>
        </w:tc>
        <w:tc>
          <w:tcPr>
            <w:tcW w:w="2301" w:type="dxa"/>
            <w:vAlign w:val="center"/>
          </w:tcPr>
          <w:p>
            <w:pPr>
              <w:adjustRightInd w:val="0"/>
              <w:snapToGrid w:val="0"/>
              <w:jc w:val="center"/>
              <w:rPr>
                <w:rFonts w:hint="eastAsia" w:ascii="宋体" w:hAnsi="宋体" w:cs="宋体"/>
              </w:rPr>
            </w:pPr>
            <w:r>
              <w:rPr>
                <w:rFonts w:hint="eastAsia" w:ascii="宋体" w:hAnsi="宋体" w:cs="宋体"/>
              </w:rPr>
              <w:t>执行标准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5" w:hRule="atLeast"/>
          <w:jc w:val="center"/>
        </w:trPr>
        <w:tc>
          <w:tcPr>
            <w:tcW w:w="1679" w:type="dxa"/>
            <w:vMerge w:val="restart"/>
            <w:vAlign w:val="center"/>
          </w:tcPr>
          <w:p>
            <w:pPr>
              <w:adjustRightInd w:val="0"/>
              <w:snapToGrid w:val="0"/>
              <w:jc w:val="center"/>
              <w:rPr>
                <w:rFonts w:hint="eastAsia" w:ascii="宋体" w:hAnsi="宋体" w:cs="宋体"/>
              </w:rPr>
            </w:pPr>
            <w:r>
              <w:rPr>
                <w:rFonts w:hint="eastAsia" w:ascii="宋体" w:hAnsi="宋体" w:cs="宋体"/>
              </w:rPr>
              <w:t>大气环境</w:t>
            </w:r>
          </w:p>
        </w:tc>
        <w:tc>
          <w:tcPr>
            <w:tcW w:w="1418" w:type="dxa"/>
            <w:vAlign w:val="center"/>
          </w:tcPr>
          <w:p>
            <w:pPr>
              <w:adjustRightInd w:val="0"/>
              <w:snapToGrid w:val="0"/>
              <w:jc w:val="center"/>
              <w:rPr>
                <w:rFonts w:hint="eastAsia" w:ascii="宋体" w:hAnsi="宋体" w:cs="宋体"/>
              </w:rPr>
            </w:pPr>
            <w:r>
              <w:rPr>
                <w:rFonts w:hint="eastAsia" w:ascii="宋体" w:hAnsi="宋体" w:cs="宋体"/>
              </w:rPr>
              <w:t>原料储库</w:t>
            </w:r>
          </w:p>
        </w:tc>
        <w:tc>
          <w:tcPr>
            <w:tcW w:w="1134" w:type="dxa"/>
            <w:vAlign w:val="center"/>
          </w:tcPr>
          <w:p>
            <w:pPr>
              <w:adjustRightInd w:val="0"/>
              <w:snapToGrid w:val="0"/>
              <w:jc w:val="center"/>
              <w:rPr>
                <w:rFonts w:hint="eastAsia" w:ascii="宋体" w:hAnsi="宋体" w:cs="宋体"/>
              </w:rPr>
            </w:pPr>
            <w:r>
              <w:rPr>
                <w:rFonts w:hint="eastAsia" w:ascii="宋体" w:hAnsi="宋体" w:cs="宋体"/>
              </w:rPr>
              <w:t>TSP</w:t>
            </w:r>
          </w:p>
        </w:tc>
        <w:tc>
          <w:tcPr>
            <w:tcW w:w="2268" w:type="dxa"/>
            <w:vAlign w:val="center"/>
          </w:tcPr>
          <w:p>
            <w:pPr>
              <w:adjustRightInd w:val="0"/>
              <w:snapToGrid w:val="0"/>
              <w:jc w:val="center"/>
              <w:rPr>
                <w:rFonts w:hint="eastAsia" w:ascii="宋体" w:hAnsi="宋体" w:cs="宋体"/>
              </w:rPr>
            </w:pPr>
            <w:r>
              <w:rPr>
                <w:rFonts w:hint="eastAsia" w:ascii="宋体" w:hAnsi="宋体" w:cs="宋体"/>
              </w:rPr>
              <w:t>全封闭式储棚+洒水抑尘措施</w:t>
            </w:r>
          </w:p>
        </w:tc>
        <w:tc>
          <w:tcPr>
            <w:tcW w:w="2301" w:type="dxa"/>
            <w:vMerge w:val="restart"/>
            <w:vAlign w:val="center"/>
          </w:tcPr>
          <w:p>
            <w:pPr>
              <w:adjustRightInd w:val="0"/>
              <w:snapToGrid w:val="0"/>
            </w:pPr>
            <w:r>
              <w:rPr>
                <w:rFonts w:hint="eastAsia"/>
              </w:rPr>
              <w:t>《水泥工业大气污染物排放标准》（GB4915-2013）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5" w:hRule="atLeast"/>
          <w:jc w:val="center"/>
        </w:trPr>
        <w:tc>
          <w:tcPr>
            <w:tcW w:w="1679" w:type="dxa"/>
            <w:vMerge w:val="continue"/>
            <w:vAlign w:val="center"/>
          </w:tcPr>
          <w:p>
            <w:pPr>
              <w:adjustRightInd w:val="0"/>
              <w:snapToGrid w:val="0"/>
              <w:jc w:val="center"/>
              <w:rPr>
                <w:rFonts w:hint="eastAsia" w:ascii="宋体" w:hAnsi="宋体" w:cs="宋体"/>
              </w:rPr>
            </w:pPr>
          </w:p>
        </w:tc>
        <w:tc>
          <w:tcPr>
            <w:tcW w:w="1418" w:type="dxa"/>
            <w:vAlign w:val="center"/>
          </w:tcPr>
          <w:p>
            <w:pPr>
              <w:adjustRightInd w:val="0"/>
              <w:snapToGrid w:val="0"/>
              <w:jc w:val="center"/>
              <w:rPr>
                <w:rFonts w:hint="eastAsia" w:ascii="宋体" w:hAnsi="宋体" w:cs="宋体"/>
              </w:rPr>
            </w:pPr>
            <w:r>
              <w:rPr>
                <w:rFonts w:hint="eastAsia" w:hAnsi="宋体" w:cs="宋体"/>
                <w:szCs w:val="21"/>
              </w:rPr>
              <w:t>物料输送及进料口</w:t>
            </w:r>
          </w:p>
        </w:tc>
        <w:tc>
          <w:tcPr>
            <w:tcW w:w="1134" w:type="dxa"/>
            <w:vAlign w:val="center"/>
          </w:tcPr>
          <w:p>
            <w:pPr>
              <w:adjustRightInd w:val="0"/>
              <w:snapToGrid w:val="0"/>
              <w:jc w:val="center"/>
              <w:rPr>
                <w:rFonts w:hint="eastAsia" w:ascii="宋体" w:hAnsi="宋体" w:cs="宋体"/>
              </w:rPr>
            </w:pPr>
            <w:r>
              <w:rPr>
                <w:rFonts w:hint="eastAsia" w:ascii="宋体" w:hAnsi="宋体" w:cs="宋体"/>
              </w:rPr>
              <w:t>颗粒物</w:t>
            </w:r>
          </w:p>
        </w:tc>
        <w:tc>
          <w:tcPr>
            <w:tcW w:w="2268" w:type="dxa"/>
            <w:vAlign w:val="center"/>
          </w:tcPr>
          <w:p>
            <w:pPr>
              <w:adjustRightInd w:val="0"/>
              <w:snapToGrid w:val="0"/>
              <w:jc w:val="center"/>
              <w:rPr>
                <w:rFonts w:hint="eastAsia" w:ascii="宋体" w:hAnsi="宋体" w:cs="宋体"/>
              </w:rPr>
            </w:pPr>
            <w:r>
              <w:rPr>
                <w:rFonts w:hint="eastAsia" w:hAnsi="宋体" w:cs="宋体"/>
                <w:szCs w:val="21"/>
              </w:rPr>
              <w:t>全封闭皮带输送机</w:t>
            </w:r>
          </w:p>
        </w:tc>
        <w:tc>
          <w:tcPr>
            <w:tcW w:w="2301" w:type="dxa"/>
            <w:vMerge w:val="continue"/>
            <w:vAlign w:val="center"/>
          </w:tcPr>
          <w:p>
            <w:pPr>
              <w:adjustRightInd w:val="0"/>
              <w:snapToGrid w:val="0"/>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6" w:hRule="atLeast"/>
          <w:jc w:val="center"/>
        </w:trPr>
        <w:tc>
          <w:tcPr>
            <w:tcW w:w="1679" w:type="dxa"/>
            <w:vMerge w:val="continue"/>
            <w:vAlign w:val="center"/>
          </w:tcPr>
          <w:p>
            <w:pPr>
              <w:adjustRightInd w:val="0"/>
              <w:snapToGrid w:val="0"/>
              <w:jc w:val="center"/>
              <w:rPr>
                <w:rFonts w:hint="eastAsia" w:ascii="宋体" w:hAnsi="宋体" w:cs="宋体"/>
              </w:rPr>
            </w:pPr>
          </w:p>
        </w:tc>
        <w:tc>
          <w:tcPr>
            <w:tcW w:w="1418" w:type="dxa"/>
            <w:vAlign w:val="center"/>
          </w:tcPr>
          <w:p>
            <w:pPr>
              <w:adjustRightInd w:val="0"/>
              <w:snapToGrid w:val="0"/>
              <w:jc w:val="center"/>
              <w:rPr>
                <w:rFonts w:hint="eastAsia" w:ascii="宋体" w:hAnsi="宋体" w:cs="宋体"/>
              </w:rPr>
            </w:pPr>
            <w:r>
              <w:rPr>
                <w:rFonts w:hint="eastAsia" w:ascii="宋体" w:hAnsi="宋体" w:cs="宋体"/>
              </w:rPr>
              <w:t>水泥筒仓</w:t>
            </w:r>
          </w:p>
        </w:tc>
        <w:tc>
          <w:tcPr>
            <w:tcW w:w="1134" w:type="dxa"/>
            <w:vAlign w:val="center"/>
          </w:tcPr>
          <w:p>
            <w:pPr>
              <w:adjustRightInd w:val="0"/>
              <w:snapToGrid w:val="0"/>
              <w:jc w:val="center"/>
              <w:rPr>
                <w:rFonts w:hint="eastAsia" w:ascii="宋体" w:hAnsi="宋体" w:cs="宋体"/>
              </w:rPr>
            </w:pPr>
            <w:r>
              <w:rPr>
                <w:rFonts w:hint="eastAsia" w:ascii="宋体" w:hAnsi="宋体" w:cs="宋体"/>
              </w:rPr>
              <w:t>颗粒物</w:t>
            </w:r>
          </w:p>
        </w:tc>
        <w:tc>
          <w:tcPr>
            <w:tcW w:w="2268" w:type="dxa"/>
            <w:vAlign w:val="center"/>
          </w:tcPr>
          <w:p>
            <w:pPr>
              <w:adjustRightInd w:val="0"/>
              <w:snapToGrid w:val="0"/>
              <w:jc w:val="center"/>
              <w:rPr>
                <w:rFonts w:hint="eastAsia" w:ascii="宋体" w:hAnsi="宋体" w:cs="宋体"/>
              </w:rPr>
            </w:pPr>
            <w:r>
              <w:rPr>
                <w:rFonts w:hint="eastAsia" w:ascii="宋体" w:hAnsi="宋体" w:cs="宋体"/>
              </w:rPr>
              <w:t>布袋除尘器+仓顶排气筒</w:t>
            </w:r>
          </w:p>
        </w:tc>
        <w:tc>
          <w:tcPr>
            <w:tcW w:w="2301" w:type="dxa"/>
            <w:vMerge w:val="continue"/>
            <w:vAlign w:val="center"/>
          </w:tcPr>
          <w:p>
            <w:pPr>
              <w:adjustRightInd w:val="0"/>
              <w:snapToGrid w:val="0"/>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26" w:hRule="atLeast"/>
          <w:jc w:val="center"/>
        </w:trPr>
        <w:tc>
          <w:tcPr>
            <w:tcW w:w="1679" w:type="dxa"/>
            <w:vMerge w:val="continue"/>
            <w:vAlign w:val="center"/>
          </w:tcPr>
          <w:p>
            <w:pPr>
              <w:adjustRightInd w:val="0"/>
              <w:snapToGrid w:val="0"/>
              <w:jc w:val="center"/>
              <w:rPr>
                <w:rFonts w:hint="eastAsia" w:ascii="宋体" w:hAnsi="宋体" w:cs="宋体"/>
              </w:rPr>
            </w:pPr>
          </w:p>
        </w:tc>
        <w:tc>
          <w:tcPr>
            <w:tcW w:w="1418" w:type="dxa"/>
            <w:vAlign w:val="center"/>
          </w:tcPr>
          <w:p>
            <w:pPr>
              <w:adjustRightInd w:val="0"/>
              <w:snapToGrid w:val="0"/>
              <w:jc w:val="center"/>
              <w:rPr>
                <w:rFonts w:hint="eastAsia" w:ascii="宋体" w:hAnsi="宋体" w:cs="宋体"/>
              </w:rPr>
            </w:pPr>
            <w:r>
              <w:rPr>
                <w:rFonts w:hint="eastAsia" w:ascii="宋体" w:hAnsi="宋体" w:cs="宋体"/>
              </w:rPr>
              <w:t>粉煤灰筒仓</w:t>
            </w:r>
          </w:p>
        </w:tc>
        <w:tc>
          <w:tcPr>
            <w:tcW w:w="1134" w:type="dxa"/>
            <w:vAlign w:val="center"/>
          </w:tcPr>
          <w:p>
            <w:pPr>
              <w:adjustRightInd w:val="0"/>
              <w:snapToGrid w:val="0"/>
              <w:jc w:val="center"/>
              <w:rPr>
                <w:rFonts w:hint="eastAsia" w:ascii="宋体" w:hAnsi="宋体" w:cs="宋体"/>
              </w:rPr>
            </w:pPr>
            <w:r>
              <w:rPr>
                <w:rFonts w:hint="eastAsia" w:ascii="宋体" w:hAnsi="宋体" w:cs="宋体"/>
              </w:rPr>
              <w:t>颗粒物</w:t>
            </w:r>
          </w:p>
        </w:tc>
        <w:tc>
          <w:tcPr>
            <w:tcW w:w="2268" w:type="dxa"/>
            <w:vAlign w:val="center"/>
          </w:tcPr>
          <w:p>
            <w:pPr>
              <w:adjustRightInd w:val="0"/>
              <w:snapToGrid w:val="0"/>
              <w:jc w:val="center"/>
              <w:rPr>
                <w:rFonts w:hint="eastAsia" w:ascii="宋体" w:hAnsi="宋体" w:cs="宋体"/>
              </w:rPr>
            </w:pPr>
            <w:r>
              <w:rPr>
                <w:rFonts w:hint="eastAsia" w:ascii="宋体" w:hAnsi="宋体" w:cs="宋体"/>
              </w:rPr>
              <w:t>布袋除尘器+仓顶排气筒</w:t>
            </w:r>
          </w:p>
        </w:tc>
        <w:tc>
          <w:tcPr>
            <w:tcW w:w="2301" w:type="dxa"/>
            <w:vMerge w:val="continue"/>
            <w:vAlign w:val="center"/>
          </w:tcPr>
          <w:p>
            <w:pPr>
              <w:adjustRightInd w:val="0"/>
              <w:snapToGrid w:val="0"/>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26" w:hRule="atLeast"/>
          <w:jc w:val="center"/>
        </w:trPr>
        <w:tc>
          <w:tcPr>
            <w:tcW w:w="1679" w:type="dxa"/>
            <w:vMerge w:val="continue"/>
            <w:vAlign w:val="center"/>
          </w:tcPr>
          <w:p>
            <w:pPr>
              <w:adjustRightInd w:val="0"/>
              <w:snapToGrid w:val="0"/>
              <w:jc w:val="center"/>
              <w:rPr>
                <w:rFonts w:hint="eastAsia" w:ascii="宋体" w:hAnsi="宋体" w:cs="宋体"/>
              </w:rPr>
            </w:pPr>
          </w:p>
        </w:tc>
        <w:tc>
          <w:tcPr>
            <w:tcW w:w="1418" w:type="dxa"/>
            <w:vAlign w:val="center"/>
          </w:tcPr>
          <w:p>
            <w:pPr>
              <w:adjustRightInd w:val="0"/>
              <w:snapToGrid w:val="0"/>
              <w:jc w:val="center"/>
              <w:rPr>
                <w:rFonts w:hint="eastAsia" w:ascii="宋体" w:hAnsi="宋体" w:cs="宋体"/>
              </w:rPr>
            </w:pPr>
            <w:r>
              <w:rPr>
                <w:rFonts w:hint="eastAsia" w:ascii="宋体" w:hAnsi="宋体" w:cs="宋体"/>
              </w:rPr>
              <w:t>石料破碎</w:t>
            </w:r>
          </w:p>
        </w:tc>
        <w:tc>
          <w:tcPr>
            <w:tcW w:w="1134" w:type="dxa"/>
            <w:vAlign w:val="center"/>
          </w:tcPr>
          <w:p>
            <w:pPr>
              <w:adjustRightInd w:val="0"/>
              <w:snapToGrid w:val="0"/>
              <w:jc w:val="center"/>
              <w:rPr>
                <w:rFonts w:hint="eastAsia" w:ascii="宋体" w:hAnsi="宋体" w:cs="宋体"/>
              </w:rPr>
            </w:pPr>
            <w:r>
              <w:rPr>
                <w:rFonts w:hint="eastAsia" w:ascii="宋体" w:hAnsi="宋体" w:cs="宋体"/>
              </w:rPr>
              <w:t>颗粒物</w:t>
            </w:r>
          </w:p>
        </w:tc>
        <w:tc>
          <w:tcPr>
            <w:tcW w:w="2268" w:type="dxa"/>
            <w:vAlign w:val="center"/>
          </w:tcPr>
          <w:p>
            <w:pPr>
              <w:adjustRightInd w:val="0"/>
              <w:snapToGrid w:val="0"/>
              <w:jc w:val="center"/>
              <w:rPr>
                <w:rFonts w:hint="eastAsia" w:ascii="宋体" w:hAnsi="宋体" w:cs="宋体"/>
              </w:rPr>
            </w:pPr>
            <w:r>
              <w:rPr>
                <w:rFonts w:hint="eastAsia" w:ascii="宋体" w:hAnsi="宋体" w:cs="宋体"/>
              </w:rPr>
              <w:t>布袋除尘器+15m高排气筒</w:t>
            </w:r>
          </w:p>
        </w:tc>
        <w:tc>
          <w:tcPr>
            <w:tcW w:w="2301" w:type="dxa"/>
            <w:vMerge w:val="continue"/>
            <w:vAlign w:val="center"/>
          </w:tcPr>
          <w:p>
            <w:pPr>
              <w:adjustRightInd w:val="0"/>
              <w:snapToGrid w:val="0"/>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679" w:type="dxa"/>
            <w:vMerge w:val="continue"/>
            <w:vAlign w:val="center"/>
          </w:tcPr>
          <w:p>
            <w:pPr>
              <w:adjustRightInd w:val="0"/>
              <w:snapToGrid w:val="0"/>
              <w:jc w:val="center"/>
              <w:rPr>
                <w:rFonts w:hint="eastAsia" w:ascii="宋体" w:hAnsi="宋体" w:cs="宋体"/>
              </w:rPr>
            </w:pPr>
          </w:p>
        </w:tc>
        <w:tc>
          <w:tcPr>
            <w:tcW w:w="1418" w:type="dxa"/>
            <w:vAlign w:val="center"/>
          </w:tcPr>
          <w:p>
            <w:pPr>
              <w:adjustRightInd w:val="0"/>
              <w:snapToGrid w:val="0"/>
              <w:jc w:val="center"/>
              <w:rPr>
                <w:rFonts w:hint="eastAsia" w:ascii="宋体" w:hAnsi="宋体" w:cs="宋体"/>
              </w:rPr>
            </w:pPr>
            <w:r>
              <w:rPr>
                <w:rFonts w:hint="eastAsia" w:ascii="宋体" w:hAnsi="宋体" w:cs="宋体"/>
              </w:rPr>
              <w:t>搅拌机</w:t>
            </w:r>
          </w:p>
        </w:tc>
        <w:tc>
          <w:tcPr>
            <w:tcW w:w="1134" w:type="dxa"/>
            <w:vAlign w:val="center"/>
          </w:tcPr>
          <w:p>
            <w:pPr>
              <w:adjustRightInd w:val="0"/>
              <w:snapToGrid w:val="0"/>
              <w:jc w:val="center"/>
              <w:rPr>
                <w:rFonts w:hint="eastAsia" w:ascii="宋体" w:hAnsi="宋体" w:cs="宋体"/>
              </w:rPr>
            </w:pPr>
            <w:r>
              <w:rPr>
                <w:rFonts w:hint="eastAsia" w:ascii="宋体" w:hAnsi="宋体" w:cs="宋体"/>
              </w:rPr>
              <w:t>颗粒物</w:t>
            </w:r>
          </w:p>
        </w:tc>
        <w:tc>
          <w:tcPr>
            <w:tcW w:w="2268" w:type="dxa"/>
            <w:vAlign w:val="center"/>
          </w:tcPr>
          <w:p>
            <w:pPr>
              <w:adjustRightInd w:val="0"/>
              <w:snapToGrid w:val="0"/>
              <w:jc w:val="center"/>
              <w:rPr>
                <w:rFonts w:hint="eastAsia" w:ascii="宋体" w:hAnsi="宋体" w:cs="宋体"/>
              </w:rPr>
            </w:pPr>
            <w:r>
              <w:rPr>
                <w:rFonts w:hint="eastAsia" w:ascii="宋体" w:hAnsi="宋体" w:cs="宋体"/>
              </w:rPr>
              <w:t>经塔顶布袋除尘器处理后由塔顶排气口排出</w:t>
            </w:r>
          </w:p>
        </w:tc>
        <w:tc>
          <w:tcPr>
            <w:tcW w:w="2301" w:type="dxa"/>
            <w:vMerge w:val="continue"/>
            <w:vAlign w:val="center"/>
          </w:tcPr>
          <w:p>
            <w:pPr>
              <w:adjustRightInd w:val="0"/>
              <w:snapToGrid w:val="0"/>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79" w:type="dxa"/>
            <w:vMerge w:val="restart"/>
            <w:vAlign w:val="center"/>
          </w:tcPr>
          <w:p>
            <w:pPr>
              <w:adjustRightInd w:val="0"/>
              <w:snapToGrid w:val="0"/>
              <w:jc w:val="center"/>
              <w:rPr>
                <w:rFonts w:hint="eastAsia" w:ascii="宋体" w:hAnsi="宋体" w:cs="宋体"/>
              </w:rPr>
            </w:pPr>
            <w:r>
              <w:rPr>
                <w:rFonts w:hint="eastAsia" w:ascii="宋体" w:hAnsi="宋体" w:cs="宋体"/>
              </w:rPr>
              <w:t>地表水环境</w:t>
            </w:r>
          </w:p>
        </w:tc>
        <w:tc>
          <w:tcPr>
            <w:tcW w:w="1418" w:type="dxa"/>
            <w:vAlign w:val="center"/>
          </w:tcPr>
          <w:p>
            <w:pPr>
              <w:adjustRightInd w:val="0"/>
              <w:snapToGrid w:val="0"/>
              <w:jc w:val="center"/>
              <w:rPr>
                <w:rFonts w:hint="eastAsia" w:ascii="宋体" w:hAnsi="宋体" w:cs="宋体"/>
              </w:rPr>
            </w:pPr>
            <w:r>
              <w:rPr>
                <w:rFonts w:hint="eastAsia" w:ascii="宋体" w:hAnsi="宋体" w:cs="宋体"/>
              </w:rPr>
              <w:t>设备及车辆清洗</w:t>
            </w:r>
          </w:p>
        </w:tc>
        <w:tc>
          <w:tcPr>
            <w:tcW w:w="1134" w:type="dxa"/>
            <w:vAlign w:val="center"/>
          </w:tcPr>
          <w:p>
            <w:pPr>
              <w:adjustRightInd w:val="0"/>
              <w:snapToGrid w:val="0"/>
              <w:jc w:val="center"/>
              <w:rPr>
                <w:rFonts w:hint="eastAsia" w:ascii="宋体" w:hAnsi="宋体" w:cs="宋体"/>
              </w:rPr>
            </w:pPr>
            <w:r>
              <w:rPr>
                <w:rFonts w:hint="eastAsia" w:ascii="宋体" w:hAnsi="宋体" w:cs="宋体"/>
              </w:rPr>
              <w:t>SS</w:t>
            </w:r>
          </w:p>
        </w:tc>
        <w:tc>
          <w:tcPr>
            <w:tcW w:w="2268" w:type="dxa"/>
            <w:vAlign w:val="center"/>
          </w:tcPr>
          <w:p>
            <w:pPr>
              <w:adjustRightInd w:val="0"/>
              <w:snapToGrid w:val="0"/>
              <w:jc w:val="center"/>
              <w:rPr>
                <w:rFonts w:hint="eastAsia" w:ascii="宋体" w:hAnsi="宋体" w:cs="宋体"/>
              </w:rPr>
            </w:pPr>
            <w:r>
              <w:rPr>
                <w:rFonts w:hint="eastAsia" w:ascii="宋体" w:hAnsi="宋体" w:cs="宋体"/>
              </w:rPr>
              <w:t>经沉淀池处理后，回用于工艺用水，不外排</w:t>
            </w:r>
          </w:p>
        </w:tc>
        <w:tc>
          <w:tcPr>
            <w:tcW w:w="2301" w:type="dxa"/>
            <w:vAlign w:val="center"/>
          </w:tcPr>
          <w:p>
            <w:pPr>
              <w:adjustRightInd w:val="0"/>
              <w:snapToGrid w:val="0"/>
              <w:jc w:val="center"/>
              <w:rPr>
                <w:rFonts w:hint="eastAsia" w:ascii="宋体" w:hAnsi="宋体" w:cs="宋体"/>
              </w:rPr>
            </w:pPr>
            <w:r>
              <w:rPr>
                <w:rFonts w:hint="eastAsia" w:ascii="宋体" w:hAnsi="宋体" w:cs="宋体"/>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79" w:type="dxa"/>
            <w:vMerge w:val="continue"/>
            <w:vAlign w:val="center"/>
          </w:tcPr>
          <w:p>
            <w:pPr>
              <w:adjustRightInd w:val="0"/>
              <w:snapToGrid w:val="0"/>
              <w:jc w:val="center"/>
              <w:rPr>
                <w:rFonts w:hint="eastAsia" w:ascii="宋体" w:hAnsi="宋体" w:cs="宋体"/>
              </w:rPr>
            </w:pPr>
          </w:p>
        </w:tc>
        <w:tc>
          <w:tcPr>
            <w:tcW w:w="1418" w:type="dxa"/>
            <w:vAlign w:val="center"/>
          </w:tcPr>
          <w:p>
            <w:pPr>
              <w:adjustRightInd w:val="0"/>
              <w:snapToGrid w:val="0"/>
              <w:jc w:val="center"/>
              <w:rPr>
                <w:rFonts w:hint="eastAsia" w:ascii="宋体" w:hAnsi="宋体" w:cs="宋体"/>
              </w:rPr>
            </w:pPr>
            <w:r>
              <w:rPr>
                <w:rFonts w:hint="eastAsia" w:ascii="宋体" w:hAnsi="宋体" w:cs="宋体"/>
              </w:rPr>
              <w:t>生活污水</w:t>
            </w:r>
          </w:p>
        </w:tc>
        <w:tc>
          <w:tcPr>
            <w:tcW w:w="1134" w:type="dxa"/>
            <w:vAlign w:val="center"/>
          </w:tcPr>
          <w:p>
            <w:pPr>
              <w:adjustRightInd w:val="0"/>
              <w:snapToGrid w:val="0"/>
              <w:jc w:val="center"/>
              <w:rPr>
                <w:rFonts w:hint="eastAsia" w:ascii="宋体" w:hAnsi="宋体" w:cs="宋体"/>
              </w:rPr>
            </w:pPr>
            <w:r>
              <w:rPr>
                <w:rFonts w:ascii="宋体" w:hAnsi="宋体" w:cs="宋体"/>
              </w:rPr>
              <w:t>pH</w:t>
            </w:r>
            <w:r>
              <w:rPr>
                <w:rFonts w:hint="eastAsia" w:ascii="宋体" w:hAnsi="宋体" w:cs="宋体"/>
              </w:rPr>
              <w:t>值、悬浮物、化学需氧量、五日生化需氧量、氨氮、动植物油</w:t>
            </w:r>
          </w:p>
        </w:tc>
        <w:tc>
          <w:tcPr>
            <w:tcW w:w="2268" w:type="dxa"/>
            <w:vAlign w:val="center"/>
          </w:tcPr>
          <w:p>
            <w:pPr>
              <w:adjustRightInd w:val="0"/>
              <w:snapToGrid w:val="0"/>
              <w:jc w:val="center"/>
              <w:rPr>
                <w:rFonts w:hint="eastAsia" w:ascii="宋体" w:hAnsi="宋体" w:cs="宋体"/>
              </w:rPr>
            </w:pPr>
            <w:r>
              <w:rPr>
                <w:rFonts w:hint="eastAsia" w:ascii="宋体" w:hAnsi="宋体" w:cs="宋体"/>
              </w:rPr>
              <w:t>生活污水排入防渗化粪池处理，定期拉运至内蒙古神东天隆集团股份有限公司霍洛湾煤矿处理，不外排。</w:t>
            </w:r>
          </w:p>
        </w:tc>
        <w:tc>
          <w:tcPr>
            <w:tcW w:w="2301" w:type="dxa"/>
            <w:vAlign w:val="center"/>
          </w:tcPr>
          <w:p>
            <w:pPr>
              <w:adjustRightInd w:val="0"/>
              <w:snapToGrid w:val="0"/>
              <w:jc w:val="center"/>
              <w:rPr>
                <w:rFonts w:hint="eastAsia" w:ascii="宋体" w:hAnsi="宋体" w:cs="宋体"/>
              </w:rPr>
            </w:pPr>
            <w:r>
              <w:t>《污水综合排放标准》（GB8978-1996）中</w:t>
            </w:r>
            <w:r>
              <w:rPr>
                <w:rFonts w:hint="eastAsia"/>
              </w:rPr>
              <w:t>三</w:t>
            </w:r>
            <w:r>
              <w:t>级标准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79" w:type="dxa"/>
            <w:vAlign w:val="center"/>
          </w:tcPr>
          <w:p>
            <w:pPr>
              <w:adjustRightInd w:val="0"/>
              <w:snapToGrid w:val="0"/>
              <w:jc w:val="center"/>
              <w:rPr>
                <w:rFonts w:hint="eastAsia" w:ascii="宋体" w:hAnsi="宋体" w:cs="宋体"/>
              </w:rPr>
            </w:pPr>
            <w:r>
              <w:rPr>
                <w:rFonts w:hint="eastAsia" w:ascii="宋体" w:hAnsi="宋体" w:cs="宋体"/>
              </w:rPr>
              <w:t>声环境</w:t>
            </w:r>
          </w:p>
        </w:tc>
        <w:tc>
          <w:tcPr>
            <w:tcW w:w="1418" w:type="dxa"/>
            <w:vAlign w:val="center"/>
          </w:tcPr>
          <w:p>
            <w:pPr>
              <w:adjustRightInd w:val="0"/>
              <w:snapToGrid w:val="0"/>
              <w:jc w:val="center"/>
              <w:rPr>
                <w:rFonts w:hint="eastAsia" w:ascii="宋体" w:hAnsi="宋体" w:cs="宋体"/>
              </w:rPr>
            </w:pPr>
            <w:r>
              <w:rPr>
                <w:rFonts w:hint="eastAsia" w:ascii="宋体" w:hAnsi="宋体" w:cs="宋体"/>
              </w:rPr>
              <w:t>设备噪声</w:t>
            </w:r>
          </w:p>
        </w:tc>
        <w:tc>
          <w:tcPr>
            <w:tcW w:w="1134" w:type="dxa"/>
            <w:vAlign w:val="center"/>
          </w:tcPr>
          <w:p>
            <w:pPr>
              <w:adjustRightInd w:val="0"/>
              <w:snapToGrid w:val="0"/>
              <w:jc w:val="center"/>
              <w:rPr>
                <w:rFonts w:hint="eastAsia" w:ascii="宋体" w:hAnsi="宋体" w:cs="宋体"/>
              </w:rPr>
            </w:pPr>
            <w:r>
              <w:rPr>
                <w:rFonts w:hint="eastAsia" w:ascii="宋体" w:hAnsi="宋体" w:cs="宋体"/>
              </w:rPr>
              <w:t>等效连续A声级</w:t>
            </w:r>
          </w:p>
        </w:tc>
        <w:tc>
          <w:tcPr>
            <w:tcW w:w="2268" w:type="dxa"/>
            <w:vAlign w:val="center"/>
          </w:tcPr>
          <w:p>
            <w:pPr>
              <w:adjustRightInd w:val="0"/>
              <w:snapToGrid w:val="0"/>
              <w:jc w:val="center"/>
              <w:rPr>
                <w:rFonts w:hint="eastAsia" w:ascii="宋体" w:hAnsi="宋体" w:cs="宋体"/>
              </w:rPr>
            </w:pPr>
            <w:r>
              <w:rPr>
                <w:rFonts w:hint="eastAsia" w:ascii="宋体" w:hAnsi="宋体" w:cs="宋体"/>
              </w:rPr>
              <w:t>厂房隔声、基础建筑、安装消声器。</w:t>
            </w:r>
          </w:p>
        </w:tc>
        <w:tc>
          <w:tcPr>
            <w:tcW w:w="2301" w:type="dxa"/>
            <w:vAlign w:val="center"/>
          </w:tcPr>
          <w:p>
            <w:pPr>
              <w:adjustRightInd w:val="0"/>
              <w:snapToGrid w:val="0"/>
              <w:rPr>
                <w:rFonts w:hint="eastAsia" w:ascii="宋体" w:hAnsi="宋体" w:cs="宋体"/>
              </w:rPr>
            </w:pPr>
            <w:r>
              <w:rPr>
                <w:rFonts w:hint="eastAsia"/>
              </w:rPr>
              <w:t>《工业企业厂界环境噪声排放标准》（</w:t>
            </w:r>
            <w:r>
              <w:t>GB12348-2008</w:t>
            </w:r>
            <w:r>
              <w:rPr>
                <w:rFonts w:hint="eastAsia"/>
              </w:rPr>
              <w:t>）中的2类排放标准。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79" w:type="dxa"/>
            <w:vAlign w:val="center"/>
          </w:tcPr>
          <w:p>
            <w:pPr>
              <w:adjustRightInd w:val="0"/>
              <w:snapToGrid w:val="0"/>
              <w:jc w:val="center"/>
              <w:rPr>
                <w:rFonts w:hint="eastAsia" w:ascii="宋体" w:hAnsi="宋体" w:cs="宋体"/>
              </w:rPr>
            </w:pPr>
            <w:r>
              <w:rPr>
                <w:rFonts w:hint="eastAsia" w:ascii="宋体" w:hAnsi="宋体" w:cs="宋体"/>
              </w:rPr>
              <w:t>电磁辐射</w:t>
            </w:r>
          </w:p>
        </w:tc>
        <w:tc>
          <w:tcPr>
            <w:tcW w:w="1418" w:type="dxa"/>
            <w:vAlign w:val="center"/>
          </w:tcPr>
          <w:p>
            <w:pPr>
              <w:adjustRightInd w:val="0"/>
              <w:snapToGrid w:val="0"/>
              <w:jc w:val="center"/>
              <w:rPr>
                <w:rFonts w:hint="eastAsia" w:ascii="宋体" w:hAnsi="宋体" w:cs="宋体"/>
              </w:rPr>
            </w:pPr>
            <w:r>
              <w:rPr>
                <w:rFonts w:hint="eastAsia" w:ascii="宋体" w:hAnsi="宋体" w:cs="宋体"/>
              </w:rPr>
              <w:t>/</w:t>
            </w:r>
          </w:p>
        </w:tc>
        <w:tc>
          <w:tcPr>
            <w:tcW w:w="1134" w:type="dxa"/>
            <w:vAlign w:val="center"/>
          </w:tcPr>
          <w:p>
            <w:pPr>
              <w:adjustRightInd w:val="0"/>
              <w:snapToGrid w:val="0"/>
              <w:jc w:val="center"/>
              <w:rPr>
                <w:rFonts w:hint="eastAsia" w:ascii="宋体" w:hAnsi="宋体" w:cs="宋体"/>
              </w:rPr>
            </w:pPr>
            <w:r>
              <w:rPr>
                <w:rFonts w:hint="eastAsia" w:ascii="宋体" w:hAnsi="宋体" w:cs="宋体"/>
              </w:rPr>
              <w:t>/</w:t>
            </w:r>
          </w:p>
        </w:tc>
        <w:tc>
          <w:tcPr>
            <w:tcW w:w="2268" w:type="dxa"/>
            <w:vAlign w:val="center"/>
          </w:tcPr>
          <w:p>
            <w:pPr>
              <w:adjustRightInd w:val="0"/>
              <w:snapToGrid w:val="0"/>
              <w:jc w:val="center"/>
              <w:rPr>
                <w:rFonts w:hint="eastAsia" w:ascii="宋体" w:hAnsi="宋体" w:cs="宋体"/>
              </w:rPr>
            </w:pPr>
            <w:r>
              <w:rPr>
                <w:rFonts w:hint="eastAsia" w:ascii="宋体" w:hAnsi="宋体" w:cs="宋体"/>
              </w:rPr>
              <w:t>/</w:t>
            </w:r>
          </w:p>
        </w:tc>
        <w:tc>
          <w:tcPr>
            <w:tcW w:w="2301" w:type="dxa"/>
            <w:vAlign w:val="center"/>
          </w:tcPr>
          <w:p>
            <w:pPr>
              <w:adjustRightInd w:val="0"/>
              <w:snapToGrid w:val="0"/>
              <w:jc w:val="center"/>
              <w:rPr>
                <w:rFonts w:hint="eastAsia" w:ascii="宋体" w:hAnsi="宋体" w:cs="宋体"/>
              </w:rPr>
            </w:pPr>
            <w:r>
              <w:rPr>
                <w:rFonts w:hint="eastAsia" w:ascii="宋体" w:hAnsi="宋体" w:cs="宋体"/>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1679" w:type="dxa"/>
            <w:vAlign w:val="center"/>
          </w:tcPr>
          <w:p>
            <w:pPr>
              <w:adjustRightInd w:val="0"/>
              <w:snapToGrid w:val="0"/>
              <w:jc w:val="center"/>
              <w:rPr>
                <w:rFonts w:hint="eastAsia" w:ascii="宋体" w:hAnsi="宋体" w:cs="宋体"/>
              </w:rPr>
            </w:pPr>
            <w:r>
              <w:rPr>
                <w:rFonts w:hint="eastAsia" w:ascii="宋体" w:hAnsi="宋体" w:cs="宋体"/>
              </w:rPr>
              <w:t>固体废物</w:t>
            </w:r>
          </w:p>
        </w:tc>
        <w:tc>
          <w:tcPr>
            <w:tcW w:w="7121" w:type="dxa"/>
            <w:gridSpan w:val="4"/>
            <w:vAlign w:val="center"/>
          </w:tcPr>
          <w:p>
            <w:pPr>
              <w:adjustRightInd w:val="0"/>
              <w:snapToGrid w:val="0"/>
              <w:rPr>
                <w:rFonts w:hint="eastAsia" w:ascii="宋体" w:hAnsi="宋体" w:cs="宋体"/>
              </w:rPr>
            </w:pPr>
            <w:r>
              <w:rPr>
                <w:rFonts w:hint="eastAsia" w:hAnsi="宋体"/>
              </w:rPr>
              <w:t>工艺过程布袋</w:t>
            </w:r>
            <w:r>
              <w:rPr>
                <w:rFonts w:hint="eastAsia" w:ascii="宋体" w:hAnsi="宋体"/>
              </w:rPr>
              <w:t>除尘器收集的粉尘清理后返回至工艺作为原料利用，不外排；沉淀池定期清理的沉淀砂石收集后返回至工艺用作原料利用，不外排；</w:t>
            </w:r>
            <w:r>
              <w:rPr>
                <w:rFonts w:hint="eastAsia" w:ascii="宋体" w:hAnsi="宋体"/>
                <w:szCs w:val="21"/>
              </w:rPr>
              <w:t>产生的废旧布袋集中收集，收集后由厂家回收利用，不外排；</w:t>
            </w:r>
            <w:r>
              <w:rPr>
                <w:rFonts w:hint="eastAsia" w:ascii="宋体" w:hAnsi="宋体" w:cs="宋体"/>
              </w:rPr>
              <w:t>生活垃圾设垃圾收集装置，定期交由环卫部门处理。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679" w:type="dxa"/>
            <w:vAlign w:val="center"/>
          </w:tcPr>
          <w:p>
            <w:pPr>
              <w:adjustRightInd w:val="0"/>
              <w:snapToGrid w:val="0"/>
              <w:jc w:val="center"/>
              <w:rPr>
                <w:rFonts w:hint="eastAsia" w:ascii="宋体" w:hAnsi="宋体" w:cs="宋体"/>
              </w:rPr>
            </w:pPr>
            <w:r>
              <w:rPr>
                <w:rFonts w:hint="eastAsia" w:ascii="宋体" w:hAnsi="宋体" w:cs="宋体"/>
              </w:rPr>
              <w:t>土壤及地下水污染防治措施</w:t>
            </w:r>
          </w:p>
        </w:tc>
        <w:tc>
          <w:tcPr>
            <w:tcW w:w="7121" w:type="dxa"/>
            <w:gridSpan w:val="4"/>
            <w:vAlign w:val="center"/>
          </w:tcPr>
          <w:p>
            <w:pPr>
              <w:adjustRightInd w:val="0"/>
              <w:snapToGrid w:val="0"/>
              <w:rPr>
                <w:rFonts w:hint="eastAsia" w:ascii="宋体" w:hAnsi="宋体" w:cs="宋体"/>
              </w:rPr>
            </w:pPr>
            <w:r>
              <w:rPr>
                <w:rFonts w:hint="eastAsia"/>
              </w:rPr>
              <w:t>沉淀池、化粪池采取防渗措施，</w:t>
            </w:r>
            <w:r>
              <w:t>防渗技术要求为：等效黏土防渗层Mb≥1.5m，K≤1×10</w:t>
            </w:r>
            <w:r>
              <w:rPr>
                <w:vertAlign w:val="superscript"/>
              </w:rPr>
              <w:t>-7</w:t>
            </w:r>
            <w:r>
              <w:t>cm/s</w:t>
            </w:r>
            <w:r>
              <w:rPr>
                <w:rFonts w:hint="eastAsia"/>
              </w:rPr>
              <w:t>；</w:t>
            </w:r>
            <w:r>
              <w:rPr>
                <w:rFonts w:hint="eastAsia"/>
                <w:szCs w:val="21"/>
              </w:rPr>
              <w:t>对储棚地面进行一般地面硬化（混凝土硬化）</w:t>
            </w:r>
            <w:r>
              <w:rPr>
                <w:rFonts w:hint="eastAsia" w:ascii="宋体" w:hAnsi="宋体" w:cs="宋体"/>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1679" w:type="dxa"/>
            <w:vAlign w:val="center"/>
          </w:tcPr>
          <w:p>
            <w:pPr>
              <w:adjustRightInd w:val="0"/>
              <w:snapToGrid w:val="0"/>
              <w:jc w:val="center"/>
              <w:rPr>
                <w:rFonts w:hint="eastAsia" w:ascii="宋体" w:hAnsi="宋体" w:cs="宋体"/>
              </w:rPr>
            </w:pPr>
            <w:r>
              <w:rPr>
                <w:rFonts w:hint="eastAsia" w:ascii="宋体" w:hAnsi="宋体" w:cs="宋体"/>
              </w:rPr>
              <w:t>生态保护措施</w:t>
            </w:r>
          </w:p>
        </w:tc>
        <w:tc>
          <w:tcPr>
            <w:tcW w:w="7121" w:type="dxa"/>
            <w:gridSpan w:val="4"/>
            <w:vAlign w:val="center"/>
          </w:tcPr>
          <w:p>
            <w:pPr>
              <w:adjustRightInd w:val="0"/>
              <w:snapToGrid w:val="0"/>
              <w:jc w:val="center"/>
              <w:rPr>
                <w:rFonts w:hint="eastAsia" w:ascii="宋体" w:hAnsi="宋体" w:cs="宋体"/>
              </w:rPr>
            </w:pPr>
            <w:r>
              <w:rPr>
                <w:rFonts w:hint="eastAsia" w:ascii="宋体" w:hAnsi="宋体" w:cs="宋体"/>
              </w:rPr>
              <w:t>建成后厂区内采取绿化措施。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1679" w:type="dxa"/>
            <w:vAlign w:val="center"/>
          </w:tcPr>
          <w:p>
            <w:pPr>
              <w:adjustRightInd w:val="0"/>
              <w:snapToGrid w:val="0"/>
              <w:jc w:val="center"/>
              <w:rPr>
                <w:rFonts w:hint="eastAsia" w:ascii="宋体" w:hAnsi="宋体" w:cs="宋体"/>
                <w:spacing w:val="-8"/>
              </w:rPr>
            </w:pPr>
            <w:r>
              <w:rPr>
                <w:rFonts w:hint="eastAsia" w:ascii="宋体" w:hAnsi="宋体" w:cs="宋体"/>
                <w:spacing w:val="-8"/>
              </w:rPr>
              <w:t>环境风险</w:t>
            </w:r>
          </w:p>
          <w:p>
            <w:pPr>
              <w:adjustRightInd w:val="0"/>
              <w:snapToGrid w:val="0"/>
              <w:jc w:val="center"/>
              <w:rPr>
                <w:rFonts w:hint="eastAsia" w:ascii="宋体" w:hAnsi="宋体" w:cs="宋体"/>
                <w:spacing w:val="-8"/>
              </w:rPr>
            </w:pPr>
            <w:r>
              <w:rPr>
                <w:rFonts w:hint="eastAsia" w:ascii="宋体" w:hAnsi="宋体" w:cs="宋体"/>
                <w:spacing w:val="-8"/>
              </w:rPr>
              <w:t>防范措施</w:t>
            </w:r>
          </w:p>
        </w:tc>
        <w:tc>
          <w:tcPr>
            <w:tcW w:w="7121" w:type="dxa"/>
            <w:gridSpan w:val="4"/>
            <w:vAlign w:val="center"/>
          </w:tcPr>
          <w:p>
            <w:pPr>
              <w:adjustRightInd w:val="0"/>
              <w:snapToGrid w:val="0"/>
              <w:jc w:val="center"/>
              <w:rPr>
                <w:rFonts w:hint="eastAsia" w:ascii="宋体" w:hAnsi="宋体" w:cs="宋体"/>
              </w:rPr>
            </w:pPr>
            <w:r>
              <w:rPr>
                <w:rFonts w:hint="eastAsia" w:ascii="宋体" w:hAnsi="宋体" w:cs="宋体"/>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679" w:type="dxa"/>
            <w:vAlign w:val="center"/>
          </w:tcPr>
          <w:p>
            <w:pPr>
              <w:adjustRightInd w:val="0"/>
              <w:snapToGrid w:val="0"/>
              <w:jc w:val="center"/>
              <w:rPr>
                <w:rFonts w:hint="eastAsia" w:ascii="宋体" w:hAnsi="宋体" w:cs="宋体"/>
                <w:spacing w:val="-8"/>
              </w:rPr>
            </w:pPr>
            <w:r>
              <w:rPr>
                <w:rFonts w:hint="eastAsia" w:ascii="宋体" w:hAnsi="宋体" w:cs="宋体"/>
                <w:spacing w:val="-8"/>
              </w:rPr>
              <w:t>其他环境</w:t>
            </w:r>
          </w:p>
          <w:p>
            <w:pPr>
              <w:adjustRightInd w:val="0"/>
              <w:snapToGrid w:val="0"/>
              <w:jc w:val="center"/>
              <w:rPr>
                <w:rFonts w:hint="eastAsia" w:ascii="宋体" w:hAnsi="宋体" w:cs="宋体"/>
                <w:spacing w:val="-8"/>
              </w:rPr>
            </w:pPr>
            <w:r>
              <w:rPr>
                <w:rFonts w:hint="eastAsia" w:ascii="宋体" w:hAnsi="宋体" w:cs="宋体"/>
                <w:spacing w:val="-8"/>
              </w:rPr>
              <w:t>管理要求</w:t>
            </w:r>
          </w:p>
        </w:tc>
        <w:tc>
          <w:tcPr>
            <w:tcW w:w="7121" w:type="dxa"/>
            <w:gridSpan w:val="4"/>
            <w:vAlign w:val="center"/>
          </w:tcPr>
          <w:p>
            <w:pPr>
              <w:autoSpaceDE w:val="0"/>
              <w:snapToGrid w:val="0"/>
              <w:spacing w:line="360" w:lineRule="auto"/>
              <w:ind w:firstLine="481" w:firstLineChars="200"/>
              <w:rPr>
                <w:b/>
                <w:bCs/>
              </w:rPr>
            </w:pPr>
            <w:r>
              <w:rPr>
                <w:b/>
                <w:bCs/>
              </w:rPr>
              <w:t>1</w:t>
            </w:r>
            <w:r>
              <w:rPr>
                <w:rFonts w:hint="eastAsia"/>
                <w:b/>
                <w:bCs/>
              </w:rPr>
              <w:t>、</w:t>
            </w:r>
            <w:r>
              <w:rPr>
                <w:rFonts w:ascii="宋体" w:hAnsi="宋体"/>
                <w:b/>
                <w:bCs/>
              </w:rPr>
              <w:t>环境管理</w:t>
            </w:r>
          </w:p>
          <w:p>
            <w:pPr>
              <w:autoSpaceDE w:val="0"/>
              <w:snapToGrid w:val="0"/>
              <w:spacing w:line="360" w:lineRule="auto"/>
              <w:ind w:firstLine="480" w:firstLineChars="200"/>
            </w:pPr>
            <w:r>
              <w:rPr>
                <w:rFonts w:ascii="宋体" w:hAnsi="宋体"/>
              </w:rPr>
              <w:t>企业应建立环境管理台账记录制度，落实环境管理台账记录的责任部门和责任人，明确工作职责，包括台账的记录、整理、维护和管理等，并对环境管理台账的真实性、完整性和规范性负责。</w:t>
            </w:r>
          </w:p>
          <w:p>
            <w:pPr>
              <w:autoSpaceDE w:val="0"/>
              <w:snapToGrid w:val="0"/>
              <w:spacing w:line="360" w:lineRule="auto"/>
              <w:ind w:firstLine="481" w:firstLineChars="200"/>
              <w:rPr>
                <w:b/>
                <w:bCs/>
              </w:rPr>
            </w:pPr>
            <w:r>
              <w:rPr>
                <w:b/>
                <w:bCs/>
              </w:rPr>
              <w:t>2</w:t>
            </w:r>
            <w:r>
              <w:rPr>
                <w:rFonts w:hint="eastAsia"/>
                <w:b/>
                <w:bCs/>
              </w:rPr>
              <w:t>、自行监测数据记录</w:t>
            </w:r>
          </w:p>
          <w:p>
            <w:pPr>
              <w:autoSpaceDE w:val="0"/>
              <w:snapToGrid w:val="0"/>
              <w:spacing w:line="360" w:lineRule="auto"/>
              <w:ind w:firstLine="480" w:firstLineChars="200"/>
              <w:rPr>
                <w:b/>
                <w:bCs/>
              </w:rPr>
            </w:pPr>
            <w:r>
              <w:rPr>
                <w:rFonts w:hint="eastAsia"/>
              </w:rPr>
              <w:t>污染物排放情况手工监测记录信息包括采样日期、样品数量、采样方法、采样人姓名等采样信息，并记录排放口编码、标况烟气量、排放口温度、污染因子、许可排放浓度、监测浓度、监测浓度（折标）、测定方法以及是否超标等信息。若监测结果超标，应说明超标原因。</w:t>
            </w:r>
          </w:p>
          <w:p>
            <w:pPr>
              <w:autoSpaceDE w:val="0"/>
              <w:snapToGrid w:val="0"/>
              <w:spacing w:line="360" w:lineRule="auto"/>
              <w:ind w:firstLine="481" w:firstLineChars="200"/>
              <w:rPr>
                <w:b/>
                <w:bCs/>
              </w:rPr>
            </w:pPr>
            <w:r>
              <w:rPr>
                <w:rFonts w:hint="eastAsia"/>
                <w:b/>
                <w:bCs/>
              </w:rPr>
              <w:t>3、</w:t>
            </w:r>
            <w:r>
              <w:rPr>
                <w:rFonts w:ascii="宋体" w:hAnsi="宋体"/>
                <w:b/>
                <w:bCs/>
              </w:rPr>
              <w:t>企业环境信息公开</w:t>
            </w:r>
          </w:p>
          <w:p>
            <w:pPr>
              <w:autoSpaceDE w:val="0"/>
              <w:snapToGrid w:val="0"/>
              <w:spacing w:line="360" w:lineRule="auto"/>
              <w:ind w:firstLine="480" w:firstLineChars="200"/>
            </w:pPr>
            <w:r>
              <w:rPr>
                <w:rFonts w:ascii="宋体" w:hAnsi="宋体"/>
              </w:rPr>
              <w:t>根据</w:t>
            </w:r>
            <w:r>
              <w:fldChar w:fldCharType="begin"/>
            </w:r>
            <w:r>
              <w:instrText xml:space="preserve"> HYPERLINK "https://www.mee.gov.cn/xxgk2018/xxgk/xxgk02/202112/W020211221725272800656.pdf" </w:instrText>
            </w:r>
            <w:r>
              <w:fldChar w:fldCharType="separate"/>
            </w:r>
            <w:r>
              <w:rPr>
                <w:rFonts w:hint="eastAsia" w:ascii="宋体" w:hAnsi="宋体"/>
              </w:rPr>
              <w:t>《企业环境信息依法披露管理办法》</w:t>
            </w:r>
            <w:r>
              <w:rPr>
                <w:rFonts w:hint="eastAsia" w:ascii="宋体" w:hAnsi="宋体"/>
              </w:rPr>
              <w:fldChar w:fldCharType="end"/>
            </w:r>
            <w:r>
              <w:rPr>
                <w:rFonts w:ascii="宋体" w:hAnsi="宋体"/>
              </w:rPr>
              <w:t>（部令第</w:t>
            </w:r>
            <w:r>
              <w:rPr>
                <w:rFonts w:hint="eastAsia"/>
              </w:rPr>
              <w:t>24</w:t>
            </w:r>
            <w:r>
              <w:rPr>
                <w:rFonts w:ascii="宋体" w:hAnsi="宋体"/>
              </w:rPr>
              <w:t>号）规定，</w:t>
            </w:r>
            <w:r>
              <w:rPr>
                <w:rFonts w:hint="eastAsia" w:ascii="宋体" w:hAnsi="宋体"/>
              </w:rPr>
              <w:t>企业应当建立健全环境信息依法披露管理制度，规范工作规程，明确工作职责，建立准确的环境信息管理台账，妥善保存相关原始记录，科学统计归集相关环境信息。企业披露环境信息所使用的相关数据及表述应当符合环境监测、环境统计等方面的标准和技术规范要求，优先使用符合国家监测规范的污染物监测数据、排污许可证执行报告数据等。企业应当依法、及时、真实、准确、完整地披露环境信息，披露的环境信息应当简明清晰、通俗易懂，不得有虚假记载、误导性陈述或者重大遗漏。</w:t>
            </w:r>
          </w:p>
          <w:p>
            <w:pPr>
              <w:autoSpaceDE w:val="0"/>
              <w:snapToGrid w:val="0"/>
              <w:spacing w:line="360" w:lineRule="auto"/>
              <w:ind w:firstLine="480" w:firstLineChars="200"/>
            </w:pPr>
            <w:r>
              <w:rPr>
                <w:rFonts w:ascii="宋体" w:hAnsi="宋体"/>
              </w:rPr>
              <w:t>（</w:t>
            </w:r>
            <w:r>
              <w:t>1）</w:t>
            </w:r>
            <w:r>
              <w:rPr>
                <w:rFonts w:hint="eastAsia"/>
              </w:rPr>
              <w:t>企业年度环境信息依法披露报告应当包括以下内容</w:t>
            </w:r>
          </w:p>
          <w:p>
            <w:pPr>
              <w:autoSpaceDE w:val="0"/>
              <w:snapToGrid w:val="0"/>
              <w:spacing w:line="360" w:lineRule="auto"/>
              <w:ind w:firstLine="480" w:firstLineChars="200"/>
            </w:pPr>
            <w:r>
              <w:rPr>
                <w:rFonts w:hint="eastAsia" w:ascii="宋体" w:hAnsi="宋体" w:cs="宋体"/>
              </w:rPr>
              <w:t>①</w:t>
            </w:r>
            <w:r>
              <w:rPr>
                <w:rFonts w:hint="eastAsia" w:ascii="宋体" w:hAnsi="宋体"/>
              </w:rPr>
              <w:t>企业基本信息，包括企业生产和生态环境保护等方面的基础信息；</w:t>
            </w:r>
          </w:p>
          <w:p>
            <w:pPr>
              <w:autoSpaceDE w:val="0"/>
              <w:snapToGrid w:val="0"/>
              <w:spacing w:line="360" w:lineRule="auto"/>
              <w:ind w:firstLine="480" w:firstLineChars="200"/>
              <w:rPr>
                <w:rFonts w:hint="eastAsia" w:ascii="宋体" w:hAnsi="宋体"/>
              </w:rPr>
            </w:pPr>
            <w:r>
              <w:rPr>
                <w:rFonts w:hint="eastAsia" w:ascii="宋体" w:hAnsi="宋体" w:cs="宋体"/>
              </w:rPr>
              <w:t>②</w:t>
            </w:r>
            <w:r>
              <w:rPr>
                <w:rFonts w:hint="eastAsia" w:ascii="宋体" w:hAnsi="宋体"/>
              </w:rPr>
              <w:t>污染物产生、治理与排放信息，包括污染防治设施，污染物排放，有毒有害物质排放，工业固体废物和危险废物产生、贮存、流向、利用、处置，自行监测等方面的信息；</w:t>
            </w:r>
          </w:p>
          <w:p>
            <w:pPr>
              <w:autoSpaceDE w:val="0"/>
              <w:snapToGrid w:val="0"/>
              <w:spacing w:line="360" w:lineRule="auto"/>
              <w:ind w:firstLine="480" w:firstLineChars="200"/>
            </w:pPr>
            <w:r>
              <w:rPr>
                <w:rFonts w:hint="eastAsia" w:ascii="宋体" w:hAnsi="宋体" w:cs="宋体"/>
              </w:rPr>
              <w:t>③</w:t>
            </w:r>
            <w:r>
              <w:rPr>
                <w:rFonts w:hint="eastAsia" w:ascii="宋体" w:hAnsi="宋体"/>
              </w:rPr>
              <w:t>生态环境应急信息，包括突发环境事件应急预案、重污染天气应急响应等方面的信息；</w:t>
            </w:r>
          </w:p>
          <w:p>
            <w:pPr>
              <w:autoSpaceDE w:val="0"/>
              <w:snapToGrid w:val="0"/>
              <w:spacing w:line="360" w:lineRule="auto"/>
              <w:ind w:firstLine="480" w:firstLineChars="200"/>
              <w:rPr>
                <w:rFonts w:hint="eastAsia" w:ascii="宋体" w:hAnsi="宋体"/>
              </w:rPr>
            </w:pPr>
            <w:r>
              <w:rPr>
                <w:rFonts w:hint="eastAsia" w:ascii="宋体" w:hAnsi="宋体"/>
              </w:rPr>
              <w:t>④生态环境违法信息；</w:t>
            </w:r>
          </w:p>
          <w:p>
            <w:pPr>
              <w:autoSpaceDE w:val="0"/>
              <w:snapToGrid w:val="0"/>
              <w:spacing w:line="360" w:lineRule="auto"/>
              <w:ind w:firstLine="480" w:firstLineChars="200"/>
              <w:rPr>
                <w:rFonts w:hint="eastAsia" w:ascii="宋体" w:hAnsi="宋体"/>
              </w:rPr>
            </w:pPr>
            <w:r>
              <w:rPr>
                <w:rFonts w:hint="eastAsia" w:ascii="宋体" w:hAnsi="宋体"/>
              </w:rPr>
              <w:t>⑤本年度临时环境信息依法披露情况；</w:t>
            </w:r>
          </w:p>
          <w:p>
            <w:pPr>
              <w:autoSpaceDE w:val="0"/>
              <w:snapToGrid w:val="0"/>
              <w:spacing w:line="360" w:lineRule="auto"/>
              <w:ind w:firstLine="480" w:firstLineChars="200"/>
              <w:rPr>
                <w:rFonts w:hint="eastAsia" w:ascii="宋体" w:hAnsi="宋体"/>
              </w:rPr>
            </w:pPr>
            <w:r>
              <w:rPr>
                <w:rFonts w:hint="eastAsia" w:ascii="宋体" w:hAnsi="宋体"/>
              </w:rPr>
              <w:t>⑥法律法规规定的其他环境信息。</w:t>
            </w:r>
          </w:p>
          <w:p>
            <w:pPr>
              <w:pStyle w:val="2"/>
            </w:pPr>
          </w:p>
          <w:p>
            <w:pPr>
              <w:pStyle w:val="3"/>
              <w:ind w:left="480"/>
            </w:pPr>
          </w:p>
          <w:p/>
          <w:p>
            <w:pPr>
              <w:pStyle w:val="2"/>
            </w:pPr>
          </w:p>
          <w:p>
            <w:pPr>
              <w:pStyle w:val="3"/>
              <w:ind w:left="480"/>
            </w:pPr>
          </w:p>
          <w:p/>
          <w:p>
            <w:pPr>
              <w:pStyle w:val="2"/>
            </w:pPr>
          </w:p>
          <w:p>
            <w:pPr>
              <w:pStyle w:val="3"/>
              <w:ind w:left="480"/>
            </w:pPr>
          </w:p>
          <w:p/>
          <w:p>
            <w:pPr>
              <w:pStyle w:val="2"/>
            </w:pPr>
          </w:p>
          <w:p>
            <w:pPr>
              <w:pStyle w:val="3"/>
              <w:ind w:left="480"/>
            </w:pPr>
          </w:p>
          <w:p/>
          <w:p>
            <w:pPr>
              <w:pStyle w:val="2"/>
            </w:pPr>
          </w:p>
          <w:p>
            <w:pPr>
              <w:pStyle w:val="3"/>
              <w:ind w:left="480"/>
            </w:pPr>
          </w:p>
          <w:p/>
          <w:p>
            <w:pPr>
              <w:pStyle w:val="2"/>
            </w:pPr>
          </w:p>
          <w:p>
            <w:pPr>
              <w:pStyle w:val="3"/>
              <w:ind w:left="480"/>
            </w:pPr>
          </w:p>
          <w:p/>
          <w:p>
            <w:pPr>
              <w:pStyle w:val="2"/>
            </w:pPr>
          </w:p>
          <w:p>
            <w:pPr>
              <w:pStyle w:val="3"/>
              <w:ind w:left="480"/>
            </w:pPr>
          </w:p>
          <w:p/>
          <w:p>
            <w:pPr>
              <w:pStyle w:val="2"/>
            </w:pPr>
          </w:p>
          <w:p>
            <w:pPr>
              <w:pStyle w:val="3"/>
              <w:ind w:left="480"/>
            </w:pPr>
          </w:p>
          <w:p/>
          <w:p>
            <w:pPr>
              <w:pStyle w:val="3"/>
              <w:ind w:left="0" w:leftChars="0" w:firstLine="0" w:firstLineChars="0"/>
            </w:pPr>
          </w:p>
        </w:tc>
      </w:tr>
    </w:tbl>
    <w:p>
      <w:pPr>
        <w:pStyle w:val="17"/>
        <w:jc w:val="center"/>
        <w:outlineLvl w:val="0"/>
        <w:rPr>
          <w:rFonts w:hint="eastAsia" w:ascii="黑体" w:hAnsi="黑体" w:eastAsia="黑体"/>
          <w:snapToGrid w:val="0"/>
          <w:sz w:val="30"/>
          <w:szCs w:val="30"/>
        </w:rPr>
      </w:pPr>
      <w:r>
        <w:rPr>
          <w:snapToGrid w:val="0"/>
        </w:rPr>
        <w:br w:type="page"/>
      </w:r>
      <w:r>
        <w:rPr>
          <w:rFonts w:hint="eastAsia" w:ascii="黑体" w:hAnsi="黑体" w:eastAsia="黑体"/>
          <w:snapToGrid w:val="0"/>
          <w:sz w:val="30"/>
          <w:szCs w:val="30"/>
        </w:rPr>
        <w:t>六、结论</w:t>
      </w:r>
    </w:p>
    <w:tbl>
      <w:tblPr>
        <w:tblStyle w:val="1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59" w:hRule="atLeast"/>
          <w:jc w:val="center"/>
        </w:trPr>
        <w:tc>
          <w:tcPr>
            <w:tcW w:w="8865" w:type="dxa"/>
          </w:tcPr>
          <w:p>
            <w:pPr>
              <w:pStyle w:val="10"/>
              <w:ind w:firstLine="480"/>
            </w:pPr>
            <w:r>
              <w:t>本项目施工期、</w:t>
            </w:r>
            <w:r>
              <w:rPr>
                <w:rFonts w:hint="eastAsia"/>
              </w:rPr>
              <w:t>运营期不可避免的会对周围环境产生影响，在</w:t>
            </w:r>
            <w:r>
              <w:t>认真落实本报告中提出的各项污染防治措施及建议</w:t>
            </w:r>
            <w:r>
              <w:rPr>
                <w:rFonts w:hint="eastAsia"/>
              </w:rPr>
              <w:t>的前提下，</w:t>
            </w:r>
            <w:r>
              <w:t>加强环境管理，其</w:t>
            </w:r>
            <w:r>
              <w:rPr>
                <w:rFonts w:hint="eastAsia"/>
              </w:rPr>
              <w:t>废气</w:t>
            </w:r>
            <w:r>
              <w:t>、废水、噪声、固废等</w:t>
            </w:r>
            <w:r>
              <w:rPr>
                <w:rFonts w:hint="eastAsia"/>
              </w:rPr>
              <w:t>污染物</w:t>
            </w:r>
            <w:r>
              <w:t>对周围环境</w:t>
            </w:r>
            <w:r>
              <w:rPr>
                <w:rFonts w:hint="eastAsia"/>
              </w:rPr>
              <w:t>的</w:t>
            </w:r>
            <w:r>
              <w:t>影响</w:t>
            </w:r>
            <w:r>
              <w:rPr>
                <w:rFonts w:hint="eastAsia"/>
              </w:rPr>
              <w:t>控制在可接受范围内，</w:t>
            </w:r>
            <w:r>
              <w:t>从环境保护角度分析，该建设项目可行。</w:t>
            </w:r>
          </w:p>
        </w:tc>
      </w:tr>
    </w:tbl>
    <w:p>
      <w:pPr>
        <w:rPr>
          <w:rFonts w:ascii="宋体"/>
        </w:rPr>
        <w:sectPr>
          <w:pgSz w:w="11906" w:h="16838"/>
          <w:pgMar w:top="1701" w:right="1531" w:bottom="1701" w:left="1531" w:header="851" w:footer="851" w:gutter="0"/>
          <w:cols w:space="720" w:num="1"/>
          <w:docGrid w:linePitch="312" w:charSpace="0"/>
        </w:sectPr>
      </w:pPr>
    </w:p>
    <w:p>
      <w:pPr>
        <w:pStyle w:val="17"/>
        <w:adjustRightInd w:val="0"/>
        <w:snapToGrid w:val="0"/>
        <w:spacing w:before="0" w:beforeAutospacing="0" w:after="0" w:afterAutospacing="0" w:line="360" w:lineRule="auto"/>
        <w:outlineLvl w:val="0"/>
        <w:rPr>
          <w:rFonts w:hint="eastAsia" w:ascii="黑体" w:hAnsi="黑体" w:eastAsia="黑体"/>
          <w:snapToGrid w:val="0"/>
          <w:sz w:val="32"/>
          <w:szCs w:val="32"/>
        </w:rPr>
      </w:pPr>
      <w:r>
        <w:rPr>
          <w:rFonts w:hint="eastAsia" w:ascii="黑体" w:hAnsi="黑体" w:eastAsia="黑体"/>
          <w:snapToGrid w:val="0"/>
          <w:sz w:val="32"/>
          <w:szCs w:val="32"/>
        </w:rPr>
        <w:t>附表</w:t>
      </w:r>
    </w:p>
    <w:p>
      <w:pPr>
        <w:pStyle w:val="17"/>
        <w:adjustRightInd w:val="0"/>
        <w:snapToGrid w:val="0"/>
        <w:spacing w:before="0" w:beforeAutospacing="0" w:after="0" w:afterAutospacing="0" w:line="360" w:lineRule="auto"/>
        <w:jc w:val="center"/>
        <w:outlineLvl w:val="0"/>
        <w:rPr>
          <w:rFonts w:hint="eastAsia" w:ascii="方正小标宋_GBK" w:hAnsi="黑体" w:eastAsia="方正小标宋_GBK"/>
          <w:snapToGrid w:val="0"/>
          <w:sz w:val="38"/>
          <w:szCs w:val="38"/>
        </w:rPr>
      </w:pPr>
      <w:r>
        <w:rPr>
          <w:rFonts w:hint="eastAsia" w:ascii="方正小标宋_GBK" w:hAnsi="黑体" w:eastAsia="方正小标宋_GBK"/>
          <w:snapToGrid w:val="0"/>
          <w:sz w:val="38"/>
          <w:szCs w:val="38"/>
        </w:rPr>
        <w:t>建设项目污染物排放量汇总表</w:t>
      </w:r>
    </w:p>
    <w:tbl>
      <w:tblPr>
        <w:tblStyle w:val="19"/>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42"/>
        <w:gridCol w:w="1563"/>
        <w:gridCol w:w="1570"/>
        <w:gridCol w:w="1250"/>
        <w:gridCol w:w="1584"/>
        <w:gridCol w:w="1583"/>
        <w:gridCol w:w="1583"/>
        <w:gridCol w:w="1734"/>
        <w:gridCol w:w="147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2" w:type="dxa"/>
            <w:tcBorders>
              <w:tl2br w:val="single" w:color="auto" w:sz="4" w:space="0"/>
            </w:tcBorders>
            <w:tcMar>
              <w:left w:w="28" w:type="dxa"/>
              <w:right w:w="28" w:type="dxa"/>
            </w:tcMar>
            <w:vAlign w:val="center"/>
          </w:tcPr>
          <w:p>
            <w:pPr>
              <w:pStyle w:val="38"/>
              <w:spacing w:beforeLines="0" w:afterLines="0" w:line="240" w:lineRule="auto"/>
              <w:jc w:val="right"/>
              <w:rPr>
                <w:rFonts w:hint="eastAsia" w:ascii="黑体" w:hAnsi="黑体" w:eastAsia="黑体" w:cs="宋体"/>
                <w:snapToGrid w:val="0"/>
                <w:spacing w:val="-6"/>
                <w:kern w:val="21"/>
                <w:sz w:val="21"/>
                <w:szCs w:val="21"/>
              </w:rPr>
            </w:pPr>
            <w:r>
              <w:rPr>
                <w:rFonts w:hint="eastAsia" w:ascii="黑体" w:hAnsi="黑体" w:eastAsia="黑体" w:cs="宋体"/>
                <w:snapToGrid w:val="0"/>
                <w:spacing w:val="-6"/>
                <w:kern w:val="21"/>
                <w:sz w:val="21"/>
                <w:szCs w:val="21"/>
              </w:rPr>
              <w:t>项目</w:t>
            </w:r>
          </w:p>
          <w:p>
            <w:pPr>
              <w:pStyle w:val="38"/>
              <w:spacing w:beforeLines="0" w:afterLines="0" w:line="240" w:lineRule="auto"/>
              <w:jc w:val="left"/>
              <w:rPr>
                <w:rFonts w:hint="eastAsia" w:ascii="黑体" w:hAnsi="黑体" w:eastAsia="黑体" w:cs="宋体"/>
                <w:snapToGrid w:val="0"/>
                <w:spacing w:val="-6"/>
                <w:kern w:val="21"/>
                <w:sz w:val="21"/>
                <w:szCs w:val="21"/>
              </w:rPr>
            </w:pPr>
            <w:r>
              <w:rPr>
                <w:rFonts w:hint="eastAsia" w:ascii="黑体" w:hAnsi="黑体" w:eastAsia="黑体" w:cs="宋体"/>
                <w:snapToGrid w:val="0"/>
                <w:spacing w:val="-6"/>
                <w:kern w:val="21"/>
                <w:sz w:val="21"/>
                <w:szCs w:val="21"/>
              </w:rPr>
              <w:t>分类</w:t>
            </w:r>
          </w:p>
        </w:tc>
        <w:tc>
          <w:tcPr>
            <w:tcW w:w="1563" w:type="dxa"/>
            <w:tcMar>
              <w:left w:w="28" w:type="dxa"/>
              <w:right w:w="28" w:type="dxa"/>
            </w:tcMar>
            <w:vAlign w:val="center"/>
          </w:tcPr>
          <w:p>
            <w:pPr>
              <w:pStyle w:val="38"/>
              <w:spacing w:beforeLines="0" w:afterLines="0" w:line="240" w:lineRule="auto"/>
              <w:rPr>
                <w:rFonts w:hint="eastAsia" w:ascii="黑体" w:hAnsi="黑体" w:eastAsia="黑体" w:cs="宋体"/>
                <w:snapToGrid w:val="0"/>
                <w:spacing w:val="-6"/>
                <w:kern w:val="21"/>
                <w:sz w:val="21"/>
                <w:szCs w:val="21"/>
              </w:rPr>
            </w:pPr>
            <w:r>
              <w:rPr>
                <w:rFonts w:hint="eastAsia" w:ascii="黑体" w:hAnsi="黑体" w:eastAsia="黑体" w:cs="宋体"/>
                <w:snapToGrid w:val="0"/>
                <w:spacing w:val="-6"/>
                <w:kern w:val="21"/>
                <w:sz w:val="21"/>
                <w:szCs w:val="21"/>
              </w:rPr>
              <w:t>污染物名称</w:t>
            </w:r>
          </w:p>
        </w:tc>
        <w:tc>
          <w:tcPr>
            <w:tcW w:w="1570" w:type="dxa"/>
            <w:tcMar>
              <w:left w:w="28" w:type="dxa"/>
              <w:right w:w="28" w:type="dxa"/>
            </w:tcMar>
            <w:vAlign w:val="center"/>
          </w:tcPr>
          <w:p>
            <w:pPr>
              <w:pStyle w:val="38"/>
              <w:spacing w:beforeLines="0" w:afterLines="0" w:line="240" w:lineRule="auto"/>
              <w:rPr>
                <w:rFonts w:hint="eastAsia" w:ascii="黑体" w:hAnsi="黑体" w:eastAsia="黑体"/>
                <w:snapToGrid w:val="0"/>
                <w:spacing w:val="-6"/>
                <w:kern w:val="21"/>
                <w:sz w:val="21"/>
                <w:szCs w:val="21"/>
              </w:rPr>
            </w:pPr>
            <w:r>
              <w:rPr>
                <w:rFonts w:ascii="黑体" w:hAnsi="黑体" w:eastAsia="黑体"/>
                <w:snapToGrid w:val="0"/>
                <w:spacing w:val="-6"/>
                <w:kern w:val="21"/>
                <w:sz w:val="21"/>
                <w:szCs w:val="21"/>
              </w:rPr>
              <w:t>现有工程</w:t>
            </w:r>
          </w:p>
          <w:p>
            <w:pPr>
              <w:pStyle w:val="38"/>
              <w:spacing w:beforeLines="0" w:afterLines="0" w:line="240" w:lineRule="auto"/>
              <w:rPr>
                <w:rFonts w:hint="eastAsia" w:ascii="黑体" w:hAnsi="黑体" w:eastAsia="黑体"/>
                <w:snapToGrid w:val="0"/>
                <w:spacing w:val="-6"/>
                <w:kern w:val="21"/>
                <w:sz w:val="21"/>
                <w:szCs w:val="21"/>
              </w:rPr>
            </w:pPr>
            <w:r>
              <w:rPr>
                <w:rFonts w:ascii="黑体" w:hAnsi="黑体" w:eastAsia="黑体"/>
                <w:snapToGrid w:val="0"/>
                <w:spacing w:val="-6"/>
                <w:kern w:val="21"/>
                <w:sz w:val="21"/>
                <w:szCs w:val="21"/>
              </w:rPr>
              <w:t>排放量（固</w:t>
            </w:r>
            <w:r>
              <w:rPr>
                <w:rFonts w:hint="eastAsia" w:ascii="黑体" w:hAnsi="黑体" w:eastAsia="黑体"/>
                <w:snapToGrid w:val="0"/>
                <w:spacing w:val="-6"/>
                <w:kern w:val="21"/>
                <w:sz w:val="21"/>
                <w:szCs w:val="21"/>
              </w:rPr>
              <w:t>体</w:t>
            </w:r>
            <w:r>
              <w:rPr>
                <w:rFonts w:ascii="黑体" w:hAnsi="黑体" w:eastAsia="黑体"/>
                <w:snapToGrid w:val="0"/>
                <w:spacing w:val="-6"/>
                <w:kern w:val="21"/>
                <w:sz w:val="21"/>
                <w:szCs w:val="21"/>
              </w:rPr>
              <w:t>废</w:t>
            </w:r>
            <w:r>
              <w:rPr>
                <w:rFonts w:hint="eastAsia" w:ascii="黑体" w:hAnsi="黑体" w:eastAsia="黑体"/>
                <w:snapToGrid w:val="0"/>
                <w:spacing w:val="-6"/>
                <w:kern w:val="21"/>
                <w:sz w:val="21"/>
                <w:szCs w:val="21"/>
              </w:rPr>
              <w:t>物</w:t>
            </w:r>
            <w:r>
              <w:rPr>
                <w:rFonts w:ascii="黑体" w:hAnsi="黑体" w:eastAsia="黑体"/>
                <w:snapToGrid w:val="0"/>
                <w:spacing w:val="-6"/>
                <w:kern w:val="21"/>
                <w:sz w:val="21"/>
                <w:szCs w:val="21"/>
              </w:rPr>
              <w:t>产生量）</w:t>
            </w:r>
            <w:r>
              <w:rPr>
                <w:rFonts w:ascii="黑体" w:hAnsi="黑体" w:eastAsia="黑体"/>
                <w:snapToGrid w:val="0"/>
                <w:spacing w:val="-6"/>
                <w:kern w:val="21"/>
                <w:sz w:val="21"/>
                <w:szCs w:val="21"/>
              </w:rPr>
              <w:fldChar w:fldCharType="begin"/>
            </w:r>
            <w:r>
              <w:rPr>
                <w:rFonts w:ascii="黑体" w:hAnsi="黑体" w:eastAsia="黑体"/>
                <w:snapToGrid w:val="0"/>
                <w:spacing w:val="-6"/>
                <w:kern w:val="21"/>
                <w:sz w:val="21"/>
                <w:szCs w:val="21"/>
              </w:rPr>
              <w:instrText xml:space="preserve"> = 1 \* GB3 \* MERGEFORMAT </w:instrText>
            </w:r>
            <w:r>
              <w:rPr>
                <w:rFonts w:ascii="黑体" w:hAnsi="黑体" w:eastAsia="黑体"/>
                <w:snapToGrid w:val="0"/>
                <w:spacing w:val="-6"/>
                <w:kern w:val="21"/>
                <w:sz w:val="21"/>
                <w:szCs w:val="21"/>
              </w:rPr>
              <w:fldChar w:fldCharType="separate"/>
            </w:r>
            <w:r>
              <w:rPr>
                <w:rFonts w:hint="eastAsia" w:ascii="黑体" w:hAnsi="黑体" w:eastAsia="黑体" w:cs="宋体"/>
                <w:kern w:val="2"/>
                <w:sz w:val="21"/>
                <w:szCs w:val="21"/>
              </w:rPr>
              <w:t>①</w:t>
            </w:r>
            <w:r>
              <w:rPr>
                <w:rFonts w:ascii="黑体" w:hAnsi="黑体" w:eastAsia="黑体"/>
                <w:snapToGrid w:val="0"/>
                <w:spacing w:val="-6"/>
                <w:kern w:val="21"/>
                <w:sz w:val="21"/>
                <w:szCs w:val="21"/>
              </w:rPr>
              <w:fldChar w:fldCharType="end"/>
            </w:r>
          </w:p>
        </w:tc>
        <w:tc>
          <w:tcPr>
            <w:tcW w:w="1250" w:type="dxa"/>
            <w:tcMar>
              <w:left w:w="28" w:type="dxa"/>
              <w:right w:w="28" w:type="dxa"/>
            </w:tcMar>
            <w:vAlign w:val="center"/>
          </w:tcPr>
          <w:p>
            <w:pPr>
              <w:pStyle w:val="38"/>
              <w:spacing w:beforeLines="0" w:afterLines="0" w:line="240" w:lineRule="auto"/>
              <w:rPr>
                <w:rFonts w:hint="eastAsia" w:ascii="黑体" w:hAnsi="黑体" w:eastAsia="黑体"/>
                <w:snapToGrid w:val="0"/>
                <w:spacing w:val="-6"/>
                <w:kern w:val="21"/>
                <w:sz w:val="21"/>
                <w:szCs w:val="21"/>
              </w:rPr>
            </w:pPr>
            <w:r>
              <w:rPr>
                <w:rFonts w:ascii="黑体" w:hAnsi="黑体" w:eastAsia="黑体"/>
                <w:snapToGrid w:val="0"/>
                <w:spacing w:val="-6"/>
                <w:kern w:val="21"/>
                <w:sz w:val="21"/>
                <w:szCs w:val="21"/>
              </w:rPr>
              <w:t>现有工程</w:t>
            </w:r>
          </w:p>
          <w:p>
            <w:pPr>
              <w:pStyle w:val="38"/>
              <w:spacing w:beforeLines="0" w:afterLines="0" w:line="240" w:lineRule="auto"/>
              <w:rPr>
                <w:rFonts w:hint="eastAsia" w:ascii="黑体" w:hAnsi="黑体" w:eastAsia="黑体"/>
                <w:snapToGrid w:val="0"/>
                <w:spacing w:val="-6"/>
                <w:kern w:val="21"/>
                <w:sz w:val="21"/>
                <w:szCs w:val="21"/>
              </w:rPr>
            </w:pPr>
            <w:r>
              <w:rPr>
                <w:rFonts w:ascii="黑体" w:hAnsi="黑体" w:eastAsia="黑体"/>
                <w:snapToGrid w:val="0"/>
                <w:spacing w:val="-6"/>
                <w:kern w:val="21"/>
                <w:sz w:val="21"/>
                <w:szCs w:val="21"/>
              </w:rPr>
              <w:t>许可排放量</w:t>
            </w:r>
          </w:p>
          <w:p>
            <w:pPr>
              <w:pStyle w:val="38"/>
              <w:spacing w:beforeLines="0" w:afterLines="0"/>
              <w:rPr>
                <w:rFonts w:hint="eastAsia" w:ascii="黑体" w:hAnsi="黑体" w:eastAsia="黑体"/>
                <w:snapToGrid w:val="0"/>
                <w:spacing w:val="-6"/>
                <w:kern w:val="21"/>
                <w:sz w:val="21"/>
                <w:szCs w:val="21"/>
              </w:rPr>
            </w:pPr>
            <w:r>
              <w:rPr>
                <w:rFonts w:ascii="黑体" w:hAnsi="黑体" w:eastAsia="黑体"/>
                <w:snapToGrid w:val="0"/>
                <w:spacing w:val="-6"/>
                <w:kern w:val="21"/>
                <w:sz w:val="21"/>
                <w:szCs w:val="21"/>
              </w:rPr>
              <w:fldChar w:fldCharType="begin"/>
            </w:r>
            <w:r>
              <w:rPr>
                <w:rFonts w:ascii="黑体" w:hAnsi="黑体" w:eastAsia="黑体"/>
                <w:snapToGrid w:val="0"/>
                <w:spacing w:val="-6"/>
                <w:kern w:val="21"/>
                <w:sz w:val="21"/>
                <w:szCs w:val="21"/>
              </w:rPr>
              <w:instrText xml:space="preserve"> = 2 \* GB3 \* MERGEFORMAT </w:instrText>
            </w:r>
            <w:r>
              <w:rPr>
                <w:rFonts w:ascii="黑体" w:hAnsi="黑体" w:eastAsia="黑体"/>
                <w:snapToGrid w:val="0"/>
                <w:spacing w:val="-6"/>
                <w:kern w:val="21"/>
                <w:sz w:val="21"/>
                <w:szCs w:val="21"/>
              </w:rPr>
              <w:fldChar w:fldCharType="separate"/>
            </w:r>
            <w:r>
              <w:rPr>
                <w:rFonts w:hint="eastAsia" w:ascii="黑体" w:hAnsi="黑体" w:eastAsia="黑体" w:cs="宋体"/>
                <w:snapToGrid w:val="0"/>
                <w:spacing w:val="-6"/>
                <w:kern w:val="21"/>
                <w:sz w:val="21"/>
                <w:szCs w:val="21"/>
              </w:rPr>
              <w:t>②</w:t>
            </w:r>
            <w:r>
              <w:rPr>
                <w:rFonts w:ascii="黑体" w:hAnsi="黑体" w:eastAsia="黑体"/>
                <w:snapToGrid w:val="0"/>
                <w:spacing w:val="-6"/>
                <w:kern w:val="21"/>
                <w:sz w:val="21"/>
                <w:szCs w:val="21"/>
              </w:rPr>
              <w:fldChar w:fldCharType="end"/>
            </w:r>
          </w:p>
        </w:tc>
        <w:tc>
          <w:tcPr>
            <w:tcW w:w="1584" w:type="dxa"/>
            <w:tcMar>
              <w:left w:w="28" w:type="dxa"/>
              <w:right w:w="28" w:type="dxa"/>
            </w:tcMar>
            <w:vAlign w:val="center"/>
          </w:tcPr>
          <w:p>
            <w:pPr>
              <w:pStyle w:val="38"/>
              <w:spacing w:beforeLines="0" w:afterLines="0" w:line="240" w:lineRule="auto"/>
              <w:rPr>
                <w:rFonts w:hint="eastAsia" w:ascii="黑体" w:hAnsi="黑体" w:eastAsia="黑体"/>
                <w:snapToGrid w:val="0"/>
                <w:spacing w:val="-6"/>
                <w:kern w:val="21"/>
                <w:sz w:val="21"/>
                <w:szCs w:val="21"/>
              </w:rPr>
            </w:pPr>
            <w:r>
              <w:rPr>
                <w:rFonts w:ascii="黑体" w:hAnsi="黑体" w:eastAsia="黑体"/>
                <w:snapToGrid w:val="0"/>
                <w:spacing w:val="-6"/>
                <w:kern w:val="21"/>
                <w:sz w:val="21"/>
                <w:szCs w:val="21"/>
              </w:rPr>
              <w:t>在建工程</w:t>
            </w:r>
          </w:p>
          <w:p>
            <w:pPr>
              <w:pStyle w:val="38"/>
              <w:spacing w:beforeLines="0" w:afterLines="0" w:line="240" w:lineRule="auto"/>
              <w:rPr>
                <w:rFonts w:hint="eastAsia" w:ascii="黑体" w:hAnsi="黑体" w:eastAsia="黑体"/>
                <w:snapToGrid w:val="0"/>
                <w:spacing w:val="-6"/>
                <w:kern w:val="21"/>
                <w:sz w:val="21"/>
                <w:szCs w:val="21"/>
              </w:rPr>
            </w:pPr>
            <w:r>
              <w:rPr>
                <w:rFonts w:ascii="黑体" w:hAnsi="黑体" w:eastAsia="黑体"/>
                <w:snapToGrid w:val="0"/>
                <w:spacing w:val="-6"/>
                <w:kern w:val="21"/>
                <w:sz w:val="21"/>
                <w:szCs w:val="21"/>
              </w:rPr>
              <w:t>排放量（固</w:t>
            </w:r>
            <w:r>
              <w:rPr>
                <w:rFonts w:hint="eastAsia" w:ascii="黑体" w:hAnsi="黑体" w:eastAsia="黑体"/>
                <w:snapToGrid w:val="0"/>
                <w:spacing w:val="-6"/>
                <w:kern w:val="21"/>
                <w:sz w:val="21"/>
                <w:szCs w:val="21"/>
              </w:rPr>
              <w:t>体</w:t>
            </w:r>
            <w:r>
              <w:rPr>
                <w:rFonts w:ascii="黑体" w:hAnsi="黑体" w:eastAsia="黑体"/>
                <w:snapToGrid w:val="0"/>
                <w:spacing w:val="-6"/>
                <w:kern w:val="21"/>
                <w:sz w:val="21"/>
                <w:szCs w:val="21"/>
              </w:rPr>
              <w:t>废</w:t>
            </w:r>
            <w:r>
              <w:rPr>
                <w:rFonts w:hint="eastAsia" w:ascii="黑体" w:hAnsi="黑体" w:eastAsia="黑体"/>
                <w:snapToGrid w:val="0"/>
                <w:spacing w:val="-6"/>
                <w:kern w:val="21"/>
                <w:sz w:val="21"/>
                <w:szCs w:val="21"/>
              </w:rPr>
              <w:t>物</w:t>
            </w:r>
            <w:r>
              <w:rPr>
                <w:rFonts w:ascii="黑体" w:hAnsi="黑体" w:eastAsia="黑体"/>
                <w:snapToGrid w:val="0"/>
                <w:spacing w:val="-6"/>
                <w:kern w:val="21"/>
                <w:sz w:val="21"/>
                <w:szCs w:val="21"/>
              </w:rPr>
              <w:t>产生量）</w:t>
            </w:r>
            <w:r>
              <w:rPr>
                <w:rFonts w:ascii="黑体" w:hAnsi="黑体" w:eastAsia="黑体"/>
                <w:snapToGrid w:val="0"/>
                <w:spacing w:val="-6"/>
                <w:kern w:val="21"/>
                <w:sz w:val="21"/>
                <w:szCs w:val="21"/>
              </w:rPr>
              <w:fldChar w:fldCharType="begin"/>
            </w:r>
            <w:r>
              <w:rPr>
                <w:rFonts w:ascii="黑体" w:hAnsi="黑体" w:eastAsia="黑体"/>
                <w:snapToGrid w:val="0"/>
                <w:spacing w:val="-6"/>
                <w:kern w:val="21"/>
                <w:sz w:val="21"/>
                <w:szCs w:val="21"/>
              </w:rPr>
              <w:instrText xml:space="preserve"> = 3 \* GB3 \* MERGEFORMAT </w:instrText>
            </w:r>
            <w:r>
              <w:rPr>
                <w:rFonts w:ascii="黑体" w:hAnsi="黑体" w:eastAsia="黑体"/>
                <w:snapToGrid w:val="0"/>
                <w:spacing w:val="-6"/>
                <w:kern w:val="21"/>
                <w:sz w:val="21"/>
                <w:szCs w:val="21"/>
              </w:rPr>
              <w:fldChar w:fldCharType="separate"/>
            </w:r>
            <w:r>
              <w:rPr>
                <w:rFonts w:hint="eastAsia" w:ascii="黑体" w:hAnsi="黑体" w:eastAsia="黑体" w:cs="宋体"/>
                <w:kern w:val="2"/>
                <w:sz w:val="21"/>
                <w:szCs w:val="21"/>
              </w:rPr>
              <w:t>③</w:t>
            </w:r>
            <w:r>
              <w:rPr>
                <w:rFonts w:ascii="黑体" w:hAnsi="黑体" w:eastAsia="黑体"/>
                <w:snapToGrid w:val="0"/>
                <w:spacing w:val="-6"/>
                <w:kern w:val="21"/>
                <w:sz w:val="21"/>
                <w:szCs w:val="21"/>
              </w:rPr>
              <w:fldChar w:fldCharType="end"/>
            </w:r>
          </w:p>
        </w:tc>
        <w:tc>
          <w:tcPr>
            <w:tcW w:w="1583" w:type="dxa"/>
            <w:tcMar>
              <w:left w:w="28" w:type="dxa"/>
              <w:right w:w="28" w:type="dxa"/>
            </w:tcMar>
            <w:vAlign w:val="center"/>
          </w:tcPr>
          <w:p>
            <w:pPr>
              <w:pStyle w:val="38"/>
              <w:spacing w:beforeLines="0" w:afterLines="0" w:line="240" w:lineRule="auto"/>
              <w:rPr>
                <w:rFonts w:hint="eastAsia" w:ascii="黑体" w:hAnsi="黑体" w:eastAsia="黑体"/>
                <w:snapToGrid w:val="0"/>
                <w:spacing w:val="-6"/>
                <w:kern w:val="21"/>
                <w:sz w:val="21"/>
                <w:szCs w:val="21"/>
              </w:rPr>
            </w:pPr>
            <w:r>
              <w:rPr>
                <w:rFonts w:ascii="黑体" w:hAnsi="黑体" w:eastAsia="黑体"/>
                <w:snapToGrid w:val="0"/>
                <w:spacing w:val="-6"/>
                <w:kern w:val="21"/>
                <w:sz w:val="21"/>
                <w:szCs w:val="21"/>
              </w:rPr>
              <w:t>本项目</w:t>
            </w:r>
          </w:p>
          <w:p>
            <w:pPr>
              <w:pStyle w:val="38"/>
              <w:spacing w:beforeLines="0" w:afterLines="0" w:line="240" w:lineRule="auto"/>
              <w:rPr>
                <w:rFonts w:hint="eastAsia" w:ascii="黑体" w:hAnsi="黑体" w:eastAsia="黑体"/>
                <w:snapToGrid w:val="0"/>
                <w:spacing w:val="-6"/>
                <w:kern w:val="21"/>
                <w:sz w:val="21"/>
                <w:szCs w:val="21"/>
              </w:rPr>
            </w:pPr>
            <w:r>
              <w:rPr>
                <w:rFonts w:ascii="黑体" w:hAnsi="黑体" w:eastAsia="黑体"/>
                <w:snapToGrid w:val="0"/>
                <w:spacing w:val="-6"/>
                <w:kern w:val="21"/>
                <w:sz w:val="21"/>
                <w:szCs w:val="21"/>
              </w:rPr>
              <w:t>排放量（固</w:t>
            </w:r>
            <w:r>
              <w:rPr>
                <w:rFonts w:hint="eastAsia" w:ascii="黑体" w:hAnsi="黑体" w:eastAsia="黑体"/>
                <w:snapToGrid w:val="0"/>
                <w:spacing w:val="-6"/>
                <w:kern w:val="21"/>
                <w:sz w:val="21"/>
                <w:szCs w:val="21"/>
              </w:rPr>
              <w:t>体</w:t>
            </w:r>
            <w:r>
              <w:rPr>
                <w:rFonts w:ascii="黑体" w:hAnsi="黑体" w:eastAsia="黑体"/>
                <w:snapToGrid w:val="0"/>
                <w:spacing w:val="-6"/>
                <w:kern w:val="21"/>
                <w:sz w:val="21"/>
                <w:szCs w:val="21"/>
              </w:rPr>
              <w:t>废</w:t>
            </w:r>
            <w:r>
              <w:rPr>
                <w:rFonts w:hint="eastAsia" w:ascii="黑体" w:hAnsi="黑体" w:eastAsia="黑体"/>
                <w:snapToGrid w:val="0"/>
                <w:spacing w:val="-6"/>
                <w:kern w:val="21"/>
                <w:sz w:val="21"/>
                <w:szCs w:val="21"/>
              </w:rPr>
              <w:t>物</w:t>
            </w:r>
            <w:r>
              <w:rPr>
                <w:rFonts w:ascii="黑体" w:hAnsi="黑体" w:eastAsia="黑体"/>
                <w:snapToGrid w:val="0"/>
                <w:spacing w:val="-6"/>
                <w:kern w:val="21"/>
                <w:sz w:val="21"/>
                <w:szCs w:val="21"/>
              </w:rPr>
              <w:t>产生量）</w:t>
            </w:r>
            <w:r>
              <w:rPr>
                <w:rFonts w:ascii="黑体" w:hAnsi="黑体" w:eastAsia="黑体"/>
                <w:snapToGrid w:val="0"/>
                <w:spacing w:val="-6"/>
                <w:kern w:val="21"/>
                <w:sz w:val="21"/>
                <w:szCs w:val="21"/>
              </w:rPr>
              <w:fldChar w:fldCharType="begin"/>
            </w:r>
            <w:r>
              <w:rPr>
                <w:rFonts w:ascii="黑体" w:hAnsi="黑体" w:eastAsia="黑体"/>
                <w:snapToGrid w:val="0"/>
                <w:spacing w:val="-6"/>
                <w:kern w:val="21"/>
                <w:sz w:val="21"/>
                <w:szCs w:val="21"/>
              </w:rPr>
              <w:instrText xml:space="preserve"> = 4 \* GB3 \* MERGEFORMAT </w:instrText>
            </w:r>
            <w:r>
              <w:rPr>
                <w:rFonts w:ascii="黑体" w:hAnsi="黑体" w:eastAsia="黑体"/>
                <w:snapToGrid w:val="0"/>
                <w:spacing w:val="-6"/>
                <w:kern w:val="21"/>
                <w:sz w:val="21"/>
                <w:szCs w:val="21"/>
              </w:rPr>
              <w:fldChar w:fldCharType="separate"/>
            </w:r>
            <w:r>
              <w:rPr>
                <w:rFonts w:hint="eastAsia" w:ascii="黑体" w:hAnsi="黑体" w:eastAsia="黑体" w:cs="宋体"/>
                <w:kern w:val="2"/>
                <w:sz w:val="21"/>
                <w:szCs w:val="21"/>
              </w:rPr>
              <w:t>④</w:t>
            </w:r>
            <w:r>
              <w:rPr>
                <w:rFonts w:ascii="黑体" w:hAnsi="黑体" w:eastAsia="黑体"/>
                <w:snapToGrid w:val="0"/>
                <w:spacing w:val="-6"/>
                <w:kern w:val="21"/>
                <w:sz w:val="21"/>
                <w:szCs w:val="21"/>
              </w:rPr>
              <w:fldChar w:fldCharType="end"/>
            </w:r>
          </w:p>
        </w:tc>
        <w:tc>
          <w:tcPr>
            <w:tcW w:w="1583" w:type="dxa"/>
            <w:tcMar>
              <w:left w:w="28" w:type="dxa"/>
              <w:right w:w="28" w:type="dxa"/>
            </w:tcMar>
            <w:vAlign w:val="center"/>
          </w:tcPr>
          <w:p>
            <w:pPr>
              <w:pStyle w:val="38"/>
              <w:spacing w:beforeLines="0" w:afterLines="0" w:line="240" w:lineRule="auto"/>
              <w:rPr>
                <w:rFonts w:hint="eastAsia" w:ascii="黑体" w:hAnsi="黑体" w:eastAsia="黑体"/>
                <w:snapToGrid w:val="0"/>
                <w:spacing w:val="-16"/>
                <w:kern w:val="21"/>
                <w:sz w:val="21"/>
                <w:szCs w:val="21"/>
              </w:rPr>
            </w:pPr>
            <w:r>
              <w:rPr>
                <w:rFonts w:ascii="黑体" w:hAnsi="黑体" w:eastAsia="黑体"/>
                <w:snapToGrid w:val="0"/>
                <w:spacing w:val="-16"/>
                <w:kern w:val="21"/>
                <w:sz w:val="21"/>
                <w:szCs w:val="21"/>
              </w:rPr>
              <w:t>以新带老削减量</w:t>
            </w:r>
          </w:p>
          <w:p>
            <w:pPr>
              <w:pStyle w:val="38"/>
              <w:spacing w:beforeLines="0" w:afterLines="0" w:line="240" w:lineRule="auto"/>
              <w:rPr>
                <w:rFonts w:hint="eastAsia" w:ascii="黑体" w:hAnsi="黑体" w:eastAsia="黑体"/>
                <w:snapToGrid w:val="0"/>
                <w:spacing w:val="-16"/>
                <w:kern w:val="21"/>
                <w:sz w:val="21"/>
                <w:szCs w:val="21"/>
              </w:rPr>
            </w:pPr>
            <w:r>
              <w:rPr>
                <w:rFonts w:ascii="黑体" w:hAnsi="黑体" w:eastAsia="黑体"/>
                <w:snapToGrid w:val="0"/>
                <w:spacing w:val="-16"/>
                <w:kern w:val="21"/>
                <w:sz w:val="21"/>
                <w:szCs w:val="21"/>
              </w:rPr>
              <w:t>（新建项目不填）</w:t>
            </w:r>
            <w:r>
              <w:rPr>
                <w:rFonts w:ascii="黑体" w:hAnsi="黑体" w:eastAsia="黑体"/>
                <w:snapToGrid w:val="0"/>
                <w:spacing w:val="-16"/>
                <w:kern w:val="21"/>
                <w:sz w:val="21"/>
                <w:szCs w:val="21"/>
              </w:rPr>
              <w:fldChar w:fldCharType="begin"/>
            </w:r>
            <w:r>
              <w:rPr>
                <w:rFonts w:ascii="黑体" w:hAnsi="黑体" w:eastAsia="黑体"/>
                <w:snapToGrid w:val="0"/>
                <w:spacing w:val="-16"/>
                <w:kern w:val="21"/>
                <w:sz w:val="21"/>
                <w:szCs w:val="21"/>
              </w:rPr>
              <w:instrText xml:space="preserve"> = 5 \* GB3 \* MERGEFORMAT </w:instrText>
            </w:r>
            <w:r>
              <w:rPr>
                <w:rFonts w:ascii="黑体" w:hAnsi="黑体" w:eastAsia="黑体"/>
                <w:snapToGrid w:val="0"/>
                <w:spacing w:val="-16"/>
                <w:kern w:val="21"/>
                <w:sz w:val="21"/>
                <w:szCs w:val="21"/>
              </w:rPr>
              <w:fldChar w:fldCharType="separate"/>
            </w:r>
            <w:r>
              <w:rPr>
                <w:rFonts w:hint="eastAsia" w:ascii="黑体" w:hAnsi="黑体" w:eastAsia="黑体" w:cs="宋体"/>
                <w:kern w:val="2"/>
                <w:sz w:val="21"/>
                <w:szCs w:val="21"/>
              </w:rPr>
              <w:t>⑤</w:t>
            </w:r>
            <w:r>
              <w:rPr>
                <w:rFonts w:ascii="黑体" w:hAnsi="黑体" w:eastAsia="黑体"/>
                <w:snapToGrid w:val="0"/>
                <w:spacing w:val="-16"/>
                <w:kern w:val="21"/>
                <w:sz w:val="21"/>
                <w:szCs w:val="21"/>
              </w:rPr>
              <w:fldChar w:fldCharType="end"/>
            </w:r>
          </w:p>
        </w:tc>
        <w:tc>
          <w:tcPr>
            <w:tcW w:w="1734" w:type="dxa"/>
            <w:tcMar>
              <w:left w:w="28" w:type="dxa"/>
              <w:right w:w="28" w:type="dxa"/>
            </w:tcMar>
            <w:vAlign w:val="center"/>
          </w:tcPr>
          <w:p>
            <w:pPr>
              <w:pStyle w:val="38"/>
              <w:spacing w:beforeLines="0" w:afterLines="0" w:line="240" w:lineRule="auto"/>
              <w:rPr>
                <w:rFonts w:hint="eastAsia" w:ascii="黑体" w:hAnsi="黑体" w:eastAsia="黑体"/>
                <w:snapToGrid w:val="0"/>
                <w:spacing w:val="-16"/>
                <w:kern w:val="21"/>
                <w:sz w:val="21"/>
                <w:szCs w:val="21"/>
              </w:rPr>
            </w:pPr>
            <w:r>
              <w:rPr>
                <w:rFonts w:ascii="黑体" w:hAnsi="黑体" w:eastAsia="黑体"/>
                <w:snapToGrid w:val="0"/>
                <w:spacing w:val="-16"/>
                <w:kern w:val="21"/>
                <w:sz w:val="21"/>
                <w:szCs w:val="21"/>
              </w:rPr>
              <w:t>本项目建成后</w:t>
            </w:r>
          </w:p>
          <w:p>
            <w:pPr>
              <w:pStyle w:val="38"/>
              <w:spacing w:beforeLines="0" w:afterLines="0" w:line="240" w:lineRule="auto"/>
              <w:rPr>
                <w:rFonts w:hint="eastAsia" w:ascii="黑体" w:hAnsi="黑体" w:eastAsia="黑体"/>
                <w:snapToGrid w:val="0"/>
                <w:spacing w:val="-16"/>
                <w:kern w:val="21"/>
                <w:sz w:val="21"/>
                <w:szCs w:val="21"/>
              </w:rPr>
            </w:pPr>
            <w:r>
              <w:rPr>
                <w:rFonts w:hint="eastAsia" w:ascii="黑体" w:hAnsi="黑体" w:eastAsia="黑体"/>
                <w:snapToGrid w:val="0"/>
                <w:spacing w:val="-16"/>
                <w:kern w:val="21"/>
                <w:sz w:val="21"/>
                <w:szCs w:val="21"/>
              </w:rPr>
              <w:t>全厂</w:t>
            </w:r>
            <w:r>
              <w:rPr>
                <w:rFonts w:ascii="黑体" w:hAnsi="黑体" w:eastAsia="黑体"/>
                <w:snapToGrid w:val="0"/>
                <w:spacing w:val="-16"/>
                <w:kern w:val="21"/>
                <w:sz w:val="21"/>
                <w:szCs w:val="21"/>
              </w:rPr>
              <w:t>排放量（固</w:t>
            </w:r>
            <w:r>
              <w:rPr>
                <w:rFonts w:hint="eastAsia" w:ascii="黑体" w:hAnsi="黑体" w:eastAsia="黑体"/>
                <w:snapToGrid w:val="0"/>
                <w:spacing w:val="-16"/>
                <w:kern w:val="21"/>
                <w:sz w:val="21"/>
                <w:szCs w:val="21"/>
              </w:rPr>
              <w:t>体</w:t>
            </w:r>
            <w:r>
              <w:rPr>
                <w:rFonts w:ascii="黑体" w:hAnsi="黑体" w:eastAsia="黑体"/>
                <w:snapToGrid w:val="0"/>
                <w:spacing w:val="-16"/>
                <w:kern w:val="21"/>
                <w:sz w:val="21"/>
                <w:szCs w:val="21"/>
              </w:rPr>
              <w:t>废</w:t>
            </w:r>
            <w:r>
              <w:rPr>
                <w:rFonts w:hint="eastAsia" w:ascii="黑体" w:hAnsi="黑体" w:eastAsia="黑体"/>
                <w:snapToGrid w:val="0"/>
                <w:spacing w:val="-16"/>
                <w:kern w:val="21"/>
                <w:sz w:val="21"/>
                <w:szCs w:val="21"/>
              </w:rPr>
              <w:t>物</w:t>
            </w:r>
            <w:r>
              <w:rPr>
                <w:rFonts w:ascii="黑体" w:hAnsi="黑体" w:eastAsia="黑体"/>
                <w:snapToGrid w:val="0"/>
                <w:spacing w:val="-16"/>
                <w:kern w:val="21"/>
                <w:sz w:val="21"/>
                <w:szCs w:val="21"/>
              </w:rPr>
              <w:t>产生量）</w:t>
            </w:r>
            <w:r>
              <w:rPr>
                <w:rFonts w:ascii="黑体" w:hAnsi="黑体" w:eastAsia="黑体"/>
                <w:snapToGrid w:val="0"/>
                <w:spacing w:val="-16"/>
                <w:kern w:val="21"/>
                <w:sz w:val="21"/>
                <w:szCs w:val="21"/>
              </w:rPr>
              <w:fldChar w:fldCharType="begin"/>
            </w:r>
            <w:r>
              <w:rPr>
                <w:rFonts w:ascii="黑体" w:hAnsi="黑体" w:eastAsia="黑体"/>
                <w:snapToGrid w:val="0"/>
                <w:spacing w:val="-16"/>
                <w:kern w:val="21"/>
                <w:sz w:val="21"/>
                <w:szCs w:val="21"/>
              </w:rPr>
              <w:instrText xml:space="preserve"> = 6 \* GB3 \* MERGEFORMAT </w:instrText>
            </w:r>
            <w:r>
              <w:rPr>
                <w:rFonts w:ascii="黑体" w:hAnsi="黑体" w:eastAsia="黑体"/>
                <w:snapToGrid w:val="0"/>
                <w:spacing w:val="-16"/>
                <w:kern w:val="21"/>
                <w:sz w:val="21"/>
                <w:szCs w:val="21"/>
              </w:rPr>
              <w:fldChar w:fldCharType="separate"/>
            </w:r>
            <w:r>
              <w:rPr>
                <w:rFonts w:hint="eastAsia" w:ascii="黑体" w:hAnsi="黑体" w:eastAsia="黑体" w:cs="宋体"/>
                <w:kern w:val="2"/>
                <w:sz w:val="21"/>
                <w:szCs w:val="21"/>
              </w:rPr>
              <w:t>⑥</w:t>
            </w:r>
            <w:r>
              <w:rPr>
                <w:rFonts w:ascii="黑体" w:hAnsi="黑体" w:eastAsia="黑体"/>
                <w:snapToGrid w:val="0"/>
                <w:spacing w:val="-16"/>
                <w:kern w:val="21"/>
                <w:sz w:val="21"/>
                <w:szCs w:val="21"/>
              </w:rPr>
              <w:fldChar w:fldCharType="end"/>
            </w:r>
          </w:p>
        </w:tc>
        <w:tc>
          <w:tcPr>
            <w:tcW w:w="1479" w:type="dxa"/>
            <w:tcMar>
              <w:left w:w="28" w:type="dxa"/>
              <w:right w:w="28" w:type="dxa"/>
            </w:tcMar>
            <w:vAlign w:val="center"/>
          </w:tcPr>
          <w:p>
            <w:pPr>
              <w:pStyle w:val="38"/>
              <w:spacing w:beforeLines="0" w:afterLines="0" w:line="240" w:lineRule="auto"/>
              <w:rPr>
                <w:rFonts w:hint="eastAsia" w:ascii="黑体" w:hAnsi="黑体" w:eastAsia="黑体"/>
                <w:snapToGrid w:val="0"/>
                <w:spacing w:val="-6"/>
                <w:kern w:val="21"/>
                <w:sz w:val="21"/>
                <w:szCs w:val="21"/>
              </w:rPr>
            </w:pPr>
            <w:r>
              <w:rPr>
                <w:rFonts w:ascii="黑体" w:hAnsi="黑体" w:eastAsia="黑体"/>
                <w:snapToGrid w:val="0"/>
                <w:spacing w:val="-6"/>
                <w:kern w:val="21"/>
                <w:sz w:val="21"/>
                <w:szCs w:val="21"/>
              </w:rPr>
              <w:t>变化量</w:t>
            </w:r>
          </w:p>
          <w:p>
            <w:pPr>
              <w:pStyle w:val="38"/>
              <w:spacing w:beforeLines="0" w:afterLines="0" w:line="240" w:lineRule="auto"/>
              <w:rPr>
                <w:rFonts w:hint="eastAsia" w:ascii="黑体" w:hAnsi="黑体" w:eastAsia="黑体"/>
                <w:snapToGrid w:val="0"/>
                <w:spacing w:val="-6"/>
                <w:kern w:val="21"/>
                <w:sz w:val="21"/>
                <w:szCs w:val="21"/>
              </w:rPr>
            </w:pPr>
            <w:r>
              <w:rPr>
                <w:rFonts w:ascii="黑体" w:hAnsi="黑体" w:eastAsia="黑体"/>
                <w:snapToGrid w:val="0"/>
                <w:spacing w:val="-6"/>
                <w:kern w:val="21"/>
                <w:sz w:val="21"/>
                <w:szCs w:val="21"/>
              </w:rPr>
              <w:fldChar w:fldCharType="begin"/>
            </w:r>
            <w:r>
              <w:rPr>
                <w:rFonts w:ascii="黑体" w:hAnsi="黑体" w:eastAsia="黑体"/>
                <w:snapToGrid w:val="0"/>
                <w:spacing w:val="-6"/>
                <w:kern w:val="21"/>
                <w:sz w:val="21"/>
                <w:szCs w:val="21"/>
              </w:rPr>
              <w:instrText xml:space="preserve"> = 7 \* GB3 \* MERGEFORMAT </w:instrText>
            </w:r>
            <w:r>
              <w:rPr>
                <w:rFonts w:ascii="黑体" w:hAnsi="黑体" w:eastAsia="黑体"/>
                <w:snapToGrid w:val="0"/>
                <w:spacing w:val="-6"/>
                <w:kern w:val="21"/>
                <w:sz w:val="21"/>
                <w:szCs w:val="21"/>
              </w:rPr>
              <w:fldChar w:fldCharType="separate"/>
            </w:r>
            <w:r>
              <w:rPr>
                <w:rFonts w:hint="eastAsia" w:ascii="黑体" w:hAnsi="黑体" w:eastAsia="黑体" w:cs="宋体"/>
                <w:kern w:val="2"/>
                <w:sz w:val="21"/>
                <w:szCs w:val="21"/>
              </w:rPr>
              <w:t>⑦</w:t>
            </w:r>
            <w:r>
              <w:rPr>
                <w:rFonts w:ascii="黑体" w:hAnsi="黑体" w:eastAsia="黑体"/>
                <w:snapToGrid w:val="0"/>
                <w:spacing w:val="-6"/>
                <w:kern w:val="21"/>
                <w:sz w:val="21"/>
                <w:szCs w:val="21"/>
              </w:rPr>
              <w:fldChar w:fldCharType="end"/>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 w:hRule="atLeast"/>
        </w:trPr>
        <w:tc>
          <w:tcPr>
            <w:tcW w:w="1442" w:type="dxa"/>
            <w:vMerge w:val="restart"/>
            <w:vAlign w:val="center"/>
          </w:tcPr>
          <w:p>
            <w:pPr>
              <w:pStyle w:val="38"/>
              <w:spacing w:beforeLines="0" w:afterLines="0" w:line="240" w:lineRule="auto"/>
              <w:rPr>
                <w:rFonts w:hint="eastAsia" w:hAnsi="宋体" w:cs="宋体"/>
                <w:snapToGrid w:val="0"/>
                <w:kern w:val="21"/>
                <w:sz w:val="21"/>
                <w:szCs w:val="21"/>
              </w:rPr>
            </w:pPr>
            <w:r>
              <w:rPr>
                <w:rFonts w:hint="eastAsia" w:hAnsi="宋体" w:cs="宋体"/>
                <w:snapToGrid w:val="0"/>
                <w:kern w:val="21"/>
                <w:sz w:val="21"/>
                <w:szCs w:val="21"/>
              </w:rPr>
              <w:t>废气</w:t>
            </w:r>
          </w:p>
        </w:tc>
        <w:tc>
          <w:tcPr>
            <w:tcW w:w="1563" w:type="dxa"/>
            <w:vAlign w:val="center"/>
          </w:tcPr>
          <w:p>
            <w:pPr>
              <w:pStyle w:val="38"/>
              <w:spacing w:beforeLines="0" w:afterLines="0" w:line="240" w:lineRule="auto"/>
              <w:rPr>
                <w:rFonts w:ascii="Times New Roman"/>
                <w:snapToGrid w:val="0"/>
                <w:kern w:val="21"/>
                <w:sz w:val="21"/>
                <w:szCs w:val="21"/>
              </w:rPr>
            </w:pPr>
            <w:r>
              <w:rPr>
                <w:rFonts w:ascii="Times New Roman"/>
                <w:snapToGrid w:val="0"/>
                <w:kern w:val="21"/>
                <w:sz w:val="21"/>
                <w:szCs w:val="21"/>
              </w:rPr>
              <w:t>颗粒物</w:t>
            </w:r>
          </w:p>
        </w:tc>
        <w:tc>
          <w:tcPr>
            <w:tcW w:w="1570" w:type="dxa"/>
            <w:vAlign w:val="center"/>
          </w:tcPr>
          <w:p>
            <w:pPr>
              <w:jc w:val="center"/>
            </w:pPr>
            <w:r>
              <w:rPr>
                <w:snapToGrid w:val="0"/>
                <w:kern w:val="21"/>
                <w:sz w:val="21"/>
                <w:szCs w:val="21"/>
              </w:rPr>
              <w:t>/</w:t>
            </w:r>
          </w:p>
        </w:tc>
        <w:tc>
          <w:tcPr>
            <w:tcW w:w="1250" w:type="dxa"/>
            <w:vAlign w:val="center"/>
          </w:tcPr>
          <w:p>
            <w:pPr>
              <w:pStyle w:val="38"/>
              <w:spacing w:beforeLines="0" w:afterLines="0" w:line="240" w:lineRule="auto"/>
              <w:rPr>
                <w:rFonts w:ascii="Times New Roman"/>
                <w:snapToGrid w:val="0"/>
                <w:kern w:val="21"/>
                <w:sz w:val="21"/>
                <w:szCs w:val="21"/>
              </w:rPr>
            </w:pPr>
            <w:r>
              <w:rPr>
                <w:rFonts w:ascii="Times New Roman"/>
                <w:snapToGrid w:val="0"/>
                <w:kern w:val="21"/>
                <w:sz w:val="21"/>
                <w:szCs w:val="21"/>
              </w:rPr>
              <w:t>/</w:t>
            </w:r>
          </w:p>
        </w:tc>
        <w:tc>
          <w:tcPr>
            <w:tcW w:w="1584" w:type="dxa"/>
            <w:vAlign w:val="center"/>
          </w:tcPr>
          <w:p>
            <w:pPr>
              <w:jc w:val="center"/>
            </w:pPr>
            <w:r>
              <w:rPr>
                <w:snapToGrid w:val="0"/>
                <w:kern w:val="21"/>
                <w:sz w:val="21"/>
                <w:szCs w:val="21"/>
              </w:rPr>
              <w:t>/</w:t>
            </w:r>
          </w:p>
        </w:tc>
        <w:tc>
          <w:tcPr>
            <w:tcW w:w="1583"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1.782</w:t>
            </w:r>
            <w:r>
              <w:rPr>
                <w:rFonts w:ascii="Times New Roman"/>
                <w:snapToGrid w:val="0"/>
                <w:kern w:val="21"/>
                <w:sz w:val="21"/>
                <w:szCs w:val="21"/>
              </w:rPr>
              <w:t>t/a</w:t>
            </w:r>
          </w:p>
        </w:tc>
        <w:tc>
          <w:tcPr>
            <w:tcW w:w="1583" w:type="dxa"/>
            <w:vAlign w:val="center"/>
          </w:tcPr>
          <w:p>
            <w:pPr>
              <w:jc w:val="center"/>
            </w:pPr>
            <w:r>
              <w:rPr>
                <w:snapToGrid w:val="0"/>
                <w:kern w:val="21"/>
                <w:sz w:val="21"/>
                <w:szCs w:val="21"/>
              </w:rPr>
              <w:t>/</w:t>
            </w:r>
          </w:p>
        </w:tc>
        <w:tc>
          <w:tcPr>
            <w:tcW w:w="1734"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1.782</w:t>
            </w:r>
            <w:r>
              <w:rPr>
                <w:rFonts w:ascii="Times New Roman"/>
                <w:snapToGrid w:val="0"/>
                <w:kern w:val="21"/>
                <w:sz w:val="21"/>
                <w:szCs w:val="21"/>
              </w:rPr>
              <w:t>t/a</w:t>
            </w:r>
          </w:p>
        </w:tc>
        <w:tc>
          <w:tcPr>
            <w:tcW w:w="1479"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1442" w:type="dxa"/>
            <w:vMerge w:val="continue"/>
            <w:vAlign w:val="center"/>
          </w:tcPr>
          <w:p>
            <w:pPr>
              <w:pStyle w:val="38"/>
              <w:spacing w:beforeLines="0" w:afterLines="0" w:line="240" w:lineRule="auto"/>
              <w:rPr>
                <w:rFonts w:hint="eastAsia" w:hAnsi="宋体" w:cs="宋体"/>
                <w:snapToGrid w:val="0"/>
                <w:kern w:val="21"/>
                <w:sz w:val="21"/>
                <w:szCs w:val="21"/>
              </w:rPr>
            </w:pPr>
          </w:p>
        </w:tc>
        <w:tc>
          <w:tcPr>
            <w:tcW w:w="1563"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无组织</w:t>
            </w:r>
            <w:r>
              <w:rPr>
                <w:rFonts w:ascii="Times New Roman"/>
                <w:snapToGrid w:val="0"/>
                <w:kern w:val="21"/>
                <w:sz w:val="21"/>
                <w:szCs w:val="21"/>
              </w:rPr>
              <w:t>粉尘</w:t>
            </w:r>
          </w:p>
        </w:tc>
        <w:tc>
          <w:tcPr>
            <w:tcW w:w="1570" w:type="dxa"/>
            <w:vAlign w:val="center"/>
          </w:tcPr>
          <w:p>
            <w:pPr>
              <w:jc w:val="center"/>
            </w:pPr>
            <w:r>
              <w:rPr>
                <w:snapToGrid w:val="0"/>
                <w:kern w:val="21"/>
                <w:sz w:val="21"/>
                <w:szCs w:val="21"/>
              </w:rPr>
              <w:t>/</w:t>
            </w:r>
          </w:p>
        </w:tc>
        <w:tc>
          <w:tcPr>
            <w:tcW w:w="1250" w:type="dxa"/>
            <w:vAlign w:val="center"/>
          </w:tcPr>
          <w:p>
            <w:pPr>
              <w:pStyle w:val="38"/>
              <w:spacing w:beforeLines="0" w:afterLines="0" w:line="240" w:lineRule="auto"/>
              <w:rPr>
                <w:rFonts w:ascii="Times New Roman"/>
                <w:snapToGrid w:val="0"/>
                <w:kern w:val="21"/>
                <w:sz w:val="21"/>
                <w:szCs w:val="21"/>
              </w:rPr>
            </w:pPr>
            <w:r>
              <w:rPr>
                <w:rFonts w:ascii="Times New Roman"/>
                <w:snapToGrid w:val="0"/>
                <w:kern w:val="21"/>
                <w:sz w:val="21"/>
                <w:szCs w:val="21"/>
              </w:rPr>
              <w:t>/</w:t>
            </w:r>
          </w:p>
        </w:tc>
        <w:tc>
          <w:tcPr>
            <w:tcW w:w="1584" w:type="dxa"/>
            <w:vAlign w:val="center"/>
          </w:tcPr>
          <w:p>
            <w:pPr>
              <w:jc w:val="center"/>
            </w:pPr>
            <w:r>
              <w:rPr>
                <w:snapToGrid w:val="0"/>
                <w:kern w:val="21"/>
                <w:sz w:val="21"/>
                <w:szCs w:val="21"/>
              </w:rPr>
              <w:t>/</w:t>
            </w:r>
          </w:p>
        </w:tc>
        <w:tc>
          <w:tcPr>
            <w:tcW w:w="1583"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0.16</w:t>
            </w:r>
            <w:r>
              <w:rPr>
                <w:rFonts w:ascii="Times New Roman"/>
                <w:snapToGrid w:val="0"/>
                <w:kern w:val="21"/>
                <w:sz w:val="21"/>
                <w:szCs w:val="21"/>
              </w:rPr>
              <w:t>t/a</w:t>
            </w:r>
          </w:p>
        </w:tc>
        <w:tc>
          <w:tcPr>
            <w:tcW w:w="1583" w:type="dxa"/>
            <w:vAlign w:val="center"/>
          </w:tcPr>
          <w:p>
            <w:pPr>
              <w:jc w:val="center"/>
            </w:pPr>
            <w:r>
              <w:rPr>
                <w:snapToGrid w:val="0"/>
                <w:kern w:val="21"/>
                <w:sz w:val="21"/>
                <w:szCs w:val="21"/>
              </w:rPr>
              <w:t>/</w:t>
            </w:r>
          </w:p>
        </w:tc>
        <w:tc>
          <w:tcPr>
            <w:tcW w:w="1734"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0.16</w:t>
            </w:r>
            <w:r>
              <w:rPr>
                <w:rFonts w:ascii="Times New Roman"/>
                <w:snapToGrid w:val="0"/>
                <w:kern w:val="21"/>
                <w:sz w:val="21"/>
                <w:szCs w:val="21"/>
              </w:rPr>
              <w:t>t/a</w:t>
            </w:r>
          </w:p>
        </w:tc>
        <w:tc>
          <w:tcPr>
            <w:tcW w:w="1479"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442" w:type="dxa"/>
            <w:vMerge w:val="restart"/>
            <w:vAlign w:val="center"/>
          </w:tcPr>
          <w:p>
            <w:pPr>
              <w:pStyle w:val="38"/>
              <w:spacing w:beforeLines="0" w:afterLines="0" w:line="240" w:lineRule="auto"/>
              <w:rPr>
                <w:rFonts w:hint="eastAsia" w:hAnsi="宋体" w:cs="宋体"/>
                <w:snapToGrid w:val="0"/>
                <w:kern w:val="21"/>
                <w:sz w:val="21"/>
                <w:szCs w:val="21"/>
              </w:rPr>
            </w:pPr>
            <w:r>
              <w:rPr>
                <w:rFonts w:hint="eastAsia" w:hAnsi="宋体" w:cs="宋体"/>
                <w:snapToGrid w:val="0"/>
                <w:kern w:val="21"/>
                <w:sz w:val="21"/>
                <w:szCs w:val="21"/>
              </w:rPr>
              <w:t>废水</w:t>
            </w:r>
          </w:p>
        </w:tc>
        <w:tc>
          <w:tcPr>
            <w:tcW w:w="1563" w:type="dxa"/>
            <w:vAlign w:val="center"/>
          </w:tcPr>
          <w:p>
            <w:pPr>
              <w:pStyle w:val="38"/>
              <w:spacing w:beforeLines="0" w:afterLines="0" w:line="240" w:lineRule="auto"/>
              <w:rPr>
                <w:rFonts w:ascii="Times New Roman"/>
                <w:snapToGrid w:val="0"/>
                <w:kern w:val="21"/>
                <w:sz w:val="21"/>
                <w:szCs w:val="21"/>
              </w:rPr>
            </w:pPr>
            <w:r>
              <w:rPr>
                <w:rFonts w:ascii="Times New Roman"/>
                <w:snapToGrid w:val="0"/>
                <w:kern w:val="21"/>
                <w:sz w:val="21"/>
                <w:szCs w:val="21"/>
              </w:rPr>
              <w:t>化学需氧量</w:t>
            </w:r>
          </w:p>
        </w:tc>
        <w:tc>
          <w:tcPr>
            <w:tcW w:w="1570"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c>
          <w:tcPr>
            <w:tcW w:w="1250"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c>
          <w:tcPr>
            <w:tcW w:w="1584"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c>
          <w:tcPr>
            <w:tcW w:w="1583"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0.036t/a</w:t>
            </w:r>
          </w:p>
        </w:tc>
        <w:tc>
          <w:tcPr>
            <w:tcW w:w="1583"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c>
          <w:tcPr>
            <w:tcW w:w="1734"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0.036t/a</w:t>
            </w:r>
          </w:p>
        </w:tc>
        <w:tc>
          <w:tcPr>
            <w:tcW w:w="1479"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1442" w:type="dxa"/>
            <w:vMerge w:val="continue"/>
            <w:vAlign w:val="center"/>
          </w:tcPr>
          <w:p>
            <w:pPr>
              <w:pStyle w:val="38"/>
              <w:spacing w:beforeLines="0" w:afterLines="0" w:line="240" w:lineRule="auto"/>
              <w:rPr>
                <w:rFonts w:hint="eastAsia" w:hAnsi="宋体" w:cs="宋体"/>
                <w:snapToGrid w:val="0"/>
                <w:kern w:val="21"/>
                <w:sz w:val="21"/>
                <w:szCs w:val="21"/>
              </w:rPr>
            </w:pPr>
          </w:p>
        </w:tc>
        <w:tc>
          <w:tcPr>
            <w:tcW w:w="1563"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五日生化需氧量</w:t>
            </w:r>
          </w:p>
        </w:tc>
        <w:tc>
          <w:tcPr>
            <w:tcW w:w="1570"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c>
          <w:tcPr>
            <w:tcW w:w="1250"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c>
          <w:tcPr>
            <w:tcW w:w="1584"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c>
          <w:tcPr>
            <w:tcW w:w="1583"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0.028t/a</w:t>
            </w:r>
          </w:p>
        </w:tc>
        <w:tc>
          <w:tcPr>
            <w:tcW w:w="1583"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c>
          <w:tcPr>
            <w:tcW w:w="1734"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0.028t/a</w:t>
            </w:r>
          </w:p>
        </w:tc>
        <w:tc>
          <w:tcPr>
            <w:tcW w:w="1479"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442" w:type="dxa"/>
            <w:vMerge w:val="continue"/>
            <w:vAlign w:val="center"/>
          </w:tcPr>
          <w:p>
            <w:pPr>
              <w:pStyle w:val="38"/>
              <w:spacing w:beforeLines="0" w:afterLines="0" w:line="240" w:lineRule="auto"/>
              <w:rPr>
                <w:rFonts w:hint="eastAsia" w:hAnsi="宋体" w:cs="宋体"/>
                <w:snapToGrid w:val="0"/>
                <w:kern w:val="21"/>
                <w:sz w:val="21"/>
                <w:szCs w:val="21"/>
              </w:rPr>
            </w:pPr>
          </w:p>
        </w:tc>
        <w:tc>
          <w:tcPr>
            <w:tcW w:w="1563" w:type="dxa"/>
            <w:vAlign w:val="center"/>
          </w:tcPr>
          <w:p>
            <w:pPr>
              <w:pStyle w:val="38"/>
              <w:spacing w:beforeLines="0" w:afterLines="0" w:line="240" w:lineRule="auto"/>
              <w:rPr>
                <w:rFonts w:ascii="Times New Roman"/>
                <w:snapToGrid w:val="0"/>
                <w:kern w:val="21"/>
                <w:sz w:val="21"/>
                <w:szCs w:val="21"/>
              </w:rPr>
            </w:pPr>
            <w:r>
              <w:rPr>
                <w:rFonts w:ascii="Times New Roman"/>
                <w:snapToGrid w:val="0"/>
                <w:kern w:val="21"/>
                <w:sz w:val="21"/>
                <w:szCs w:val="21"/>
              </w:rPr>
              <w:t>悬浮物</w:t>
            </w:r>
          </w:p>
        </w:tc>
        <w:tc>
          <w:tcPr>
            <w:tcW w:w="1570"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c>
          <w:tcPr>
            <w:tcW w:w="1250"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c>
          <w:tcPr>
            <w:tcW w:w="1584"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c>
          <w:tcPr>
            <w:tcW w:w="1583"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0.028t/a</w:t>
            </w:r>
          </w:p>
        </w:tc>
        <w:tc>
          <w:tcPr>
            <w:tcW w:w="1583"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c>
          <w:tcPr>
            <w:tcW w:w="1734"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0.028t/a</w:t>
            </w:r>
          </w:p>
        </w:tc>
        <w:tc>
          <w:tcPr>
            <w:tcW w:w="1479"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1442" w:type="dxa"/>
            <w:vMerge w:val="continue"/>
            <w:vAlign w:val="center"/>
          </w:tcPr>
          <w:p>
            <w:pPr>
              <w:pStyle w:val="38"/>
              <w:spacing w:beforeLines="0" w:afterLines="0" w:line="240" w:lineRule="auto"/>
              <w:rPr>
                <w:rFonts w:hint="eastAsia" w:hAnsi="宋体" w:cs="宋体"/>
                <w:snapToGrid w:val="0"/>
                <w:kern w:val="21"/>
                <w:sz w:val="21"/>
                <w:szCs w:val="21"/>
              </w:rPr>
            </w:pPr>
          </w:p>
        </w:tc>
        <w:tc>
          <w:tcPr>
            <w:tcW w:w="1563" w:type="dxa"/>
            <w:vAlign w:val="center"/>
          </w:tcPr>
          <w:p>
            <w:pPr>
              <w:pStyle w:val="38"/>
              <w:spacing w:beforeLines="0" w:afterLines="0" w:line="240" w:lineRule="auto"/>
              <w:rPr>
                <w:rFonts w:ascii="Times New Roman"/>
                <w:snapToGrid w:val="0"/>
                <w:kern w:val="21"/>
                <w:sz w:val="21"/>
                <w:szCs w:val="21"/>
              </w:rPr>
            </w:pPr>
            <w:r>
              <w:rPr>
                <w:rFonts w:ascii="Times New Roman"/>
                <w:snapToGrid w:val="0"/>
                <w:kern w:val="21"/>
                <w:sz w:val="21"/>
                <w:szCs w:val="21"/>
              </w:rPr>
              <w:t>氨氮</w:t>
            </w:r>
          </w:p>
        </w:tc>
        <w:tc>
          <w:tcPr>
            <w:tcW w:w="1570"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c>
          <w:tcPr>
            <w:tcW w:w="1250"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c>
          <w:tcPr>
            <w:tcW w:w="1584"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c>
          <w:tcPr>
            <w:tcW w:w="1583"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0.004t/a</w:t>
            </w:r>
          </w:p>
        </w:tc>
        <w:tc>
          <w:tcPr>
            <w:tcW w:w="1583"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c>
          <w:tcPr>
            <w:tcW w:w="1734"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0.004t/a</w:t>
            </w:r>
          </w:p>
        </w:tc>
        <w:tc>
          <w:tcPr>
            <w:tcW w:w="1479"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442" w:type="dxa"/>
            <w:vMerge w:val="continue"/>
            <w:vAlign w:val="center"/>
          </w:tcPr>
          <w:p>
            <w:pPr>
              <w:pStyle w:val="38"/>
              <w:spacing w:beforeLines="0" w:afterLines="0" w:line="240" w:lineRule="auto"/>
              <w:rPr>
                <w:rFonts w:hint="eastAsia" w:hAnsi="宋体" w:cs="宋体"/>
                <w:snapToGrid w:val="0"/>
                <w:kern w:val="21"/>
                <w:sz w:val="21"/>
                <w:szCs w:val="21"/>
              </w:rPr>
            </w:pPr>
          </w:p>
        </w:tc>
        <w:tc>
          <w:tcPr>
            <w:tcW w:w="1563"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动植物油</w:t>
            </w:r>
          </w:p>
        </w:tc>
        <w:tc>
          <w:tcPr>
            <w:tcW w:w="1570"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c>
          <w:tcPr>
            <w:tcW w:w="1250"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c>
          <w:tcPr>
            <w:tcW w:w="1584"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c>
          <w:tcPr>
            <w:tcW w:w="1583"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0.007t/a</w:t>
            </w:r>
          </w:p>
        </w:tc>
        <w:tc>
          <w:tcPr>
            <w:tcW w:w="1583"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c>
          <w:tcPr>
            <w:tcW w:w="1734"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0.007t/a</w:t>
            </w:r>
          </w:p>
        </w:tc>
        <w:tc>
          <w:tcPr>
            <w:tcW w:w="1479"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1442" w:type="dxa"/>
            <w:vMerge w:val="restart"/>
            <w:vAlign w:val="center"/>
          </w:tcPr>
          <w:p>
            <w:pPr>
              <w:pStyle w:val="38"/>
              <w:spacing w:beforeLines="0" w:afterLines="0" w:line="240" w:lineRule="auto"/>
              <w:rPr>
                <w:rFonts w:hint="eastAsia" w:hAnsi="宋体" w:cs="宋体"/>
                <w:snapToGrid w:val="0"/>
                <w:kern w:val="21"/>
                <w:sz w:val="21"/>
                <w:szCs w:val="21"/>
              </w:rPr>
            </w:pPr>
            <w:r>
              <w:rPr>
                <w:rFonts w:hint="eastAsia" w:hAnsi="宋体" w:cs="宋体"/>
                <w:snapToGrid w:val="0"/>
                <w:kern w:val="21"/>
                <w:sz w:val="21"/>
                <w:szCs w:val="21"/>
              </w:rPr>
              <w:t>一般工业</w:t>
            </w:r>
          </w:p>
          <w:p>
            <w:pPr>
              <w:pStyle w:val="38"/>
              <w:spacing w:beforeLines="0" w:afterLines="0" w:line="240" w:lineRule="auto"/>
              <w:rPr>
                <w:rFonts w:hint="eastAsia" w:hAnsi="宋体" w:cs="宋体"/>
                <w:snapToGrid w:val="0"/>
                <w:kern w:val="21"/>
                <w:sz w:val="21"/>
                <w:szCs w:val="21"/>
              </w:rPr>
            </w:pPr>
            <w:r>
              <w:rPr>
                <w:rFonts w:hint="eastAsia" w:hAnsi="宋体" w:cs="宋体"/>
                <w:snapToGrid w:val="0"/>
                <w:kern w:val="21"/>
                <w:sz w:val="21"/>
                <w:szCs w:val="21"/>
              </w:rPr>
              <w:t>固体废物</w:t>
            </w:r>
          </w:p>
        </w:tc>
        <w:tc>
          <w:tcPr>
            <w:tcW w:w="1563"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沉淀泥沙</w:t>
            </w:r>
          </w:p>
        </w:tc>
        <w:tc>
          <w:tcPr>
            <w:tcW w:w="1570" w:type="dxa"/>
            <w:vAlign w:val="center"/>
          </w:tcPr>
          <w:p>
            <w:pPr>
              <w:jc w:val="center"/>
            </w:pPr>
            <w:r>
              <w:rPr>
                <w:snapToGrid w:val="0"/>
                <w:kern w:val="21"/>
                <w:sz w:val="21"/>
                <w:szCs w:val="21"/>
              </w:rPr>
              <w:t>/</w:t>
            </w:r>
          </w:p>
        </w:tc>
        <w:tc>
          <w:tcPr>
            <w:tcW w:w="1250" w:type="dxa"/>
            <w:vAlign w:val="center"/>
          </w:tcPr>
          <w:p>
            <w:pPr>
              <w:pStyle w:val="38"/>
              <w:spacing w:beforeLines="0" w:afterLines="0" w:line="240" w:lineRule="auto"/>
              <w:rPr>
                <w:rFonts w:ascii="Times New Roman"/>
                <w:snapToGrid w:val="0"/>
                <w:kern w:val="21"/>
                <w:sz w:val="21"/>
                <w:szCs w:val="21"/>
              </w:rPr>
            </w:pPr>
            <w:r>
              <w:rPr>
                <w:rFonts w:ascii="Times New Roman"/>
                <w:snapToGrid w:val="0"/>
                <w:kern w:val="21"/>
                <w:sz w:val="21"/>
                <w:szCs w:val="21"/>
              </w:rPr>
              <w:t>/</w:t>
            </w:r>
          </w:p>
        </w:tc>
        <w:tc>
          <w:tcPr>
            <w:tcW w:w="1584" w:type="dxa"/>
            <w:vAlign w:val="center"/>
          </w:tcPr>
          <w:p>
            <w:pPr>
              <w:jc w:val="center"/>
            </w:pPr>
            <w:r>
              <w:rPr>
                <w:snapToGrid w:val="0"/>
                <w:kern w:val="21"/>
                <w:sz w:val="21"/>
                <w:szCs w:val="21"/>
              </w:rPr>
              <w:t>/</w:t>
            </w:r>
          </w:p>
        </w:tc>
        <w:tc>
          <w:tcPr>
            <w:tcW w:w="1583"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5</w:t>
            </w:r>
            <w:r>
              <w:rPr>
                <w:rFonts w:ascii="Times New Roman"/>
                <w:snapToGrid w:val="0"/>
                <w:kern w:val="21"/>
                <w:sz w:val="21"/>
                <w:szCs w:val="21"/>
              </w:rPr>
              <w:t>t/a</w:t>
            </w:r>
          </w:p>
        </w:tc>
        <w:tc>
          <w:tcPr>
            <w:tcW w:w="1583" w:type="dxa"/>
            <w:vAlign w:val="center"/>
          </w:tcPr>
          <w:p>
            <w:pPr>
              <w:jc w:val="center"/>
            </w:pPr>
            <w:r>
              <w:rPr>
                <w:snapToGrid w:val="0"/>
                <w:kern w:val="21"/>
                <w:sz w:val="21"/>
                <w:szCs w:val="21"/>
              </w:rPr>
              <w:t>/</w:t>
            </w:r>
          </w:p>
        </w:tc>
        <w:tc>
          <w:tcPr>
            <w:tcW w:w="1734"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5</w:t>
            </w:r>
            <w:r>
              <w:rPr>
                <w:rFonts w:ascii="Times New Roman"/>
                <w:snapToGrid w:val="0"/>
                <w:kern w:val="21"/>
                <w:sz w:val="21"/>
                <w:szCs w:val="21"/>
              </w:rPr>
              <w:t>t/a</w:t>
            </w:r>
          </w:p>
        </w:tc>
        <w:tc>
          <w:tcPr>
            <w:tcW w:w="1479"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442" w:type="dxa"/>
            <w:vMerge w:val="continue"/>
            <w:vAlign w:val="center"/>
          </w:tcPr>
          <w:p>
            <w:pPr>
              <w:pStyle w:val="38"/>
              <w:spacing w:beforeLines="0" w:afterLines="0" w:line="240" w:lineRule="auto"/>
              <w:rPr>
                <w:rFonts w:hint="eastAsia" w:hAnsi="宋体" w:cs="宋体"/>
                <w:snapToGrid w:val="0"/>
                <w:kern w:val="21"/>
                <w:sz w:val="21"/>
                <w:szCs w:val="21"/>
              </w:rPr>
            </w:pPr>
          </w:p>
        </w:tc>
        <w:tc>
          <w:tcPr>
            <w:tcW w:w="1563"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除尘灰</w:t>
            </w:r>
          </w:p>
        </w:tc>
        <w:tc>
          <w:tcPr>
            <w:tcW w:w="1570" w:type="dxa"/>
            <w:vAlign w:val="center"/>
          </w:tcPr>
          <w:p>
            <w:pPr>
              <w:jc w:val="center"/>
            </w:pPr>
            <w:r>
              <w:rPr>
                <w:snapToGrid w:val="0"/>
                <w:kern w:val="21"/>
                <w:sz w:val="21"/>
                <w:szCs w:val="21"/>
              </w:rPr>
              <w:t>/</w:t>
            </w:r>
          </w:p>
        </w:tc>
        <w:tc>
          <w:tcPr>
            <w:tcW w:w="1250" w:type="dxa"/>
            <w:vAlign w:val="center"/>
          </w:tcPr>
          <w:p>
            <w:pPr>
              <w:pStyle w:val="38"/>
              <w:spacing w:beforeLines="0" w:afterLines="0" w:line="240" w:lineRule="auto"/>
              <w:rPr>
                <w:rFonts w:ascii="Times New Roman"/>
                <w:snapToGrid w:val="0"/>
                <w:kern w:val="21"/>
                <w:sz w:val="21"/>
                <w:szCs w:val="21"/>
              </w:rPr>
            </w:pPr>
            <w:r>
              <w:rPr>
                <w:rFonts w:ascii="Times New Roman"/>
                <w:snapToGrid w:val="0"/>
                <w:kern w:val="21"/>
                <w:sz w:val="21"/>
                <w:szCs w:val="21"/>
              </w:rPr>
              <w:t>/</w:t>
            </w:r>
          </w:p>
        </w:tc>
        <w:tc>
          <w:tcPr>
            <w:tcW w:w="1584" w:type="dxa"/>
            <w:vAlign w:val="center"/>
          </w:tcPr>
          <w:p>
            <w:pPr>
              <w:jc w:val="center"/>
            </w:pPr>
            <w:r>
              <w:rPr>
                <w:snapToGrid w:val="0"/>
                <w:kern w:val="21"/>
                <w:sz w:val="21"/>
                <w:szCs w:val="21"/>
              </w:rPr>
              <w:t>/</w:t>
            </w:r>
          </w:p>
        </w:tc>
        <w:tc>
          <w:tcPr>
            <w:tcW w:w="1583"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191.038</w:t>
            </w:r>
            <w:r>
              <w:rPr>
                <w:rFonts w:ascii="Times New Roman"/>
                <w:snapToGrid w:val="0"/>
                <w:kern w:val="21"/>
                <w:sz w:val="21"/>
                <w:szCs w:val="21"/>
              </w:rPr>
              <w:t>t/a</w:t>
            </w:r>
          </w:p>
        </w:tc>
        <w:tc>
          <w:tcPr>
            <w:tcW w:w="1583" w:type="dxa"/>
            <w:vAlign w:val="center"/>
          </w:tcPr>
          <w:p>
            <w:pPr>
              <w:jc w:val="center"/>
            </w:pPr>
            <w:r>
              <w:rPr>
                <w:snapToGrid w:val="0"/>
                <w:kern w:val="21"/>
                <w:sz w:val="21"/>
                <w:szCs w:val="21"/>
              </w:rPr>
              <w:t>/</w:t>
            </w:r>
          </w:p>
        </w:tc>
        <w:tc>
          <w:tcPr>
            <w:tcW w:w="1734"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191.038</w:t>
            </w:r>
            <w:r>
              <w:rPr>
                <w:rFonts w:ascii="Times New Roman"/>
                <w:snapToGrid w:val="0"/>
                <w:kern w:val="21"/>
                <w:sz w:val="21"/>
                <w:szCs w:val="21"/>
              </w:rPr>
              <w:t>t/a</w:t>
            </w:r>
          </w:p>
        </w:tc>
        <w:tc>
          <w:tcPr>
            <w:tcW w:w="1479"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442" w:type="dxa"/>
            <w:vMerge w:val="continue"/>
            <w:vAlign w:val="center"/>
          </w:tcPr>
          <w:p>
            <w:pPr>
              <w:pStyle w:val="38"/>
              <w:spacing w:beforeLines="0" w:afterLines="0" w:line="240" w:lineRule="auto"/>
              <w:rPr>
                <w:rFonts w:hint="eastAsia" w:hAnsi="宋体" w:cs="宋体"/>
                <w:snapToGrid w:val="0"/>
                <w:kern w:val="21"/>
                <w:sz w:val="21"/>
                <w:szCs w:val="21"/>
              </w:rPr>
            </w:pPr>
          </w:p>
        </w:tc>
        <w:tc>
          <w:tcPr>
            <w:tcW w:w="1563"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废旧布袋</w:t>
            </w:r>
          </w:p>
        </w:tc>
        <w:tc>
          <w:tcPr>
            <w:tcW w:w="1570" w:type="dxa"/>
            <w:vAlign w:val="center"/>
          </w:tcPr>
          <w:p>
            <w:pPr>
              <w:jc w:val="center"/>
            </w:pPr>
            <w:r>
              <w:rPr>
                <w:snapToGrid w:val="0"/>
                <w:kern w:val="21"/>
                <w:sz w:val="21"/>
                <w:szCs w:val="21"/>
              </w:rPr>
              <w:t>/</w:t>
            </w:r>
          </w:p>
        </w:tc>
        <w:tc>
          <w:tcPr>
            <w:tcW w:w="1250" w:type="dxa"/>
            <w:vAlign w:val="center"/>
          </w:tcPr>
          <w:p>
            <w:pPr>
              <w:pStyle w:val="38"/>
              <w:spacing w:beforeLines="0" w:afterLines="0" w:line="240" w:lineRule="auto"/>
              <w:rPr>
                <w:rFonts w:ascii="Times New Roman"/>
                <w:snapToGrid w:val="0"/>
                <w:kern w:val="21"/>
                <w:sz w:val="21"/>
                <w:szCs w:val="21"/>
              </w:rPr>
            </w:pPr>
            <w:r>
              <w:rPr>
                <w:rFonts w:ascii="Times New Roman"/>
                <w:snapToGrid w:val="0"/>
                <w:kern w:val="21"/>
                <w:sz w:val="21"/>
                <w:szCs w:val="21"/>
              </w:rPr>
              <w:t>/</w:t>
            </w:r>
          </w:p>
        </w:tc>
        <w:tc>
          <w:tcPr>
            <w:tcW w:w="1584" w:type="dxa"/>
            <w:vAlign w:val="center"/>
          </w:tcPr>
          <w:p>
            <w:pPr>
              <w:jc w:val="center"/>
            </w:pPr>
            <w:r>
              <w:rPr>
                <w:snapToGrid w:val="0"/>
                <w:kern w:val="21"/>
                <w:sz w:val="21"/>
                <w:szCs w:val="21"/>
              </w:rPr>
              <w:t>/</w:t>
            </w:r>
          </w:p>
        </w:tc>
        <w:tc>
          <w:tcPr>
            <w:tcW w:w="1583"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0.12t/4a</w:t>
            </w:r>
          </w:p>
        </w:tc>
        <w:tc>
          <w:tcPr>
            <w:tcW w:w="1583" w:type="dxa"/>
            <w:vAlign w:val="center"/>
          </w:tcPr>
          <w:p>
            <w:pPr>
              <w:jc w:val="center"/>
            </w:pPr>
            <w:r>
              <w:rPr>
                <w:snapToGrid w:val="0"/>
                <w:kern w:val="21"/>
                <w:sz w:val="21"/>
                <w:szCs w:val="21"/>
              </w:rPr>
              <w:t>/</w:t>
            </w:r>
          </w:p>
        </w:tc>
        <w:tc>
          <w:tcPr>
            <w:tcW w:w="1734"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0.12t/4a</w:t>
            </w:r>
          </w:p>
        </w:tc>
        <w:tc>
          <w:tcPr>
            <w:tcW w:w="1479" w:type="dxa"/>
            <w:vAlign w:val="center"/>
          </w:tcPr>
          <w:p>
            <w:pPr>
              <w:jc w:val="center"/>
            </w:pPr>
            <w:r>
              <w:rPr>
                <w:snapToGrid w:val="0"/>
                <w:kern w:val="21"/>
                <w:sz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442" w:type="dxa"/>
            <w:vMerge w:val="continue"/>
            <w:vAlign w:val="center"/>
          </w:tcPr>
          <w:p>
            <w:pPr>
              <w:pStyle w:val="38"/>
              <w:spacing w:beforeLines="0" w:afterLines="0" w:line="240" w:lineRule="auto"/>
              <w:rPr>
                <w:rFonts w:hint="eastAsia" w:hAnsi="宋体" w:cs="宋体"/>
                <w:snapToGrid w:val="0"/>
                <w:kern w:val="21"/>
                <w:sz w:val="21"/>
                <w:szCs w:val="21"/>
              </w:rPr>
            </w:pPr>
          </w:p>
        </w:tc>
        <w:tc>
          <w:tcPr>
            <w:tcW w:w="1563"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生活垃圾</w:t>
            </w:r>
          </w:p>
        </w:tc>
        <w:tc>
          <w:tcPr>
            <w:tcW w:w="1570" w:type="dxa"/>
            <w:vAlign w:val="center"/>
          </w:tcPr>
          <w:p>
            <w:pPr>
              <w:jc w:val="center"/>
            </w:pPr>
            <w:r>
              <w:rPr>
                <w:snapToGrid w:val="0"/>
                <w:kern w:val="21"/>
                <w:sz w:val="21"/>
                <w:szCs w:val="21"/>
              </w:rPr>
              <w:t>/</w:t>
            </w:r>
          </w:p>
        </w:tc>
        <w:tc>
          <w:tcPr>
            <w:tcW w:w="1250" w:type="dxa"/>
            <w:vAlign w:val="center"/>
          </w:tcPr>
          <w:p>
            <w:pPr>
              <w:pStyle w:val="38"/>
              <w:spacing w:beforeLines="0" w:afterLines="0" w:line="240" w:lineRule="auto"/>
              <w:rPr>
                <w:rFonts w:ascii="Times New Roman"/>
                <w:snapToGrid w:val="0"/>
                <w:kern w:val="21"/>
                <w:sz w:val="21"/>
                <w:szCs w:val="21"/>
              </w:rPr>
            </w:pPr>
            <w:r>
              <w:rPr>
                <w:rFonts w:ascii="Times New Roman"/>
                <w:snapToGrid w:val="0"/>
                <w:kern w:val="21"/>
                <w:sz w:val="21"/>
                <w:szCs w:val="21"/>
              </w:rPr>
              <w:t>/</w:t>
            </w:r>
          </w:p>
        </w:tc>
        <w:tc>
          <w:tcPr>
            <w:tcW w:w="1584" w:type="dxa"/>
            <w:vAlign w:val="center"/>
          </w:tcPr>
          <w:p>
            <w:pPr>
              <w:jc w:val="center"/>
            </w:pPr>
            <w:r>
              <w:rPr>
                <w:snapToGrid w:val="0"/>
                <w:kern w:val="21"/>
                <w:sz w:val="21"/>
                <w:szCs w:val="21"/>
              </w:rPr>
              <w:t>/</w:t>
            </w:r>
          </w:p>
        </w:tc>
        <w:tc>
          <w:tcPr>
            <w:tcW w:w="1583"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1.8</w:t>
            </w:r>
            <w:r>
              <w:rPr>
                <w:rFonts w:ascii="Times New Roman"/>
                <w:snapToGrid w:val="0"/>
                <w:kern w:val="21"/>
                <w:sz w:val="21"/>
                <w:szCs w:val="21"/>
              </w:rPr>
              <w:t>t/a</w:t>
            </w:r>
          </w:p>
        </w:tc>
        <w:tc>
          <w:tcPr>
            <w:tcW w:w="1583" w:type="dxa"/>
            <w:vAlign w:val="center"/>
          </w:tcPr>
          <w:p>
            <w:pPr>
              <w:jc w:val="center"/>
            </w:pPr>
            <w:r>
              <w:rPr>
                <w:snapToGrid w:val="0"/>
                <w:kern w:val="21"/>
                <w:sz w:val="21"/>
                <w:szCs w:val="21"/>
              </w:rPr>
              <w:t>/</w:t>
            </w:r>
          </w:p>
        </w:tc>
        <w:tc>
          <w:tcPr>
            <w:tcW w:w="1734"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1.8</w:t>
            </w:r>
            <w:r>
              <w:rPr>
                <w:rFonts w:ascii="Times New Roman"/>
                <w:snapToGrid w:val="0"/>
                <w:kern w:val="21"/>
                <w:sz w:val="21"/>
                <w:szCs w:val="21"/>
              </w:rPr>
              <w:t>t/a</w:t>
            </w:r>
          </w:p>
        </w:tc>
        <w:tc>
          <w:tcPr>
            <w:tcW w:w="1479" w:type="dxa"/>
            <w:vAlign w:val="center"/>
          </w:tcPr>
          <w:p>
            <w:pPr>
              <w:pStyle w:val="38"/>
              <w:spacing w:beforeLines="0" w:afterLines="0" w:line="240" w:lineRule="auto"/>
              <w:rPr>
                <w:rFonts w:ascii="Times New Roman"/>
                <w:snapToGrid w:val="0"/>
                <w:kern w:val="21"/>
                <w:sz w:val="21"/>
                <w:szCs w:val="21"/>
              </w:rPr>
            </w:pPr>
            <w:r>
              <w:rPr>
                <w:rFonts w:hint="eastAsia" w:ascii="Times New Roman"/>
                <w:snapToGrid w:val="0"/>
                <w:kern w:val="21"/>
                <w:sz w:val="21"/>
                <w:szCs w:val="21"/>
              </w:rPr>
              <w:t>/</w:t>
            </w:r>
          </w:p>
        </w:tc>
      </w:tr>
    </w:tbl>
    <w:p>
      <w:pPr>
        <w:pStyle w:val="38"/>
        <w:spacing w:before="192" w:beforeLines="80" w:after="24"/>
        <w:jc w:val="left"/>
        <w:rPr>
          <w:rFonts w:hint="eastAsia" w:hAnsi="宋体"/>
          <w:snapToGrid w:val="0"/>
          <w:spacing w:val="-6"/>
          <w:kern w:val="21"/>
          <w:szCs w:val="21"/>
        </w:rPr>
      </w:pPr>
      <w:r>
        <w:rPr>
          <w:rFonts w:hAnsi="宋体"/>
          <w:snapToGrid w:val="0"/>
          <w:kern w:val="21"/>
          <w:szCs w:val="21"/>
        </w:rPr>
        <w:t>注：</w:t>
      </w:r>
      <w:r>
        <w:rPr>
          <w:rFonts w:hAnsi="宋体"/>
          <w:snapToGrid w:val="0"/>
          <w:spacing w:val="-16"/>
          <w:kern w:val="21"/>
          <w:szCs w:val="21"/>
        </w:rPr>
        <w:fldChar w:fldCharType="begin"/>
      </w:r>
      <w:r>
        <w:rPr>
          <w:rFonts w:hAnsi="宋体"/>
          <w:snapToGrid w:val="0"/>
          <w:spacing w:val="-16"/>
          <w:kern w:val="21"/>
          <w:szCs w:val="21"/>
        </w:rPr>
        <w:instrText xml:space="preserve"> = 6 \* GB3 \* MERGEFORMAT </w:instrText>
      </w:r>
      <w:r>
        <w:rPr>
          <w:rFonts w:hAnsi="宋体"/>
          <w:snapToGrid w:val="0"/>
          <w:spacing w:val="-16"/>
          <w:kern w:val="21"/>
          <w:szCs w:val="21"/>
        </w:rPr>
        <w:fldChar w:fldCharType="separate"/>
      </w:r>
      <w:r>
        <w:rPr>
          <w:rFonts w:hint="eastAsia" w:hAnsi="宋体"/>
          <w:szCs w:val="21"/>
        </w:rPr>
        <w:t>⑥</w:t>
      </w:r>
      <w:r>
        <w:rPr>
          <w:rFonts w:hAnsi="宋体"/>
          <w:snapToGrid w:val="0"/>
          <w:spacing w:val="-16"/>
          <w:kern w:val="21"/>
          <w:szCs w:val="21"/>
        </w:rPr>
        <w:fldChar w:fldCharType="end"/>
      </w:r>
      <w:r>
        <w:rPr>
          <w:rFonts w:hAnsi="宋体"/>
          <w:snapToGrid w:val="0"/>
          <w:spacing w:val="-16"/>
          <w:kern w:val="21"/>
          <w:szCs w:val="21"/>
        </w:rPr>
        <w:t>=</w:t>
      </w:r>
      <w:r>
        <w:rPr>
          <w:rFonts w:hAnsi="宋体"/>
          <w:snapToGrid w:val="0"/>
          <w:spacing w:val="-6"/>
          <w:kern w:val="21"/>
          <w:szCs w:val="21"/>
        </w:rPr>
        <w:fldChar w:fldCharType="begin"/>
      </w:r>
      <w:r>
        <w:rPr>
          <w:rFonts w:hAnsi="宋体"/>
          <w:snapToGrid w:val="0"/>
          <w:spacing w:val="-6"/>
          <w:kern w:val="21"/>
          <w:szCs w:val="21"/>
        </w:rPr>
        <w:instrText xml:space="preserve"> = 1 \* GB3 \* MERGEFORMAT </w:instrText>
      </w:r>
      <w:r>
        <w:rPr>
          <w:rFonts w:hAnsi="宋体"/>
          <w:snapToGrid w:val="0"/>
          <w:spacing w:val="-6"/>
          <w:kern w:val="21"/>
          <w:szCs w:val="21"/>
        </w:rPr>
        <w:fldChar w:fldCharType="separate"/>
      </w:r>
      <w:r>
        <w:rPr>
          <w:rFonts w:hint="eastAsia" w:hAnsi="宋体"/>
          <w:szCs w:val="21"/>
        </w:rPr>
        <w:t>①</w:t>
      </w:r>
      <w:r>
        <w:rPr>
          <w:rFonts w:hAnsi="宋体"/>
          <w:snapToGrid w:val="0"/>
          <w:spacing w:val="-6"/>
          <w:kern w:val="21"/>
          <w:szCs w:val="21"/>
        </w:rPr>
        <w:fldChar w:fldCharType="end"/>
      </w:r>
      <w:r>
        <w:rPr>
          <w:rFonts w:hAnsi="宋体"/>
          <w:snapToGrid w:val="0"/>
          <w:spacing w:val="-6"/>
          <w:kern w:val="21"/>
          <w:szCs w:val="21"/>
        </w:rPr>
        <w:t>+</w:t>
      </w:r>
      <w:r>
        <w:rPr>
          <w:rFonts w:hAnsi="宋体"/>
          <w:snapToGrid w:val="0"/>
          <w:spacing w:val="-6"/>
          <w:kern w:val="21"/>
          <w:szCs w:val="21"/>
        </w:rPr>
        <w:fldChar w:fldCharType="begin"/>
      </w:r>
      <w:r>
        <w:rPr>
          <w:rFonts w:hAnsi="宋体"/>
          <w:snapToGrid w:val="0"/>
          <w:spacing w:val="-6"/>
          <w:kern w:val="21"/>
          <w:szCs w:val="21"/>
        </w:rPr>
        <w:instrText xml:space="preserve"> = 3 \* GB3 \* MERGEFORMAT </w:instrText>
      </w:r>
      <w:r>
        <w:rPr>
          <w:rFonts w:hAnsi="宋体"/>
          <w:snapToGrid w:val="0"/>
          <w:spacing w:val="-6"/>
          <w:kern w:val="21"/>
          <w:szCs w:val="21"/>
        </w:rPr>
        <w:fldChar w:fldCharType="separate"/>
      </w:r>
      <w:r>
        <w:rPr>
          <w:rFonts w:hint="eastAsia" w:hAnsi="宋体"/>
          <w:szCs w:val="21"/>
        </w:rPr>
        <w:t>③</w:t>
      </w:r>
      <w:r>
        <w:rPr>
          <w:rFonts w:hAnsi="宋体"/>
          <w:snapToGrid w:val="0"/>
          <w:spacing w:val="-6"/>
          <w:kern w:val="21"/>
          <w:szCs w:val="21"/>
        </w:rPr>
        <w:fldChar w:fldCharType="end"/>
      </w:r>
      <w:r>
        <w:rPr>
          <w:rFonts w:hAnsi="宋体"/>
          <w:snapToGrid w:val="0"/>
          <w:spacing w:val="-6"/>
          <w:kern w:val="21"/>
          <w:szCs w:val="21"/>
        </w:rPr>
        <w:t>+</w:t>
      </w:r>
      <w:r>
        <w:rPr>
          <w:rFonts w:hAnsi="宋体"/>
          <w:snapToGrid w:val="0"/>
          <w:spacing w:val="-6"/>
          <w:kern w:val="21"/>
          <w:szCs w:val="21"/>
        </w:rPr>
        <w:fldChar w:fldCharType="begin"/>
      </w:r>
      <w:r>
        <w:rPr>
          <w:rFonts w:hAnsi="宋体"/>
          <w:snapToGrid w:val="0"/>
          <w:spacing w:val="-6"/>
          <w:kern w:val="21"/>
          <w:szCs w:val="21"/>
        </w:rPr>
        <w:instrText xml:space="preserve"> = 4 \* GB3 \* MERGEFORMAT </w:instrText>
      </w:r>
      <w:r>
        <w:rPr>
          <w:rFonts w:hAnsi="宋体"/>
          <w:snapToGrid w:val="0"/>
          <w:spacing w:val="-6"/>
          <w:kern w:val="21"/>
          <w:szCs w:val="21"/>
        </w:rPr>
        <w:fldChar w:fldCharType="separate"/>
      </w:r>
      <w:r>
        <w:rPr>
          <w:rFonts w:hint="eastAsia" w:hAnsi="宋体"/>
          <w:szCs w:val="21"/>
        </w:rPr>
        <w:t>④</w:t>
      </w:r>
      <w:r>
        <w:rPr>
          <w:rFonts w:hAnsi="宋体"/>
          <w:snapToGrid w:val="0"/>
          <w:spacing w:val="-6"/>
          <w:kern w:val="21"/>
          <w:szCs w:val="21"/>
        </w:rPr>
        <w:fldChar w:fldCharType="end"/>
      </w:r>
      <w:r>
        <w:rPr>
          <w:rFonts w:hAnsi="宋体"/>
          <w:snapToGrid w:val="0"/>
          <w:spacing w:val="-6"/>
          <w:kern w:val="21"/>
          <w:szCs w:val="21"/>
        </w:rPr>
        <w:t>-</w:t>
      </w:r>
      <w:r>
        <w:rPr>
          <w:rFonts w:hAnsi="宋体"/>
          <w:snapToGrid w:val="0"/>
          <w:spacing w:val="-16"/>
          <w:kern w:val="21"/>
          <w:szCs w:val="21"/>
        </w:rPr>
        <w:fldChar w:fldCharType="begin"/>
      </w:r>
      <w:r>
        <w:rPr>
          <w:rFonts w:hAnsi="宋体"/>
          <w:snapToGrid w:val="0"/>
          <w:spacing w:val="-16"/>
          <w:kern w:val="21"/>
          <w:szCs w:val="21"/>
        </w:rPr>
        <w:instrText xml:space="preserve"> = 5 \* GB3 \* MERGEFORMAT </w:instrText>
      </w:r>
      <w:r>
        <w:rPr>
          <w:rFonts w:hAnsi="宋体"/>
          <w:snapToGrid w:val="0"/>
          <w:spacing w:val="-16"/>
          <w:kern w:val="21"/>
          <w:szCs w:val="21"/>
        </w:rPr>
        <w:fldChar w:fldCharType="separate"/>
      </w:r>
      <w:r>
        <w:rPr>
          <w:rFonts w:hint="eastAsia" w:hAnsi="宋体"/>
          <w:szCs w:val="21"/>
        </w:rPr>
        <w:t>⑤</w:t>
      </w:r>
      <w:r>
        <w:rPr>
          <w:rFonts w:hAnsi="宋体"/>
          <w:snapToGrid w:val="0"/>
          <w:spacing w:val="-16"/>
          <w:kern w:val="21"/>
          <w:szCs w:val="21"/>
        </w:rPr>
        <w:fldChar w:fldCharType="end"/>
      </w:r>
      <w:r>
        <w:rPr>
          <w:rFonts w:hAnsi="宋体"/>
          <w:snapToGrid w:val="0"/>
          <w:spacing w:val="-16"/>
          <w:kern w:val="21"/>
          <w:szCs w:val="21"/>
        </w:rPr>
        <w:t>；</w:t>
      </w:r>
      <w:r>
        <w:rPr>
          <w:rFonts w:hAnsi="宋体"/>
          <w:snapToGrid w:val="0"/>
          <w:spacing w:val="-6"/>
          <w:kern w:val="21"/>
          <w:szCs w:val="21"/>
        </w:rPr>
        <w:fldChar w:fldCharType="begin"/>
      </w:r>
      <w:r>
        <w:rPr>
          <w:rFonts w:hAnsi="宋体"/>
          <w:snapToGrid w:val="0"/>
          <w:spacing w:val="-6"/>
          <w:kern w:val="21"/>
          <w:szCs w:val="21"/>
        </w:rPr>
        <w:instrText xml:space="preserve"> = 7 \* GB3 \* MERGEFORMAT </w:instrText>
      </w:r>
      <w:r>
        <w:rPr>
          <w:rFonts w:hAnsi="宋体"/>
          <w:snapToGrid w:val="0"/>
          <w:spacing w:val="-6"/>
          <w:kern w:val="21"/>
          <w:szCs w:val="21"/>
        </w:rPr>
        <w:fldChar w:fldCharType="separate"/>
      </w:r>
      <w:r>
        <w:rPr>
          <w:rFonts w:hint="eastAsia" w:hAnsi="宋体"/>
          <w:szCs w:val="21"/>
        </w:rPr>
        <w:t>⑦</w:t>
      </w:r>
      <w:r>
        <w:rPr>
          <w:rFonts w:hAnsi="宋体"/>
          <w:snapToGrid w:val="0"/>
          <w:spacing w:val="-6"/>
          <w:kern w:val="21"/>
          <w:szCs w:val="21"/>
        </w:rPr>
        <w:fldChar w:fldCharType="end"/>
      </w:r>
      <w:r>
        <w:rPr>
          <w:rFonts w:hAnsi="宋体"/>
          <w:snapToGrid w:val="0"/>
          <w:spacing w:val="-6"/>
          <w:kern w:val="21"/>
          <w:szCs w:val="21"/>
        </w:rPr>
        <w:t>=</w:t>
      </w:r>
      <w:r>
        <w:rPr>
          <w:rFonts w:hAnsi="宋体"/>
          <w:snapToGrid w:val="0"/>
          <w:spacing w:val="-16"/>
          <w:kern w:val="21"/>
          <w:szCs w:val="21"/>
        </w:rPr>
        <w:fldChar w:fldCharType="begin"/>
      </w:r>
      <w:r>
        <w:rPr>
          <w:rFonts w:hAnsi="宋体"/>
          <w:snapToGrid w:val="0"/>
          <w:spacing w:val="-16"/>
          <w:kern w:val="21"/>
          <w:szCs w:val="21"/>
        </w:rPr>
        <w:instrText xml:space="preserve"> = 6 \* GB3 \* MERGEFORMAT </w:instrText>
      </w:r>
      <w:r>
        <w:rPr>
          <w:rFonts w:hAnsi="宋体"/>
          <w:snapToGrid w:val="0"/>
          <w:spacing w:val="-16"/>
          <w:kern w:val="21"/>
          <w:szCs w:val="21"/>
        </w:rPr>
        <w:fldChar w:fldCharType="separate"/>
      </w:r>
      <w:r>
        <w:rPr>
          <w:rFonts w:hint="eastAsia" w:hAnsi="宋体"/>
          <w:szCs w:val="21"/>
        </w:rPr>
        <w:t>⑥</w:t>
      </w:r>
      <w:r>
        <w:rPr>
          <w:rFonts w:hAnsi="宋体"/>
          <w:snapToGrid w:val="0"/>
          <w:spacing w:val="-16"/>
          <w:kern w:val="21"/>
          <w:szCs w:val="21"/>
        </w:rPr>
        <w:fldChar w:fldCharType="end"/>
      </w:r>
      <w:r>
        <w:rPr>
          <w:rFonts w:hAnsi="宋体"/>
          <w:snapToGrid w:val="0"/>
          <w:spacing w:val="-16"/>
          <w:kern w:val="21"/>
          <w:szCs w:val="21"/>
        </w:rPr>
        <w:t>-</w:t>
      </w:r>
      <w:r>
        <w:rPr>
          <w:rFonts w:hAnsi="宋体"/>
          <w:snapToGrid w:val="0"/>
          <w:spacing w:val="-6"/>
          <w:kern w:val="21"/>
          <w:szCs w:val="21"/>
        </w:rPr>
        <w:fldChar w:fldCharType="begin"/>
      </w:r>
      <w:r>
        <w:rPr>
          <w:rFonts w:hAnsi="宋体"/>
          <w:snapToGrid w:val="0"/>
          <w:spacing w:val="-6"/>
          <w:kern w:val="21"/>
          <w:szCs w:val="21"/>
        </w:rPr>
        <w:instrText xml:space="preserve"> = 1 \* GB3 \* MERGEFORMAT </w:instrText>
      </w:r>
      <w:r>
        <w:rPr>
          <w:rFonts w:hAnsi="宋体"/>
          <w:snapToGrid w:val="0"/>
          <w:spacing w:val="-6"/>
          <w:kern w:val="21"/>
          <w:szCs w:val="21"/>
        </w:rPr>
        <w:fldChar w:fldCharType="separate"/>
      </w:r>
      <w:r>
        <w:rPr>
          <w:rFonts w:hint="eastAsia" w:hAnsi="宋体"/>
          <w:szCs w:val="21"/>
        </w:rPr>
        <w:t>①</w:t>
      </w:r>
      <w:r>
        <w:rPr>
          <w:rFonts w:hAnsi="宋体"/>
          <w:snapToGrid w:val="0"/>
          <w:spacing w:val="-6"/>
          <w:kern w:val="21"/>
          <w:szCs w:val="21"/>
        </w:rPr>
        <w:fldChar w:fldCharType="end"/>
      </w:r>
    </w:p>
    <w:p>
      <w:pPr>
        <w:sectPr>
          <w:footerReference r:id="rId7" w:type="default"/>
          <w:pgSz w:w="16838" w:h="11906" w:orient="landscape"/>
          <w:pgMar w:top="1701" w:right="1531" w:bottom="1701" w:left="1531" w:header="851" w:footer="851" w:gutter="0"/>
          <w:cols w:space="720" w:num="1"/>
          <w:docGrid w:linePitch="312" w:charSpace="0"/>
        </w:sectPr>
      </w:pPr>
    </w:p>
    <w:p>
      <w:pPr>
        <w:pStyle w:val="17"/>
        <w:adjustRightInd w:val="0"/>
        <w:snapToGrid w:val="0"/>
        <w:spacing w:before="0" w:beforeAutospacing="0" w:after="0" w:afterAutospacing="0"/>
        <w:outlineLvl w:val="0"/>
        <w:rPr>
          <w:rFonts w:hint="eastAsia" w:ascii="黑体" w:hAnsi="黑体" w:eastAsia="黑体"/>
          <w:snapToGrid w:val="0"/>
          <w:sz w:val="32"/>
          <w:szCs w:val="32"/>
        </w:rPr>
      </w:pPr>
      <w:r>
        <w:rPr>
          <w:rFonts w:ascii="黑体" w:hAnsi="黑体" w:eastAsia="黑体"/>
          <w:snapToGrid w:val="0"/>
          <w:sz w:val="32"/>
          <w:szCs w:val="32"/>
        </w:rPr>
        <w:t>附件</w:t>
      </w:r>
    </w:p>
    <w:p>
      <w:pPr>
        <w:pStyle w:val="17"/>
        <w:adjustRightInd w:val="0"/>
        <w:snapToGrid w:val="0"/>
        <w:spacing w:before="0" w:beforeAutospacing="0" w:after="0" w:afterAutospacing="0"/>
        <w:outlineLvl w:val="0"/>
        <w:rPr>
          <w:rFonts w:hint="eastAsia" w:eastAsia="黑体"/>
        </w:rPr>
      </w:pPr>
      <w:r>
        <w:rPr>
          <w:rFonts w:hint="eastAsia" w:eastAsia="黑体"/>
        </w:rPr>
        <w:t>附件1  委托书</w:t>
      </w:r>
    </w:p>
    <w:p>
      <w:pPr>
        <w:rPr>
          <w:rFonts w:eastAsia="黑体"/>
        </w:rPr>
      </w:pPr>
      <w:r>
        <w:drawing>
          <wp:inline distT="0" distB="0" distL="0" distR="0">
            <wp:extent cx="5923915" cy="8229600"/>
            <wp:effectExtent l="0" t="0" r="635" b="0"/>
            <wp:docPr id="6433845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384583" name="图片 1"/>
                    <pic:cNvPicPr>
                      <a:picLocks noChangeAspect="1"/>
                    </pic:cNvPicPr>
                  </pic:nvPicPr>
                  <pic:blipFill>
                    <a:blip r:embed="rId15"/>
                    <a:stretch>
                      <a:fillRect/>
                    </a:stretch>
                  </pic:blipFill>
                  <pic:spPr>
                    <a:xfrm>
                      <a:off x="0" y="0"/>
                      <a:ext cx="5928314" cy="8235592"/>
                    </a:xfrm>
                    <a:prstGeom prst="rect">
                      <a:avLst/>
                    </a:prstGeom>
                  </pic:spPr>
                </pic:pic>
              </a:graphicData>
            </a:graphic>
          </wp:inline>
        </w:drawing>
      </w:r>
    </w:p>
    <w:p>
      <w:pPr>
        <w:pStyle w:val="17"/>
        <w:adjustRightInd w:val="0"/>
        <w:snapToGrid w:val="0"/>
        <w:spacing w:before="0" w:beforeAutospacing="0" w:after="0" w:afterAutospacing="0"/>
        <w:outlineLvl w:val="0"/>
        <w:rPr>
          <w:rFonts w:hint="eastAsia" w:eastAsia="黑体"/>
        </w:rPr>
      </w:pPr>
      <w:r>
        <w:rPr>
          <w:rFonts w:hint="eastAsia" w:eastAsia="黑体"/>
        </w:rPr>
        <w:t>附件2  备案告知书</w:t>
      </w:r>
    </w:p>
    <w:p>
      <w:pPr>
        <w:pStyle w:val="10"/>
        <w:ind w:firstLine="0" w:firstLineChars="0"/>
        <w:rPr>
          <w:rFonts w:eastAsia="黑体"/>
        </w:rPr>
      </w:pPr>
      <w:r>
        <w:drawing>
          <wp:inline distT="0" distB="0" distL="0" distR="0">
            <wp:extent cx="6089650" cy="8633460"/>
            <wp:effectExtent l="0" t="0" r="6350"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pic:cNvPicPr>
                  </pic:nvPicPr>
                  <pic:blipFill>
                    <a:blip r:embed="rId16" cstate="print"/>
                    <a:stretch>
                      <a:fillRect/>
                    </a:stretch>
                  </pic:blipFill>
                  <pic:spPr>
                    <a:xfrm>
                      <a:off x="0" y="0"/>
                      <a:ext cx="6094342" cy="8639297"/>
                    </a:xfrm>
                    <a:prstGeom prst="rect">
                      <a:avLst/>
                    </a:prstGeom>
                  </pic:spPr>
                </pic:pic>
              </a:graphicData>
            </a:graphic>
          </wp:inline>
        </w:drawing>
      </w:r>
    </w:p>
    <w:p>
      <w:pPr>
        <w:pStyle w:val="17"/>
        <w:adjustRightInd w:val="0"/>
        <w:snapToGrid w:val="0"/>
        <w:spacing w:before="0" w:beforeAutospacing="0" w:after="0" w:afterAutospacing="0"/>
        <w:outlineLvl w:val="0"/>
        <w:rPr>
          <w:rFonts w:hint="eastAsia" w:eastAsia="黑体"/>
        </w:rPr>
      </w:pPr>
      <w:r>
        <w:rPr>
          <w:rFonts w:hint="eastAsia" w:eastAsia="黑体"/>
        </w:rPr>
        <w:t>附件3  中华人民共和国不动产权证书</w:t>
      </w:r>
    </w:p>
    <w:p>
      <w:pPr>
        <w:pStyle w:val="10"/>
        <w:ind w:firstLine="0" w:firstLineChars="0"/>
        <w:rPr>
          <w:rFonts w:eastAsia="黑体"/>
        </w:rPr>
      </w:pPr>
      <w:r>
        <w:rPr>
          <w:rFonts w:eastAsia="黑体"/>
        </w:rPr>
        <w:drawing>
          <wp:inline distT="0" distB="0" distL="0" distR="0">
            <wp:extent cx="5977890" cy="8634730"/>
            <wp:effectExtent l="0" t="0" r="3810" b="0"/>
            <wp:docPr id="111" name="图片 111" descr="D:\环评\2024\6月\城凯混凝土搅拌站项目\项目资料\诚凯拌合站项目\诚凯拌合站项目\土地证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D:\环评\2024\6月\城凯混凝土搅拌站项目\项目资料\诚凯拌合站项目\诚凯拌合站项目\土地证1.jpg"/>
                    <pic:cNvPicPr>
                      <a:picLocks noChangeAspect="1" noChangeArrowheads="1"/>
                    </pic:cNvPicPr>
                  </pic:nvPicPr>
                  <pic:blipFill>
                    <a:blip r:embed="rId17" cstate="print">
                      <a:extLst>
                        <a:ext uri="{28A0092B-C50C-407E-A947-70E740481C1C}">
                          <a14:useLocalDpi xmlns:a14="http://schemas.microsoft.com/office/drawing/2010/main" val="0"/>
                        </a:ext>
                      </a:extLst>
                    </a:blip>
                    <a:srcRect l="11552" t="8662" r="13719" b="10396"/>
                    <a:stretch>
                      <a:fillRect/>
                    </a:stretch>
                  </pic:blipFill>
                  <pic:spPr>
                    <a:xfrm>
                      <a:off x="0" y="0"/>
                      <a:ext cx="5982188" cy="8640937"/>
                    </a:xfrm>
                    <a:prstGeom prst="rect">
                      <a:avLst/>
                    </a:prstGeom>
                    <a:noFill/>
                    <a:ln>
                      <a:noFill/>
                    </a:ln>
                  </pic:spPr>
                </pic:pic>
              </a:graphicData>
            </a:graphic>
          </wp:inline>
        </w:drawing>
      </w:r>
    </w:p>
    <w:p>
      <w:pPr>
        <w:pStyle w:val="10"/>
        <w:ind w:firstLine="0" w:firstLineChars="0"/>
        <w:rPr>
          <w:rFonts w:eastAsia="黑体"/>
        </w:rPr>
      </w:pPr>
      <w:r>
        <w:rPr>
          <w:rFonts w:eastAsia="黑体"/>
        </w:rPr>
        <w:drawing>
          <wp:inline distT="0" distB="0" distL="0" distR="0">
            <wp:extent cx="6003925" cy="8009255"/>
            <wp:effectExtent l="0" t="0" r="0" b="0"/>
            <wp:docPr id="112" name="图片 112" descr="D:\环评\2024\6月\城凯混凝土搅拌站项目\项目资料\诚凯拌合站项目\诚凯拌合站项目\土地证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D:\环评\2024\6月\城凯混凝土搅拌站项目\项目资料\诚凯拌合站项目\诚凯拌合站项目\土地证2.jpg"/>
                    <pic:cNvPicPr>
                      <a:picLocks noChangeAspect="1" noChangeArrowheads="1"/>
                    </pic:cNvPicPr>
                  </pic:nvPicPr>
                  <pic:blipFill>
                    <a:blip r:embed="rId18" cstate="print">
                      <a:extLst>
                        <a:ext uri="{28A0092B-C50C-407E-A947-70E740481C1C}">
                          <a14:useLocalDpi xmlns:a14="http://schemas.microsoft.com/office/drawing/2010/main" val="0"/>
                        </a:ext>
                      </a:extLst>
                    </a:blip>
                    <a:srcRect l="11913" t="5686" b="6200"/>
                    <a:stretch>
                      <a:fillRect/>
                    </a:stretch>
                  </pic:blipFill>
                  <pic:spPr>
                    <a:xfrm>
                      <a:off x="0" y="0"/>
                      <a:ext cx="6007001" cy="8013437"/>
                    </a:xfrm>
                    <a:prstGeom prst="rect">
                      <a:avLst/>
                    </a:prstGeom>
                    <a:noFill/>
                    <a:ln>
                      <a:noFill/>
                    </a:ln>
                  </pic:spPr>
                </pic:pic>
              </a:graphicData>
            </a:graphic>
          </wp:inline>
        </w:drawing>
      </w:r>
    </w:p>
    <w:p>
      <w:pPr>
        <w:pStyle w:val="3"/>
        <w:ind w:left="0" w:leftChars="0" w:firstLine="0" w:firstLineChars="0"/>
      </w:pPr>
    </w:p>
    <w:p/>
    <w:p>
      <w:pPr>
        <w:pStyle w:val="2"/>
      </w:pPr>
    </w:p>
    <w:p>
      <w:pPr>
        <w:pStyle w:val="3"/>
        <w:ind w:left="480"/>
      </w:pPr>
    </w:p>
    <w:p>
      <w:pPr>
        <w:pStyle w:val="17"/>
        <w:adjustRightInd w:val="0"/>
        <w:snapToGrid w:val="0"/>
        <w:spacing w:before="0" w:beforeAutospacing="0" w:after="0" w:afterAutospacing="0"/>
        <w:outlineLvl w:val="0"/>
        <w:rPr>
          <w:rFonts w:hint="eastAsia" w:eastAsia="黑体"/>
        </w:rPr>
      </w:pPr>
      <w:r>
        <w:rPr>
          <w:rFonts w:hint="eastAsia" w:eastAsia="黑体"/>
        </w:rPr>
        <w:t>附件4  供用水合同</w:t>
      </w:r>
    </w:p>
    <w:p>
      <w:pPr>
        <w:spacing w:line="360" w:lineRule="auto"/>
        <w:rPr>
          <w:rFonts w:eastAsia="黑体"/>
        </w:rPr>
      </w:pPr>
      <w:r>
        <w:drawing>
          <wp:inline distT="0" distB="0" distL="0" distR="0">
            <wp:extent cx="6109335" cy="8643620"/>
            <wp:effectExtent l="0" t="0" r="5715" b="508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9" cstate="print"/>
                    <a:stretch>
                      <a:fillRect/>
                    </a:stretch>
                  </pic:blipFill>
                  <pic:spPr>
                    <a:xfrm>
                      <a:off x="0" y="0"/>
                      <a:ext cx="6110758" cy="8644882"/>
                    </a:xfrm>
                    <a:prstGeom prst="rect">
                      <a:avLst/>
                    </a:prstGeom>
                  </pic:spPr>
                </pic:pic>
              </a:graphicData>
            </a:graphic>
          </wp:inline>
        </w:drawing>
      </w:r>
      <w:r>
        <w:t xml:space="preserve"> </w:t>
      </w:r>
      <w:r>
        <w:drawing>
          <wp:inline distT="0" distB="0" distL="0" distR="0">
            <wp:extent cx="6061075" cy="857440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0" cstate="print"/>
                    <a:stretch>
                      <a:fillRect/>
                    </a:stretch>
                  </pic:blipFill>
                  <pic:spPr>
                    <a:xfrm>
                      <a:off x="0" y="0"/>
                      <a:ext cx="6059686" cy="8572633"/>
                    </a:xfrm>
                    <a:prstGeom prst="rect">
                      <a:avLst/>
                    </a:prstGeom>
                  </pic:spPr>
                </pic:pic>
              </a:graphicData>
            </a:graphic>
          </wp:inline>
        </w:drawing>
      </w:r>
      <w:r>
        <w:t xml:space="preserve"> </w:t>
      </w:r>
      <w:r>
        <w:drawing>
          <wp:inline distT="0" distB="0" distL="0" distR="0">
            <wp:extent cx="5989955" cy="8474075"/>
            <wp:effectExtent l="0" t="0" r="0" b="317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1" cstate="print"/>
                    <a:stretch>
                      <a:fillRect/>
                    </a:stretch>
                  </pic:blipFill>
                  <pic:spPr>
                    <a:xfrm>
                      <a:off x="0" y="0"/>
                      <a:ext cx="5992570" cy="8477683"/>
                    </a:xfrm>
                    <a:prstGeom prst="rect">
                      <a:avLst/>
                    </a:prstGeom>
                  </pic:spPr>
                </pic:pic>
              </a:graphicData>
            </a:graphic>
          </wp:inline>
        </w:drawing>
      </w:r>
    </w:p>
    <w:p>
      <w:pPr>
        <w:spacing w:line="360" w:lineRule="auto"/>
        <w:rPr>
          <w:rFonts w:eastAsia="黑体"/>
        </w:rPr>
      </w:pPr>
      <w:r>
        <w:drawing>
          <wp:inline distT="0" distB="0" distL="0" distR="0">
            <wp:extent cx="6231255" cy="8815705"/>
            <wp:effectExtent l="0" t="0" r="0" b="444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22" cstate="print"/>
                    <a:stretch>
                      <a:fillRect/>
                    </a:stretch>
                  </pic:blipFill>
                  <pic:spPr>
                    <a:xfrm>
                      <a:off x="0" y="0"/>
                      <a:ext cx="6230382" cy="8814115"/>
                    </a:xfrm>
                    <a:prstGeom prst="rect">
                      <a:avLst/>
                    </a:prstGeom>
                  </pic:spPr>
                </pic:pic>
              </a:graphicData>
            </a:graphic>
          </wp:inline>
        </w:drawing>
      </w:r>
      <w:r>
        <w:t xml:space="preserve"> </w:t>
      </w:r>
      <w:r>
        <w:drawing>
          <wp:inline distT="0" distB="0" distL="0" distR="0">
            <wp:extent cx="6073140" cy="8591550"/>
            <wp:effectExtent l="0" t="0" r="381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3" cstate="print"/>
                    <a:stretch>
                      <a:fillRect/>
                    </a:stretch>
                  </pic:blipFill>
                  <pic:spPr>
                    <a:xfrm>
                      <a:off x="0" y="0"/>
                      <a:ext cx="6071880" cy="8589882"/>
                    </a:xfrm>
                    <a:prstGeom prst="rect">
                      <a:avLst/>
                    </a:prstGeom>
                  </pic:spPr>
                </pic:pic>
              </a:graphicData>
            </a:graphic>
          </wp:inline>
        </w:drawing>
      </w:r>
      <w:r>
        <w:drawing>
          <wp:inline distT="0" distB="0" distL="0" distR="0">
            <wp:extent cx="6061075" cy="8574405"/>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4" cstate="print"/>
                    <a:stretch>
                      <a:fillRect/>
                    </a:stretch>
                  </pic:blipFill>
                  <pic:spPr>
                    <a:xfrm>
                      <a:off x="0" y="0"/>
                      <a:ext cx="6059686" cy="8572633"/>
                    </a:xfrm>
                    <a:prstGeom prst="rect">
                      <a:avLst/>
                    </a:prstGeom>
                  </pic:spPr>
                </pic:pic>
              </a:graphicData>
            </a:graphic>
          </wp:inline>
        </w:drawing>
      </w:r>
      <w:r>
        <w:t xml:space="preserve"> </w:t>
      </w:r>
      <w:r>
        <w:drawing>
          <wp:inline distT="0" distB="0" distL="0" distR="0">
            <wp:extent cx="6249670" cy="884174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5" cstate="print"/>
                    <a:stretch>
                      <a:fillRect/>
                    </a:stretch>
                  </pic:blipFill>
                  <pic:spPr>
                    <a:xfrm>
                      <a:off x="0" y="0"/>
                      <a:ext cx="6248671" cy="8839988"/>
                    </a:xfrm>
                    <a:prstGeom prst="rect">
                      <a:avLst/>
                    </a:prstGeom>
                  </pic:spPr>
                </pic:pic>
              </a:graphicData>
            </a:graphic>
          </wp:inline>
        </w:drawing>
      </w:r>
      <w:r>
        <w:drawing>
          <wp:inline distT="0" distB="0" distL="0" distR="0">
            <wp:extent cx="6219190" cy="8798560"/>
            <wp:effectExtent l="0" t="0" r="0" b="254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6" cstate="print"/>
                    <a:stretch>
                      <a:fillRect/>
                    </a:stretch>
                  </pic:blipFill>
                  <pic:spPr>
                    <a:xfrm>
                      <a:off x="0" y="0"/>
                      <a:ext cx="6218177" cy="8796849"/>
                    </a:xfrm>
                    <a:prstGeom prst="rect">
                      <a:avLst/>
                    </a:prstGeom>
                  </pic:spPr>
                </pic:pic>
              </a:graphicData>
            </a:graphic>
          </wp:inline>
        </w:drawing>
      </w:r>
      <w:r>
        <w:drawing>
          <wp:inline distT="0" distB="0" distL="0" distR="0">
            <wp:extent cx="6193155" cy="8761730"/>
            <wp:effectExtent l="0" t="0" r="0" b="127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7" cstate="print"/>
                    <a:stretch>
                      <a:fillRect/>
                    </a:stretch>
                  </pic:blipFill>
                  <pic:spPr>
                    <a:xfrm>
                      <a:off x="0" y="0"/>
                      <a:ext cx="6192304" cy="8760247"/>
                    </a:xfrm>
                    <a:prstGeom prst="rect">
                      <a:avLst/>
                    </a:prstGeom>
                  </pic:spPr>
                </pic:pic>
              </a:graphicData>
            </a:graphic>
          </wp:inline>
        </w:drawing>
      </w:r>
      <w:r>
        <w:drawing>
          <wp:inline distT="0" distB="0" distL="0" distR="0">
            <wp:extent cx="6184900" cy="8749665"/>
            <wp:effectExtent l="0" t="0" r="635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8" cstate="print"/>
                    <a:stretch>
                      <a:fillRect/>
                    </a:stretch>
                  </pic:blipFill>
                  <pic:spPr>
                    <a:xfrm>
                      <a:off x="0" y="0"/>
                      <a:ext cx="6183679" cy="8748045"/>
                    </a:xfrm>
                    <a:prstGeom prst="rect">
                      <a:avLst/>
                    </a:prstGeom>
                  </pic:spPr>
                </pic:pic>
              </a:graphicData>
            </a:graphic>
          </wp:inline>
        </w:drawing>
      </w:r>
      <w:r>
        <w:drawing>
          <wp:inline distT="0" distB="0" distL="0" distR="0">
            <wp:extent cx="6139815" cy="868680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29" cstate="print"/>
                    <a:stretch>
                      <a:fillRect/>
                    </a:stretch>
                  </pic:blipFill>
                  <pic:spPr>
                    <a:xfrm>
                      <a:off x="0" y="0"/>
                      <a:ext cx="6142233" cy="8689410"/>
                    </a:xfrm>
                    <a:prstGeom prst="rect">
                      <a:avLst/>
                    </a:prstGeom>
                  </pic:spPr>
                </pic:pic>
              </a:graphicData>
            </a:graphic>
          </wp:inline>
        </w:drawing>
      </w:r>
      <w:r>
        <w:t xml:space="preserve">  </w:t>
      </w:r>
      <w:r>
        <w:drawing>
          <wp:inline distT="0" distB="0" distL="0" distR="0">
            <wp:extent cx="6124575" cy="8664575"/>
            <wp:effectExtent l="0" t="0" r="9525" b="317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30" cstate="print"/>
                    <a:stretch>
                      <a:fillRect/>
                    </a:stretch>
                  </pic:blipFill>
                  <pic:spPr>
                    <a:xfrm>
                      <a:off x="0" y="0"/>
                      <a:ext cx="6123309" cy="8662640"/>
                    </a:xfrm>
                    <a:prstGeom prst="rect">
                      <a:avLst/>
                    </a:prstGeom>
                  </pic:spPr>
                </pic:pic>
              </a:graphicData>
            </a:graphic>
          </wp:inline>
        </w:drawing>
      </w:r>
      <w:r>
        <w:t xml:space="preserve"> </w:t>
      </w:r>
      <w:r>
        <w:drawing>
          <wp:inline distT="0" distB="0" distL="0" distR="0">
            <wp:extent cx="6158865" cy="871220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31" cstate="print"/>
                    <a:stretch>
                      <a:fillRect/>
                    </a:stretch>
                  </pic:blipFill>
                  <pic:spPr>
                    <a:xfrm>
                      <a:off x="0" y="0"/>
                      <a:ext cx="6157806" cy="8710719"/>
                    </a:xfrm>
                    <a:prstGeom prst="rect">
                      <a:avLst/>
                    </a:prstGeom>
                  </pic:spPr>
                </pic:pic>
              </a:graphicData>
            </a:graphic>
          </wp:inline>
        </w:drawing>
      </w:r>
    </w:p>
    <w:p>
      <w:pPr>
        <w:pStyle w:val="17"/>
        <w:adjustRightInd w:val="0"/>
        <w:snapToGrid w:val="0"/>
        <w:spacing w:before="0" w:beforeAutospacing="0" w:after="0" w:afterAutospacing="0"/>
        <w:outlineLvl w:val="0"/>
        <w:rPr>
          <w:rFonts w:hint="eastAsia" w:eastAsia="黑体"/>
        </w:rPr>
      </w:pPr>
      <w:r>
        <w:rPr>
          <w:rFonts w:hint="eastAsia" w:eastAsia="黑体"/>
        </w:rPr>
        <w:t>附件5  生活污水处理协议</w:t>
      </w:r>
    </w:p>
    <w:p>
      <w:pPr>
        <w:pStyle w:val="2"/>
        <w:ind w:firstLine="0"/>
      </w:pPr>
      <w:r>
        <w:drawing>
          <wp:inline distT="0" distB="0" distL="0" distR="0">
            <wp:extent cx="5684520" cy="8462010"/>
            <wp:effectExtent l="0" t="0" r="0" b="0"/>
            <wp:docPr id="27" name="图片 27" descr="D:\环评\2023\3月\煤泥烘干项目\项目资料\相关附件\污水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D:\环评\2023\3月\煤泥烘干项目\项目资料\相关附件\污水1.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5699589" cy="8484353"/>
                    </a:xfrm>
                    <a:prstGeom prst="rect">
                      <a:avLst/>
                    </a:prstGeom>
                    <a:noFill/>
                    <a:ln>
                      <a:noFill/>
                    </a:ln>
                  </pic:spPr>
                </pic:pic>
              </a:graphicData>
            </a:graphic>
          </wp:inline>
        </w:drawing>
      </w:r>
    </w:p>
    <w:p>
      <w:r>
        <w:drawing>
          <wp:inline distT="0" distB="0" distL="0" distR="0">
            <wp:extent cx="5796915" cy="8848090"/>
            <wp:effectExtent l="0" t="0" r="0" b="0"/>
            <wp:docPr id="28" name="图片 28" descr="D:\环评\2023\3月\煤泥烘干项目\项目资料\相关附件\污水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D:\环评\2023\3月\煤泥烘干项目\项目资料\相关附件\污水2.jpg"/>
                    <pic:cNvPicPr>
                      <a:picLocks noChangeAspect="1" noChangeArrowheads="1"/>
                    </pic:cNvPicPr>
                  </pic:nvPicPr>
                  <pic:blipFill>
                    <a:blip r:embed="rId33" cstate="print">
                      <a:extLst>
                        <a:ext uri="{28A0092B-C50C-407E-A947-70E740481C1C}">
                          <a14:useLocalDpi xmlns:a14="http://schemas.microsoft.com/office/drawing/2010/main" val="0"/>
                        </a:ext>
                      </a:extLst>
                    </a:blip>
                    <a:srcRect b="5985"/>
                    <a:stretch>
                      <a:fillRect/>
                    </a:stretch>
                  </pic:blipFill>
                  <pic:spPr>
                    <a:xfrm>
                      <a:off x="0" y="0"/>
                      <a:ext cx="5803565" cy="8858499"/>
                    </a:xfrm>
                    <a:prstGeom prst="rect">
                      <a:avLst/>
                    </a:prstGeom>
                    <a:noFill/>
                    <a:ln>
                      <a:noFill/>
                    </a:ln>
                  </pic:spPr>
                </pic:pic>
              </a:graphicData>
            </a:graphic>
          </wp:inline>
        </w:drawing>
      </w:r>
    </w:p>
    <w:p>
      <w:pPr>
        <w:pStyle w:val="3"/>
        <w:ind w:left="0" w:leftChars="0" w:firstLine="0" w:firstLineChars="0"/>
      </w:pPr>
      <w:r>
        <w:drawing>
          <wp:inline distT="0" distB="0" distL="0" distR="0">
            <wp:extent cx="5710555" cy="8791575"/>
            <wp:effectExtent l="0" t="0" r="4445" b="9525"/>
            <wp:docPr id="29" name="图片 29" descr="D:\环评\2023\3月\煤泥烘干项目\项目资料\相关附件\污水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D:\环评\2023\3月\煤泥烘干项目\项目资料\相关附件\污水3.jpg"/>
                    <pic:cNvPicPr>
                      <a:picLocks noChangeAspect="1" noChangeArrowheads="1"/>
                    </pic:cNvPicPr>
                  </pic:nvPicPr>
                  <pic:blipFill>
                    <a:blip r:embed="rId34" cstate="print">
                      <a:extLst>
                        <a:ext uri="{28A0092B-C50C-407E-A947-70E740481C1C}">
                          <a14:useLocalDpi xmlns:a14="http://schemas.microsoft.com/office/drawing/2010/main" val="0"/>
                        </a:ext>
                      </a:extLst>
                    </a:blip>
                    <a:srcRect r="1491" b="4804"/>
                    <a:stretch>
                      <a:fillRect/>
                    </a:stretch>
                  </pic:blipFill>
                  <pic:spPr>
                    <a:xfrm>
                      <a:off x="0" y="0"/>
                      <a:ext cx="5714556" cy="8797833"/>
                    </a:xfrm>
                    <a:prstGeom prst="rect">
                      <a:avLst/>
                    </a:prstGeom>
                    <a:noFill/>
                    <a:ln>
                      <a:noFill/>
                    </a:ln>
                  </pic:spPr>
                </pic:pic>
              </a:graphicData>
            </a:graphic>
          </wp:inline>
        </w:drawing>
      </w:r>
    </w:p>
    <w:p>
      <w:pPr>
        <w:pStyle w:val="17"/>
        <w:adjustRightInd w:val="0"/>
        <w:snapToGrid w:val="0"/>
        <w:spacing w:before="0" w:beforeAutospacing="0" w:after="0" w:afterAutospacing="0"/>
        <w:outlineLvl w:val="0"/>
        <w:rPr>
          <w:rFonts w:hint="eastAsia" w:eastAsia="黑体"/>
        </w:rPr>
      </w:pPr>
      <w:r>
        <w:rPr>
          <w:rFonts w:hint="eastAsia" w:eastAsia="黑体"/>
        </w:rPr>
        <w:t>附件6  现状监测报告</w:t>
      </w:r>
    </w:p>
    <w:p>
      <w:pPr>
        <w:pStyle w:val="2"/>
        <w:ind w:firstLine="0"/>
      </w:pPr>
      <w:r>
        <w:drawing>
          <wp:inline distT="0" distB="0" distL="0" distR="0">
            <wp:extent cx="6072505" cy="8600440"/>
            <wp:effectExtent l="0" t="0" r="4445"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35" cstate="print"/>
                    <a:stretch>
                      <a:fillRect/>
                    </a:stretch>
                  </pic:blipFill>
                  <pic:spPr>
                    <a:xfrm>
                      <a:off x="0" y="0"/>
                      <a:ext cx="6078934" cy="8609006"/>
                    </a:xfrm>
                    <a:prstGeom prst="rect">
                      <a:avLst/>
                    </a:prstGeom>
                  </pic:spPr>
                </pic:pic>
              </a:graphicData>
            </a:graphic>
          </wp:inline>
        </w:drawing>
      </w:r>
    </w:p>
    <w:p>
      <w:pPr>
        <w:pStyle w:val="3"/>
        <w:ind w:left="0" w:leftChars="0" w:firstLine="0" w:firstLineChars="0"/>
      </w:pPr>
      <w:r>
        <w:drawing>
          <wp:inline distT="0" distB="0" distL="0" distR="0">
            <wp:extent cx="6182360" cy="8755380"/>
            <wp:effectExtent l="0" t="0" r="8890" b="762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36" cstate="print"/>
                    <a:stretch>
                      <a:fillRect/>
                    </a:stretch>
                  </pic:blipFill>
                  <pic:spPr>
                    <a:xfrm>
                      <a:off x="0" y="0"/>
                      <a:ext cx="6186545" cy="8761407"/>
                    </a:xfrm>
                    <a:prstGeom prst="rect">
                      <a:avLst/>
                    </a:prstGeom>
                  </pic:spPr>
                </pic:pic>
              </a:graphicData>
            </a:graphic>
          </wp:inline>
        </w:drawing>
      </w:r>
    </w:p>
    <w:p>
      <w:r>
        <w:drawing>
          <wp:inline distT="0" distB="0" distL="0" distR="0">
            <wp:extent cx="6231255" cy="8824595"/>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37" cstate="print"/>
                    <a:stretch>
                      <a:fillRect/>
                    </a:stretch>
                  </pic:blipFill>
                  <pic:spPr>
                    <a:xfrm>
                      <a:off x="0" y="0"/>
                      <a:ext cx="6235818" cy="8831186"/>
                    </a:xfrm>
                    <a:prstGeom prst="rect">
                      <a:avLst/>
                    </a:prstGeom>
                  </pic:spPr>
                </pic:pic>
              </a:graphicData>
            </a:graphic>
          </wp:inline>
        </w:drawing>
      </w:r>
    </w:p>
    <w:p>
      <w:r>
        <w:drawing>
          <wp:inline distT="0" distB="0" distL="0" distR="0">
            <wp:extent cx="6182360" cy="8755380"/>
            <wp:effectExtent l="0" t="0" r="8890" b="762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38" cstate="print"/>
                    <a:stretch>
                      <a:fillRect/>
                    </a:stretch>
                  </pic:blipFill>
                  <pic:spPr>
                    <a:xfrm>
                      <a:off x="0" y="0"/>
                      <a:ext cx="6185319" cy="8759672"/>
                    </a:xfrm>
                    <a:prstGeom prst="rect">
                      <a:avLst/>
                    </a:prstGeom>
                  </pic:spPr>
                </pic:pic>
              </a:graphicData>
            </a:graphic>
          </wp:inline>
        </w:drawing>
      </w:r>
    </w:p>
    <w:p>
      <w:pPr>
        <w:pStyle w:val="2"/>
        <w:ind w:firstLine="0"/>
      </w:pPr>
      <w:r>
        <w:drawing>
          <wp:inline distT="0" distB="0" distL="0" distR="0">
            <wp:extent cx="6236970" cy="8832850"/>
            <wp:effectExtent l="0" t="0" r="0" b="635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39" cstate="print"/>
                    <a:stretch>
                      <a:fillRect/>
                    </a:stretch>
                  </pic:blipFill>
                  <pic:spPr>
                    <a:xfrm>
                      <a:off x="0" y="0"/>
                      <a:ext cx="6240588" cy="8837944"/>
                    </a:xfrm>
                    <a:prstGeom prst="rect">
                      <a:avLst/>
                    </a:prstGeom>
                  </pic:spPr>
                </pic:pic>
              </a:graphicData>
            </a:graphic>
          </wp:inline>
        </w:drawing>
      </w:r>
    </w:p>
    <w:p>
      <w:pPr>
        <w:pStyle w:val="3"/>
        <w:ind w:left="0" w:leftChars="0" w:firstLine="0" w:firstLineChars="0"/>
      </w:pPr>
      <w:r>
        <w:drawing>
          <wp:inline distT="0" distB="0" distL="0" distR="0">
            <wp:extent cx="6206490" cy="8790305"/>
            <wp:effectExtent l="0" t="0" r="381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40" cstate="print"/>
                    <a:stretch>
                      <a:fillRect/>
                    </a:stretch>
                  </pic:blipFill>
                  <pic:spPr>
                    <a:xfrm>
                      <a:off x="0" y="0"/>
                      <a:ext cx="6209695" cy="8794193"/>
                    </a:xfrm>
                    <a:prstGeom prst="rect">
                      <a:avLst/>
                    </a:prstGeom>
                  </pic:spPr>
                </pic:pic>
              </a:graphicData>
            </a:graphic>
          </wp:inline>
        </w:drawing>
      </w:r>
    </w:p>
    <w:p>
      <w:pPr>
        <w:pStyle w:val="17"/>
        <w:adjustRightInd w:val="0"/>
        <w:snapToGrid w:val="0"/>
        <w:spacing w:before="0" w:beforeAutospacing="0" w:after="0" w:afterAutospacing="0"/>
        <w:outlineLvl w:val="0"/>
        <w:rPr>
          <w:rFonts w:hint="eastAsia" w:eastAsia="黑体"/>
        </w:rPr>
      </w:pPr>
      <w:r>
        <w:rPr>
          <w:rFonts w:hint="eastAsia" w:eastAsia="黑体"/>
        </w:rPr>
        <w:t>附件7  建设单位营业执照及法人身份证</w:t>
      </w:r>
    </w:p>
    <w:p>
      <w:pPr>
        <w:spacing w:line="360" w:lineRule="auto"/>
      </w:pPr>
      <w:r>
        <w:drawing>
          <wp:inline distT="0" distB="0" distL="0" distR="0">
            <wp:extent cx="6028055" cy="8505825"/>
            <wp:effectExtent l="0" t="0" r="0" b="0"/>
            <wp:docPr id="7534316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431673" name="图片 1"/>
                    <pic:cNvPicPr>
                      <a:picLocks noChangeAspect="1"/>
                    </pic:cNvPicPr>
                  </pic:nvPicPr>
                  <pic:blipFill>
                    <a:blip r:embed="rId41"/>
                    <a:stretch>
                      <a:fillRect/>
                    </a:stretch>
                  </pic:blipFill>
                  <pic:spPr>
                    <a:xfrm rot="10800000">
                      <a:off x="0" y="0"/>
                      <a:ext cx="6035942" cy="8516546"/>
                    </a:xfrm>
                    <a:prstGeom prst="rect">
                      <a:avLst/>
                    </a:prstGeom>
                  </pic:spPr>
                </pic:pic>
              </a:graphicData>
            </a:graphic>
          </wp:inline>
        </w:drawing>
      </w:r>
    </w:p>
    <w:p>
      <w:pPr>
        <w:pStyle w:val="2"/>
        <w:ind w:firstLine="0"/>
      </w:pPr>
      <w:r>
        <w:drawing>
          <wp:inline distT="0" distB="0" distL="0" distR="0">
            <wp:extent cx="5939155" cy="8753475"/>
            <wp:effectExtent l="0" t="0" r="4445" b="0"/>
            <wp:docPr id="9949148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914817" name="图片 1"/>
                    <pic:cNvPicPr>
                      <a:picLocks noChangeAspect="1"/>
                    </pic:cNvPicPr>
                  </pic:nvPicPr>
                  <pic:blipFill>
                    <a:blip r:embed="rId42"/>
                    <a:srcRect l="7268" t="6547" r="12368" b="2631"/>
                    <a:stretch>
                      <a:fillRect/>
                    </a:stretch>
                  </pic:blipFill>
                  <pic:spPr>
                    <a:xfrm>
                      <a:off x="0" y="0"/>
                      <a:ext cx="5951634" cy="8771088"/>
                    </a:xfrm>
                    <a:prstGeom prst="rect">
                      <a:avLst/>
                    </a:prstGeom>
                    <a:ln>
                      <a:noFill/>
                    </a:ln>
                  </pic:spPr>
                </pic:pic>
              </a:graphicData>
            </a:graphic>
          </wp:inline>
        </w:drawing>
      </w:r>
    </w:p>
    <w:p>
      <w:pPr>
        <w:pStyle w:val="17"/>
        <w:adjustRightInd w:val="0"/>
        <w:snapToGrid w:val="0"/>
        <w:spacing w:before="0" w:beforeAutospacing="0" w:after="0" w:afterAutospacing="0"/>
        <w:outlineLvl w:val="0"/>
        <w:rPr>
          <w:rFonts w:hint="eastAsia" w:eastAsia="黑体"/>
        </w:rPr>
      </w:pPr>
      <w:r>
        <w:rPr>
          <w:rFonts w:hint="eastAsia" w:eastAsia="黑体"/>
        </w:rPr>
        <w:t>附件8  依托生活污水处理设施项目环保手续情况</w:t>
      </w:r>
    </w:p>
    <w:p>
      <w:pPr>
        <w:pStyle w:val="2"/>
        <w:ind w:firstLine="0"/>
      </w:pPr>
      <w:r>
        <w:drawing>
          <wp:inline distT="0" distB="0" distL="0" distR="0">
            <wp:extent cx="6373495" cy="8553450"/>
            <wp:effectExtent l="0" t="0" r="8255" b="0"/>
            <wp:docPr id="6" name="图片 6" descr="E:\新建文件夹\WeChat Files\wxid_tikhxbqrox522\FileStorage\Temp\7f18294f9eb90365552002cd72d80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新建文件夹\WeChat Files\wxid_tikhxbqrox522\FileStorage\Temp\7f18294f9eb90365552002cd72d80ce.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6382505" cy="8565016"/>
                    </a:xfrm>
                    <a:prstGeom prst="rect">
                      <a:avLst/>
                    </a:prstGeom>
                    <a:noFill/>
                    <a:ln>
                      <a:noFill/>
                    </a:ln>
                  </pic:spPr>
                </pic:pic>
              </a:graphicData>
            </a:graphic>
          </wp:inline>
        </w:drawing>
      </w:r>
    </w:p>
    <w:p>
      <w:pPr>
        <w:pStyle w:val="3"/>
        <w:ind w:left="0" w:leftChars="0" w:firstLine="0" w:firstLineChars="0"/>
      </w:pPr>
      <w:r>
        <w:drawing>
          <wp:inline distT="0" distB="0" distL="0" distR="0">
            <wp:extent cx="6241415" cy="8748395"/>
            <wp:effectExtent l="0" t="0" r="6985" b="0"/>
            <wp:docPr id="7" name="图片 7" descr="E:\新建文件夹\WeChat Files\wxid_tikhxbqrox522\FileStorage\Temp\b30f26591d4f7b75ee2331a49aceaf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E:\新建文件夹\WeChat Files\wxid_tikhxbqrox522\FileStorage\Temp\b30f26591d4f7b75ee2331a49aceaf3.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6248740" cy="8758318"/>
                    </a:xfrm>
                    <a:prstGeom prst="rect">
                      <a:avLst/>
                    </a:prstGeom>
                    <a:noFill/>
                    <a:ln>
                      <a:noFill/>
                    </a:ln>
                  </pic:spPr>
                </pic:pic>
              </a:graphicData>
            </a:graphic>
          </wp:inline>
        </w:drawing>
      </w:r>
    </w:p>
    <w:p>
      <w:r>
        <w:rPr>
          <w:rFonts w:eastAsia="Times New Roman"/>
          <w:w w:val="0"/>
          <w:kern w:val="0"/>
          <w:sz w:val="0"/>
          <w:szCs w:val="0"/>
          <w:u w:color="000000"/>
          <w:shd w:val="clear" w:color="000000" w:fill="000000"/>
        </w:rPr>
        <w:drawing>
          <wp:inline distT="0" distB="0" distL="0" distR="0">
            <wp:extent cx="6168390" cy="8700770"/>
            <wp:effectExtent l="0" t="0" r="3810" b="5080"/>
            <wp:docPr id="9" name="图片 9" descr="E:\新建文件夹\WeChat Files\wxid_tikhxbqrox522\FileStorage\Temp\2444041e9e0054e2d1a9293da71c4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E:\新建文件夹\WeChat Files\wxid_tikhxbqrox522\FileStorage\Temp\2444041e9e0054e2d1a9293da71c45c.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6181304" cy="8718509"/>
                    </a:xfrm>
                    <a:prstGeom prst="rect">
                      <a:avLst/>
                    </a:prstGeom>
                    <a:noFill/>
                    <a:ln>
                      <a:noFill/>
                    </a:ln>
                  </pic:spPr>
                </pic:pic>
              </a:graphicData>
            </a:graphic>
          </wp:inline>
        </w:drawing>
      </w:r>
    </w:p>
    <w:p>
      <w:pPr>
        <w:pStyle w:val="2"/>
        <w:ind w:firstLine="0"/>
      </w:pPr>
      <w:r>
        <w:rPr>
          <w:rFonts w:eastAsia="Times New Roman"/>
          <w:w w:val="0"/>
          <w:kern w:val="0"/>
          <w:sz w:val="0"/>
          <w:szCs w:val="0"/>
          <w:u w:color="000000"/>
          <w:shd w:val="clear" w:color="000000" w:fill="000000"/>
        </w:rPr>
        <w:drawing>
          <wp:inline distT="0" distB="0" distL="0" distR="0">
            <wp:extent cx="6119495" cy="8776970"/>
            <wp:effectExtent l="0" t="0" r="0" b="5080"/>
            <wp:docPr id="10" name="图片 10" descr="E:\新建文件夹\WeChat Files\wxid_tikhxbqrox522\FileStorage\Temp\fb6be1373a50470cda0f1b47b9779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E:\新建文件夹\WeChat Files\wxid_tikhxbqrox522\FileStorage\Temp\fb6be1373a50470cda0f1b47b9779d6.jpg"/>
                    <pic:cNvPicPr>
                      <a:picLocks noChangeAspect="1" noChangeArrowheads="1"/>
                    </pic:cNvPicPr>
                  </pic:nvPicPr>
                  <pic:blipFill>
                    <a:blip r:embed="rId46">
                      <a:extLst>
                        <a:ext uri="{28A0092B-C50C-407E-A947-70E740481C1C}">
                          <a14:useLocalDpi xmlns:a14="http://schemas.microsoft.com/office/drawing/2010/main" val="0"/>
                        </a:ext>
                      </a:extLst>
                    </a:blip>
                    <a:srcRect l="11292" t="2453" r="5729" b="8344"/>
                    <a:stretch>
                      <a:fillRect/>
                    </a:stretch>
                  </pic:blipFill>
                  <pic:spPr>
                    <a:xfrm>
                      <a:off x="0" y="0"/>
                      <a:ext cx="6128462" cy="8789721"/>
                    </a:xfrm>
                    <a:prstGeom prst="rect">
                      <a:avLst/>
                    </a:prstGeom>
                    <a:noFill/>
                    <a:ln>
                      <a:noFill/>
                    </a:ln>
                  </pic:spPr>
                </pic:pic>
              </a:graphicData>
            </a:graphic>
          </wp:inline>
        </w:drawing>
      </w:r>
    </w:p>
    <w:p>
      <w:pPr>
        <w:pStyle w:val="3"/>
        <w:ind w:left="0" w:leftChars="0" w:firstLine="0" w:firstLineChars="0"/>
      </w:pPr>
      <w:r>
        <w:rPr>
          <w:rFonts w:eastAsia="Times New Roman"/>
          <w:w w:val="0"/>
          <w:kern w:val="0"/>
          <w:sz w:val="0"/>
          <w:szCs w:val="0"/>
          <w:u w:color="000000"/>
          <w:shd w:val="clear" w:color="000000" w:fill="000000"/>
        </w:rPr>
        <w:drawing>
          <wp:inline distT="0" distB="0" distL="0" distR="0">
            <wp:extent cx="6025515" cy="8686800"/>
            <wp:effectExtent l="0" t="0" r="0" b="0"/>
            <wp:docPr id="16" name="图片 16" descr="E:\新建文件夹\WeChat Files\wxid_tikhxbqrox522\FileStorage\Temp\b92fa08240c96526344873c80c34d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E:\新建文件夹\WeChat Files\wxid_tikhxbqrox522\FileStorage\Temp\b92fa08240c96526344873c80c34d16.jpg"/>
                    <pic:cNvPicPr>
                      <a:picLocks noChangeAspect="1" noChangeArrowheads="1"/>
                    </pic:cNvPicPr>
                  </pic:nvPicPr>
                  <pic:blipFill>
                    <a:blip r:embed="rId47">
                      <a:extLst>
                        <a:ext uri="{28A0092B-C50C-407E-A947-70E740481C1C}">
                          <a14:useLocalDpi xmlns:a14="http://schemas.microsoft.com/office/drawing/2010/main" val="0"/>
                        </a:ext>
                      </a:extLst>
                    </a:blip>
                    <a:srcRect l="1707" t="3064" r="17763" b="9927"/>
                    <a:stretch>
                      <a:fillRect/>
                    </a:stretch>
                  </pic:blipFill>
                  <pic:spPr>
                    <a:xfrm>
                      <a:off x="0" y="0"/>
                      <a:ext cx="6034612" cy="8699083"/>
                    </a:xfrm>
                    <a:prstGeom prst="rect">
                      <a:avLst/>
                    </a:prstGeom>
                    <a:noFill/>
                    <a:ln>
                      <a:noFill/>
                    </a:ln>
                  </pic:spPr>
                </pic:pic>
              </a:graphicData>
            </a:graphic>
          </wp:inline>
        </w:drawing>
      </w:r>
    </w:p>
    <w:p>
      <w:r>
        <w:rPr>
          <w:rFonts w:eastAsia="Times New Roman"/>
          <w:w w:val="0"/>
          <w:kern w:val="0"/>
          <w:sz w:val="0"/>
          <w:szCs w:val="0"/>
          <w:u w:color="000000"/>
          <w:shd w:val="clear" w:color="000000" w:fill="000000"/>
        </w:rPr>
        <w:drawing>
          <wp:inline distT="0" distB="0" distL="0" distR="0">
            <wp:extent cx="6009640" cy="8753475"/>
            <wp:effectExtent l="0" t="0" r="0" b="0"/>
            <wp:docPr id="19" name="图片 19" descr="E:\新建文件夹\WeChat Files\wxid_tikhxbqrox522\FileStorage\Temp\ac0aeede4fa568a4374b47d1006a5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E:\新建文件夹\WeChat Files\wxid_tikhxbqrox522\FileStorage\Temp\ac0aeede4fa568a4374b47d1006a574.jpg"/>
                    <pic:cNvPicPr>
                      <a:picLocks noChangeAspect="1" noChangeArrowheads="1"/>
                    </pic:cNvPicPr>
                  </pic:nvPicPr>
                  <pic:blipFill>
                    <a:blip r:embed="rId48">
                      <a:extLst>
                        <a:ext uri="{28A0092B-C50C-407E-A947-70E740481C1C}">
                          <a14:useLocalDpi xmlns:a14="http://schemas.microsoft.com/office/drawing/2010/main" val="0"/>
                        </a:ext>
                      </a:extLst>
                    </a:blip>
                    <a:srcRect t="9682" r="17273"/>
                    <a:stretch>
                      <a:fillRect/>
                    </a:stretch>
                  </pic:blipFill>
                  <pic:spPr>
                    <a:xfrm>
                      <a:off x="0" y="0"/>
                      <a:ext cx="6015408" cy="8761710"/>
                    </a:xfrm>
                    <a:prstGeom prst="rect">
                      <a:avLst/>
                    </a:prstGeom>
                    <a:noFill/>
                    <a:ln>
                      <a:noFill/>
                    </a:ln>
                  </pic:spPr>
                </pic:pic>
              </a:graphicData>
            </a:graphic>
          </wp:inline>
        </w:drawing>
      </w:r>
    </w:p>
    <w:p>
      <w:pPr>
        <w:pStyle w:val="2"/>
        <w:sectPr>
          <w:pgSz w:w="11906" w:h="16838"/>
          <w:pgMar w:top="1440" w:right="1797" w:bottom="1440" w:left="1797" w:header="851" w:footer="851" w:gutter="0"/>
          <w:cols w:space="720" w:num="1"/>
          <w:docGrid w:linePitch="326" w:charSpace="0"/>
        </w:sectPr>
      </w:pPr>
    </w:p>
    <w:p>
      <w:pPr>
        <w:pStyle w:val="17"/>
        <w:adjustRightInd w:val="0"/>
        <w:snapToGrid w:val="0"/>
        <w:spacing w:before="0" w:beforeAutospacing="0" w:after="0" w:afterAutospacing="0"/>
        <w:outlineLvl w:val="0"/>
        <w:rPr>
          <w:rFonts w:hint="eastAsia" w:ascii="黑体" w:hAnsi="黑体" w:eastAsia="黑体"/>
          <w:snapToGrid w:val="0"/>
          <w:sz w:val="32"/>
          <w:szCs w:val="32"/>
        </w:rPr>
      </w:pPr>
      <w:r>
        <w:rPr>
          <w:rFonts w:hint="eastAsia" w:ascii="黑体" w:hAnsi="黑体" w:eastAsia="黑体"/>
          <w:snapToGrid w:val="0"/>
          <w:sz w:val="32"/>
          <w:szCs w:val="32"/>
        </w:rPr>
        <w:t>附图</w:t>
      </w:r>
    </w:p>
    <w:p>
      <w:pPr>
        <w:jc w:val="center"/>
        <w:rPr>
          <w:b/>
        </w:rPr>
      </w:pPr>
      <w:r>
        <w:rPr>
          <w:b/>
        </w:rPr>
        <mc:AlternateContent>
          <mc:Choice Requires="wps">
            <w:drawing>
              <wp:anchor distT="0" distB="0" distL="114300" distR="114300" simplePos="0" relativeHeight="251661312" behindDoc="0" locked="0" layoutInCell="1" allowOverlap="1">
                <wp:simplePos x="0" y="0"/>
                <wp:positionH relativeFrom="column">
                  <wp:posOffset>5796915</wp:posOffset>
                </wp:positionH>
                <wp:positionV relativeFrom="paragraph">
                  <wp:posOffset>2501265</wp:posOffset>
                </wp:positionV>
                <wp:extent cx="45085" cy="45085"/>
                <wp:effectExtent l="0" t="0" r="12065" b="12065"/>
                <wp:wrapNone/>
                <wp:docPr id="68" name="流程图: 联系 68"/>
                <wp:cNvGraphicFramePr/>
                <a:graphic xmlns:a="http://schemas.openxmlformats.org/drawingml/2006/main">
                  <a:graphicData uri="http://schemas.microsoft.com/office/word/2010/wordprocessingShape">
                    <wps:wsp>
                      <wps:cNvSpPr/>
                      <wps:spPr>
                        <a:xfrm>
                          <a:off x="0" y="0"/>
                          <a:ext cx="45085" cy="45085"/>
                        </a:xfrm>
                        <a:prstGeom prst="flowChartConnector">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0" type="#_x0000_t120" style="position:absolute;left:0pt;margin-left:456.45pt;margin-top:196.95pt;height:3.55pt;width:3.55pt;z-index:251661312;v-text-anchor:middle;mso-width-relative:page;mso-height-relative:page;" fillcolor="#FF0000" filled="t" stroked="t" coordsize="21600,21600" o:gfxdata="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FgAAAGRycy9QSwECFAAUAAAACACHTuJANtc8FtkAAAAL&#10;AQAADwAAAAAAAAABACAAAAA4AAAAZHJzL2Rvd25yZXYueG1sUEsBAhQAFAAAAAgAh07iQEktxph3&#10;AgAA9QQAAA4AAAAAAAAAAQAgAAAAPgEAAGRycy9lMm9Eb2MueG1sUEsFBgAAAAAGAAYAWQEAACcG&#10;AAAAAA==&#10;">
                <v:fill on="t" focussize="0,0"/>
                <v:stroke weight="2pt" color="#FF0000 [3204]" joinstyle="round"/>
                <v:imagedata o:title=""/>
                <o:lock v:ext="edit" aspectratio="f"/>
              </v:shape>
            </w:pict>
          </mc:Fallback>
        </mc:AlternateContent>
      </w:r>
      <w:r>
        <w:rPr>
          <w:b/>
        </w:rPr>
        <mc:AlternateContent>
          <mc:Choice Requires="wps">
            <w:drawing>
              <wp:anchor distT="0" distB="0" distL="114300" distR="114300" simplePos="0" relativeHeight="251662336" behindDoc="0" locked="0" layoutInCell="1" allowOverlap="1">
                <wp:simplePos x="0" y="0"/>
                <wp:positionH relativeFrom="column">
                  <wp:posOffset>5842000</wp:posOffset>
                </wp:positionH>
                <wp:positionV relativeFrom="paragraph">
                  <wp:posOffset>1987550</wp:posOffset>
                </wp:positionV>
                <wp:extent cx="728345" cy="299720"/>
                <wp:effectExtent l="38100" t="0" r="0" b="233680"/>
                <wp:wrapNone/>
                <wp:docPr id="67" name="圆角矩形标注 67"/>
                <wp:cNvGraphicFramePr/>
                <a:graphic xmlns:a="http://schemas.openxmlformats.org/drawingml/2006/main">
                  <a:graphicData uri="http://schemas.microsoft.com/office/word/2010/wordprocessingShape">
                    <wps:wsp>
                      <wps:cNvSpPr/>
                      <wps:spPr>
                        <a:xfrm>
                          <a:off x="0" y="0"/>
                          <a:ext cx="728345" cy="299720"/>
                        </a:xfrm>
                        <a:prstGeom prst="wedgeRoundRectCallout">
                          <a:avLst>
                            <a:gd name="adj1" fmla="val -53200"/>
                            <a:gd name="adj2" fmla="val 124471"/>
                            <a:gd name="adj3" fmla="val 16667"/>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r>
                              <w:rPr>
                                <w:rFonts w:hint="eastAsia"/>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460pt;margin-top:156.5pt;height:23.6pt;width:57.35pt;z-index:251662336;v-text-anchor:middle;mso-width-relative:page;mso-height-relative:page;" fillcolor="#4F81BD [3204]" filled="t" stroked="f" coordsize="21600,21600" o:gfxdata="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FgAAAGRycy9QSwECFAAUAAAACACHTuJA&#10;phrGY9oAAAAMAQAADwAAAAAAAAABACAAAAA4AAAAZHJzL2Rvd25yZXYueG1sUEsBAhQAFAAAAAgA&#10;h07iQHytqz+4AgAAVAUAAA4AAAAAAAAAAQAgAAAAPwEAAGRycy9lMm9Eb2MueG1sUEsFBgAAAAAG&#10;AAYAWQEAAGkGAAAAAA==&#10;" adj="-691,37686,14400">
                <v:fill on="t" focussize="0,0"/>
                <v:stroke on="f" weight="2pt"/>
                <v:imagedata o:title=""/>
                <o:lock v:ext="edit" aspectratio="f"/>
                <v:textbox>
                  <w:txbxContent>
                    <w:p>
                      <w:pPr>
                        <w:jc w:val="center"/>
                      </w:pPr>
                      <w:r>
                        <w:rPr>
                          <w:rFonts w:hint="eastAsia"/>
                        </w:rPr>
                        <w:t>本项目</w:t>
                      </w:r>
                    </w:p>
                  </w:txbxContent>
                </v:textbox>
              </v:shape>
            </w:pict>
          </mc:Fallback>
        </mc:AlternateContent>
      </w:r>
      <w:r>
        <w:rPr>
          <w:b/>
        </w:rPr>
        <w:drawing>
          <wp:inline distT="0" distB="0" distL="0" distR="0">
            <wp:extent cx="8122920" cy="5742305"/>
            <wp:effectExtent l="0" t="0" r="0" b="0"/>
            <wp:docPr id="15" name="图片 15" descr="D:\环评所需资料\各区域详图\鄂尔多斯市\伊金霍洛旗底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D:\环评所需资料\各区域详图\鄂尔多斯市\伊金霍洛旗底图.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8128862" cy="5746371"/>
                    </a:xfrm>
                    <a:prstGeom prst="rect">
                      <a:avLst/>
                    </a:prstGeom>
                    <a:noFill/>
                    <a:ln>
                      <a:noFill/>
                    </a:ln>
                  </pic:spPr>
                </pic:pic>
              </a:graphicData>
            </a:graphic>
          </wp:inline>
        </w:drawing>
      </w:r>
    </w:p>
    <w:p>
      <w:pPr>
        <w:pStyle w:val="17"/>
        <w:adjustRightInd w:val="0"/>
        <w:snapToGrid w:val="0"/>
        <w:spacing w:before="0" w:beforeAutospacing="0" w:after="0" w:afterAutospacing="0"/>
        <w:jc w:val="center"/>
        <w:outlineLvl w:val="0"/>
        <w:rPr>
          <w:rFonts w:hint="eastAsia" w:ascii="黑体" w:hAnsi="黑体" w:eastAsia="黑体"/>
          <w:snapToGrid w:val="0"/>
          <w:szCs w:val="32"/>
        </w:rPr>
      </w:pPr>
      <w:r>
        <w:rPr>
          <w:rFonts w:hint="eastAsia" w:ascii="黑体" w:hAnsi="黑体" w:eastAsia="黑体"/>
          <w:snapToGrid w:val="0"/>
          <w:szCs w:val="32"/>
        </w:rPr>
        <w:t>附图1   项目地理位置示意图</w:t>
      </w:r>
    </w:p>
    <w:p>
      <w:pPr>
        <w:pStyle w:val="17"/>
        <w:adjustRightInd w:val="0"/>
        <w:snapToGrid w:val="0"/>
        <w:spacing w:before="0" w:beforeAutospacing="0" w:after="0" w:afterAutospacing="0"/>
        <w:outlineLvl w:val="0"/>
        <w:rPr>
          <w:rFonts w:hint="eastAsia"/>
        </w:rPr>
        <w:sectPr>
          <w:pgSz w:w="16838" w:h="11906" w:orient="landscape"/>
          <w:pgMar w:top="720" w:right="720" w:bottom="720" w:left="720" w:header="851" w:footer="851" w:gutter="0"/>
          <w:cols w:space="720" w:num="1"/>
          <w:docGrid w:linePitch="312" w:charSpace="0"/>
        </w:sectPr>
      </w:pPr>
    </w:p>
    <w:p>
      <w:pPr>
        <w:jc w:val="center"/>
      </w:pPr>
      <w:r>
        <w:rPr>
          <w:rFonts w:eastAsia="Times New Roman"/>
          <w:kern w:val="0"/>
          <w:sz w:val="0"/>
          <w:szCs w:val="0"/>
          <w:u w:color="000000"/>
        </w:rPr>
        <w:drawing>
          <wp:anchor distT="0" distB="0" distL="114300" distR="114300" simplePos="0" relativeHeight="251659264" behindDoc="0" locked="0" layoutInCell="1" allowOverlap="1">
            <wp:simplePos x="0" y="0"/>
            <wp:positionH relativeFrom="column">
              <wp:posOffset>5895975</wp:posOffset>
            </wp:positionH>
            <wp:positionV relativeFrom="paragraph">
              <wp:posOffset>-183515</wp:posOffset>
            </wp:positionV>
            <wp:extent cx="307340" cy="690245"/>
            <wp:effectExtent l="190500" t="0" r="168910" b="0"/>
            <wp:wrapNone/>
            <wp:docPr id="44" name="图片 44" descr="指北针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指北针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rot="16200000">
                      <a:off x="0" y="0"/>
                      <a:ext cx="307340" cy="690245"/>
                    </a:xfrm>
                    <a:prstGeom prst="rect">
                      <a:avLst/>
                    </a:prstGeom>
                    <a:noFill/>
                    <a:ln>
                      <a:noFill/>
                    </a:ln>
                  </pic:spPr>
                </pic:pic>
              </a:graphicData>
            </a:graphic>
          </wp:anchor>
        </w:drawing>
      </w:r>
      <w:r>
        <w:rPr>
          <w:rFonts w:eastAsia="Times New Roman"/>
          <w:kern w:val="0"/>
          <w:sz w:val="0"/>
          <w:szCs w:val="0"/>
          <w:u w:color="000000"/>
        </w:rPr>
        <mc:AlternateContent>
          <mc:Choice Requires="wps">
            <w:drawing>
              <wp:anchor distT="0" distB="0" distL="114300" distR="114300" simplePos="0" relativeHeight="251680768" behindDoc="0" locked="0" layoutInCell="1" allowOverlap="1">
                <wp:simplePos x="0" y="0"/>
                <wp:positionH relativeFrom="column">
                  <wp:posOffset>4686300</wp:posOffset>
                </wp:positionH>
                <wp:positionV relativeFrom="paragraph">
                  <wp:posOffset>1595755</wp:posOffset>
                </wp:positionV>
                <wp:extent cx="252730" cy="200025"/>
                <wp:effectExtent l="0" t="0" r="33020" b="28575"/>
                <wp:wrapNone/>
                <wp:docPr id="66" name="直接连接符 66"/>
                <wp:cNvGraphicFramePr/>
                <a:graphic xmlns:a="http://schemas.openxmlformats.org/drawingml/2006/main">
                  <a:graphicData uri="http://schemas.microsoft.com/office/word/2010/wordprocessingShape">
                    <wps:wsp>
                      <wps:cNvCnPr/>
                      <wps:spPr>
                        <a:xfrm flipV="1">
                          <a:off x="0" y="0"/>
                          <a:ext cx="252730" cy="200025"/>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369pt;margin-top:125.65pt;height:15.75pt;width:19.9pt;z-index:251680768;mso-width-relative:page;mso-height-relative:page;" filled="f" stroked="t" coordsize="21600,21600" o:gfxdata="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FgAAAGRycy9QSwECFAAUAAAACACHTuJAxPKYUdsAAAALAQAADwAAAAAA&#10;AAABACAAAAA4AAAAZHJzL2Rvd25yZXYueG1sUEsBAhQAFAAAAAgAh07iQPJhgQb6AQAA4wMAAA4A&#10;AAAAAAAAAQAgAAAAQAEAAGRycy9lMm9Eb2MueG1sUEsFBgAAAAAGAAYAWQEAAKwFAAAAAA==&#10;">
                <v:fill on="f" focussize="0,0"/>
                <v:stroke weight="0.5pt" color="#000000 [3200]" joinstyle="round"/>
                <v:imagedata o:title=""/>
                <o:lock v:ext="edit" aspectratio="f"/>
              </v:line>
            </w:pict>
          </mc:Fallback>
        </mc:AlternateContent>
      </w:r>
      <w:r>
        <w:rPr>
          <w:rFonts w:eastAsia="Times New Roman"/>
          <w:kern w:val="0"/>
          <w:sz w:val="0"/>
          <w:szCs w:val="0"/>
          <w:u w:color="000000"/>
        </w:rPr>
        <mc:AlternateContent>
          <mc:Choice Requires="wps">
            <w:drawing>
              <wp:anchor distT="0" distB="0" distL="114300" distR="114300" simplePos="0" relativeHeight="251679744" behindDoc="0" locked="0" layoutInCell="1" allowOverlap="1">
                <wp:simplePos x="0" y="0"/>
                <wp:positionH relativeFrom="column">
                  <wp:posOffset>4895850</wp:posOffset>
                </wp:positionH>
                <wp:positionV relativeFrom="paragraph">
                  <wp:posOffset>1400175</wp:posOffset>
                </wp:positionV>
                <wp:extent cx="647700" cy="266700"/>
                <wp:effectExtent l="0" t="0" r="0" b="0"/>
                <wp:wrapNone/>
                <wp:docPr id="65" name="矩形 65"/>
                <wp:cNvGraphicFramePr/>
                <a:graphic xmlns:a="http://schemas.openxmlformats.org/drawingml/2006/main">
                  <a:graphicData uri="http://schemas.microsoft.com/office/word/2010/wordprocessingShape">
                    <wps:wsp>
                      <wps:cNvSpPr/>
                      <wps:spPr>
                        <a:xfrm>
                          <a:off x="0" y="0"/>
                          <a:ext cx="647700" cy="266700"/>
                        </a:xfrm>
                        <a:prstGeom prst="rect">
                          <a:avLst/>
                        </a:prstGeom>
                        <a:noFill/>
                        <a:ln w="19050">
                          <a:noFill/>
                        </a:ln>
                      </wps:spPr>
                      <wps:style>
                        <a:lnRef idx="2">
                          <a:schemeClr val="dk1"/>
                        </a:lnRef>
                        <a:fillRef idx="1">
                          <a:schemeClr val="lt1"/>
                        </a:fillRef>
                        <a:effectRef idx="0">
                          <a:schemeClr val="dk1"/>
                        </a:effectRef>
                        <a:fontRef idx="minor">
                          <a:schemeClr val="dk1"/>
                        </a:fontRef>
                      </wps:style>
                      <wps:txbx>
                        <w:txbxContent>
                          <w:p>
                            <w:pPr>
                              <w:jc w:val="center"/>
                              <w:rPr>
                                <w:sz w:val="21"/>
                                <w:szCs w:val="21"/>
                              </w:rPr>
                            </w:pPr>
                            <w:r>
                              <w:rPr>
                                <w:rFonts w:hint="eastAsia"/>
                                <w:sz w:val="21"/>
                                <w:szCs w:val="21"/>
                              </w:rPr>
                              <w:t>破碎机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85.5pt;margin-top:110.25pt;height:21pt;width:51pt;z-index:251679744;v-text-anchor:middle;mso-width-relative:page;mso-height-relative:page;" filled="f" stroked="f" coordsize="21600,21600" o:gfxdata="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FgAAAGRycy9QSwEC&#10;FAAUAAAACACHTuJA9i99MdwAAAALAQAADwAAAAAAAAABACAAAAA4AAAAZHJzL2Rvd25yZXYueG1s&#10;UEsBAhQAFAAAAAgAh07iQC6m3h9QAgAAlwQAAA4AAAAAAAAAAQAgAAAAQQEAAGRycy9lMm9Eb2Mu&#10;eG1sUEsFBgAAAAAGAAYAWQEAAAMGAAAAAA==&#10;">
                <v:fill on="f" focussize="0,0"/>
                <v:stroke on="f" weight="1.5pt"/>
                <v:imagedata o:title=""/>
                <o:lock v:ext="edit" aspectratio="f"/>
                <v:textbox>
                  <w:txbxContent>
                    <w:p>
                      <w:pPr>
                        <w:jc w:val="center"/>
                        <w:rPr>
                          <w:sz w:val="21"/>
                          <w:szCs w:val="21"/>
                        </w:rPr>
                      </w:pPr>
                      <w:r>
                        <w:rPr>
                          <w:rFonts w:hint="eastAsia"/>
                          <w:sz w:val="21"/>
                          <w:szCs w:val="21"/>
                        </w:rPr>
                        <w:t>破碎机</w:t>
                      </w:r>
                    </w:p>
                  </w:txbxContent>
                </v:textbox>
              </v:rect>
            </w:pict>
          </mc:Fallback>
        </mc:AlternateContent>
      </w:r>
      <w:r>
        <w:rPr>
          <w:rFonts w:eastAsia="Times New Roman"/>
          <w:kern w:val="0"/>
          <w:sz w:val="0"/>
          <w:szCs w:val="0"/>
          <w:u w:color="000000"/>
        </w:rPr>
        <mc:AlternateContent>
          <mc:Choice Requires="wps">
            <w:drawing>
              <wp:anchor distT="0" distB="0" distL="114300" distR="114300" simplePos="0" relativeHeight="251678720" behindDoc="0" locked="0" layoutInCell="1" allowOverlap="1">
                <wp:simplePos x="0" y="0"/>
                <wp:positionH relativeFrom="column">
                  <wp:posOffset>4495800</wp:posOffset>
                </wp:positionH>
                <wp:positionV relativeFrom="paragraph">
                  <wp:posOffset>1735455</wp:posOffset>
                </wp:positionV>
                <wp:extent cx="180975" cy="180975"/>
                <wp:effectExtent l="57150" t="57150" r="9525" b="47625"/>
                <wp:wrapNone/>
                <wp:docPr id="64" name="流程图: 内部贮存 64"/>
                <wp:cNvGraphicFramePr/>
                <a:graphic xmlns:a="http://schemas.openxmlformats.org/drawingml/2006/main">
                  <a:graphicData uri="http://schemas.microsoft.com/office/word/2010/wordprocessingShape">
                    <wps:wsp>
                      <wps:cNvSpPr/>
                      <wps:spPr>
                        <a:xfrm rot="19875617">
                          <a:off x="0" y="0"/>
                          <a:ext cx="180975" cy="180975"/>
                        </a:xfrm>
                        <a:prstGeom prst="flowChartInternalStorage">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13" type="#_x0000_t113" style="position:absolute;left:0pt;margin-left:354pt;margin-top:136.65pt;height:14.25pt;width:14.25pt;rotation:-1883486f;z-index:251678720;v-text-anchor:middle;mso-width-relative:page;mso-height-relative:page;" filled="f" stroked="t" coordsize="21600,21600" o:gfxdata="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WAAAAZHJzL1BL&#10;AQIUABQAAAAIAIdO4kB2btGg1wAAAAsBAAAPAAAAAAAAAAEAIAAAADgAAABkcnMvZG93bnJldi54&#10;bWxQSwECFAAUAAAACACHTuJA69WTxJACAADpBAAADgAAAAAAAAABACAAAAA8AQAAZHJzL2Uyb0Rv&#10;Yy54bWxQSwUGAAAAAAYABgBZAQAAPgYAAAAA&#10;">
                <v:fill on="f" focussize="0,0"/>
                <v:stroke weight="2pt" color="#000000 [3200]" joinstyle="round"/>
                <v:imagedata o:title=""/>
                <o:lock v:ext="edit" aspectratio="f"/>
              </v:shape>
            </w:pict>
          </mc:Fallback>
        </mc:AlternateContent>
      </w:r>
      <w:r>
        <w:rPr>
          <w:rFonts w:eastAsia="Times New Roman"/>
          <w:kern w:val="0"/>
          <w:sz w:val="0"/>
          <w:szCs w:val="0"/>
          <w:u w:color="000000"/>
        </w:rPr>
        <mc:AlternateContent>
          <mc:Choice Requires="wps">
            <w:drawing>
              <wp:anchor distT="0" distB="0" distL="114300" distR="114300" simplePos="0" relativeHeight="251677696" behindDoc="0" locked="0" layoutInCell="1" allowOverlap="1">
                <wp:simplePos x="0" y="0"/>
                <wp:positionH relativeFrom="column">
                  <wp:posOffset>4281805</wp:posOffset>
                </wp:positionH>
                <wp:positionV relativeFrom="paragraph">
                  <wp:posOffset>1852295</wp:posOffset>
                </wp:positionV>
                <wp:extent cx="180975" cy="180975"/>
                <wp:effectExtent l="57150" t="57150" r="9525" b="47625"/>
                <wp:wrapNone/>
                <wp:docPr id="63" name="流程图: 内部贮存 63"/>
                <wp:cNvGraphicFramePr/>
                <a:graphic xmlns:a="http://schemas.openxmlformats.org/drawingml/2006/main">
                  <a:graphicData uri="http://schemas.microsoft.com/office/word/2010/wordprocessingShape">
                    <wps:wsp>
                      <wps:cNvSpPr/>
                      <wps:spPr>
                        <a:xfrm rot="19875617">
                          <a:off x="0" y="0"/>
                          <a:ext cx="180975" cy="180975"/>
                        </a:xfrm>
                        <a:prstGeom prst="flowChartInternalStorage">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13" type="#_x0000_t113" style="position:absolute;left:0pt;margin-left:337.15pt;margin-top:145.85pt;height:14.25pt;width:14.25pt;rotation:-1883486f;z-index:251677696;v-text-anchor:middle;mso-width-relative:page;mso-height-relative:page;" filled="f" stroked="t" coordsize="21600,21600" o:gfxdata="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BYAAABkcnMvUEsB&#10;AhQAFAAAAAgAh07iQLpTYrLWAAAACwEAAA8AAAAAAAAAAQAgAAAAOAAAAGRycy9kb3ducmV2Lnht&#10;bFBLAQIUABQAAAAIAIdO4kAj2IHnkAIAAOkEAAAOAAAAAAAAAAEAIAAAADsBAABkcnMvZTJvRG9j&#10;LnhtbFBLBQYAAAAABgAGAFkBAAA9BgAAAAA=&#10;">
                <v:fill on="f" focussize="0,0"/>
                <v:stroke weight="2pt" color="#000000 [3200]" joinstyle="round"/>
                <v:imagedata o:title=""/>
                <o:lock v:ext="edit" aspectratio="f"/>
              </v:shape>
            </w:pict>
          </mc:Fallback>
        </mc:AlternateContent>
      </w:r>
      <w:r>
        <w:rPr>
          <w:rFonts w:eastAsia="Times New Roman"/>
          <w:kern w:val="0"/>
          <w:sz w:val="0"/>
          <w:szCs w:val="0"/>
          <w:u w:color="000000"/>
        </w:rPr>
        <mc:AlternateContent>
          <mc:Choice Requires="wps">
            <w:drawing>
              <wp:anchor distT="0" distB="0" distL="114300" distR="114300" simplePos="0" relativeHeight="251676672" behindDoc="0" locked="0" layoutInCell="1" allowOverlap="1">
                <wp:simplePos x="0" y="0"/>
                <wp:positionH relativeFrom="column">
                  <wp:posOffset>4062095</wp:posOffset>
                </wp:positionH>
                <wp:positionV relativeFrom="paragraph">
                  <wp:posOffset>1981200</wp:posOffset>
                </wp:positionV>
                <wp:extent cx="180975" cy="180975"/>
                <wp:effectExtent l="57150" t="57150" r="9525" b="47625"/>
                <wp:wrapNone/>
                <wp:docPr id="62" name="流程图: 内部贮存 62"/>
                <wp:cNvGraphicFramePr/>
                <a:graphic xmlns:a="http://schemas.openxmlformats.org/drawingml/2006/main">
                  <a:graphicData uri="http://schemas.microsoft.com/office/word/2010/wordprocessingShape">
                    <wps:wsp>
                      <wps:cNvSpPr/>
                      <wps:spPr>
                        <a:xfrm rot="19875617">
                          <a:off x="0" y="0"/>
                          <a:ext cx="180975" cy="180975"/>
                        </a:xfrm>
                        <a:prstGeom prst="flowChartInternalStorage">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13" type="#_x0000_t113" style="position:absolute;left:0pt;margin-left:319.85pt;margin-top:156pt;height:14.25pt;width:14.25pt;rotation:-1883486f;z-index:251676672;v-text-anchor:middle;mso-width-relative:page;mso-height-relative:page;" filled="f" stroked="t" coordsize="21600,21600" o:gfxdata="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BYAAABkcnMvUEsB&#10;AhQAFAAAAAgAh07iQP0awBjWAAAACwEAAA8AAAAAAAAAAQAgAAAAOAAAAGRycy9kb3ducmV2Lnht&#10;bFBLAQIUABQAAAAIAIdO4kC72ofqkAIAAOkEAAAOAAAAAAAAAAEAIAAAADsBAABkcnMvZTJvRG9j&#10;LnhtbFBLBQYAAAAABgAGAFkBAAA9BgAAAAA=&#10;">
                <v:fill on="f" focussize="0,0"/>
                <v:stroke weight="2pt" color="#000000 [3200]" joinstyle="round"/>
                <v:imagedata o:title=""/>
                <o:lock v:ext="edit" aspectratio="f"/>
              </v:shape>
            </w:pict>
          </mc:Fallback>
        </mc:AlternateContent>
      </w:r>
      <w:r>
        <w:rPr>
          <w:rFonts w:eastAsia="Times New Roman"/>
          <w:kern w:val="0"/>
          <w:sz w:val="0"/>
          <w:szCs w:val="0"/>
          <w:u w:color="000000"/>
        </w:rPr>
        <mc:AlternateContent>
          <mc:Choice Requires="wps">
            <w:drawing>
              <wp:anchor distT="0" distB="0" distL="114300" distR="114300" simplePos="0" relativeHeight="251670528" behindDoc="0" locked="0" layoutInCell="1" allowOverlap="1">
                <wp:simplePos x="0" y="0"/>
                <wp:positionH relativeFrom="column">
                  <wp:posOffset>2637155</wp:posOffset>
                </wp:positionH>
                <wp:positionV relativeFrom="paragraph">
                  <wp:posOffset>2699385</wp:posOffset>
                </wp:positionV>
                <wp:extent cx="647700" cy="266700"/>
                <wp:effectExtent l="0" t="0" r="0" b="0"/>
                <wp:wrapNone/>
                <wp:docPr id="61" name="矩形 61"/>
                <wp:cNvGraphicFramePr/>
                <a:graphic xmlns:a="http://schemas.openxmlformats.org/drawingml/2006/main">
                  <a:graphicData uri="http://schemas.microsoft.com/office/word/2010/wordprocessingShape">
                    <wps:wsp>
                      <wps:cNvSpPr/>
                      <wps:spPr>
                        <a:xfrm>
                          <a:off x="0" y="0"/>
                          <a:ext cx="647700" cy="266700"/>
                        </a:xfrm>
                        <a:prstGeom prst="rect">
                          <a:avLst/>
                        </a:prstGeom>
                        <a:noFill/>
                        <a:ln w="19050">
                          <a:noFill/>
                        </a:ln>
                      </wps:spPr>
                      <wps:style>
                        <a:lnRef idx="2">
                          <a:schemeClr val="dk1"/>
                        </a:lnRef>
                        <a:fillRef idx="1">
                          <a:schemeClr val="lt1"/>
                        </a:fillRef>
                        <a:effectRef idx="0">
                          <a:schemeClr val="dk1"/>
                        </a:effectRef>
                        <a:fontRef idx="minor">
                          <a:schemeClr val="dk1"/>
                        </a:fontRef>
                      </wps:style>
                      <wps:txbx>
                        <w:txbxContent>
                          <w:p>
                            <w:pPr>
                              <w:jc w:val="center"/>
                              <w:rPr>
                                <w:sz w:val="21"/>
                                <w:szCs w:val="21"/>
                              </w:rPr>
                            </w:pPr>
                            <w:r>
                              <w:rPr>
                                <w:rFonts w:hint="eastAsia"/>
                                <w:sz w:val="21"/>
                                <w:szCs w:val="21"/>
                              </w:rPr>
                              <w:t>储水罐</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7.65pt;margin-top:212.55pt;height:21pt;width:51pt;z-index:251670528;v-text-anchor:middle;mso-width-relative:page;mso-height-relative:page;" filled="f" stroked="f" coordsize="21600,21600" o:gfxdata="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WAAAAZHJzL1BLAQIU&#10;ABQAAAAIAIdO4kCKJzvL3AAAAAsBAAAPAAAAAAAAAAEAIAAAADgAAABkcnMvZG93bnJldi54bWxQ&#10;SwECFAAUAAAACACHTuJAXsgDV08CAACXBAAADgAAAAAAAAABACAAAABBAQAAZHJzL2Uyb0RvYy54&#10;bWxQSwUGAAAAAAYABgBZAQAAAgYAAAAA&#10;">
                <v:fill on="f" focussize="0,0"/>
                <v:stroke on="f" weight="1.5pt"/>
                <v:imagedata o:title=""/>
                <o:lock v:ext="edit" aspectratio="f"/>
                <v:textbox>
                  <w:txbxContent>
                    <w:p>
                      <w:pPr>
                        <w:jc w:val="center"/>
                        <w:rPr>
                          <w:sz w:val="21"/>
                          <w:szCs w:val="21"/>
                        </w:rPr>
                      </w:pPr>
                      <w:r>
                        <w:rPr>
                          <w:rFonts w:hint="eastAsia"/>
                          <w:sz w:val="21"/>
                          <w:szCs w:val="21"/>
                        </w:rPr>
                        <w:t>储水罐</w:t>
                      </w:r>
                    </w:p>
                  </w:txbxContent>
                </v:textbox>
              </v:rect>
            </w:pict>
          </mc:Fallback>
        </mc:AlternateContent>
      </w:r>
      <w:r>
        <w:rPr>
          <w:rFonts w:eastAsia="Times New Roman"/>
          <w:kern w:val="0"/>
          <w:sz w:val="0"/>
          <w:szCs w:val="0"/>
          <w:u w:color="000000"/>
        </w:rPr>
        <mc:AlternateContent>
          <mc:Choice Requires="wps">
            <w:drawing>
              <wp:anchor distT="0" distB="0" distL="114300" distR="114300" simplePos="0" relativeHeight="251665408" behindDoc="0" locked="0" layoutInCell="1" allowOverlap="1">
                <wp:simplePos x="0" y="0"/>
                <wp:positionH relativeFrom="column">
                  <wp:posOffset>2384425</wp:posOffset>
                </wp:positionH>
                <wp:positionV relativeFrom="paragraph">
                  <wp:posOffset>2757170</wp:posOffset>
                </wp:positionV>
                <wp:extent cx="237490" cy="54610"/>
                <wp:effectExtent l="0" t="0" r="29210" b="21590"/>
                <wp:wrapNone/>
                <wp:docPr id="60" name="直接连接符 60"/>
                <wp:cNvGraphicFramePr/>
                <a:graphic xmlns:a="http://schemas.openxmlformats.org/drawingml/2006/main">
                  <a:graphicData uri="http://schemas.microsoft.com/office/word/2010/wordprocessingShape">
                    <wps:wsp>
                      <wps:cNvCnPr/>
                      <wps:spPr>
                        <a:xfrm>
                          <a:off x="0" y="0"/>
                          <a:ext cx="237490" cy="5461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87.75pt;margin-top:217.1pt;height:4.3pt;width:18.7pt;z-index:251665408;mso-width-relative:page;mso-height-relative:page;" filled="f" stroked="t" coordsize="21600,21600" o:gfxdata="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IX2HlzZAAAACwEAAA8AAAAAAAAAAQAgAAAA&#10;OAAAAGRycy9kb3ducmV2LnhtbFBLAQIUABQAAAAIAIdO4kAVSevh9AEAANgDAAAOAAAAAAAAAAEA&#10;IAAAAD4BAABkcnMvZTJvRG9jLnhtbFBLBQYAAAAABgAGAFkBAACkBQAAAAA=&#10;">
                <v:fill on="f" focussize="0,0"/>
                <v:stroke weight="0.5pt" color="#000000 [3200]" joinstyle="round"/>
                <v:imagedata o:title=""/>
                <o:lock v:ext="edit" aspectratio="f"/>
              </v:line>
            </w:pict>
          </mc:Fallback>
        </mc:AlternateContent>
      </w:r>
      <w:r>
        <w:rPr>
          <w:rFonts w:eastAsia="Times New Roman"/>
          <w:kern w:val="0"/>
          <w:sz w:val="0"/>
          <w:szCs w:val="0"/>
          <w:u w:color="000000"/>
        </w:rPr>
        <mc:AlternateContent>
          <mc:Choice Requires="wps">
            <w:drawing>
              <wp:anchor distT="0" distB="0" distL="114300" distR="114300" simplePos="0" relativeHeight="251660288" behindDoc="0" locked="0" layoutInCell="1" allowOverlap="1">
                <wp:simplePos x="0" y="0"/>
                <wp:positionH relativeFrom="column">
                  <wp:posOffset>2300605</wp:posOffset>
                </wp:positionH>
                <wp:positionV relativeFrom="paragraph">
                  <wp:posOffset>2679065</wp:posOffset>
                </wp:positionV>
                <wp:extent cx="168275" cy="168275"/>
                <wp:effectExtent l="5080" t="12065" r="7620" b="10160"/>
                <wp:wrapNone/>
                <wp:docPr id="59" name="流程图: 联系 119"/>
                <wp:cNvGraphicFramePr/>
                <a:graphic xmlns:a="http://schemas.openxmlformats.org/drawingml/2006/main">
                  <a:graphicData uri="http://schemas.microsoft.com/office/word/2010/wordprocessingShape">
                    <wps:wsp>
                      <wps:cNvSpPr>
                        <a:spLocks noChangeArrowheads="1"/>
                      </wps:cNvSpPr>
                      <wps:spPr bwMode="auto">
                        <a:xfrm>
                          <a:off x="0" y="0"/>
                          <a:ext cx="168275" cy="168275"/>
                        </a:xfrm>
                        <a:prstGeom prst="flowChartConnector">
                          <a:avLst/>
                        </a:prstGeom>
                        <a:solidFill>
                          <a:srgbClr val="CAEACE"/>
                        </a:solidFill>
                        <a:ln w="6350">
                          <a:solidFill>
                            <a:schemeClr val="dk1">
                              <a:lumMod val="100000"/>
                              <a:lumOff val="0"/>
                            </a:schemeClr>
                          </a:solidFill>
                          <a:round/>
                        </a:ln>
                      </wps:spPr>
                      <wps:bodyPr rot="0" vert="horz" wrap="square" lIns="91440" tIns="45720" rIns="91440" bIns="45720" anchor="ctr" anchorCtr="0" upright="1">
                        <a:noAutofit/>
                      </wps:bodyPr>
                    </wps:wsp>
                  </a:graphicData>
                </a:graphic>
              </wp:anchor>
            </w:drawing>
          </mc:Choice>
          <mc:Fallback>
            <w:pict>
              <v:shape id="流程图: 联系 119" o:spid="_x0000_s1026" o:spt="120" type="#_x0000_t120" style="position:absolute;left:0pt;margin-left:181.15pt;margin-top:210.95pt;height:13.25pt;width:13.25pt;z-index:251660288;v-text-anchor:middle;mso-width-relative:page;mso-height-relative:page;" fillcolor="#CAEACE" filled="t" stroked="t" coordsize="21600,21600" o:gfxdata="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BYAAABkcnMvUEsBAhQAFAAAAAgAh07iQNPryRvaAAAACwEAAA8AAAAAAAAAAQAgAAAA&#10;OAAAAGRycy9kb3ducmV2LnhtbFBLAQIUABQAAAAIAIdO4kDh13BbZQIAALUEAAAOAAAAAAAAAAEA&#10;IAAAAD8BAABkcnMvZTJvRG9jLnhtbFBLBQYAAAAABgAGAFkBAAAWBgAAAAA=&#10;">
                <v:fill on="t" focussize="0,0"/>
                <v:stroke weight="0.5pt" color="#000000 [3216]" joinstyle="round"/>
                <v:imagedata o:title=""/>
                <o:lock v:ext="edit" aspectratio="f"/>
              </v:shape>
            </w:pict>
          </mc:Fallback>
        </mc:AlternateContent>
      </w:r>
      <w:r>
        <w:rPr>
          <w:rFonts w:eastAsia="Times New Roman"/>
          <w:kern w:val="0"/>
          <w:sz w:val="0"/>
          <w:szCs w:val="0"/>
          <w:u w:color="000000"/>
        </w:rPr>
        <mc:AlternateContent>
          <mc:Choice Requires="wps">
            <w:drawing>
              <wp:anchor distT="0" distB="0" distL="114300" distR="114300" simplePos="0" relativeHeight="251663360" behindDoc="0" locked="0" layoutInCell="1" allowOverlap="1">
                <wp:simplePos x="0" y="0"/>
                <wp:positionH relativeFrom="column">
                  <wp:posOffset>1871980</wp:posOffset>
                </wp:positionH>
                <wp:positionV relativeFrom="paragraph">
                  <wp:posOffset>4666615</wp:posOffset>
                </wp:positionV>
                <wp:extent cx="1820545" cy="362585"/>
                <wp:effectExtent l="0" t="0" r="27305" b="18415"/>
                <wp:wrapNone/>
                <wp:docPr id="58" name="矩形 58"/>
                <wp:cNvGraphicFramePr/>
                <a:graphic xmlns:a="http://schemas.openxmlformats.org/drawingml/2006/main">
                  <a:graphicData uri="http://schemas.microsoft.com/office/word/2010/wordprocessingShape">
                    <wps:wsp>
                      <wps:cNvSpPr/>
                      <wps:spPr>
                        <a:xfrm>
                          <a:off x="0" y="0"/>
                          <a:ext cx="1820545" cy="362585"/>
                        </a:xfrm>
                        <a:prstGeom prst="rect">
                          <a:avLst/>
                        </a:prstGeom>
                        <a:noFill/>
                      </wps:spPr>
                      <wps:style>
                        <a:lnRef idx="2">
                          <a:schemeClr val="accent2"/>
                        </a:lnRef>
                        <a:fillRef idx="1">
                          <a:schemeClr val="lt1"/>
                        </a:fillRef>
                        <a:effectRef idx="0">
                          <a:schemeClr val="accent2"/>
                        </a:effectRef>
                        <a:fontRef idx="minor">
                          <a:schemeClr val="dk1"/>
                        </a:fontRef>
                      </wps:style>
                      <wps:txbx>
                        <w:txbxContent>
                          <w:p>
                            <w:pPr>
                              <w:jc w:val="center"/>
                            </w:pPr>
                            <w:r>
                              <w:rPr>
                                <w:rFonts w:hint="eastAsia"/>
                              </w:rPr>
                              <w:t>租用办公生活区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7.4pt;margin-top:367.45pt;height:28.55pt;width:143.35pt;z-index:251663360;v-text-anchor:middle;mso-width-relative:page;mso-height-relative:page;" filled="f" stroked="t" coordsize="21600,21600" o:gfxdata="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FgAAAGRycy9QSwECFAAUAAAACACHTuJArA2H3dcAAAALAQAADwAAAAAAAAABACAAAAA4&#10;AAAAZHJzL2Rvd25yZXYueG1sUEsBAhQAFAAAAAgAh07iQKf3L2ZnAgAAwQQAAA4AAAAAAAAAAQAg&#10;AAAAPAEAAGRycy9lMm9Eb2MueG1sUEsFBgAAAAAGAAYAWQEAABUGAAAAAA==&#10;">
                <v:fill on="f" focussize="0,0"/>
                <v:stroke weight="2pt" color="#C0504D [3205]" joinstyle="round"/>
                <v:imagedata o:title=""/>
                <o:lock v:ext="edit" aspectratio="f"/>
                <v:textbox>
                  <w:txbxContent>
                    <w:p>
                      <w:pPr>
                        <w:jc w:val="center"/>
                      </w:pPr>
                      <w:r>
                        <w:rPr>
                          <w:rFonts w:hint="eastAsia"/>
                        </w:rPr>
                        <w:t>租用办公生活区</w:t>
                      </w:r>
                    </w:p>
                  </w:txbxContent>
                </v:textbox>
              </v:rect>
            </w:pict>
          </mc:Fallback>
        </mc:AlternateContent>
      </w:r>
      <w:r>
        <w:drawing>
          <wp:inline distT="0" distB="0" distL="0" distR="0">
            <wp:extent cx="6184900" cy="5293360"/>
            <wp:effectExtent l="0" t="0" r="6350" b="254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51" cstate="print"/>
                    <a:stretch>
                      <a:fillRect/>
                    </a:stretch>
                  </pic:blipFill>
                  <pic:spPr>
                    <a:xfrm>
                      <a:off x="0" y="0"/>
                      <a:ext cx="6188816" cy="5297026"/>
                    </a:xfrm>
                    <a:prstGeom prst="rect">
                      <a:avLst/>
                    </a:prstGeom>
                  </pic:spPr>
                </pic:pic>
              </a:graphicData>
            </a:graphic>
          </wp:inline>
        </w:drawing>
      </w:r>
      <w:r>
        <w:t xml:space="preserve"> </w:t>
      </w:r>
    </w:p>
    <w:p>
      <w:pPr>
        <w:pStyle w:val="17"/>
        <w:adjustRightInd w:val="0"/>
        <w:snapToGrid w:val="0"/>
        <w:spacing w:before="0" w:beforeAutospacing="0" w:after="0" w:afterAutospacing="0"/>
        <w:jc w:val="center"/>
        <w:outlineLvl w:val="0"/>
        <w:rPr>
          <w:rFonts w:hint="eastAsia"/>
        </w:rPr>
        <w:sectPr>
          <w:pgSz w:w="11906" w:h="16838"/>
          <w:pgMar w:top="720" w:right="720" w:bottom="720" w:left="720" w:header="851" w:footer="851" w:gutter="0"/>
          <w:cols w:space="720" w:num="1"/>
          <w:docGrid w:linePitch="326" w:charSpace="0"/>
        </w:sectPr>
      </w:pPr>
      <w:r>
        <w:rPr>
          <w:rFonts w:hint="eastAsia"/>
          <w:b/>
        </w:rPr>
        <w:t>附图2   本项目总平面布置图</w:t>
      </w:r>
    </w:p>
    <w:p>
      <w:r>
        <mc:AlternateContent>
          <mc:Choice Requires="wps">
            <w:drawing>
              <wp:anchor distT="0" distB="0" distL="114300" distR="114300" simplePos="0" relativeHeight="251672576" behindDoc="0" locked="0" layoutInCell="1" allowOverlap="1">
                <wp:simplePos x="0" y="0"/>
                <wp:positionH relativeFrom="column">
                  <wp:posOffset>-20955</wp:posOffset>
                </wp:positionH>
                <wp:positionV relativeFrom="paragraph">
                  <wp:posOffset>4334510</wp:posOffset>
                </wp:positionV>
                <wp:extent cx="1761490" cy="1086485"/>
                <wp:effectExtent l="0" t="0" r="10160" b="18415"/>
                <wp:wrapNone/>
                <wp:docPr id="57" name="矩形 57"/>
                <wp:cNvGraphicFramePr/>
                <a:graphic xmlns:a="http://schemas.openxmlformats.org/drawingml/2006/main">
                  <a:graphicData uri="http://schemas.microsoft.com/office/word/2010/wordprocessingShape">
                    <wps:wsp>
                      <wps:cNvSpPr>
                        <a:spLocks noChangeArrowheads="1"/>
                      </wps:cNvSpPr>
                      <wps:spPr bwMode="auto">
                        <a:xfrm>
                          <a:off x="0" y="0"/>
                          <a:ext cx="1761490" cy="1086485"/>
                        </a:xfrm>
                        <a:prstGeom prst="rect">
                          <a:avLst/>
                        </a:prstGeom>
                        <a:solidFill>
                          <a:srgbClr val="FFFFFF"/>
                        </a:solidFill>
                        <a:ln w="9525">
                          <a:solidFill>
                            <a:srgbClr val="000000"/>
                          </a:solidFill>
                          <a:miter lim="800000"/>
                        </a:ln>
                      </wps:spPr>
                      <wps:txbx>
                        <w:txbxContent>
                          <w:p>
                            <w:r>
                              <w:t>图例</w:t>
                            </w:r>
                            <w:r>
                              <w:rPr>
                                <w:rFonts w:hint="eastAsia"/>
                              </w:rPr>
                              <w:t>：</w:t>
                            </w:r>
                          </w:p>
                          <w:p>
                            <w:r>
                              <w:rPr>
                                <w:rFonts w:hint="eastAsia"/>
                              </w:rPr>
                              <w:t>本项目</w:t>
                            </w:r>
                          </w:p>
                          <w:p>
                            <w:r>
                              <w:rPr>
                                <w:rFonts w:hint="eastAsia"/>
                              </w:rPr>
                              <w:t>噪声评价范围</w:t>
                            </w:r>
                          </w:p>
                          <w:p>
                            <w:r>
                              <w:rPr>
                                <w:rFonts w:hint="eastAsia"/>
                              </w:rPr>
                              <w:t>大气评价范围</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65pt;margin-top:341.3pt;height:85.55pt;width:138.7pt;z-index:251672576;mso-width-relative:page;mso-height-relative:page;" fillcolor="#FFFFFF" filled="t" stroked="t" coordsize="21600,21600" o:gfxdata="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WAAAAZHJzL1BLAQIUABQAAAAIAIdO4kCNJZ9y2QAAAAoBAAAP&#10;AAAAAAAAAAEAIAAAADgAAABkcnMvZG93bnJldi54bWxQSwECFAAUAAAACACHTuJAC67bfjoCAAB9&#10;BAAADgAAAAAAAAABACAAAAA+AQAAZHJzL2Uyb0RvYy54bWxQSwUGAAAAAAYABgBZAQAA6gUAAAAA&#10;">
                <v:fill on="t" focussize="0,0"/>
                <v:stroke color="#000000" miterlimit="8" joinstyle="miter"/>
                <v:imagedata o:title=""/>
                <o:lock v:ext="edit" aspectratio="f"/>
                <v:textbox>
                  <w:txbxContent>
                    <w:p>
                      <w:r>
                        <w:t>图例</w:t>
                      </w:r>
                      <w:r>
                        <w:rPr>
                          <w:rFonts w:hint="eastAsia"/>
                        </w:rPr>
                        <w:t>：</w:t>
                      </w:r>
                    </w:p>
                    <w:p>
                      <w:r>
                        <w:rPr>
                          <w:rFonts w:hint="eastAsia"/>
                        </w:rPr>
                        <w:t>本项目</w:t>
                      </w:r>
                    </w:p>
                    <w:p>
                      <w:r>
                        <w:rPr>
                          <w:rFonts w:hint="eastAsia"/>
                        </w:rPr>
                        <w:t>噪声评价范围</w:t>
                      </w:r>
                    </w:p>
                    <w:p>
                      <w:r>
                        <w:rPr>
                          <w:rFonts w:hint="eastAsia"/>
                        </w:rPr>
                        <w:t>大气评价范围</w:t>
                      </w:r>
                    </w:p>
                  </w:txbxContent>
                </v:textbox>
              </v:rect>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1350645</wp:posOffset>
                </wp:positionH>
                <wp:positionV relativeFrom="paragraph">
                  <wp:posOffset>4714875</wp:posOffset>
                </wp:positionV>
                <wp:extent cx="323215" cy="0"/>
                <wp:effectExtent l="0" t="0" r="19685" b="19050"/>
                <wp:wrapNone/>
                <wp:docPr id="56" name="直接箭头连接符 56"/>
                <wp:cNvGraphicFramePr/>
                <a:graphic xmlns:a="http://schemas.openxmlformats.org/drawingml/2006/main">
                  <a:graphicData uri="http://schemas.microsoft.com/office/word/2010/wordprocessingShape">
                    <wps:wsp>
                      <wps:cNvCnPr>
                        <a:cxnSpLocks noChangeShapeType="1"/>
                      </wps:cNvCnPr>
                      <wps:spPr bwMode="auto">
                        <a:xfrm>
                          <a:off x="0" y="0"/>
                          <a:ext cx="323215" cy="0"/>
                        </a:xfrm>
                        <a:prstGeom prst="straightConnector1">
                          <a:avLst/>
                        </a:prstGeom>
                        <a:noFill/>
                        <a:ln w="25400">
                          <a:solidFill>
                            <a:srgbClr val="FF0000"/>
                          </a:solidFill>
                          <a:round/>
                        </a:ln>
                        <a:effectLst/>
                      </wps:spPr>
                      <wps:bodyPr/>
                    </wps:wsp>
                  </a:graphicData>
                </a:graphic>
              </wp:anchor>
            </w:drawing>
          </mc:Choice>
          <mc:Fallback>
            <w:pict>
              <v:shape id="_x0000_s1026" o:spid="_x0000_s1026" o:spt="32" type="#_x0000_t32" style="position:absolute;left:0pt;margin-left:106.35pt;margin-top:371.25pt;height:0pt;width:25.45pt;z-index:251673600;mso-width-relative:page;mso-height-relative:page;" filled="f" stroked="t" coordsize="21600,21600" o:gfxdata="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FgAAAGRycy9QSwECFAAUAAAACACHTuJAIIQfF9gAAAALAQAADwAAAAAA&#10;AAABACAAAAA4AAAAZHJzL2Rvd25yZXYueG1sUEsBAhQAFAAAAAgAh07iQEKJCZ79AQAAzgMAAA4A&#10;AAAAAAAAAQAgAAAAPQEAAGRycy9lMm9Eb2MueG1sUEsFBgAAAAAGAAYAWQEAAKwFAAAAAA==&#10;">
                <v:fill on="f" focussize="0,0"/>
                <v:stroke weight="2pt" color="#FF0000" joinstyle="round"/>
                <v:imagedata o:title=""/>
                <o:lock v:ext="edit" aspectratio="f"/>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1350645</wp:posOffset>
                </wp:positionH>
                <wp:positionV relativeFrom="paragraph">
                  <wp:posOffset>4904740</wp:posOffset>
                </wp:positionV>
                <wp:extent cx="323215" cy="0"/>
                <wp:effectExtent l="0" t="0" r="19685" b="19050"/>
                <wp:wrapNone/>
                <wp:docPr id="55" name="直接箭头连接符 55"/>
                <wp:cNvGraphicFramePr/>
                <a:graphic xmlns:a="http://schemas.openxmlformats.org/drawingml/2006/main">
                  <a:graphicData uri="http://schemas.microsoft.com/office/word/2010/wordprocessingShape">
                    <wps:wsp>
                      <wps:cNvCnPr>
                        <a:cxnSpLocks noChangeShapeType="1"/>
                      </wps:cNvCnPr>
                      <wps:spPr bwMode="auto">
                        <a:xfrm>
                          <a:off x="0" y="0"/>
                          <a:ext cx="323215" cy="0"/>
                        </a:xfrm>
                        <a:prstGeom prst="straightConnector1">
                          <a:avLst/>
                        </a:prstGeom>
                        <a:noFill/>
                        <a:ln w="25400">
                          <a:solidFill>
                            <a:srgbClr val="00FF00"/>
                          </a:solidFill>
                          <a:round/>
                        </a:ln>
                      </wps:spPr>
                      <wps:bodyPr/>
                    </wps:wsp>
                  </a:graphicData>
                </a:graphic>
              </wp:anchor>
            </w:drawing>
          </mc:Choice>
          <mc:Fallback>
            <w:pict>
              <v:shape id="_x0000_s1026" o:spid="_x0000_s1026" o:spt="32" type="#_x0000_t32" style="position:absolute;left:0pt;margin-left:106.35pt;margin-top:386.2pt;height:0pt;width:25.45pt;z-index:251674624;mso-width-relative:page;mso-height-relative:page;" filled="f" stroked="t" coordsize="21600,21600" o:gfxdata="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WAAAAZHJzL1BLAQIUABQAAAAIAIdO4kBEPYni1wAAAAsBAAAPAAAAAAAAAAEAIAAA&#10;ADgAAABkcnMvZG93bnJldi54bWxQSwECFAAUAAAACACHTuJAgOly9/cBAADAAwAADgAAAAAAAAAB&#10;ACAAAAA8AQAAZHJzL2Uyb0RvYy54bWxQSwUGAAAAAAYABgBZAQAApQUAAAAA&#10;">
                <v:fill on="f" focussize="0,0"/>
                <v:stroke weight="2pt" color="#00FF00" joinstyle="round"/>
                <v:imagedata o:title=""/>
                <o:lock v:ext="edit" aspectratio="f"/>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1350645</wp:posOffset>
                </wp:positionH>
                <wp:positionV relativeFrom="paragraph">
                  <wp:posOffset>5106670</wp:posOffset>
                </wp:positionV>
                <wp:extent cx="314325" cy="0"/>
                <wp:effectExtent l="0" t="0" r="9525" b="19050"/>
                <wp:wrapNone/>
                <wp:docPr id="54" name="直接箭头连接符 54"/>
                <wp:cNvGraphicFramePr/>
                <a:graphic xmlns:a="http://schemas.openxmlformats.org/drawingml/2006/main">
                  <a:graphicData uri="http://schemas.microsoft.com/office/word/2010/wordprocessingShape">
                    <wps:wsp>
                      <wps:cNvCnPr>
                        <a:cxnSpLocks noChangeShapeType="1"/>
                      </wps:cNvCnPr>
                      <wps:spPr bwMode="auto">
                        <a:xfrm>
                          <a:off x="0" y="0"/>
                          <a:ext cx="314325" cy="0"/>
                        </a:xfrm>
                        <a:prstGeom prst="straightConnector1">
                          <a:avLst/>
                        </a:prstGeom>
                        <a:noFill/>
                        <a:ln w="25400">
                          <a:solidFill>
                            <a:srgbClr val="66FFFF"/>
                          </a:solidFill>
                          <a:round/>
                        </a:ln>
                      </wps:spPr>
                      <wps:bodyPr/>
                    </wps:wsp>
                  </a:graphicData>
                </a:graphic>
              </wp:anchor>
            </w:drawing>
          </mc:Choice>
          <mc:Fallback>
            <w:pict>
              <v:shape id="_x0000_s1026" o:spid="_x0000_s1026" o:spt="32" type="#_x0000_t32" style="position:absolute;left:0pt;margin-left:106.35pt;margin-top:402.1pt;height:0pt;width:24.75pt;z-index:251675648;mso-width-relative:page;mso-height-relative:page;" filled="f" stroked="t" coordsize="21600,21600" o:gfxdata="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WAAAAZHJzL1BLAQIUABQAAAAIAIdO4kAsX3xn1gAAAAsBAAAPAAAAAAAAAAEAIAAA&#10;ADgAAABkcnMvZG93bnJldi54bWxQSwECFAAUAAAACACHTuJAIt5y9/gBAADAAwAADgAAAAAAAAAB&#10;ACAAAAA7AQAAZHJzL2Uyb0RvYy54bWxQSwUGAAAAAAYABgBZAQAApQUAAAAA&#10;">
                <v:fill on="f" focussize="0,0"/>
                <v:stroke weight="2pt" color="#66FFFF" joinstyle="round"/>
                <v:imagedata o:title=""/>
                <o:lock v:ext="edit" aspectratio="f"/>
              </v:shape>
            </w:pict>
          </mc:Fallback>
        </mc:AlternateContent>
      </w:r>
      <w:r>
        <w:rPr>
          <w:rFonts w:eastAsia="Times New Roman"/>
          <w:kern w:val="0"/>
          <w:sz w:val="0"/>
          <w:szCs w:val="0"/>
          <w:u w:color="000000"/>
        </w:rPr>
        <mc:AlternateContent>
          <mc:Choice Requires="wps">
            <w:drawing>
              <wp:anchor distT="0" distB="0" distL="114300" distR="114300" simplePos="0" relativeHeight="251667456" behindDoc="0" locked="0" layoutInCell="1" allowOverlap="1">
                <wp:simplePos x="0" y="0"/>
                <wp:positionH relativeFrom="column">
                  <wp:posOffset>8759190</wp:posOffset>
                </wp:positionH>
                <wp:positionV relativeFrom="paragraph">
                  <wp:posOffset>5001895</wp:posOffset>
                </wp:positionV>
                <wp:extent cx="809625" cy="400685"/>
                <wp:effectExtent l="0" t="0" r="0" b="0"/>
                <wp:wrapNone/>
                <wp:docPr id="53" name="矩形 53"/>
                <wp:cNvGraphicFramePr/>
                <a:graphic xmlns:a="http://schemas.openxmlformats.org/drawingml/2006/main">
                  <a:graphicData uri="http://schemas.microsoft.com/office/word/2010/wordprocessingShape">
                    <wps:wsp>
                      <wps:cNvSpPr/>
                      <wps:spPr>
                        <a:xfrm>
                          <a:off x="0" y="0"/>
                          <a:ext cx="809625" cy="40068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b/>
                                <w:color w:val="FFFF00"/>
                              </w:rPr>
                            </w:pPr>
                            <w:r>
                              <w:rPr>
                                <w:rFonts w:hint="eastAsia"/>
                                <w:b/>
                                <w:color w:val="FFFF00"/>
                              </w:rPr>
                              <w:t>比例尺：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89.7pt;margin-top:393.85pt;height:31.55pt;width:63.75pt;z-index:251667456;v-text-anchor:middle;mso-width-relative:page;mso-height-relative:page;" filled="f" stroked="f" coordsize="21600,21600" o:gfxdata="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FgAAAGRycy9QSwEC&#10;FAAUAAAACACHTuJAyL8vztsAAAANAQAADwAAAAAAAAABACAAAAA4AAAAZHJzL2Rvd25yZXYueG1s&#10;UEsBAhQAFAAAAAgAh07iQL4fZv1RAgAAlwQAAA4AAAAAAAAAAQAgAAAAQAEAAGRycy9lMm9Eb2Mu&#10;eG1sUEsFBgAAAAAGAAYAWQEAAAMGAAAAAA==&#10;">
                <v:fill on="f" focussize="0,0"/>
                <v:stroke on="f" weight="2pt"/>
                <v:imagedata o:title=""/>
                <o:lock v:ext="edit" aspectratio="f"/>
                <v:textbox>
                  <w:txbxContent>
                    <w:p>
                      <w:pPr>
                        <w:jc w:val="center"/>
                        <w:rPr>
                          <w:b/>
                          <w:color w:val="FFFF00"/>
                        </w:rPr>
                      </w:pPr>
                      <w:r>
                        <w:rPr>
                          <w:rFonts w:hint="eastAsia"/>
                          <w:b/>
                          <w:color w:val="FFFF00"/>
                        </w:rPr>
                        <w:t>比例尺：</w:t>
                      </w:r>
                    </w:p>
                  </w:txbxContent>
                </v:textbox>
              </v:rect>
            </w:pict>
          </mc:Fallback>
        </mc:AlternateContent>
      </w:r>
      <w:r>
        <w:rPr>
          <w:rFonts w:eastAsia="Times New Roman"/>
          <w:kern w:val="0"/>
          <w:sz w:val="0"/>
          <w:szCs w:val="0"/>
          <w:u w:color="000000"/>
        </w:rPr>
        <w:drawing>
          <wp:anchor distT="0" distB="0" distL="114300" distR="114300" simplePos="0" relativeHeight="251670528" behindDoc="0" locked="0" layoutInCell="1" allowOverlap="1">
            <wp:simplePos x="0" y="0"/>
            <wp:positionH relativeFrom="column">
              <wp:posOffset>9293225</wp:posOffset>
            </wp:positionH>
            <wp:positionV relativeFrom="paragraph">
              <wp:posOffset>-3810</wp:posOffset>
            </wp:positionV>
            <wp:extent cx="524510" cy="1359535"/>
            <wp:effectExtent l="0" t="0" r="8890" b="0"/>
            <wp:wrapNone/>
            <wp:docPr id="26" name="图片 26" descr="指北针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指北针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524786" cy="1359673"/>
                    </a:xfrm>
                    <a:prstGeom prst="rect">
                      <a:avLst/>
                    </a:prstGeom>
                    <a:noFill/>
                    <a:ln>
                      <a:noFill/>
                    </a:ln>
                  </pic:spPr>
                </pic:pic>
              </a:graphicData>
            </a:graphic>
          </wp:anchor>
        </w:drawing>
      </w:r>
      <w:r>
        <w:drawing>
          <wp:inline distT="0" distB="0" distL="0" distR="0">
            <wp:extent cx="9820275" cy="5424805"/>
            <wp:effectExtent l="0" t="0" r="0" b="4445"/>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pic:cNvPicPr>
                  </pic:nvPicPr>
                  <pic:blipFill>
                    <a:blip r:embed="rId53" cstate="print"/>
                    <a:stretch>
                      <a:fillRect/>
                    </a:stretch>
                  </pic:blipFill>
                  <pic:spPr>
                    <a:xfrm>
                      <a:off x="0" y="0"/>
                      <a:ext cx="9840350" cy="5436109"/>
                    </a:xfrm>
                    <a:prstGeom prst="rect">
                      <a:avLst/>
                    </a:prstGeom>
                  </pic:spPr>
                </pic:pic>
              </a:graphicData>
            </a:graphic>
          </wp:inline>
        </w:drawing>
      </w:r>
    </w:p>
    <w:p>
      <w:pPr>
        <w:pStyle w:val="17"/>
        <w:adjustRightInd w:val="0"/>
        <w:snapToGrid w:val="0"/>
        <w:spacing w:before="0" w:beforeAutospacing="0" w:after="0" w:afterAutospacing="0"/>
        <w:jc w:val="center"/>
        <w:outlineLvl w:val="0"/>
        <w:rPr>
          <w:rFonts w:hint="eastAsia"/>
          <w:b/>
        </w:rPr>
      </w:pPr>
      <w:r>
        <w:rPr>
          <w:rFonts w:hint="eastAsia"/>
          <w:b/>
        </w:rPr>
        <w:t>附图3   项目评价范围及敏感保护目标图</w:t>
      </w:r>
    </w:p>
    <w:p>
      <w:pPr>
        <w:pStyle w:val="2"/>
        <w:ind w:firstLine="0"/>
      </w:pPr>
      <w:r>
        <w:rPr>
          <w:rFonts w:eastAsia="Times New Roman"/>
          <w:kern w:val="0"/>
          <w:sz w:val="0"/>
          <w:szCs w:val="0"/>
          <w:u w:color="000000"/>
        </w:rPr>
        <mc:AlternateContent>
          <mc:Choice Requires="wps">
            <w:drawing>
              <wp:anchor distT="0" distB="0" distL="114300" distR="114300" simplePos="0" relativeHeight="251664384" behindDoc="0" locked="0" layoutInCell="1" allowOverlap="1">
                <wp:simplePos x="0" y="0"/>
                <wp:positionH relativeFrom="column">
                  <wp:posOffset>13970</wp:posOffset>
                </wp:positionH>
                <wp:positionV relativeFrom="paragraph">
                  <wp:posOffset>5156835</wp:posOffset>
                </wp:positionV>
                <wp:extent cx="809625" cy="400685"/>
                <wp:effectExtent l="0" t="0" r="0" b="0"/>
                <wp:wrapNone/>
                <wp:docPr id="52" name="矩形 52"/>
                <wp:cNvGraphicFramePr/>
                <a:graphic xmlns:a="http://schemas.openxmlformats.org/drawingml/2006/main">
                  <a:graphicData uri="http://schemas.microsoft.com/office/word/2010/wordprocessingShape">
                    <wps:wsp>
                      <wps:cNvSpPr/>
                      <wps:spPr>
                        <a:xfrm>
                          <a:off x="0" y="0"/>
                          <a:ext cx="809625" cy="40068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color w:val="FFFF00"/>
                              </w:rPr>
                            </w:pPr>
                            <w:r>
                              <w:rPr>
                                <w:rFonts w:hint="eastAsia"/>
                                <w:color w:val="FFFF00"/>
                              </w:rPr>
                              <w:t>比例尺：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pt;margin-top:406.05pt;height:31.55pt;width:63.75pt;z-index:251664384;v-text-anchor:middle;mso-width-relative:page;mso-height-relative:page;" filled="f" stroked="f" coordsize="21600,21600" o:gfxdata="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FgAAAGRycy9QSwECFAAU&#10;AAAACACHTuJArVNwcNgAAAAJAQAADwAAAAAAAAABACAAAAA4AAAAZHJzL2Rvd25yZXYueG1sUEsB&#10;AhQAFAAAAAgAh07iQCJEUe9RAgAAlwQAAA4AAAAAAAAAAQAgAAAAPQEAAGRycy9lMm9Eb2MueG1s&#10;UEsFBgAAAAAGAAYAWQEAAAAGAAAAAA==&#10;">
                <v:fill on="f" focussize="0,0"/>
                <v:stroke on="f" weight="2pt"/>
                <v:imagedata o:title=""/>
                <o:lock v:ext="edit" aspectratio="f"/>
                <v:textbox>
                  <w:txbxContent>
                    <w:p>
                      <w:pPr>
                        <w:jc w:val="center"/>
                        <w:rPr>
                          <w:color w:val="FFFF00"/>
                        </w:rPr>
                      </w:pPr>
                      <w:r>
                        <w:rPr>
                          <w:rFonts w:hint="eastAsia"/>
                          <w:color w:val="FFFF00"/>
                        </w:rPr>
                        <w:t>比例尺：</w:t>
                      </w:r>
                    </w:p>
                  </w:txbxContent>
                </v:textbox>
              </v:rect>
            </w:pict>
          </mc:Fallback>
        </mc:AlternateContent>
      </w:r>
      <w:r>
        <w:drawing>
          <wp:anchor distT="0" distB="0" distL="114300" distR="114300" simplePos="0" relativeHeight="251668480" behindDoc="0" locked="0" layoutInCell="1" allowOverlap="1">
            <wp:simplePos x="0" y="0"/>
            <wp:positionH relativeFrom="column">
              <wp:posOffset>666750</wp:posOffset>
            </wp:positionH>
            <wp:positionV relativeFrom="paragraph">
              <wp:posOffset>5168265</wp:posOffset>
            </wp:positionV>
            <wp:extent cx="543560" cy="447040"/>
            <wp:effectExtent l="0" t="0" r="8890" b="0"/>
            <wp:wrapNone/>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54" cstate="print">
                      <a:extLst>
                        <a:ext uri="{28A0092B-C50C-407E-A947-70E740481C1C}">
                          <a14:useLocalDpi xmlns:a14="http://schemas.microsoft.com/office/drawing/2010/main" val="0"/>
                        </a:ext>
                      </a:extLst>
                    </a:blip>
                    <a:srcRect l="29906" r="11214"/>
                    <a:stretch>
                      <a:fillRect/>
                    </a:stretch>
                  </pic:blipFill>
                  <pic:spPr>
                    <a:xfrm>
                      <a:off x="0" y="0"/>
                      <a:ext cx="543560" cy="447040"/>
                    </a:xfrm>
                    <a:prstGeom prst="rect">
                      <a:avLst/>
                    </a:prstGeom>
                    <a:ln>
                      <a:noFill/>
                    </a:ln>
                  </pic:spPr>
                </pic:pic>
              </a:graphicData>
            </a:graphic>
          </wp:anchor>
        </w:drawing>
      </w:r>
      <w:r>
        <w:rPr>
          <w:rFonts w:eastAsia="Times New Roman"/>
          <w:kern w:val="0"/>
          <w:sz w:val="0"/>
          <w:szCs w:val="0"/>
          <w:u w:color="000000"/>
        </w:rPr>
        <w:drawing>
          <wp:anchor distT="0" distB="0" distL="114300" distR="114300" simplePos="0" relativeHeight="251671552" behindDoc="0" locked="0" layoutInCell="1" allowOverlap="1">
            <wp:simplePos x="0" y="0"/>
            <wp:positionH relativeFrom="column">
              <wp:posOffset>9259570</wp:posOffset>
            </wp:positionH>
            <wp:positionV relativeFrom="paragraph">
              <wp:posOffset>8255</wp:posOffset>
            </wp:positionV>
            <wp:extent cx="524510" cy="1359535"/>
            <wp:effectExtent l="0" t="0" r="8890" b="0"/>
            <wp:wrapNone/>
            <wp:docPr id="45" name="图片 45" descr="指北针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指北针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524510" cy="1359535"/>
                    </a:xfrm>
                    <a:prstGeom prst="rect">
                      <a:avLst/>
                    </a:prstGeom>
                    <a:noFill/>
                    <a:ln>
                      <a:noFill/>
                    </a:ln>
                  </pic:spPr>
                </pic:pic>
              </a:graphicData>
            </a:graphic>
          </wp:anchor>
        </w:drawing>
      </w:r>
      <w:r>
        <w:drawing>
          <wp:inline distT="0" distB="0" distL="0" distR="0">
            <wp:extent cx="9789795" cy="5590540"/>
            <wp:effectExtent l="0" t="0" r="1905"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55" cstate="print"/>
                    <a:stretch>
                      <a:fillRect/>
                    </a:stretch>
                  </pic:blipFill>
                  <pic:spPr>
                    <a:xfrm>
                      <a:off x="0" y="0"/>
                      <a:ext cx="9809214" cy="5601698"/>
                    </a:xfrm>
                    <a:prstGeom prst="rect">
                      <a:avLst/>
                    </a:prstGeom>
                  </pic:spPr>
                </pic:pic>
              </a:graphicData>
            </a:graphic>
          </wp:inline>
        </w:drawing>
      </w:r>
    </w:p>
    <w:p>
      <w:pPr>
        <w:pStyle w:val="17"/>
        <w:adjustRightInd w:val="0"/>
        <w:snapToGrid w:val="0"/>
        <w:spacing w:before="0" w:beforeAutospacing="0" w:after="0" w:afterAutospacing="0"/>
        <w:jc w:val="center"/>
        <w:outlineLvl w:val="0"/>
        <w:rPr>
          <w:rFonts w:hint="eastAsia"/>
          <w:b/>
        </w:rPr>
      </w:pPr>
      <w:r>
        <w:rPr>
          <w:rFonts w:hint="eastAsia"/>
          <w:b/>
        </w:rPr>
        <w:t>附图4   现状监测点位图</w:t>
      </w:r>
    </w:p>
    <w:p>
      <w:pPr>
        <w:pStyle w:val="2"/>
        <w:ind w:firstLine="0"/>
      </w:pPr>
    </w:p>
    <w:p>
      <w:pPr>
        <w:pStyle w:val="2"/>
        <w:ind w:firstLine="0"/>
      </w:pPr>
    </w:p>
    <w:p>
      <w:pPr>
        <w:pStyle w:val="3"/>
        <w:ind w:left="480"/>
      </w:pPr>
    </w:p>
    <w:p>
      <w:pPr>
        <w:sectPr>
          <w:pgSz w:w="16838" w:h="11906" w:orient="landscape"/>
          <w:pgMar w:top="720" w:right="720" w:bottom="720" w:left="720" w:header="851" w:footer="851" w:gutter="0"/>
          <w:cols w:space="720" w:num="1"/>
          <w:docGrid w:linePitch="312" w:charSpace="0"/>
        </w:sectPr>
      </w:pPr>
    </w:p>
    <w:p>
      <w:pPr>
        <w:pStyle w:val="2"/>
        <w:ind w:firstLine="0"/>
        <w:jc w:val="center"/>
      </w:pPr>
      <w:r>
        <w:drawing>
          <wp:inline distT="0" distB="0" distL="0" distR="0">
            <wp:extent cx="2992755" cy="2594610"/>
            <wp:effectExtent l="0" t="0" r="0" b="0"/>
            <wp:docPr id="2" name="图片 2" descr="E:\新建文件夹\WeChat Files\wxid_tikhxbqrox522\FileStorage\Temp\75ccfbcfdbdd1b6a5e4bb0e18e3c4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新建文件夹\WeChat Files\wxid_tikhxbqrox522\FileStorage\Temp\75ccfbcfdbdd1b6a5e4bb0e18e3c469.jpg"/>
                    <pic:cNvPicPr>
                      <a:picLocks noChangeAspect="1" noChangeArrowheads="1"/>
                    </pic:cNvPicPr>
                  </pic:nvPicPr>
                  <pic:blipFill>
                    <a:blip r:embed="rId56" cstate="print">
                      <a:extLst>
                        <a:ext uri="{28A0092B-C50C-407E-A947-70E740481C1C}">
                          <a14:useLocalDpi xmlns:a14="http://schemas.microsoft.com/office/drawing/2010/main" val="0"/>
                        </a:ext>
                      </a:extLst>
                    </a:blip>
                    <a:srcRect b="35018"/>
                    <a:stretch>
                      <a:fillRect/>
                    </a:stretch>
                  </pic:blipFill>
                  <pic:spPr>
                    <a:xfrm>
                      <a:off x="0" y="0"/>
                      <a:ext cx="3002075" cy="2602567"/>
                    </a:xfrm>
                    <a:prstGeom prst="rect">
                      <a:avLst/>
                    </a:prstGeom>
                    <a:noFill/>
                    <a:ln>
                      <a:noFill/>
                    </a:ln>
                  </pic:spPr>
                </pic:pic>
              </a:graphicData>
            </a:graphic>
          </wp:inline>
        </w:drawing>
      </w:r>
      <w:r>
        <w:rPr>
          <w:rFonts w:hint="eastAsia"/>
        </w:rPr>
        <w:t xml:space="preserve"> </w:t>
      </w:r>
      <w:r>
        <w:drawing>
          <wp:inline distT="0" distB="0" distL="0" distR="0">
            <wp:extent cx="3016250" cy="2595245"/>
            <wp:effectExtent l="0" t="0" r="0" b="0"/>
            <wp:docPr id="3" name="图片 3" descr="E:\新建文件夹\WeChat Files\wxid_tikhxbqrox522\FileStorage\Temp\317ebafa3a063f83c476af1a05943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新建文件夹\WeChat Files\wxid_tikhxbqrox522\FileStorage\Temp\317ebafa3a063f83c476af1a05943d3.jpg"/>
                    <pic:cNvPicPr>
                      <a:picLocks noChangeAspect="1" noChangeArrowheads="1"/>
                    </pic:cNvPicPr>
                  </pic:nvPicPr>
                  <pic:blipFill>
                    <a:blip r:embed="rId57" cstate="print">
                      <a:extLst>
                        <a:ext uri="{28A0092B-C50C-407E-A947-70E740481C1C}">
                          <a14:useLocalDpi xmlns:a14="http://schemas.microsoft.com/office/drawing/2010/main" val="0"/>
                        </a:ext>
                      </a:extLst>
                    </a:blip>
                    <a:srcRect r="12860"/>
                    <a:stretch>
                      <a:fillRect/>
                    </a:stretch>
                  </pic:blipFill>
                  <pic:spPr>
                    <a:xfrm>
                      <a:off x="0" y="0"/>
                      <a:ext cx="3016267" cy="2595600"/>
                    </a:xfrm>
                    <a:prstGeom prst="rect">
                      <a:avLst/>
                    </a:prstGeom>
                    <a:noFill/>
                    <a:ln>
                      <a:noFill/>
                    </a:ln>
                  </pic:spPr>
                </pic:pic>
              </a:graphicData>
            </a:graphic>
          </wp:inline>
        </w:drawing>
      </w:r>
    </w:p>
    <w:p>
      <w:pPr>
        <w:pStyle w:val="2"/>
        <w:ind w:firstLine="0"/>
        <w:jc w:val="center"/>
        <w:rPr>
          <w:b/>
        </w:rPr>
      </w:pPr>
      <w:r>
        <w:rPr>
          <w:rFonts w:hint="eastAsia"/>
          <w:b/>
        </w:rPr>
        <w:t>储棚现状图</w:t>
      </w:r>
    </w:p>
    <w:p>
      <w:pPr>
        <w:pStyle w:val="2"/>
        <w:ind w:firstLine="0"/>
        <w:jc w:val="center"/>
      </w:pPr>
      <w:r>
        <w:drawing>
          <wp:inline distT="0" distB="0" distL="0" distR="0">
            <wp:extent cx="3032760" cy="2273300"/>
            <wp:effectExtent l="0" t="0" r="0" b="0"/>
            <wp:docPr id="4" name="图片 4" descr="E:\新建文件夹\WeChat Files\wxid_tikhxbqrox522\FileStorage\Temp\69d0c1b5c49d993913d966cfc6c61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E:\新建文件夹\WeChat Files\wxid_tikhxbqrox522\FileStorage\Temp\69d0c1b5c49d993913d966cfc6c617b.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a:xfrm>
                      <a:off x="0" y="0"/>
                      <a:ext cx="3036526" cy="2276091"/>
                    </a:xfrm>
                    <a:prstGeom prst="rect">
                      <a:avLst/>
                    </a:prstGeom>
                    <a:noFill/>
                    <a:ln>
                      <a:noFill/>
                    </a:ln>
                  </pic:spPr>
                </pic:pic>
              </a:graphicData>
            </a:graphic>
          </wp:inline>
        </w:drawing>
      </w:r>
      <w:r>
        <w:rPr>
          <w:rFonts w:hint="eastAsia"/>
        </w:rPr>
        <w:t xml:space="preserve"> </w:t>
      </w:r>
      <w:r>
        <w:drawing>
          <wp:inline distT="0" distB="0" distL="0" distR="0">
            <wp:extent cx="3035300" cy="2274570"/>
            <wp:effectExtent l="0" t="0" r="0" b="0"/>
            <wp:docPr id="5" name="图片 5" descr="E:\新建文件夹\WeChat Files\wxid_tikhxbqrox522\FileStorage\Temp\80b1ee87f958f96223500ce6a71d5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新建文件夹\WeChat Files\wxid_tikhxbqrox522\FileStorage\Temp\80b1ee87f958f96223500ce6a71d5ba.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a:xfrm>
                      <a:off x="0" y="0"/>
                      <a:ext cx="3035338" cy="2275200"/>
                    </a:xfrm>
                    <a:prstGeom prst="rect">
                      <a:avLst/>
                    </a:prstGeom>
                    <a:noFill/>
                    <a:ln>
                      <a:noFill/>
                    </a:ln>
                  </pic:spPr>
                </pic:pic>
              </a:graphicData>
            </a:graphic>
          </wp:inline>
        </w:drawing>
      </w:r>
    </w:p>
    <w:p>
      <w:pPr>
        <w:pStyle w:val="2"/>
        <w:ind w:firstLine="0"/>
        <w:jc w:val="center"/>
        <w:rPr>
          <w:b/>
        </w:rPr>
      </w:pPr>
      <w:r>
        <w:rPr>
          <w:rFonts w:hint="eastAsia"/>
          <w:b/>
        </w:rPr>
        <w:t>办公生活区现状图</w:t>
      </w:r>
    </w:p>
    <w:p>
      <w:pPr>
        <w:pStyle w:val="3"/>
        <w:ind w:left="480"/>
      </w:pPr>
    </w:p>
    <w:p>
      <w:pPr>
        <w:pStyle w:val="17"/>
        <w:adjustRightInd w:val="0"/>
        <w:snapToGrid w:val="0"/>
        <w:spacing w:before="0" w:beforeAutospacing="0" w:after="0" w:afterAutospacing="0"/>
        <w:jc w:val="center"/>
        <w:outlineLvl w:val="0"/>
        <w:rPr>
          <w:rFonts w:hint="eastAsia"/>
          <w:b/>
        </w:rPr>
      </w:pPr>
      <w:r>
        <w:rPr>
          <w:rFonts w:hint="eastAsia"/>
          <w:b/>
        </w:rPr>
        <w:t>附图5   厂区储棚及办公生活区现状图</w:t>
      </w:r>
    </w:p>
    <w:p>
      <w:pPr>
        <w:pStyle w:val="17"/>
        <w:adjustRightInd w:val="0"/>
        <w:snapToGrid w:val="0"/>
        <w:spacing w:before="0" w:beforeAutospacing="0" w:after="0" w:afterAutospacing="0"/>
        <w:jc w:val="center"/>
        <w:outlineLvl w:val="0"/>
        <w:rPr>
          <w:rFonts w:hint="eastAsia"/>
          <w:b/>
        </w:rPr>
        <w:sectPr>
          <w:pgSz w:w="11906" w:h="16838"/>
          <w:pgMar w:top="720" w:right="720" w:bottom="720" w:left="720" w:header="851" w:footer="851" w:gutter="0"/>
          <w:cols w:space="720" w:num="1"/>
          <w:docGrid w:linePitch="326" w:charSpace="0"/>
        </w:sectPr>
      </w:pPr>
    </w:p>
    <w:p>
      <w:pPr>
        <w:jc w:val="center"/>
        <w:rPr>
          <w:b/>
        </w:rPr>
      </w:pPr>
      <w:r>
        <w:rPr>
          <w:b/>
        </w:rPr>
        <mc:AlternateContent>
          <mc:Choice Requires="wps">
            <w:drawing>
              <wp:anchor distT="0" distB="0" distL="114300" distR="114300" simplePos="0" relativeHeight="251669504" behindDoc="0" locked="0" layoutInCell="1" allowOverlap="1">
                <wp:simplePos x="0" y="0"/>
                <wp:positionH relativeFrom="column">
                  <wp:posOffset>5774690</wp:posOffset>
                </wp:positionH>
                <wp:positionV relativeFrom="paragraph">
                  <wp:posOffset>2516505</wp:posOffset>
                </wp:positionV>
                <wp:extent cx="809625" cy="295275"/>
                <wp:effectExtent l="247650" t="0" r="28575" b="600075"/>
                <wp:wrapNone/>
                <wp:docPr id="51" name="圆角矩形标注 51"/>
                <wp:cNvGraphicFramePr/>
                <a:graphic xmlns:a="http://schemas.openxmlformats.org/drawingml/2006/main">
                  <a:graphicData uri="http://schemas.microsoft.com/office/word/2010/wordprocessingShape">
                    <wps:wsp>
                      <wps:cNvSpPr>
                        <a:spLocks noChangeArrowheads="1"/>
                      </wps:cNvSpPr>
                      <wps:spPr bwMode="auto">
                        <a:xfrm>
                          <a:off x="0" y="0"/>
                          <a:ext cx="809625" cy="295275"/>
                        </a:xfrm>
                        <a:prstGeom prst="wedgeRoundRectCallout">
                          <a:avLst>
                            <a:gd name="adj1" fmla="val -74770"/>
                            <a:gd name="adj2" fmla="val 219507"/>
                            <a:gd name="adj3" fmla="val 16667"/>
                          </a:avLst>
                        </a:prstGeom>
                        <a:solidFill>
                          <a:srgbClr val="FFFFFF"/>
                        </a:solidFill>
                        <a:ln w="9525">
                          <a:solidFill>
                            <a:srgbClr val="000000"/>
                          </a:solidFill>
                          <a:miter lim="800000"/>
                        </a:ln>
                      </wps:spPr>
                      <wps:txbx>
                        <w:txbxContent>
                          <w:p>
                            <w:pPr>
                              <w:rPr>
                                <w:b/>
                              </w:rPr>
                            </w:pPr>
                            <w:r>
                              <w:rPr>
                                <w:b/>
                              </w:rPr>
                              <w:t>本项目</w:t>
                            </w: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454.7pt;margin-top:198.15pt;height:23.25pt;width:63.75pt;z-index:251669504;mso-width-relative:page;mso-height-relative:page;" fillcolor="#FFFFFF" filled="t" stroked="t" coordsize="21600,21600" o:gfxdata="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FgAAAGRycy9QSwEC&#10;FAAUAAAACACHTuJAbANSeNoAAAAMAQAADwAAAAAAAAABACAAAAA4AAAAZHJzL2Rvd25yZXYueG1s&#10;UEsBAhQAFAAAAAgAh07iQJhMJRGLAgAADwUAAA4AAAAAAAAAAQAgAAAAPwEAAGRycy9lMm9Eb2Mu&#10;eG1sUEsFBgAAAAAGAAYAWQEAADwGAAAAAA==&#10;" adj="-5350,58214,14400">
                <v:fill on="t" focussize="0,0"/>
                <v:stroke color="#000000" miterlimit="8" joinstyle="miter"/>
                <v:imagedata o:title=""/>
                <o:lock v:ext="edit" aspectratio="f"/>
                <v:textbox>
                  <w:txbxContent>
                    <w:p>
                      <w:pPr>
                        <w:rPr>
                          <w:b/>
                        </w:rPr>
                      </w:pPr>
                      <w:r>
                        <w:rPr>
                          <w:b/>
                        </w:rPr>
                        <w:t>本项目</w:t>
                      </w:r>
                    </w:p>
                  </w:txbxContent>
                </v:textbox>
              </v:shape>
            </w:pict>
          </mc:Fallback>
        </mc:AlternateContent>
      </w:r>
      <w:r>
        <w:rPr>
          <w:b/>
        </w:rPr>
        <mc:AlternateContent>
          <mc:Choice Requires="wps">
            <w:drawing>
              <wp:anchor distT="0" distB="0" distL="114300" distR="114300" simplePos="0" relativeHeight="251666432" behindDoc="0" locked="0" layoutInCell="1" allowOverlap="1">
                <wp:simplePos x="0" y="0"/>
                <wp:positionH relativeFrom="column">
                  <wp:posOffset>5539105</wp:posOffset>
                </wp:positionH>
                <wp:positionV relativeFrom="paragraph">
                  <wp:posOffset>3297555</wp:posOffset>
                </wp:positionV>
                <wp:extent cx="45085" cy="45085"/>
                <wp:effectExtent l="38100" t="38100" r="31115" b="31115"/>
                <wp:wrapNone/>
                <wp:docPr id="50" name="矩形 50"/>
                <wp:cNvGraphicFramePr/>
                <a:graphic xmlns:a="http://schemas.openxmlformats.org/drawingml/2006/main">
                  <a:graphicData uri="http://schemas.microsoft.com/office/word/2010/wordprocessingShape">
                    <wps:wsp>
                      <wps:cNvSpPr>
                        <a:spLocks noChangeArrowheads="1"/>
                      </wps:cNvSpPr>
                      <wps:spPr bwMode="auto">
                        <a:xfrm rot="2801744" flipH="1">
                          <a:off x="0" y="0"/>
                          <a:ext cx="45085" cy="45085"/>
                        </a:xfrm>
                        <a:prstGeom prst="rect">
                          <a:avLst/>
                        </a:prstGeom>
                        <a:solidFill>
                          <a:srgbClr val="FF0000"/>
                        </a:solidFill>
                        <a:ln w="9525">
                          <a:solidFill>
                            <a:srgbClr val="FF0000"/>
                          </a:solidFill>
                          <a:miter lim="8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flip:x;margin-left:436.15pt;margin-top:259.65pt;height:3.55pt;width:3.55pt;rotation:-3060252f;z-index:251666432;mso-width-relative:page;mso-height-relative:page;" fillcolor="#FF0000" filled="t" stroked="t" coordsize="21600,21600" o:gfxdata="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FgAAAGRycy9QSwECFAAUAAAACACHTuJAN3+oEtgAAAAL&#10;AQAADwAAAAAAAAABACAAAAA4AAAAZHJzL2Rvd25yZXYueG1sUEsBAhQAFAAAAAgAh07iQO+OnAg/&#10;AgAAhgQAAA4AAAAAAAAAAQAgAAAAPQEAAGRycy9lMm9Eb2MueG1sUEsFBgAAAAAGAAYAWQEAAO4F&#10;AAAAAA==&#10;">
                <v:fill on="t" focussize="0,0"/>
                <v:stroke color="#FF0000" miterlimit="8" joinstyle="miter"/>
                <v:imagedata o:title=""/>
                <o:lock v:ext="edit" aspectratio="f"/>
              </v:rect>
            </w:pict>
          </mc:Fallback>
        </mc:AlternateContent>
      </w:r>
      <w:r>
        <w:drawing>
          <wp:inline distT="0" distB="0" distL="0" distR="0">
            <wp:extent cx="8790305" cy="6216015"/>
            <wp:effectExtent l="0" t="0" r="0" b="0"/>
            <wp:docPr id="1" name="图片 1" descr="http://sthjj.ordos.gov.cn/xwzx_6562/gsgg/202408/W020240809404462886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ttp://sthjj.ordos.gov.cn/xwzx_6562/gsgg/202408/W020240809404462886240.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a:xfrm>
                      <a:off x="0" y="0"/>
                      <a:ext cx="8819886" cy="6237521"/>
                    </a:xfrm>
                    <a:prstGeom prst="rect">
                      <a:avLst/>
                    </a:prstGeom>
                    <a:noFill/>
                    <a:ln>
                      <a:noFill/>
                    </a:ln>
                  </pic:spPr>
                </pic:pic>
              </a:graphicData>
            </a:graphic>
          </wp:inline>
        </w:drawing>
      </w:r>
      <w:r>
        <w:rPr>
          <w:rFonts w:hint="eastAsia"/>
          <w:b/>
        </w:rPr>
        <w:t xml:space="preserve"> </w:t>
      </w:r>
    </w:p>
    <w:p>
      <w:pPr>
        <w:pStyle w:val="17"/>
        <w:adjustRightInd w:val="0"/>
        <w:snapToGrid w:val="0"/>
        <w:spacing w:before="0" w:beforeAutospacing="0" w:after="0" w:afterAutospacing="0"/>
        <w:jc w:val="center"/>
        <w:outlineLvl w:val="0"/>
        <w:rPr>
          <w:rFonts w:hint="eastAsia"/>
          <w:b/>
        </w:rPr>
      </w:pPr>
      <w:r>
        <w:rPr>
          <w:rFonts w:hint="eastAsia"/>
          <w:b/>
        </w:rPr>
        <w:t>附图6   鄂尔多斯市环境管控单元图及项目位置示意图</w:t>
      </w:r>
    </w:p>
    <w:sectPr>
      <w:pgSz w:w="16838" w:h="11906" w:orient="landscape"/>
      <w:pgMar w:top="720" w:right="720" w:bottom="720" w:left="720" w:header="851" w:footer="851"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ˎ̥">
    <w:altName w:val="华文中宋"/>
    <w:panose1 w:val="00000000000000000000"/>
    <w:charset w:val="00"/>
    <w:family w:val="roman"/>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0000000000000000000"/>
    <w:charset w:val="86"/>
    <w:family w:val="modern"/>
    <w:pitch w:val="default"/>
    <w:sig w:usb0="00000000" w:usb1="00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楷体_GB2312">
    <w:altName w:val="方正楷体_GBK"/>
    <w:panose1 w:val="00000000000000000000"/>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Wingdings 2">
    <w:altName w:val="MathJax_Vector"/>
    <w:panose1 w:val="05020102010507070707"/>
    <w:charset w:val="02"/>
    <w:family w:val="roman"/>
    <w:pitch w:val="default"/>
    <w:sig w:usb0="00000000" w:usb1="00000000" w:usb2="00000000" w:usb3="00000000" w:csb0="80000000" w:csb1="00000000"/>
  </w:font>
  <w:font w:name="MathJax_Vector">
    <w:panose1 w:val="02000603000000000000"/>
    <w:charset w:val="00"/>
    <w:family w:val="auto"/>
    <w:pitch w:val="default"/>
    <w:sig w:usb0="00000001" w:usb1="00000020" w:usb2="00000000" w:usb3="00000000" w:csb0="00000001" w:csb1="00000000"/>
  </w:font>
  <w:font w:name="TimesNewRomanPSMT">
    <w:altName w:val="DejaVu Sans"/>
    <w:panose1 w:val="00000000000000000000"/>
    <w:charset w:val="00"/>
    <w:family w:val="roman"/>
    <w:pitch w:val="default"/>
    <w:sig w:usb0="00000000" w:usb1="00000000" w:usb2="00000000" w:usb3="00000000" w:csb0="00040001" w:csb1="00000000"/>
  </w:font>
  <w:font w:name="Century">
    <w:altName w:val="FreeSerif"/>
    <w:panose1 w:val="02040604050505020304"/>
    <w:charset w:val="00"/>
    <w:family w:val="roman"/>
    <w:pitch w:val="default"/>
    <w:sig w:usb0="00000000" w:usb1="00000000" w:usb2="00000000" w:usb3="00000000" w:csb0="2000009F" w:csb1="DFD7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center" w:y="1"/>
      <w:rPr>
        <w:rStyle w:val="22"/>
      </w:rPr>
    </w:pPr>
    <w:r>
      <w:fldChar w:fldCharType="begin"/>
    </w:r>
    <w:r>
      <w:rPr>
        <w:rStyle w:val="22"/>
      </w:rPr>
      <w:instrText xml:space="preserve">PAGE  </w:instrText>
    </w:r>
    <w:r>
      <w:fldChar w:fldCharType="end"/>
    </w:r>
  </w:p>
  <w:p>
    <w:pPr>
      <w:pStyle w:val="1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mc:AlternateContent>
        <mc:Choice Requires="wps">
          <w:drawing>
            <wp:anchor distT="0" distB="0" distL="114300" distR="114300" simplePos="0" relativeHeight="251666432" behindDoc="0" locked="0" layoutInCell="1" allowOverlap="1">
              <wp:simplePos x="0" y="0"/>
              <wp:positionH relativeFrom="margin">
                <wp:posOffset>2771140</wp:posOffset>
              </wp:positionH>
              <wp:positionV relativeFrom="paragraph">
                <wp:posOffset>-141605</wp:posOffset>
              </wp:positionV>
              <wp:extent cx="205105" cy="138430"/>
              <wp:effectExtent l="0" t="0" r="5080" b="14605"/>
              <wp:wrapNone/>
              <wp:docPr id="42" name="文本框 1031"/>
              <wp:cNvGraphicFramePr/>
              <a:graphic xmlns:a="http://schemas.openxmlformats.org/drawingml/2006/main">
                <a:graphicData uri="http://schemas.microsoft.com/office/word/2010/wordprocessingShape">
                  <wps:wsp>
                    <wps:cNvSpPr txBox="1"/>
                    <wps:spPr>
                      <a:xfrm>
                        <a:off x="0" y="0"/>
                        <a:ext cx="204788" cy="138113"/>
                      </a:xfrm>
                      <a:prstGeom prst="rect">
                        <a:avLst/>
                      </a:prstGeom>
                      <a:noFill/>
                      <a:ln>
                        <a:noFill/>
                      </a:ln>
                    </wps:spPr>
                    <wps:txbx>
                      <w:txbxContent>
                        <w:p>
                          <w:pPr>
                            <w:pStyle w:val="14"/>
                          </w:pPr>
                          <w:r>
                            <w:fldChar w:fldCharType="begin"/>
                          </w:r>
                          <w:r>
                            <w:instrText xml:space="preserve"> PAGE  \* MERGEFORMAT </w:instrText>
                          </w:r>
                          <w:r>
                            <w:fldChar w:fldCharType="separate"/>
                          </w:r>
                          <w:r>
                            <w:t>3</w:t>
                          </w:r>
                          <w:r>
                            <w:fldChar w:fldCharType="end"/>
                          </w:r>
                        </w:p>
                      </w:txbxContent>
                    </wps:txbx>
                    <wps:bodyPr vert="horz" wrap="square" lIns="0" tIns="0" rIns="0" bIns="0" anchor="t" anchorCtr="0">
                      <a:noAutofit/>
                    </wps:bodyPr>
                  </wps:wsp>
                </a:graphicData>
              </a:graphic>
            </wp:anchor>
          </w:drawing>
        </mc:Choice>
        <mc:Fallback>
          <w:pict>
            <v:shape id="文本框 1031" o:spid="_x0000_s1026" o:spt="202" type="#_x0000_t202" style="position:absolute;left:0pt;margin-left:218.2pt;margin-top:-11.15pt;height:10.9pt;width:16.15pt;mso-position-horizontal-relative:margin;z-index:251666432;mso-width-relative:page;mso-height-relative:page;" filled="f" stroked="f" coordsize="21600,21600" o:gfxdata="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WAAAAZHJzL1BLAQIU&#10;ABQAAAAIAIdO4kDNoDnl2QAAAAkBAAAPAAAAAAAAAAEAIAAAADgAAABkcnMvZG93bnJldi54bWxQ&#10;SwECFAAUAAAACACHTuJA2nSuFuABAAC2AwAADgAAAAAAAAABACAAAAA+AQAAZHJzL2Uyb0RvYy54&#10;bWxQSwUGAAAAAAYABgBZAQAAkAUAAAAA&#10;">
              <v:fill on="f" focussize="0,0"/>
              <v:stroke on="f"/>
              <v:imagedata o:title=""/>
              <o:lock v:ext="edit" aspectratio="f"/>
              <v:textbox inset="0mm,0mm,0mm,0mm">
                <w:txbxContent>
                  <w:p>
                    <w:pPr>
                      <w:pStyle w:val="14"/>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right="360" w:firstLine="360"/>
      <w:jc w:val="cente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14935" cy="131445"/>
              <wp:effectExtent l="0" t="0" r="12065" b="14605"/>
              <wp:wrapNone/>
              <wp:docPr id="40" name="文本框 5"/>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5" o:spid="_x0000_s1026" o:spt="202" type="#_x0000_t202" style="position:absolute;left:0pt;margin-top:0pt;height:10.35pt;width:9.05pt;mso-position-horizontal:center;mso-position-horizontal-relative:margin;mso-wrap-style:none;z-index:251667456;mso-width-relative:page;mso-height-relative:page;" filled="f" stroked="f" coordsize="21600,21600" o:gfxdata="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KXcYXXSAAAAAwEAAA8AAAAAAAAAAQAgAAAAOAAA&#10;AGRycy9kb3ducmV2LnhtbFBLAQIUABQAAAAIAIdO4kDRMwwiMQIAAFQEAAAOAAAAAAAAAAEAIAAA&#10;ADcBAABkcnMvZTJvRG9jLnhtbFBLBQYAAAAABgAGAFkBAADaBQ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82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8D16CD"/>
    <w:multiLevelType w:val="multilevel"/>
    <w:tmpl w:val="748D16CD"/>
    <w:lvl w:ilvl="0" w:tentative="0">
      <w:start w:val="1"/>
      <w:numFmt w:val="decimal"/>
      <w:pStyle w:val="53"/>
      <w:lvlText w:val="（%1）"/>
      <w:lvlJc w:val="left"/>
      <w:pPr>
        <w:tabs>
          <w:tab w:val="left" w:pos="1571"/>
        </w:tabs>
        <w:ind w:left="1440" w:hanging="720"/>
      </w:pPr>
      <w:rPr>
        <w:rFonts w:hint="default"/>
        <w:lang w:val="en-US"/>
      </w:rPr>
    </w:lvl>
    <w:lvl w:ilvl="1" w:tentative="0">
      <w:start w:val="1"/>
      <w:numFmt w:val="lowerLetter"/>
      <w:lvlText w:val="%2)"/>
      <w:lvlJc w:val="left"/>
      <w:pPr>
        <w:tabs>
          <w:tab w:val="left" w:pos="1691"/>
        </w:tabs>
        <w:ind w:left="1560" w:hanging="420"/>
      </w:pPr>
    </w:lvl>
    <w:lvl w:ilvl="2" w:tentative="0">
      <w:start w:val="1"/>
      <w:numFmt w:val="lowerRoman"/>
      <w:lvlText w:val="%3."/>
      <w:lvlJc w:val="right"/>
      <w:pPr>
        <w:tabs>
          <w:tab w:val="left" w:pos="2111"/>
        </w:tabs>
        <w:ind w:left="1980" w:hanging="420"/>
      </w:pPr>
    </w:lvl>
    <w:lvl w:ilvl="3" w:tentative="0">
      <w:start w:val="1"/>
      <w:numFmt w:val="decimal"/>
      <w:lvlText w:val="%4."/>
      <w:lvlJc w:val="left"/>
      <w:pPr>
        <w:tabs>
          <w:tab w:val="left" w:pos="2531"/>
        </w:tabs>
        <w:ind w:left="2400" w:hanging="420"/>
      </w:pPr>
    </w:lvl>
    <w:lvl w:ilvl="4" w:tentative="0">
      <w:start w:val="1"/>
      <w:numFmt w:val="lowerLetter"/>
      <w:lvlText w:val="%5)"/>
      <w:lvlJc w:val="left"/>
      <w:pPr>
        <w:tabs>
          <w:tab w:val="left" w:pos="2951"/>
        </w:tabs>
        <w:ind w:left="2820" w:hanging="420"/>
      </w:pPr>
    </w:lvl>
    <w:lvl w:ilvl="5" w:tentative="0">
      <w:start w:val="1"/>
      <w:numFmt w:val="lowerRoman"/>
      <w:lvlText w:val="%6."/>
      <w:lvlJc w:val="right"/>
      <w:pPr>
        <w:tabs>
          <w:tab w:val="left" w:pos="3371"/>
        </w:tabs>
        <w:ind w:left="3240" w:hanging="420"/>
      </w:pPr>
    </w:lvl>
    <w:lvl w:ilvl="6" w:tentative="0">
      <w:start w:val="1"/>
      <w:numFmt w:val="decimal"/>
      <w:lvlText w:val="%7."/>
      <w:lvlJc w:val="left"/>
      <w:pPr>
        <w:tabs>
          <w:tab w:val="left" w:pos="3791"/>
        </w:tabs>
        <w:ind w:left="3660" w:hanging="420"/>
      </w:pPr>
    </w:lvl>
    <w:lvl w:ilvl="7" w:tentative="0">
      <w:start w:val="1"/>
      <w:numFmt w:val="lowerLetter"/>
      <w:lvlText w:val="%8)"/>
      <w:lvlJc w:val="left"/>
      <w:pPr>
        <w:tabs>
          <w:tab w:val="left" w:pos="4211"/>
        </w:tabs>
        <w:ind w:left="4080" w:hanging="420"/>
      </w:pPr>
    </w:lvl>
    <w:lvl w:ilvl="8" w:tentative="0">
      <w:start w:val="1"/>
      <w:numFmt w:val="lowerRoman"/>
      <w:lvlText w:val="%9."/>
      <w:lvlJc w:val="right"/>
      <w:pPr>
        <w:tabs>
          <w:tab w:val="left" w:pos="4631"/>
        </w:tabs>
        <w:ind w:left="45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oNotHyphenateCaps/>
  <w:drawingGridVerticalSpacing w:val="156"/>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yOWVkMDQ1ZDJiMmU2YTY0Y2RjZjk2MTY4MmNjZTAifQ=="/>
  </w:docVars>
  <w:rsids>
    <w:rsidRoot w:val="00A14947"/>
    <w:rsid w:val="000060B3"/>
    <w:rsid w:val="0001021E"/>
    <w:rsid w:val="000136D0"/>
    <w:rsid w:val="00021CC0"/>
    <w:rsid w:val="00023043"/>
    <w:rsid w:val="0003001A"/>
    <w:rsid w:val="0003410D"/>
    <w:rsid w:val="0004364B"/>
    <w:rsid w:val="00047B7A"/>
    <w:rsid w:val="00056644"/>
    <w:rsid w:val="00061451"/>
    <w:rsid w:val="00061B1F"/>
    <w:rsid w:val="0006434D"/>
    <w:rsid w:val="000660E7"/>
    <w:rsid w:val="000733C4"/>
    <w:rsid w:val="000733D4"/>
    <w:rsid w:val="00074783"/>
    <w:rsid w:val="0008070B"/>
    <w:rsid w:val="000810AC"/>
    <w:rsid w:val="00081A02"/>
    <w:rsid w:val="00082231"/>
    <w:rsid w:val="0008251C"/>
    <w:rsid w:val="00092D38"/>
    <w:rsid w:val="0009377B"/>
    <w:rsid w:val="000970D2"/>
    <w:rsid w:val="000A20C9"/>
    <w:rsid w:val="000A2A30"/>
    <w:rsid w:val="000A530C"/>
    <w:rsid w:val="000B058F"/>
    <w:rsid w:val="000B26FD"/>
    <w:rsid w:val="000B3580"/>
    <w:rsid w:val="000B4467"/>
    <w:rsid w:val="000B4DB9"/>
    <w:rsid w:val="000C09AC"/>
    <w:rsid w:val="000C5237"/>
    <w:rsid w:val="000C767F"/>
    <w:rsid w:val="000D16A4"/>
    <w:rsid w:val="000D528D"/>
    <w:rsid w:val="000D5A44"/>
    <w:rsid w:val="000E248F"/>
    <w:rsid w:val="000E34E5"/>
    <w:rsid w:val="000E34F0"/>
    <w:rsid w:val="000E3ED2"/>
    <w:rsid w:val="00101D32"/>
    <w:rsid w:val="001042B3"/>
    <w:rsid w:val="00104EB8"/>
    <w:rsid w:val="00107733"/>
    <w:rsid w:val="00107EC5"/>
    <w:rsid w:val="00131F42"/>
    <w:rsid w:val="00132791"/>
    <w:rsid w:val="001357F1"/>
    <w:rsid w:val="00140FA8"/>
    <w:rsid w:val="001423FE"/>
    <w:rsid w:val="00142FEB"/>
    <w:rsid w:val="00143A2D"/>
    <w:rsid w:val="00144407"/>
    <w:rsid w:val="00145A41"/>
    <w:rsid w:val="00146D82"/>
    <w:rsid w:val="00147E12"/>
    <w:rsid w:val="001508BB"/>
    <w:rsid w:val="0015158C"/>
    <w:rsid w:val="00151675"/>
    <w:rsid w:val="001533CE"/>
    <w:rsid w:val="00153829"/>
    <w:rsid w:val="0015550A"/>
    <w:rsid w:val="00157435"/>
    <w:rsid w:val="00160F8F"/>
    <w:rsid w:val="001642A1"/>
    <w:rsid w:val="00171A3E"/>
    <w:rsid w:val="0017504D"/>
    <w:rsid w:val="0017671A"/>
    <w:rsid w:val="00177422"/>
    <w:rsid w:val="001808A1"/>
    <w:rsid w:val="00184590"/>
    <w:rsid w:val="00185796"/>
    <w:rsid w:val="001870D1"/>
    <w:rsid w:val="0018781E"/>
    <w:rsid w:val="0019262D"/>
    <w:rsid w:val="001978F2"/>
    <w:rsid w:val="001A0B1A"/>
    <w:rsid w:val="001A0CC2"/>
    <w:rsid w:val="001A1B35"/>
    <w:rsid w:val="001A48A2"/>
    <w:rsid w:val="001A6738"/>
    <w:rsid w:val="001A6F61"/>
    <w:rsid w:val="001B72B8"/>
    <w:rsid w:val="001C1175"/>
    <w:rsid w:val="001C4AF0"/>
    <w:rsid w:val="001C4D5E"/>
    <w:rsid w:val="001C69B3"/>
    <w:rsid w:val="001D5595"/>
    <w:rsid w:val="001D7874"/>
    <w:rsid w:val="001D7F22"/>
    <w:rsid w:val="001F0F17"/>
    <w:rsid w:val="001F255A"/>
    <w:rsid w:val="001F3347"/>
    <w:rsid w:val="001F3750"/>
    <w:rsid w:val="001F3C10"/>
    <w:rsid w:val="001F42C0"/>
    <w:rsid w:val="001F69E4"/>
    <w:rsid w:val="00201293"/>
    <w:rsid w:val="002036DE"/>
    <w:rsid w:val="002125B4"/>
    <w:rsid w:val="002155B8"/>
    <w:rsid w:val="00216678"/>
    <w:rsid w:val="0021768F"/>
    <w:rsid w:val="002224F4"/>
    <w:rsid w:val="00222E55"/>
    <w:rsid w:val="00224839"/>
    <w:rsid w:val="002249B2"/>
    <w:rsid w:val="00224E55"/>
    <w:rsid w:val="00226574"/>
    <w:rsid w:val="002278EC"/>
    <w:rsid w:val="00230D98"/>
    <w:rsid w:val="0023280E"/>
    <w:rsid w:val="00235AB5"/>
    <w:rsid w:val="00236725"/>
    <w:rsid w:val="002377D1"/>
    <w:rsid w:val="002438D1"/>
    <w:rsid w:val="002506BC"/>
    <w:rsid w:val="002511AD"/>
    <w:rsid w:val="00254345"/>
    <w:rsid w:val="00261FA5"/>
    <w:rsid w:val="00262694"/>
    <w:rsid w:val="00264557"/>
    <w:rsid w:val="00264EDC"/>
    <w:rsid w:val="00267C27"/>
    <w:rsid w:val="00273B5F"/>
    <w:rsid w:val="00273FA6"/>
    <w:rsid w:val="002805AB"/>
    <w:rsid w:val="00282EB2"/>
    <w:rsid w:val="00284204"/>
    <w:rsid w:val="00291773"/>
    <w:rsid w:val="002922F6"/>
    <w:rsid w:val="00295129"/>
    <w:rsid w:val="002951C7"/>
    <w:rsid w:val="002A02E1"/>
    <w:rsid w:val="002A168C"/>
    <w:rsid w:val="002A1F56"/>
    <w:rsid w:val="002A3DC7"/>
    <w:rsid w:val="002A4D28"/>
    <w:rsid w:val="002B49E2"/>
    <w:rsid w:val="002B7B00"/>
    <w:rsid w:val="002B7C44"/>
    <w:rsid w:val="002C28C7"/>
    <w:rsid w:val="002C2B17"/>
    <w:rsid w:val="002D03EB"/>
    <w:rsid w:val="002D0AE2"/>
    <w:rsid w:val="002D323A"/>
    <w:rsid w:val="002D3DD0"/>
    <w:rsid w:val="002E19DB"/>
    <w:rsid w:val="002E1F3A"/>
    <w:rsid w:val="002E298A"/>
    <w:rsid w:val="002E2C7D"/>
    <w:rsid w:val="002E6D1C"/>
    <w:rsid w:val="00300409"/>
    <w:rsid w:val="00301978"/>
    <w:rsid w:val="0030332C"/>
    <w:rsid w:val="00303D83"/>
    <w:rsid w:val="003051C2"/>
    <w:rsid w:val="00305A73"/>
    <w:rsid w:val="00312296"/>
    <w:rsid w:val="00314F0E"/>
    <w:rsid w:val="00315DF4"/>
    <w:rsid w:val="00316C53"/>
    <w:rsid w:val="00321D8E"/>
    <w:rsid w:val="0032273B"/>
    <w:rsid w:val="00322C3C"/>
    <w:rsid w:val="00325928"/>
    <w:rsid w:val="00330C12"/>
    <w:rsid w:val="00331ADA"/>
    <w:rsid w:val="003326BE"/>
    <w:rsid w:val="00332863"/>
    <w:rsid w:val="003363F3"/>
    <w:rsid w:val="0033684D"/>
    <w:rsid w:val="00337B42"/>
    <w:rsid w:val="00341B42"/>
    <w:rsid w:val="0034348F"/>
    <w:rsid w:val="00344386"/>
    <w:rsid w:val="00346D8E"/>
    <w:rsid w:val="00346F4E"/>
    <w:rsid w:val="00346F75"/>
    <w:rsid w:val="00356653"/>
    <w:rsid w:val="003567A6"/>
    <w:rsid w:val="0035743F"/>
    <w:rsid w:val="00357631"/>
    <w:rsid w:val="00357BE2"/>
    <w:rsid w:val="0036170C"/>
    <w:rsid w:val="00366E0F"/>
    <w:rsid w:val="00370B39"/>
    <w:rsid w:val="00374F39"/>
    <w:rsid w:val="003819D3"/>
    <w:rsid w:val="00381A72"/>
    <w:rsid w:val="00381CFB"/>
    <w:rsid w:val="003831A7"/>
    <w:rsid w:val="003841FB"/>
    <w:rsid w:val="00384676"/>
    <w:rsid w:val="00390857"/>
    <w:rsid w:val="003A22F3"/>
    <w:rsid w:val="003A4BF3"/>
    <w:rsid w:val="003A4C36"/>
    <w:rsid w:val="003B1B26"/>
    <w:rsid w:val="003B2449"/>
    <w:rsid w:val="003B3AAE"/>
    <w:rsid w:val="003B4188"/>
    <w:rsid w:val="003B420D"/>
    <w:rsid w:val="003C0BD5"/>
    <w:rsid w:val="003C4A77"/>
    <w:rsid w:val="003C6C16"/>
    <w:rsid w:val="003D6EFB"/>
    <w:rsid w:val="003D794D"/>
    <w:rsid w:val="003E3058"/>
    <w:rsid w:val="003E76A9"/>
    <w:rsid w:val="003F0809"/>
    <w:rsid w:val="003F1A71"/>
    <w:rsid w:val="003F5B51"/>
    <w:rsid w:val="003F6A8C"/>
    <w:rsid w:val="003F734C"/>
    <w:rsid w:val="003F755C"/>
    <w:rsid w:val="003F7E53"/>
    <w:rsid w:val="00402FD8"/>
    <w:rsid w:val="00404FFF"/>
    <w:rsid w:val="00406F01"/>
    <w:rsid w:val="00407183"/>
    <w:rsid w:val="00412B9E"/>
    <w:rsid w:val="00416D50"/>
    <w:rsid w:val="00416FD5"/>
    <w:rsid w:val="00417772"/>
    <w:rsid w:val="00420E6A"/>
    <w:rsid w:val="00421396"/>
    <w:rsid w:val="00425A9E"/>
    <w:rsid w:val="00426D6B"/>
    <w:rsid w:val="00430785"/>
    <w:rsid w:val="00431CE9"/>
    <w:rsid w:val="00431E6C"/>
    <w:rsid w:val="0043218E"/>
    <w:rsid w:val="00433B98"/>
    <w:rsid w:val="00433CE7"/>
    <w:rsid w:val="004346CF"/>
    <w:rsid w:val="00440D71"/>
    <w:rsid w:val="00442614"/>
    <w:rsid w:val="00444FDD"/>
    <w:rsid w:val="004469CF"/>
    <w:rsid w:val="00452738"/>
    <w:rsid w:val="0045480C"/>
    <w:rsid w:val="00456091"/>
    <w:rsid w:val="0046292D"/>
    <w:rsid w:val="00466321"/>
    <w:rsid w:val="00467983"/>
    <w:rsid w:val="004715EA"/>
    <w:rsid w:val="00471AE3"/>
    <w:rsid w:val="0048177C"/>
    <w:rsid w:val="00482185"/>
    <w:rsid w:val="00483E84"/>
    <w:rsid w:val="00484B9B"/>
    <w:rsid w:val="004855F6"/>
    <w:rsid w:val="0048661E"/>
    <w:rsid w:val="00490E99"/>
    <w:rsid w:val="00494670"/>
    <w:rsid w:val="0049720D"/>
    <w:rsid w:val="004A20D5"/>
    <w:rsid w:val="004A372B"/>
    <w:rsid w:val="004A3823"/>
    <w:rsid w:val="004B2CAE"/>
    <w:rsid w:val="004B2F9A"/>
    <w:rsid w:val="004C09FF"/>
    <w:rsid w:val="004C539F"/>
    <w:rsid w:val="004C58D9"/>
    <w:rsid w:val="004D1097"/>
    <w:rsid w:val="004D6DBF"/>
    <w:rsid w:val="004E1FCB"/>
    <w:rsid w:val="004E6946"/>
    <w:rsid w:val="004E74F8"/>
    <w:rsid w:val="004F1AD8"/>
    <w:rsid w:val="004F3A92"/>
    <w:rsid w:val="004F49C8"/>
    <w:rsid w:val="004F683D"/>
    <w:rsid w:val="004F7E51"/>
    <w:rsid w:val="005025A8"/>
    <w:rsid w:val="005039CB"/>
    <w:rsid w:val="0050558F"/>
    <w:rsid w:val="00506286"/>
    <w:rsid w:val="0050656D"/>
    <w:rsid w:val="00506863"/>
    <w:rsid w:val="00510813"/>
    <w:rsid w:val="00511990"/>
    <w:rsid w:val="00511DE0"/>
    <w:rsid w:val="00512CEC"/>
    <w:rsid w:val="00514870"/>
    <w:rsid w:val="00514B9B"/>
    <w:rsid w:val="00517F02"/>
    <w:rsid w:val="00524303"/>
    <w:rsid w:val="005258A2"/>
    <w:rsid w:val="00525BFC"/>
    <w:rsid w:val="00532645"/>
    <w:rsid w:val="005401AE"/>
    <w:rsid w:val="005429FF"/>
    <w:rsid w:val="00542E07"/>
    <w:rsid w:val="005439CA"/>
    <w:rsid w:val="00545424"/>
    <w:rsid w:val="0054639E"/>
    <w:rsid w:val="00550035"/>
    <w:rsid w:val="00550B2A"/>
    <w:rsid w:val="00554A7B"/>
    <w:rsid w:val="0055572C"/>
    <w:rsid w:val="0056106A"/>
    <w:rsid w:val="00566926"/>
    <w:rsid w:val="005701B8"/>
    <w:rsid w:val="00571545"/>
    <w:rsid w:val="005720AE"/>
    <w:rsid w:val="0057574E"/>
    <w:rsid w:val="00575A15"/>
    <w:rsid w:val="00594D77"/>
    <w:rsid w:val="005969E4"/>
    <w:rsid w:val="00596B37"/>
    <w:rsid w:val="005A06B7"/>
    <w:rsid w:val="005A1759"/>
    <w:rsid w:val="005A445A"/>
    <w:rsid w:val="005A68A7"/>
    <w:rsid w:val="005B2C71"/>
    <w:rsid w:val="005C312A"/>
    <w:rsid w:val="005C3360"/>
    <w:rsid w:val="005C6A2A"/>
    <w:rsid w:val="005C7374"/>
    <w:rsid w:val="005D35E2"/>
    <w:rsid w:val="005D36AB"/>
    <w:rsid w:val="005F3E4E"/>
    <w:rsid w:val="005F6795"/>
    <w:rsid w:val="00600D19"/>
    <w:rsid w:val="006032AC"/>
    <w:rsid w:val="00603F75"/>
    <w:rsid w:val="00607929"/>
    <w:rsid w:val="00613060"/>
    <w:rsid w:val="00617CC3"/>
    <w:rsid w:val="00620BE4"/>
    <w:rsid w:val="006227C9"/>
    <w:rsid w:val="00625549"/>
    <w:rsid w:val="00626E41"/>
    <w:rsid w:val="006377A6"/>
    <w:rsid w:val="00637A3D"/>
    <w:rsid w:val="006411EF"/>
    <w:rsid w:val="00650DCA"/>
    <w:rsid w:val="0065103A"/>
    <w:rsid w:val="00651DA4"/>
    <w:rsid w:val="00652029"/>
    <w:rsid w:val="00655F59"/>
    <w:rsid w:val="00670717"/>
    <w:rsid w:val="0067314F"/>
    <w:rsid w:val="006748B8"/>
    <w:rsid w:val="006775C3"/>
    <w:rsid w:val="00686FE2"/>
    <w:rsid w:val="00692751"/>
    <w:rsid w:val="0069290A"/>
    <w:rsid w:val="00696DF3"/>
    <w:rsid w:val="0069775A"/>
    <w:rsid w:val="00697813"/>
    <w:rsid w:val="00697F1D"/>
    <w:rsid w:val="006A2DAD"/>
    <w:rsid w:val="006A3EE8"/>
    <w:rsid w:val="006A522C"/>
    <w:rsid w:val="006A59A3"/>
    <w:rsid w:val="006A5F93"/>
    <w:rsid w:val="006A72BF"/>
    <w:rsid w:val="006B03F2"/>
    <w:rsid w:val="006B0EC4"/>
    <w:rsid w:val="006B37DC"/>
    <w:rsid w:val="006B4F68"/>
    <w:rsid w:val="006C0592"/>
    <w:rsid w:val="006C272E"/>
    <w:rsid w:val="006C2D3C"/>
    <w:rsid w:val="006C5479"/>
    <w:rsid w:val="006C6595"/>
    <w:rsid w:val="006D13B5"/>
    <w:rsid w:val="006D39CF"/>
    <w:rsid w:val="006D4046"/>
    <w:rsid w:val="006D690B"/>
    <w:rsid w:val="006E12FF"/>
    <w:rsid w:val="006E607E"/>
    <w:rsid w:val="006E6D9F"/>
    <w:rsid w:val="006F13BC"/>
    <w:rsid w:val="006F1467"/>
    <w:rsid w:val="006F2558"/>
    <w:rsid w:val="006F4C43"/>
    <w:rsid w:val="006F5A43"/>
    <w:rsid w:val="006F7315"/>
    <w:rsid w:val="00700F4B"/>
    <w:rsid w:val="00705CF1"/>
    <w:rsid w:val="00706C5D"/>
    <w:rsid w:val="007079A6"/>
    <w:rsid w:val="007201A9"/>
    <w:rsid w:val="00721540"/>
    <w:rsid w:val="007256DA"/>
    <w:rsid w:val="00732922"/>
    <w:rsid w:val="00742AA9"/>
    <w:rsid w:val="00747C27"/>
    <w:rsid w:val="0075162E"/>
    <w:rsid w:val="00754034"/>
    <w:rsid w:val="00756556"/>
    <w:rsid w:val="007577FF"/>
    <w:rsid w:val="0076136F"/>
    <w:rsid w:val="007618C4"/>
    <w:rsid w:val="00767980"/>
    <w:rsid w:val="00770B19"/>
    <w:rsid w:val="0077463F"/>
    <w:rsid w:val="00775E8F"/>
    <w:rsid w:val="007836EA"/>
    <w:rsid w:val="00784CDA"/>
    <w:rsid w:val="00787DBE"/>
    <w:rsid w:val="007906C4"/>
    <w:rsid w:val="007940EA"/>
    <w:rsid w:val="007967E8"/>
    <w:rsid w:val="007A2170"/>
    <w:rsid w:val="007A22BF"/>
    <w:rsid w:val="007A3323"/>
    <w:rsid w:val="007A38D0"/>
    <w:rsid w:val="007A5872"/>
    <w:rsid w:val="007A68C3"/>
    <w:rsid w:val="007B0131"/>
    <w:rsid w:val="007B0877"/>
    <w:rsid w:val="007B5000"/>
    <w:rsid w:val="007B72B8"/>
    <w:rsid w:val="007B7A58"/>
    <w:rsid w:val="007C21B5"/>
    <w:rsid w:val="007C50D1"/>
    <w:rsid w:val="007C56E3"/>
    <w:rsid w:val="007D08CF"/>
    <w:rsid w:val="007D13BA"/>
    <w:rsid w:val="007D4807"/>
    <w:rsid w:val="007D7622"/>
    <w:rsid w:val="007E30E8"/>
    <w:rsid w:val="007E4BD2"/>
    <w:rsid w:val="007E6971"/>
    <w:rsid w:val="007E6F08"/>
    <w:rsid w:val="007F10EC"/>
    <w:rsid w:val="007F28C6"/>
    <w:rsid w:val="007F3D99"/>
    <w:rsid w:val="007F5E2D"/>
    <w:rsid w:val="00801393"/>
    <w:rsid w:val="00802F88"/>
    <w:rsid w:val="00806F23"/>
    <w:rsid w:val="00811402"/>
    <w:rsid w:val="0081293E"/>
    <w:rsid w:val="00815465"/>
    <w:rsid w:val="0081587E"/>
    <w:rsid w:val="00817E9A"/>
    <w:rsid w:val="00820ADD"/>
    <w:rsid w:val="008306BD"/>
    <w:rsid w:val="00831A80"/>
    <w:rsid w:val="00833743"/>
    <w:rsid w:val="008340A4"/>
    <w:rsid w:val="00836ED8"/>
    <w:rsid w:val="00843430"/>
    <w:rsid w:val="0084537D"/>
    <w:rsid w:val="00845450"/>
    <w:rsid w:val="00852BC1"/>
    <w:rsid w:val="00856A39"/>
    <w:rsid w:val="00857729"/>
    <w:rsid w:val="008631D9"/>
    <w:rsid w:val="0086509C"/>
    <w:rsid w:val="008671CC"/>
    <w:rsid w:val="0087135F"/>
    <w:rsid w:val="00872D94"/>
    <w:rsid w:val="00880364"/>
    <w:rsid w:val="00886DAF"/>
    <w:rsid w:val="00891592"/>
    <w:rsid w:val="00891E9E"/>
    <w:rsid w:val="00893D25"/>
    <w:rsid w:val="00897ACE"/>
    <w:rsid w:val="008A2B48"/>
    <w:rsid w:val="008A2F68"/>
    <w:rsid w:val="008A7AFE"/>
    <w:rsid w:val="008B0CD3"/>
    <w:rsid w:val="008B341F"/>
    <w:rsid w:val="008B4BDB"/>
    <w:rsid w:val="008B4FA6"/>
    <w:rsid w:val="008B5282"/>
    <w:rsid w:val="008B606F"/>
    <w:rsid w:val="008B7C17"/>
    <w:rsid w:val="008C10A1"/>
    <w:rsid w:val="008C1C81"/>
    <w:rsid w:val="008C2D01"/>
    <w:rsid w:val="008C38DC"/>
    <w:rsid w:val="008C40E6"/>
    <w:rsid w:val="008D0F7A"/>
    <w:rsid w:val="008D1FF6"/>
    <w:rsid w:val="008D4742"/>
    <w:rsid w:val="008D68E4"/>
    <w:rsid w:val="008E0506"/>
    <w:rsid w:val="008E0CFF"/>
    <w:rsid w:val="008E2ED7"/>
    <w:rsid w:val="008E5D6B"/>
    <w:rsid w:val="008E6C51"/>
    <w:rsid w:val="008E737D"/>
    <w:rsid w:val="008E76F0"/>
    <w:rsid w:val="008F15FE"/>
    <w:rsid w:val="008F2D29"/>
    <w:rsid w:val="008F5187"/>
    <w:rsid w:val="008F60D8"/>
    <w:rsid w:val="00902727"/>
    <w:rsid w:val="0090312B"/>
    <w:rsid w:val="009109E3"/>
    <w:rsid w:val="009112A0"/>
    <w:rsid w:val="00913D2D"/>
    <w:rsid w:val="00915674"/>
    <w:rsid w:val="0091736D"/>
    <w:rsid w:val="0092365D"/>
    <w:rsid w:val="0093037A"/>
    <w:rsid w:val="00930C7E"/>
    <w:rsid w:val="00936032"/>
    <w:rsid w:val="0094154D"/>
    <w:rsid w:val="009421FD"/>
    <w:rsid w:val="00946396"/>
    <w:rsid w:val="009507D5"/>
    <w:rsid w:val="00950CD5"/>
    <w:rsid w:val="0095155F"/>
    <w:rsid w:val="00952DC8"/>
    <w:rsid w:val="00954429"/>
    <w:rsid w:val="009563CE"/>
    <w:rsid w:val="009568C1"/>
    <w:rsid w:val="0096218D"/>
    <w:rsid w:val="009623BF"/>
    <w:rsid w:val="00962771"/>
    <w:rsid w:val="00976328"/>
    <w:rsid w:val="0097680D"/>
    <w:rsid w:val="00982438"/>
    <w:rsid w:val="0098404C"/>
    <w:rsid w:val="00985283"/>
    <w:rsid w:val="009900DB"/>
    <w:rsid w:val="0099065C"/>
    <w:rsid w:val="00995992"/>
    <w:rsid w:val="009A03E5"/>
    <w:rsid w:val="009A0F3B"/>
    <w:rsid w:val="009A13B3"/>
    <w:rsid w:val="009A1BB4"/>
    <w:rsid w:val="009A2628"/>
    <w:rsid w:val="009A3200"/>
    <w:rsid w:val="009B0897"/>
    <w:rsid w:val="009B26AF"/>
    <w:rsid w:val="009B418A"/>
    <w:rsid w:val="009B4D53"/>
    <w:rsid w:val="009B7BD9"/>
    <w:rsid w:val="009C323A"/>
    <w:rsid w:val="009C3DC5"/>
    <w:rsid w:val="009C7DD5"/>
    <w:rsid w:val="009D0AE7"/>
    <w:rsid w:val="009D6909"/>
    <w:rsid w:val="009E0665"/>
    <w:rsid w:val="009E227D"/>
    <w:rsid w:val="009E5019"/>
    <w:rsid w:val="009F26B7"/>
    <w:rsid w:val="009F4465"/>
    <w:rsid w:val="009F7ACE"/>
    <w:rsid w:val="00A0113B"/>
    <w:rsid w:val="00A04AC3"/>
    <w:rsid w:val="00A04F1B"/>
    <w:rsid w:val="00A0501B"/>
    <w:rsid w:val="00A14947"/>
    <w:rsid w:val="00A212B3"/>
    <w:rsid w:val="00A2295C"/>
    <w:rsid w:val="00A256CB"/>
    <w:rsid w:val="00A303AB"/>
    <w:rsid w:val="00A32A83"/>
    <w:rsid w:val="00A351DC"/>
    <w:rsid w:val="00A368DB"/>
    <w:rsid w:val="00A423AA"/>
    <w:rsid w:val="00A4381D"/>
    <w:rsid w:val="00A46F10"/>
    <w:rsid w:val="00A53EC6"/>
    <w:rsid w:val="00A54088"/>
    <w:rsid w:val="00A55C0F"/>
    <w:rsid w:val="00A575E7"/>
    <w:rsid w:val="00A62A17"/>
    <w:rsid w:val="00A63A2F"/>
    <w:rsid w:val="00A6443A"/>
    <w:rsid w:val="00A6638B"/>
    <w:rsid w:val="00A808C8"/>
    <w:rsid w:val="00A82526"/>
    <w:rsid w:val="00A86587"/>
    <w:rsid w:val="00A8713F"/>
    <w:rsid w:val="00A87A7E"/>
    <w:rsid w:val="00A90BA1"/>
    <w:rsid w:val="00A91E2C"/>
    <w:rsid w:val="00A9336C"/>
    <w:rsid w:val="00A97A9A"/>
    <w:rsid w:val="00AA0671"/>
    <w:rsid w:val="00AA0BD6"/>
    <w:rsid w:val="00AA1DCF"/>
    <w:rsid w:val="00AA2531"/>
    <w:rsid w:val="00AA6964"/>
    <w:rsid w:val="00AB1E09"/>
    <w:rsid w:val="00AB5330"/>
    <w:rsid w:val="00AB7747"/>
    <w:rsid w:val="00AC14CE"/>
    <w:rsid w:val="00AC2A56"/>
    <w:rsid w:val="00AC6F4F"/>
    <w:rsid w:val="00AD055E"/>
    <w:rsid w:val="00AD1190"/>
    <w:rsid w:val="00AD227F"/>
    <w:rsid w:val="00AD47A7"/>
    <w:rsid w:val="00AD55CC"/>
    <w:rsid w:val="00AD7AB1"/>
    <w:rsid w:val="00AE1419"/>
    <w:rsid w:val="00AE19D5"/>
    <w:rsid w:val="00AF0CBF"/>
    <w:rsid w:val="00AF257F"/>
    <w:rsid w:val="00AF33CF"/>
    <w:rsid w:val="00AF4D50"/>
    <w:rsid w:val="00AF53CA"/>
    <w:rsid w:val="00AF5FB2"/>
    <w:rsid w:val="00AF6179"/>
    <w:rsid w:val="00B00848"/>
    <w:rsid w:val="00B018C9"/>
    <w:rsid w:val="00B024F0"/>
    <w:rsid w:val="00B1252E"/>
    <w:rsid w:val="00B1295A"/>
    <w:rsid w:val="00B156C4"/>
    <w:rsid w:val="00B20A45"/>
    <w:rsid w:val="00B22C5C"/>
    <w:rsid w:val="00B23241"/>
    <w:rsid w:val="00B242EB"/>
    <w:rsid w:val="00B24F30"/>
    <w:rsid w:val="00B25D14"/>
    <w:rsid w:val="00B26803"/>
    <w:rsid w:val="00B26B84"/>
    <w:rsid w:val="00B303B4"/>
    <w:rsid w:val="00B31ABF"/>
    <w:rsid w:val="00B329B4"/>
    <w:rsid w:val="00B33BE3"/>
    <w:rsid w:val="00B35227"/>
    <w:rsid w:val="00B366AD"/>
    <w:rsid w:val="00B44BB8"/>
    <w:rsid w:val="00B46157"/>
    <w:rsid w:val="00B479CA"/>
    <w:rsid w:val="00B53B5D"/>
    <w:rsid w:val="00B6055E"/>
    <w:rsid w:val="00B6317D"/>
    <w:rsid w:val="00B646CF"/>
    <w:rsid w:val="00B71D57"/>
    <w:rsid w:val="00B76361"/>
    <w:rsid w:val="00B7723F"/>
    <w:rsid w:val="00B80534"/>
    <w:rsid w:val="00B8433C"/>
    <w:rsid w:val="00B87491"/>
    <w:rsid w:val="00B937D8"/>
    <w:rsid w:val="00B9695C"/>
    <w:rsid w:val="00BA2843"/>
    <w:rsid w:val="00BA29E9"/>
    <w:rsid w:val="00BA541C"/>
    <w:rsid w:val="00BA7142"/>
    <w:rsid w:val="00BA7C56"/>
    <w:rsid w:val="00BB237C"/>
    <w:rsid w:val="00BB41A3"/>
    <w:rsid w:val="00BC1D4E"/>
    <w:rsid w:val="00BC32DC"/>
    <w:rsid w:val="00BC35B6"/>
    <w:rsid w:val="00BC43F2"/>
    <w:rsid w:val="00BC6EC6"/>
    <w:rsid w:val="00BD0DE4"/>
    <w:rsid w:val="00BD1B51"/>
    <w:rsid w:val="00BD204F"/>
    <w:rsid w:val="00BD4596"/>
    <w:rsid w:val="00BD631A"/>
    <w:rsid w:val="00BE1405"/>
    <w:rsid w:val="00BE312D"/>
    <w:rsid w:val="00BF04E5"/>
    <w:rsid w:val="00BF1C20"/>
    <w:rsid w:val="00BF4062"/>
    <w:rsid w:val="00BF69A5"/>
    <w:rsid w:val="00C0002B"/>
    <w:rsid w:val="00C03A98"/>
    <w:rsid w:val="00C03E25"/>
    <w:rsid w:val="00C05027"/>
    <w:rsid w:val="00C10578"/>
    <w:rsid w:val="00C10633"/>
    <w:rsid w:val="00C123B2"/>
    <w:rsid w:val="00C135BC"/>
    <w:rsid w:val="00C15C95"/>
    <w:rsid w:val="00C242FB"/>
    <w:rsid w:val="00C2596A"/>
    <w:rsid w:val="00C26213"/>
    <w:rsid w:val="00C27537"/>
    <w:rsid w:val="00C27F3C"/>
    <w:rsid w:val="00C30F69"/>
    <w:rsid w:val="00C328FE"/>
    <w:rsid w:val="00C33507"/>
    <w:rsid w:val="00C33579"/>
    <w:rsid w:val="00C34E85"/>
    <w:rsid w:val="00C4409D"/>
    <w:rsid w:val="00C44E72"/>
    <w:rsid w:val="00C45A06"/>
    <w:rsid w:val="00C47E5B"/>
    <w:rsid w:val="00C61E4B"/>
    <w:rsid w:val="00C64BFF"/>
    <w:rsid w:val="00C6668F"/>
    <w:rsid w:val="00C704E9"/>
    <w:rsid w:val="00C72E47"/>
    <w:rsid w:val="00C763C9"/>
    <w:rsid w:val="00C80057"/>
    <w:rsid w:val="00C81127"/>
    <w:rsid w:val="00C8207C"/>
    <w:rsid w:val="00C82232"/>
    <w:rsid w:val="00C82913"/>
    <w:rsid w:val="00C91DC1"/>
    <w:rsid w:val="00C93969"/>
    <w:rsid w:val="00C9653E"/>
    <w:rsid w:val="00C972B1"/>
    <w:rsid w:val="00C973E7"/>
    <w:rsid w:val="00CA2CCE"/>
    <w:rsid w:val="00CA43FD"/>
    <w:rsid w:val="00CA5FD2"/>
    <w:rsid w:val="00CA7048"/>
    <w:rsid w:val="00CA7D0F"/>
    <w:rsid w:val="00CA7EF8"/>
    <w:rsid w:val="00CB135B"/>
    <w:rsid w:val="00CB5612"/>
    <w:rsid w:val="00CB5E66"/>
    <w:rsid w:val="00CB6E65"/>
    <w:rsid w:val="00CC2BD1"/>
    <w:rsid w:val="00CC489B"/>
    <w:rsid w:val="00CC5F5F"/>
    <w:rsid w:val="00CC6E46"/>
    <w:rsid w:val="00CD1D95"/>
    <w:rsid w:val="00CD2BCD"/>
    <w:rsid w:val="00CD2E37"/>
    <w:rsid w:val="00CD3A4C"/>
    <w:rsid w:val="00CE10E9"/>
    <w:rsid w:val="00CE2910"/>
    <w:rsid w:val="00CE5393"/>
    <w:rsid w:val="00CE651B"/>
    <w:rsid w:val="00CE7296"/>
    <w:rsid w:val="00CE7B5B"/>
    <w:rsid w:val="00CF36BE"/>
    <w:rsid w:val="00CF48FF"/>
    <w:rsid w:val="00CF6000"/>
    <w:rsid w:val="00D003F3"/>
    <w:rsid w:val="00D01690"/>
    <w:rsid w:val="00D0364F"/>
    <w:rsid w:val="00D04177"/>
    <w:rsid w:val="00D06834"/>
    <w:rsid w:val="00D14C0A"/>
    <w:rsid w:val="00D15C46"/>
    <w:rsid w:val="00D308ED"/>
    <w:rsid w:val="00D34363"/>
    <w:rsid w:val="00D3468F"/>
    <w:rsid w:val="00D34AE4"/>
    <w:rsid w:val="00D36477"/>
    <w:rsid w:val="00D36D86"/>
    <w:rsid w:val="00D40122"/>
    <w:rsid w:val="00D4050E"/>
    <w:rsid w:val="00D428AA"/>
    <w:rsid w:val="00D42BA8"/>
    <w:rsid w:val="00D42F66"/>
    <w:rsid w:val="00D50A34"/>
    <w:rsid w:val="00D52BB9"/>
    <w:rsid w:val="00D53EFA"/>
    <w:rsid w:val="00D55190"/>
    <w:rsid w:val="00D65405"/>
    <w:rsid w:val="00D734ED"/>
    <w:rsid w:val="00D80221"/>
    <w:rsid w:val="00D8363F"/>
    <w:rsid w:val="00D84A06"/>
    <w:rsid w:val="00D9231E"/>
    <w:rsid w:val="00D94A7C"/>
    <w:rsid w:val="00D95896"/>
    <w:rsid w:val="00DA0C80"/>
    <w:rsid w:val="00DA2F56"/>
    <w:rsid w:val="00DA397A"/>
    <w:rsid w:val="00DB2983"/>
    <w:rsid w:val="00DB7BE6"/>
    <w:rsid w:val="00DC1257"/>
    <w:rsid w:val="00DC2C60"/>
    <w:rsid w:val="00DC3DC0"/>
    <w:rsid w:val="00DC5B2B"/>
    <w:rsid w:val="00DD2FA9"/>
    <w:rsid w:val="00DD318D"/>
    <w:rsid w:val="00DD4327"/>
    <w:rsid w:val="00DD571E"/>
    <w:rsid w:val="00DE12B3"/>
    <w:rsid w:val="00DF0179"/>
    <w:rsid w:val="00DF2E12"/>
    <w:rsid w:val="00DF514A"/>
    <w:rsid w:val="00DF6690"/>
    <w:rsid w:val="00DF6804"/>
    <w:rsid w:val="00DF7DFF"/>
    <w:rsid w:val="00E0358D"/>
    <w:rsid w:val="00E04323"/>
    <w:rsid w:val="00E070A2"/>
    <w:rsid w:val="00E14AC8"/>
    <w:rsid w:val="00E157BF"/>
    <w:rsid w:val="00E17A12"/>
    <w:rsid w:val="00E2656A"/>
    <w:rsid w:val="00E33557"/>
    <w:rsid w:val="00E412D0"/>
    <w:rsid w:val="00E415AF"/>
    <w:rsid w:val="00E53653"/>
    <w:rsid w:val="00E53CB1"/>
    <w:rsid w:val="00E56322"/>
    <w:rsid w:val="00E57B89"/>
    <w:rsid w:val="00E60982"/>
    <w:rsid w:val="00E62083"/>
    <w:rsid w:val="00E62C62"/>
    <w:rsid w:val="00E652BA"/>
    <w:rsid w:val="00E654C1"/>
    <w:rsid w:val="00E65D97"/>
    <w:rsid w:val="00E720F2"/>
    <w:rsid w:val="00E7242D"/>
    <w:rsid w:val="00E72A5A"/>
    <w:rsid w:val="00E73354"/>
    <w:rsid w:val="00E7588F"/>
    <w:rsid w:val="00E76714"/>
    <w:rsid w:val="00E80311"/>
    <w:rsid w:val="00E8280E"/>
    <w:rsid w:val="00E834F4"/>
    <w:rsid w:val="00E838DC"/>
    <w:rsid w:val="00E8402A"/>
    <w:rsid w:val="00E85C01"/>
    <w:rsid w:val="00E87EB0"/>
    <w:rsid w:val="00E9242D"/>
    <w:rsid w:val="00E97E26"/>
    <w:rsid w:val="00EA24EA"/>
    <w:rsid w:val="00EA5E46"/>
    <w:rsid w:val="00EB02DB"/>
    <w:rsid w:val="00EB07DD"/>
    <w:rsid w:val="00EB27D1"/>
    <w:rsid w:val="00EB5255"/>
    <w:rsid w:val="00EB5C47"/>
    <w:rsid w:val="00EC3D07"/>
    <w:rsid w:val="00EC5AB1"/>
    <w:rsid w:val="00ED0639"/>
    <w:rsid w:val="00ED4ED7"/>
    <w:rsid w:val="00EE07FE"/>
    <w:rsid w:val="00EF1F02"/>
    <w:rsid w:val="00EF4755"/>
    <w:rsid w:val="00EF6594"/>
    <w:rsid w:val="00EF7135"/>
    <w:rsid w:val="00F027DB"/>
    <w:rsid w:val="00F0631A"/>
    <w:rsid w:val="00F074D4"/>
    <w:rsid w:val="00F14A7A"/>
    <w:rsid w:val="00F15030"/>
    <w:rsid w:val="00F2150A"/>
    <w:rsid w:val="00F22111"/>
    <w:rsid w:val="00F22985"/>
    <w:rsid w:val="00F2587C"/>
    <w:rsid w:val="00F26431"/>
    <w:rsid w:val="00F279D4"/>
    <w:rsid w:val="00F3383E"/>
    <w:rsid w:val="00F3707A"/>
    <w:rsid w:val="00F414E9"/>
    <w:rsid w:val="00F465A7"/>
    <w:rsid w:val="00F50B7C"/>
    <w:rsid w:val="00F54307"/>
    <w:rsid w:val="00F550E6"/>
    <w:rsid w:val="00F6076F"/>
    <w:rsid w:val="00F608A9"/>
    <w:rsid w:val="00F6578F"/>
    <w:rsid w:val="00F701F3"/>
    <w:rsid w:val="00F734EC"/>
    <w:rsid w:val="00F74345"/>
    <w:rsid w:val="00F74E61"/>
    <w:rsid w:val="00F80A0A"/>
    <w:rsid w:val="00F82B19"/>
    <w:rsid w:val="00F863D3"/>
    <w:rsid w:val="00F90AA0"/>
    <w:rsid w:val="00F9212D"/>
    <w:rsid w:val="00F965DA"/>
    <w:rsid w:val="00FA3197"/>
    <w:rsid w:val="00FA406A"/>
    <w:rsid w:val="00FA57DF"/>
    <w:rsid w:val="00FB13CC"/>
    <w:rsid w:val="00FB503A"/>
    <w:rsid w:val="00FB516C"/>
    <w:rsid w:val="00FB521D"/>
    <w:rsid w:val="00FB588E"/>
    <w:rsid w:val="00FC5DEB"/>
    <w:rsid w:val="00FD0236"/>
    <w:rsid w:val="00FD18F4"/>
    <w:rsid w:val="00FD2B56"/>
    <w:rsid w:val="00FD54DB"/>
    <w:rsid w:val="00FD619F"/>
    <w:rsid w:val="00FF5262"/>
    <w:rsid w:val="01214875"/>
    <w:rsid w:val="01290F7E"/>
    <w:rsid w:val="013C67B8"/>
    <w:rsid w:val="01467BAD"/>
    <w:rsid w:val="015D1E09"/>
    <w:rsid w:val="02697903"/>
    <w:rsid w:val="026E2BDA"/>
    <w:rsid w:val="029D33DC"/>
    <w:rsid w:val="02B11C6C"/>
    <w:rsid w:val="02F96569"/>
    <w:rsid w:val="033C25BE"/>
    <w:rsid w:val="03EA7B21"/>
    <w:rsid w:val="04155F9E"/>
    <w:rsid w:val="049156C7"/>
    <w:rsid w:val="04F70DFE"/>
    <w:rsid w:val="050470A8"/>
    <w:rsid w:val="052F01ED"/>
    <w:rsid w:val="05A4392C"/>
    <w:rsid w:val="05F83EAE"/>
    <w:rsid w:val="063E7D85"/>
    <w:rsid w:val="06D00C65"/>
    <w:rsid w:val="06EA101E"/>
    <w:rsid w:val="07293586"/>
    <w:rsid w:val="07295285"/>
    <w:rsid w:val="072D11D3"/>
    <w:rsid w:val="07636392"/>
    <w:rsid w:val="07731858"/>
    <w:rsid w:val="07770C56"/>
    <w:rsid w:val="08370860"/>
    <w:rsid w:val="092217DD"/>
    <w:rsid w:val="093A7294"/>
    <w:rsid w:val="097A6225"/>
    <w:rsid w:val="099E29BF"/>
    <w:rsid w:val="09A41E7D"/>
    <w:rsid w:val="09F9205B"/>
    <w:rsid w:val="09FF30B4"/>
    <w:rsid w:val="0A263993"/>
    <w:rsid w:val="0A293ADA"/>
    <w:rsid w:val="0A2D3AC2"/>
    <w:rsid w:val="0AA755DF"/>
    <w:rsid w:val="0AAB3B77"/>
    <w:rsid w:val="0ABC5548"/>
    <w:rsid w:val="0AF10769"/>
    <w:rsid w:val="0AFC7F00"/>
    <w:rsid w:val="0B02681E"/>
    <w:rsid w:val="0B120D44"/>
    <w:rsid w:val="0B216986"/>
    <w:rsid w:val="0B931032"/>
    <w:rsid w:val="0BD27BF6"/>
    <w:rsid w:val="0C3B3C7D"/>
    <w:rsid w:val="0CAB2EAE"/>
    <w:rsid w:val="0CC04466"/>
    <w:rsid w:val="0D621C7D"/>
    <w:rsid w:val="0DB7069E"/>
    <w:rsid w:val="0E73034D"/>
    <w:rsid w:val="0ED80D13"/>
    <w:rsid w:val="0F13775A"/>
    <w:rsid w:val="0F147B9B"/>
    <w:rsid w:val="0F3C60B7"/>
    <w:rsid w:val="0F3F3B1F"/>
    <w:rsid w:val="0F5F45FE"/>
    <w:rsid w:val="0F7554C5"/>
    <w:rsid w:val="0F9A112B"/>
    <w:rsid w:val="0FF0369F"/>
    <w:rsid w:val="106D2F64"/>
    <w:rsid w:val="10B63710"/>
    <w:rsid w:val="10F10820"/>
    <w:rsid w:val="111C2F7A"/>
    <w:rsid w:val="1129346C"/>
    <w:rsid w:val="115A5332"/>
    <w:rsid w:val="11665CA1"/>
    <w:rsid w:val="11DD5C55"/>
    <w:rsid w:val="12D63DAF"/>
    <w:rsid w:val="12EE0384"/>
    <w:rsid w:val="12FC5EFD"/>
    <w:rsid w:val="131735FC"/>
    <w:rsid w:val="132C0590"/>
    <w:rsid w:val="13951726"/>
    <w:rsid w:val="13AC347F"/>
    <w:rsid w:val="14396509"/>
    <w:rsid w:val="14DD2C3C"/>
    <w:rsid w:val="155411D4"/>
    <w:rsid w:val="15D1541F"/>
    <w:rsid w:val="16087E1D"/>
    <w:rsid w:val="162714E3"/>
    <w:rsid w:val="164D0F49"/>
    <w:rsid w:val="166B4ED2"/>
    <w:rsid w:val="169E6BB7"/>
    <w:rsid w:val="16BF55BE"/>
    <w:rsid w:val="17263548"/>
    <w:rsid w:val="173157BB"/>
    <w:rsid w:val="17383CB0"/>
    <w:rsid w:val="174D62B3"/>
    <w:rsid w:val="176E6C2B"/>
    <w:rsid w:val="17701D14"/>
    <w:rsid w:val="17735226"/>
    <w:rsid w:val="17D66D1D"/>
    <w:rsid w:val="17E256C1"/>
    <w:rsid w:val="17EE22B8"/>
    <w:rsid w:val="18835106"/>
    <w:rsid w:val="189F624C"/>
    <w:rsid w:val="18DD79F6"/>
    <w:rsid w:val="19B776CF"/>
    <w:rsid w:val="1A121609"/>
    <w:rsid w:val="1A1C66C0"/>
    <w:rsid w:val="1A42393B"/>
    <w:rsid w:val="1A5F2FF9"/>
    <w:rsid w:val="1A91517D"/>
    <w:rsid w:val="1A9D18B1"/>
    <w:rsid w:val="1AAD45DE"/>
    <w:rsid w:val="1B046F80"/>
    <w:rsid w:val="1B3267B5"/>
    <w:rsid w:val="1B40161D"/>
    <w:rsid w:val="1B441859"/>
    <w:rsid w:val="1B6606B1"/>
    <w:rsid w:val="1BCA41C0"/>
    <w:rsid w:val="1BCF0CD0"/>
    <w:rsid w:val="1C5D17BA"/>
    <w:rsid w:val="1C5E7925"/>
    <w:rsid w:val="1CA80F29"/>
    <w:rsid w:val="1CD972D0"/>
    <w:rsid w:val="1CFD070F"/>
    <w:rsid w:val="1D2D1FB0"/>
    <w:rsid w:val="1D5F6196"/>
    <w:rsid w:val="1D6132A5"/>
    <w:rsid w:val="1D8E56D5"/>
    <w:rsid w:val="1E7A43DA"/>
    <w:rsid w:val="1E8941B0"/>
    <w:rsid w:val="1ED25D35"/>
    <w:rsid w:val="1EDC7DA8"/>
    <w:rsid w:val="1EE54501"/>
    <w:rsid w:val="1F3507CD"/>
    <w:rsid w:val="1F4B0F08"/>
    <w:rsid w:val="1FE7539E"/>
    <w:rsid w:val="20671BE0"/>
    <w:rsid w:val="20963CB8"/>
    <w:rsid w:val="20A81A1B"/>
    <w:rsid w:val="20B07FB6"/>
    <w:rsid w:val="20B56069"/>
    <w:rsid w:val="20B646FB"/>
    <w:rsid w:val="213B74B1"/>
    <w:rsid w:val="2157110C"/>
    <w:rsid w:val="215A2310"/>
    <w:rsid w:val="217A6BD0"/>
    <w:rsid w:val="21DE318A"/>
    <w:rsid w:val="21EF5B80"/>
    <w:rsid w:val="22194E4C"/>
    <w:rsid w:val="22356D36"/>
    <w:rsid w:val="22576990"/>
    <w:rsid w:val="227E1B67"/>
    <w:rsid w:val="22BF12D0"/>
    <w:rsid w:val="22E61AD1"/>
    <w:rsid w:val="22F12BE6"/>
    <w:rsid w:val="22F47480"/>
    <w:rsid w:val="23DE1C48"/>
    <w:rsid w:val="240210CD"/>
    <w:rsid w:val="244649EB"/>
    <w:rsid w:val="24BF09F7"/>
    <w:rsid w:val="24E72372"/>
    <w:rsid w:val="252D53FE"/>
    <w:rsid w:val="2582657B"/>
    <w:rsid w:val="25EC2D81"/>
    <w:rsid w:val="27113E81"/>
    <w:rsid w:val="2769508D"/>
    <w:rsid w:val="277057A2"/>
    <w:rsid w:val="27E40FE2"/>
    <w:rsid w:val="29206EB8"/>
    <w:rsid w:val="293B7327"/>
    <w:rsid w:val="29595666"/>
    <w:rsid w:val="29874881"/>
    <w:rsid w:val="29E325E0"/>
    <w:rsid w:val="2A452503"/>
    <w:rsid w:val="2A9953CD"/>
    <w:rsid w:val="2AFA2288"/>
    <w:rsid w:val="2B4E0D8A"/>
    <w:rsid w:val="2B5D5F1F"/>
    <w:rsid w:val="2B835EDC"/>
    <w:rsid w:val="2BA936A8"/>
    <w:rsid w:val="2BC65580"/>
    <w:rsid w:val="2C315A5A"/>
    <w:rsid w:val="2C4B1C25"/>
    <w:rsid w:val="2CD340DF"/>
    <w:rsid w:val="2D9E56F5"/>
    <w:rsid w:val="2DA2135E"/>
    <w:rsid w:val="2E2C2004"/>
    <w:rsid w:val="2E667F96"/>
    <w:rsid w:val="2E8226AB"/>
    <w:rsid w:val="2E854597"/>
    <w:rsid w:val="2F5844AB"/>
    <w:rsid w:val="2FD065E6"/>
    <w:rsid w:val="2FD96870"/>
    <w:rsid w:val="2FDE595E"/>
    <w:rsid w:val="30580BC9"/>
    <w:rsid w:val="30676201"/>
    <w:rsid w:val="306D2551"/>
    <w:rsid w:val="30DC4F4C"/>
    <w:rsid w:val="311E2ED7"/>
    <w:rsid w:val="315619EE"/>
    <w:rsid w:val="31592A40"/>
    <w:rsid w:val="315C449C"/>
    <w:rsid w:val="31B82709"/>
    <w:rsid w:val="31C37EBA"/>
    <w:rsid w:val="31C85CEC"/>
    <w:rsid w:val="31D05482"/>
    <w:rsid w:val="31DD71CE"/>
    <w:rsid w:val="32400B34"/>
    <w:rsid w:val="326C736F"/>
    <w:rsid w:val="329B616A"/>
    <w:rsid w:val="329E6876"/>
    <w:rsid w:val="32E92929"/>
    <w:rsid w:val="333015F2"/>
    <w:rsid w:val="33405513"/>
    <w:rsid w:val="334B6320"/>
    <w:rsid w:val="33D934D4"/>
    <w:rsid w:val="33FE2F6A"/>
    <w:rsid w:val="340E07E5"/>
    <w:rsid w:val="34235BF7"/>
    <w:rsid w:val="358C5FA8"/>
    <w:rsid w:val="35957B0E"/>
    <w:rsid w:val="35C15DF1"/>
    <w:rsid w:val="35D63782"/>
    <w:rsid w:val="35DA1C76"/>
    <w:rsid w:val="36074A7F"/>
    <w:rsid w:val="36527A5E"/>
    <w:rsid w:val="36923549"/>
    <w:rsid w:val="36B22DEF"/>
    <w:rsid w:val="36B75FBF"/>
    <w:rsid w:val="36BD0C45"/>
    <w:rsid w:val="374D218B"/>
    <w:rsid w:val="375A5088"/>
    <w:rsid w:val="376A0225"/>
    <w:rsid w:val="37E00298"/>
    <w:rsid w:val="381C20D2"/>
    <w:rsid w:val="38B302F9"/>
    <w:rsid w:val="38F12CD3"/>
    <w:rsid w:val="38F94775"/>
    <w:rsid w:val="392971ED"/>
    <w:rsid w:val="39325651"/>
    <w:rsid w:val="39F350B4"/>
    <w:rsid w:val="3A0D43C8"/>
    <w:rsid w:val="3A872856"/>
    <w:rsid w:val="3B3763D1"/>
    <w:rsid w:val="3B454A6A"/>
    <w:rsid w:val="3B88345B"/>
    <w:rsid w:val="3BCB0097"/>
    <w:rsid w:val="3BE01F8E"/>
    <w:rsid w:val="3C2B21BC"/>
    <w:rsid w:val="3C2F6E1E"/>
    <w:rsid w:val="3C4F64BA"/>
    <w:rsid w:val="3CDA245A"/>
    <w:rsid w:val="3CFB49AC"/>
    <w:rsid w:val="3D177D49"/>
    <w:rsid w:val="3D1E06B7"/>
    <w:rsid w:val="3D345115"/>
    <w:rsid w:val="3D4225DB"/>
    <w:rsid w:val="3D987B84"/>
    <w:rsid w:val="3DB86D41"/>
    <w:rsid w:val="3DCC6348"/>
    <w:rsid w:val="3DEA634E"/>
    <w:rsid w:val="3E650C58"/>
    <w:rsid w:val="3E8C7068"/>
    <w:rsid w:val="3EDA0523"/>
    <w:rsid w:val="3F2E176F"/>
    <w:rsid w:val="3F4F7231"/>
    <w:rsid w:val="3F6D5467"/>
    <w:rsid w:val="3FF83B2F"/>
    <w:rsid w:val="3FFF0C57"/>
    <w:rsid w:val="404D29D9"/>
    <w:rsid w:val="407A6407"/>
    <w:rsid w:val="40F417C2"/>
    <w:rsid w:val="4200449D"/>
    <w:rsid w:val="42383FAC"/>
    <w:rsid w:val="423A3BCC"/>
    <w:rsid w:val="424E57D2"/>
    <w:rsid w:val="42B26C49"/>
    <w:rsid w:val="42DE356B"/>
    <w:rsid w:val="431644DC"/>
    <w:rsid w:val="433724B6"/>
    <w:rsid w:val="433A6FE6"/>
    <w:rsid w:val="43464E59"/>
    <w:rsid w:val="43480868"/>
    <w:rsid w:val="4350713C"/>
    <w:rsid w:val="436653E0"/>
    <w:rsid w:val="43987C6C"/>
    <w:rsid w:val="43C20AA7"/>
    <w:rsid w:val="43C4431A"/>
    <w:rsid w:val="440233EB"/>
    <w:rsid w:val="441030DF"/>
    <w:rsid w:val="446A16AC"/>
    <w:rsid w:val="44B951CC"/>
    <w:rsid w:val="44CD14E0"/>
    <w:rsid w:val="44F20B0B"/>
    <w:rsid w:val="452E5F4C"/>
    <w:rsid w:val="4530632C"/>
    <w:rsid w:val="45612018"/>
    <w:rsid w:val="4588349D"/>
    <w:rsid w:val="458946E9"/>
    <w:rsid w:val="45A47C0E"/>
    <w:rsid w:val="46184D05"/>
    <w:rsid w:val="46577FD6"/>
    <w:rsid w:val="46D955A7"/>
    <w:rsid w:val="470D4E2D"/>
    <w:rsid w:val="47133957"/>
    <w:rsid w:val="471D73DE"/>
    <w:rsid w:val="47A07E0C"/>
    <w:rsid w:val="483F6EFA"/>
    <w:rsid w:val="4870272E"/>
    <w:rsid w:val="489C0178"/>
    <w:rsid w:val="49DB43BD"/>
    <w:rsid w:val="49DC7715"/>
    <w:rsid w:val="4A023139"/>
    <w:rsid w:val="4A0A26D2"/>
    <w:rsid w:val="4A7B576F"/>
    <w:rsid w:val="4AA91EEB"/>
    <w:rsid w:val="4AB20FA4"/>
    <w:rsid w:val="4AF561A9"/>
    <w:rsid w:val="4BC15012"/>
    <w:rsid w:val="4C3639F9"/>
    <w:rsid w:val="4C4A0649"/>
    <w:rsid w:val="4C7E5ECA"/>
    <w:rsid w:val="4C876AA5"/>
    <w:rsid w:val="4D0E00FB"/>
    <w:rsid w:val="4D111EAB"/>
    <w:rsid w:val="4D176606"/>
    <w:rsid w:val="4D2770F7"/>
    <w:rsid w:val="4D4E509F"/>
    <w:rsid w:val="4DCF66F3"/>
    <w:rsid w:val="4DEC4FB0"/>
    <w:rsid w:val="4E075D8A"/>
    <w:rsid w:val="4E197388"/>
    <w:rsid w:val="4E3D6E12"/>
    <w:rsid w:val="4E9D4258"/>
    <w:rsid w:val="4EC00FAD"/>
    <w:rsid w:val="4EEC23A6"/>
    <w:rsid w:val="4F443F90"/>
    <w:rsid w:val="4F845F01"/>
    <w:rsid w:val="4F9843DC"/>
    <w:rsid w:val="4FC62A8C"/>
    <w:rsid w:val="4FE20F0D"/>
    <w:rsid w:val="4FE51552"/>
    <w:rsid w:val="50504C4B"/>
    <w:rsid w:val="509C6E7C"/>
    <w:rsid w:val="51431215"/>
    <w:rsid w:val="5162104E"/>
    <w:rsid w:val="51AC22C1"/>
    <w:rsid w:val="5242120C"/>
    <w:rsid w:val="52C97498"/>
    <w:rsid w:val="52D656C8"/>
    <w:rsid w:val="538D5741"/>
    <w:rsid w:val="53924920"/>
    <w:rsid w:val="53A039CC"/>
    <w:rsid w:val="53A1505A"/>
    <w:rsid w:val="54063E08"/>
    <w:rsid w:val="543437E8"/>
    <w:rsid w:val="5495528E"/>
    <w:rsid w:val="549A28E2"/>
    <w:rsid w:val="54AE60CD"/>
    <w:rsid w:val="54F73313"/>
    <w:rsid w:val="54F80955"/>
    <w:rsid w:val="55287447"/>
    <w:rsid w:val="555170A7"/>
    <w:rsid w:val="5587536D"/>
    <w:rsid w:val="559B174B"/>
    <w:rsid w:val="55CE0CF4"/>
    <w:rsid w:val="562660B3"/>
    <w:rsid w:val="56B22A9C"/>
    <w:rsid w:val="56D71977"/>
    <w:rsid w:val="57B72A76"/>
    <w:rsid w:val="57C3426C"/>
    <w:rsid w:val="57C41EF9"/>
    <w:rsid w:val="57CE1F93"/>
    <w:rsid w:val="57E20032"/>
    <w:rsid w:val="5829146D"/>
    <w:rsid w:val="58507047"/>
    <w:rsid w:val="586E6522"/>
    <w:rsid w:val="588743D1"/>
    <w:rsid w:val="5887701A"/>
    <w:rsid w:val="58CA61B8"/>
    <w:rsid w:val="59C0439F"/>
    <w:rsid w:val="59FE1C9F"/>
    <w:rsid w:val="5A6A2C66"/>
    <w:rsid w:val="5ABE2233"/>
    <w:rsid w:val="5AE44879"/>
    <w:rsid w:val="5B53055A"/>
    <w:rsid w:val="5B65420A"/>
    <w:rsid w:val="5BDF5D95"/>
    <w:rsid w:val="5BFE7528"/>
    <w:rsid w:val="5C1431B0"/>
    <w:rsid w:val="5C1C4C2E"/>
    <w:rsid w:val="5E2467F1"/>
    <w:rsid w:val="5E385608"/>
    <w:rsid w:val="5EAC23E4"/>
    <w:rsid w:val="5EC56831"/>
    <w:rsid w:val="5EEB5F45"/>
    <w:rsid w:val="5F1A2B43"/>
    <w:rsid w:val="5F5F1F5F"/>
    <w:rsid w:val="5F5F84F1"/>
    <w:rsid w:val="5F7F0521"/>
    <w:rsid w:val="5FB837BB"/>
    <w:rsid w:val="5FDB04D8"/>
    <w:rsid w:val="60914033"/>
    <w:rsid w:val="60B17204"/>
    <w:rsid w:val="60CC405A"/>
    <w:rsid w:val="60DF7FBD"/>
    <w:rsid w:val="61B2122D"/>
    <w:rsid w:val="61E215D8"/>
    <w:rsid w:val="61F17F3F"/>
    <w:rsid w:val="621B3775"/>
    <w:rsid w:val="62364782"/>
    <w:rsid w:val="62BB05B6"/>
    <w:rsid w:val="631A51C6"/>
    <w:rsid w:val="6333360B"/>
    <w:rsid w:val="6394356A"/>
    <w:rsid w:val="63A06B51"/>
    <w:rsid w:val="63C61B2C"/>
    <w:rsid w:val="63D40BE9"/>
    <w:rsid w:val="64102431"/>
    <w:rsid w:val="64684CF1"/>
    <w:rsid w:val="649C5533"/>
    <w:rsid w:val="64A5243A"/>
    <w:rsid w:val="64F531DE"/>
    <w:rsid w:val="65373578"/>
    <w:rsid w:val="6556681B"/>
    <w:rsid w:val="65AA16A7"/>
    <w:rsid w:val="65B111EB"/>
    <w:rsid w:val="660D7555"/>
    <w:rsid w:val="665C20B0"/>
    <w:rsid w:val="666176C6"/>
    <w:rsid w:val="671F124A"/>
    <w:rsid w:val="67511925"/>
    <w:rsid w:val="677A33C6"/>
    <w:rsid w:val="67FA5D46"/>
    <w:rsid w:val="6817628E"/>
    <w:rsid w:val="681F6961"/>
    <w:rsid w:val="68610A2F"/>
    <w:rsid w:val="68805514"/>
    <w:rsid w:val="688421AD"/>
    <w:rsid w:val="68C54238"/>
    <w:rsid w:val="68CB18F9"/>
    <w:rsid w:val="69316E2F"/>
    <w:rsid w:val="694E2071"/>
    <w:rsid w:val="69766163"/>
    <w:rsid w:val="697A3B33"/>
    <w:rsid w:val="69A7782D"/>
    <w:rsid w:val="69C24241"/>
    <w:rsid w:val="69C57075"/>
    <w:rsid w:val="69D44760"/>
    <w:rsid w:val="6A143C1A"/>
    <w:rsid w:val="6A520EC7"/>
    <w:rsid w:val="6A675D9A"/>
    <w:rsid w:val="6AA15A0D"/>
    <w:rsid w:val="6AF87E20"/>
    <w:rsid w:val="6B322639"/>
    <w:rsid w:val="6BB62B36"/>
    <w:rsid w:val="6BF12666"/>
    <w:rsid w:val="6BF44AC0"/>
    <w:rsid w:val="6C2D47D6"/>
    <w:rsid w:val="6C5F346D"/>
    <w:rsid w:val="6C636C38"/>
    <w:rsid w:val="6CA43E69"/>
    <w:rsid w:val="6CC51805"/>
    <w:rsid w:val="6DB34098"/>
    <w:rsid w:val="6DB545B6"/>
    <w:rsid w:val="6DD6067B"/>
    <w:rsid w:val="6DE02FB4"/>
    <w:rsid w:val="6E1A6AD8"/>
    <w:rsid w:val="6E514CED"/>
    <w:rsid w:val="6E7F3C61"/>
    <w:rsid w:val="6EB563D5"/>
    <w:rsid w:val="6ED92677"/>
    <w:rsid w:val="6F225983"/>
    <w:rsid w:val="6F9735B3"/>
    <w:rsid w:val="6FFC5590"/>
    <w:rsid w:val="706D1DD0"/>
    <w:rsid w:val="70856B87"/>
    <w:rsid w:val="70916C80"/>
    <w:rsid w:val="70C10EC5"/>
    <w:rsid w:val="70D527EE"/>
    <w:rsid w:val="70E74D85"/>
    <w:rsid w:val="710D6480"/>
    <w:rsid w:val="712F4B55"/>
    <w:rsid w:val="715B5300"/>
    <w:rsid w:val="71C34D91"/>
    <w:rsid w:val="71D27F8A"/>
    <w:rsid w:val="71F367AB"/>
    <w:rsid w:val="72553024"/>
    <w:rsid w:val="73122968"/>
    <w:rsid w:val="731F5D5E"/>
    <w:rsid w:val="73C51AD5"/>
    <w:rsid w:val="741E793C"/>
    <w:rsid w:val="745E3944"/>
    <w:rsid w:val="74736F42"/>
    <w:rsid w:val="7499002B"/>
    <w:rsid w:val="74B85100"/>
    <w:rsid w:val="7510386E"/>
    <w:rsid w:val="75CB4B5C"/>
    <w:rsid w:val="7635099D"/>
    <w:rsid w:val="77762421"/>
    <w:rsid w:val="77B56B1F"/>
    <w:rsid w:val="77DE0D38"/>
    <w:rsid w:val="780F09F4"/>
    <w:rsid w:val="78105060"/>
    <w:rsid w:val="78A90480"/>
    <w:rsid w:val="798340C7"/>
    <w:rsid w:val="79CE4011"/>
    <w:rsid w:val="7A364017"/>
    <w:rsid w:val="7A8265E1"/>
    <w:rsid w:val="7AC65415"/>
    <w:rsid w:val="7AC83418"/>
    <w:rsid w:val="7B66335D"/>
    <w:rsid w:val="7B686D42"/>
    <w:rsid w:val="7B841746"/>
    <w:rsid w:val="7BA16F4C"/>
    <w:rsid w:val="7C0128CD"/>
    <w:rsid w:val="7C4A67DB"/>
    <w:rsid w:val="7C570E0A"/>
    <w:rsid w:val="7C5A12BF"/>
    <w:rsid w:val="7C6C5AC7"/>
    <w:rsid w:val="7CC6544B"/>
    <w:rsid w:val="7CCD2F68"/>
    <w:rsid w:val="7CF57658"/>
    <w:rsid w:val="7D0239FF"/>
    <w:rsid w:val="7D0F532E"/>
    <w:rsid w:val="7D265F3B"/>
    <w:rsid w:val="7D5E40CD"/>
    <w:rsid w:val="7D8A0B8D"/>
    <w:rsid w:val="7DCD56F2"/>
    <w:rsid w:val="7DF20702"/>
    <w:rsid w:val="7F001CE7"/>
    <w:rsid w:val="7F364DF4"/>
    <w:rsid w:val="7FE47E50"/>
    <w:rsid w:val="FC6740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semiHidden="0" w:name="heading 2" w:locked="1"/>
    <w:lsdException w:qFormat="1"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nhideWhenUsed="0" w:uiPriority="0" w:semiHidden="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semiHidden="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qFormat="1" w:unhideWhenUsed="0" w:uiPriority="0" w:semiHidden="0" w:name="Body Text 2" w:locked="1"/>
    <w:lsdException w:unhideWhenUsed="0" w:uiPriority="0" w:semiHidden="0" w:name="Body Text 3" w:locked="1"/>
    <w:lsdException w:unhideWhenUsed="0" w:uiPriority="0" w:semiHidden="0" w:name="Body Text Indent 2" w:locked="1"/>
    <w:lsdException w:unhideWhenUsed="0" w:uiPriority="0" w:semiHidden="0" w:name="Body Text Indent 3" w:locked="1"/>
    <w:lsdException w:unhideWhenUsed="0" w:uiPriority="0" w:semiHidden="0" w:name="Block Text" w:locked="1"/>
    <w:lsdException w:qFormat="1" w:uiPriority="99"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99" w:semiHidden="0" w:name="Plain Text" w:locked="1"/>
    <w:lsdException w:unhideWhenUsed="0" w:uiPriority="0" w:semiHidden="0" w:name="E-mail Signature" w:locked="1"/>
    <w:lsdException w:qFormat="1" w:unhideWhenUsed="0" w:uiPriority="99"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qFormat="1" w:unhideWhenUsed="0" w:uiPriority="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name="Balloon Text"/>
    <w:lsdException w:qFormat="1" w:unhideWhenUsed="0" w:uiPriority="0" w:semiHidden="0" w:name="Table Grid"/>
    <w:lsdException w:uiPriority="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5">
    <w:name w:val="heading 1"/>
    <w:basedOn w:val="1"/>
    <w:next w:val="1"/>
    <w:link w:val="51"/>
    <w:qFormat/>
    <w:locked/>
    <w:uiPriority w:val="99"/>
    <w:pPr>
      <w:keepNext/>
      <w:overflowPunct w:val="0"/>
      <w:snapToGrid w:val="0"/>
      <w:spacing w:line="360" w:lineRule="auto"/>
      <w:outlineLvl w:val="0"/>
    </w:pPr>
    <w:rPr>
      <w:b/>
      <w:bCs/>
      <w:color w:val="000000"/>
      <w:kern w:val="44"/>
      <w:szCs w:val="30"/>
    </w:rPr>
  </w:style>
  <w:style w:type="paragraph" w:styleId="6">
    <w:name w:val="heading 2"/>
    <w:basedOn w:val="1"/>
    <w:next w:val="1"/>
    <w:unhideWhenUsed/>
    <w:qFormat/>
    <w:locked/>
    <w:uiPriority w:val="0"/>
    <w:pPr>
      <w:keepNext/>
      <w:keepLines/>
      <w:spacing w:beforeLines="100" w:afterLines="100" w:line="360" w:lineRule="auto"/>
      <w:outlineLvl w:val="1"/>
    </w:pPr>
    <w:rPr>
      <w:szCs w:val="21"/>
    </w:rPr>
  </w:style>
  <w:style w:type="paragraph" w:styleId="7">
    <w:name w:val="heading 3"/>
    <w:basedOn w:val="1"/>
    <w:next w:val="1"/>
    <w:link w:val="57"/>
    <w:unhideWhenUsed/>
    <w:qFormat/>
    <w:locked/>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link w:val="68"/>
    <w:qFormat/>
    <w:locked/>
    <w:uiPriority w:val="0"/>
    <w:pPr>
      <w:ind w:firstLine="420"/>
    </w:pPr>
  </w:style>
  <w:style w:type="paragraph" w:styleId="3">
    <w:name w:val="Body Text First Indent 2"/>
    <w:basedOn w:val="4"/>
    <w:next w:val="1"/>
    <w:link w:val="70"/>
    <w:qFormat/>
    <w:locked/>
    <w:uiPriority w:val="0"/>
    <w:pPr>
      <w:ind w:firstLine="420" w:firstLineChars="200"/>
    </w:pPr>
    <w:rPr>
      <w:kern w:val="2"/>
      <w:sz w:val="21"/>
      <w:szCs w:val="24"/>
    </w:rPr>
  </w:style>
  <w:style w:type="paragraph" w:styleId="4">
    <w:name w:val="Body Text Indent"/>
    <w:basedOn w:val="1"/>
    <w:next w:val="1"/>
    <w:link w:val="28"/>
    <w:qFormat/>
    <w:uiPriority w:val="0"/>
    <w:pPr>
      <w:spacing w:after="120"/>
      <w:ind w:left="420" w:leftChars="200"/>
    </w:pPr>
    <w:rPr>
      <w:kern w:val="0"/>
      <w:szCs w:val="20"/>
    </w:rPr>
  </w:style>
  <w:style w:type="paragraph" w:styleId="8">
    <w:name w:val="caption"/>
    <w:basedOn w:val="1"/>
    <w:next w:val="1"/>
    <w:link w:val="71"/>
    <w:qFormat/>
    <w:locked/>
    <w:uiPriority w:val="0"/>
    <w:pPr>
      <w:jc w:val="center"/>
    </w:pPr>
    <w:rPr>
      <w:b/>
      <w:szCs w:val="21"/>
    </w:rPr>
  </w:style>
  <w:style w:type="paragraph" w:styleId="9">
    <w:name w:val="annotation text"/>
    <w:basedOn w:val="1"/>
    <w:link w:val="26"/>
    <w:qFormat/>
    <w:uiPriority w:val="0"/>
    <w:pPr>
      <w:jc w:val="left"/>
    </w:pPr>
    <w:rPr>
      <w:kern w:val="0"/>
      <w:szCs w:val="20"/>
    </w:rPr>
  </w:style>
  <w:style w:type="paragraph" w:styleId="10">
    <w:name w:val="Body Text"/>
    <w:basedOn w:val="1"/>
    <w:link w:val="27"/>
    <w:qFormat/>
    <w:uiPriority w:val="0"/>
    <w:pPr>
      <w:widowControl/>
      <w:snapToGrid w:val="0"/>
      <w:spacing w:line="360" w:lineRule="auto"/>
      <w:ind w:firstLine="720" w:firstLineChars="200"/>
    </w:pPr>
    <w:rPr>
      <w:kern w:val="0"/>
      <w:szCs w:val="20"/>
    </w:rPr>
  </w:style>
  <w:style w:type="paragraph" w:styleId="11">
    <w:name w:val="Plain Text"/>
    <w:basedOn w:val="1"/>
    <w:link w:val="58"/>
    <w:qFormat/>
    <w:locked/>
    <w:uiPriority w:val="99"/>
    <w:pPr>
      <w:widowControl/>
      <w:spacing w:before="100" w:beforeAutospacing="1" w:after="100" w:afterAutospacing="1"/>
      <w:jc w:val="left"/>
    </w:pPr>
    <w:rPr>
      <w:rFonts w:ascii="ˎ̥" w:hAnsi="ˎ̥"/>
      <w:sz w:val="18"/>
      <w:szCs w:val="18"/>
    </w:rPr>
  </w:style>
  <w:style w:type="paragraph" w:styleId="12">
    <w:name w:val="Date"/>
    <w:basedOn w:val="1"/>
    <w:next w:val="1"/>
    <w:link w:val="29"/>
    <w:qFormat/>
    <w:uiPriority w:val="0"/>
    <w:pPr>
      <w:ind w:left="100" w:leftChars="2500"/>
    </w:pPr>
    <w:rPr>
      <w:kern w:val="0"/>
      <w:szCs w:val="20"/>
    </w:rPr>
  </w:style>
  <w:style w:type="paragraph" w:styleId="13">
    <w:name w:val="Balloon Text"/>
    <w:basedOn w:val="1"/>
    <w:link w:val="30"/>
    <w:semiHidden/>
    <w:qFormat/>
    <w:uiPriority w:val="0"/>
    <w:rPr>
      <w:kern w:val="0"/>
      <w:sz w:val="18"/>
      <w:szCs w:val="20"/>
    </w:rPr>
  </w:style>
  <w:style w:type="paragraph" w:styleId="14">
    <w:name w:val="footer"/>
    <w:basedOn w:val="1"/>
    <w:link w:val="31"/>
    <w:qFormat/>
    <w:uiPriority w:val="99"/>
    <w:pPr>
      <w:tabs>
        <w:tab w:val="center" w:pos="4153"/>
        <w:tab w:val="right" w:pos="8306"/>
      </w:tabs>
      <w:snapToGrid w:val="0"/>
      <w:jc w:val="left"/>
    </w:pPr>
    <w:rPr>
      <w:kern w:val="0"/>
      <w:sz w:val="18"/>
      <w:szCs w:val="20"/>
    </w:rPr>
  </w:style>
  <w:style w:type="paragraph" w:styleId="15">
    <w:name w:val="header"/>
    <w:basedOn w:val="1"/>
    <w:link w:val="32"/>
    <w:qFormat/>
    <w:uiPriority w:val="0"/>
    <w:pPr>
      <w:pBdr>
        <w:bottom w:val="single" w:color="auto" w:sz="6" w:space="1"/>
      </w:pBdr>
      <w:tabs>
        <w:tab w:val="center" w:pos="4153"/>
        <w:tab w:val="right" w:pos="8306"/>
      </w:tabs>
      <w:snapToGrid w:val="0"/>
      <w:jc w:val="center"/>
    </w:pPr>
    <w:rPr>
      <w:kern w:val="0"/>
      <w:sz w:val="18"/>
      <w:szCs w:val="20"/>
    </w:rPr>
  </w:style>
  <w:style w:type="paragraph" w:styleId="16">
    <w:name w:val="Body Text 2"/>
    <w:basedOn w:val="1"/>
    <w:next w:val="1"/>
    <w:link w:val="59"/>
    <w:qFormat/>
    <w:locked/>
    <w:uiPriority w:val="0"/>
    <w:pPr>
      <w:spacing w:after="120" w:line="480" w:lineRule="auto"/>
    </w:pPr>
  </w:style>
  <w:style w:type="paragraph" w:styleId="17">
    <w:name w:val="Normal (Web)"/>
    <w:basedOn w:val="1"/>
    <w:link w:val="33"/>
    <w:qFormat/>
    <w:uiPriority w:val="99"/>
    <w:pPr>
      <w:widowControl/>
      <w:spacing w:before="100" w:beforeAutospacing="1" w:after="100" w:afterAutospacing="1"/>
      <w:jc w:val="left"/>
    </w:pPr>
    <w:rPr>
      <w:rFonts w:ascii="宋体" w:hAnsi="宋体"/>
      <w:kern w:val="0"/>
      <w:szCs w:val="20"/>
    </w:rPr>
  </w:style>
  <w:style w:type="paragraph" w:styleId="18">
    <w:name w:val="annotation subject"/>
    <w:basedOn w:val="9"/>
    <w:next w:val="9"/>
    <w:link w:val="34"/>
    <w:semiHidden/>
    <w:qFormat/>
    <w:uiPriority w:val="0"/>
    <w:rPr>
      <w:b/>
    </w:rPr>
  </w:style>
  <w:style w:type="table" w:styleId="20">
    <w:name w:val="Table Grid"/>
    <w:basedOn w:val="1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locked/>
    <w:uiPriority w:val="0"/>
  </w:style>
  <w:style w:type="character" w:styleId="23">
    <w:name w:val="Hyperlink"/>
    <w:basedOn w:val="21"/>
    <w:unhideWhenUsed/>
    <w:qFormat/>
    <w:locked/>
    <w:uiPriority w:val="99"/>
    <w:rPr>
      <w:color w:val="0000FF"/>
      <w:u w:val="single"/>
    </w:rPr>
  </w:style>
  <w:style w:type="character" w:styleId="24">
    <w:name w:val="annotation reference"/>
    <w:qFormat/>
    <w:uiPriority w:val="0"/>
    <w:rPr>
      <w:sz w:val="21"/>
    </w:rPr>
  </w:style>
  <w:style w:type="paragraph" w:customStyle="1" w:styleId="25">
    <w:name w:val="样式 正文缩进正文缩进2正文缩进 Char Char正文缩进 Char Char Char Char正文缩进 Char ..."/>
    <w:basedOn w:val="2"/>
    <w:qFormat/>
    <w:uiPriority w:val="0"/>
    <w:pPr>
      <w:spacing w:line="360" w:lineRule="auto"/>
      <w:ind w:firstLine="200"/>
    </w:pPr>
    <w:rPr>
      <w:rFonts w:cs="宋体"/>
    </w:rPr>
  </w:style>
  <w:style w:type="character" w:customStyle="1" w:styleId="26">
    <w:name w:val="批注文字 字符"/>
    <w:link w:val="9"/>
    <w:qFormat/>
    <w:locked/>
    <w:uiPriority w:val="0"/>
    <w:rPr>
      <w:rFonts w:ascii="Times New Roman" w:hAnsi="Times New Roman" w:eastAsia="宋体"/>
      <w:sz w:val="24"/>
    </w:rPr>
  </w:style>
  <w:style w:type="character" w:customStyle="1" w:styleId="27">
    <w:name w:val="正文文本 字符"/>
    <w:link w:val="10"/>
    <w:qFormat/>
    <w:locked/>
    <w:uiPriority w:val="0"/>
    <w:rPr>
      <w:rFonts w:ascii="Times New Roman" w:hAnsi="Times New Roman" w:eastAsia="宋体"/>
      <w:sz w:val="24"/>
    </w:rPr>
  </w:style>
  <w:style w:type="character" w:customStyle="1" w:styleId="28">
    <w:name w:val="正文文本缩进 字符"/>
    <w:link w:val="4"/>
    <w:semiHidden/>
    <w:qFormat/>
    <w:locked/>
    <w:uiPriority w:val="0"/>
    <w:rPr>
      <w:rFonts w:ascii="Times New Roman" w:hAnsi="Times New Roman" w:eastAsia="宋体"/>
      <w:sz w:val="24"/>
    </w:rPr>
  </w:style>
  <w:style w:type="character" w:customStyle="1" w:styleId="29">
    <w:name w:val="日期 字符1"/>
    <w:link w:val="12"/>
    <w:qFormat/>
    <w:locked/>
    <w:uiPriority w:val="0"/>
    <w:rPr>
      <w:rFonts w:ascii="Times New Roman" w:hAnsi="Times New Roman" w:eastAsia="宋体"/>
      <w:sz w:val="24"/>
    </w:rPr>
  </w:style>
  <w:style w:type="character" w:customStyle="1" w:styleId="30">
    <w:name w:val="批注框文本 字符"/>
    <w:link w:val="13"/>
    <w:semiHidden/>
    <w:qFormat/>
    <w:locked/>
    <w:uiPriority w:val="0"/>
    <w:rPr>
      <w:rFonts w:ascii="Times New Roman" w:hAnsi="Times New Roman" w:eastAsia="宋体"/>
      <w:sz w:val="18"/>
    </w:rPr>
  </w:style>
  <w:style w:type="character" w:customStyle="1" w:styleId="31">
    <w:name w:val="页脚 字符1"/>
    <w:link w:val="14"/>
    <w:qFormat/>
    <w:locked/>
    <w:uiPriority w:val="99"/>
    <w:rPr>
      <w:sz w:val="18"/>
    </w:rPr>
  </w:style>
  <w:style w:type="character" w:customStyle="1" w:styleId="32">
    <w:name w:val="页眉 字符"/>
    <w:link w:val="15"/>
    <w:qFormat/>
    <w:locked/>
    <w:uiPriority w:val="0"/>
    <w:rPr>
      <w:sz w:val="18"/>
    </w:rPr>
  </w:style>
  <w:style w:type="character" w:customStyle="1" w:styleId="33">
    <w:name w:val="普通(网站) 字符"/>
    <w:link w:val="17"/>
    <w:qFormat/>
    <w:locked/>
    <w:uiPriority w:val="0"/>
    <w:rPr>
      <w:rFonts w:ascii="宋体" w:hAnsi="宋体" w:eastAsia="宋体"/>
      <w:sz w:val="24"/>
    </w:rPr>
  </w:style>
  <w:style w:type="character" w:customStyle="1" w:styleId="34">
    <w:name w:val="批注主题 字符"/>
    <w:link w:val="18"/>
    <w:semiHidden/>
    <w:qFormat/>
    <w:locked/>
    <w:uiPriority w:val="0"/>
    <w:rPr>
      <w:rFonts w:ascii="Times New Roman" w:hAnsi="Times New Roman" w:eastAsia="宋体"/>
      <w:b/>
      <w:kern w:val="2"/>
      <w:sz w:val="24"/>
    </w:rPr>
  </w:style>
  <w:style w:type="character" w:customStyle="1" w:styleId="35">
    <w:name w:val="页脚 字符"/>
    <w:basedOn w:val="21"/>
    <w:qFormat/>
    <w:uiPriority w:val="99"/>
  </w:style>
  <w:style w:type="character" w:customStyle="1" w:styleId="36">
    <w:name w:val="正文文本 字符1"/>
    <w:semiHidden/>
    <w:qFormat/>
    <w:uiPriority w:val="0"/>
    <w:rPr>
      <w:rFonts w:ascii="Times New Roman" w:hAnsi="Times New Roman" w:eastAsia="宋体"/>
      <w:sz w:val="24"/>
    </w:rPr>
  </w:style>
  <w:style w:type="character" w:customStyle="1" w:styleId="37">
    <w:name w:val="表格 Char"/>
    <w:link w:val="38"/>
    <w:qFormat/>
    <w:locked/>
    <w:uiPriority w:val="0"/>
    <w:rPr>
      <w:rFonts w:ascii="宋体"/>
      <w:sz w:val="21"/>
    </w:rPr>
  </w:style>
  <w:style w:type="paragraph" w:customStyle="1" w:styleId="38">
    <w:name w:val="表格"/>
    <w:basedOn w:val="1"/>
    <w:next w:val="1"/>
    <w:link w:val="37"/>
    <w:qFormat/>
    <w:uiPriority w:val="0"/>
    <w:pPr>
      <w:adjustRightInd w:val="0"/>
      <w:snapToGrid w:val="0"/>
      <w:spacing w:beforeLines="10" w:afterLines="10" w:line="259" w:lineRule="auto"/>
      <w:jc w:val="center"/>
    </w:pPr>
    <w:rPr>
      <w:rFonts w:ascii="宋体"/>
      <w:kern w:val="0"/>
      <w:szCs w:val="20"/>
    </w:rPr>
  </w:style>
  <w:style w:type="character" w:customStyle="1" w:styleId="39">
    <w:name w:val="日期 字符"/>
    <w:semiHidden/>
    <w:qFormat/>
    <w:uiPriority w:val="0"/>
    <w:rPr>
      <w:rFonts w:ascii="Times New Roman" w:hAnsi="Times New Roman" w:eastAsia="宋体"/>
      <w:sz w:val="24"/>
    </w:rPr>
  </w:style>
  <w:style w:type="character" w:customStyle="1" w:styleId="40">
    <w:name w:val="批注文字 字符1"/>
    <w:semiHidden/>
    <w:qFormat/>
    <w:uiPriority w:val="0"/>
    <w:rPr>
      <w:rFonts w:ascii="Times New Roman" w:hAnsi="Times New Roman" w:eastAsia="宋体"/>
      <w:sz w:val="24"/>
    </w:rPr>
  </w:style>
  <w:style w:type="paragraph" w:customStyle="1" w:styleId="41">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2">
    <w:name w:val="普通(网站)2"/>
    <w:basedOn w:val="1"/>
    <w:qFormat/>
    <w:uiPriority w:val="0"/>
    <w:pPr>
      <w:widowControl/>
      <w:spacing w:before="100" w:beforeAutospacing="1" w:after="100" w:afterAutospacing="1"/>
      <w:jc w:val="left"/>
    </w:pPr>
    <w:rPr>
      <w:rFonts w:ascii="宋体" w:hAnsi="宋体"/>
      <w:szCs w:val="20"/>
    </w:rPr>
  </w:style>
  <w:style w:type="paragraph" w:customStyle="1" w:styleId="43">
    <w:name w:val="【表中文字】"/>
    <w:basedOn w:val="1"/>
    <w:qFormat/>
    <w:uiPriority w:val="0"/>
    <w:pPr>
      <w:jc w:val="center"/>
    </w:pPr>
    <w:rPr>
      <w:szCs w:val="20"/>
    </w:rPr>
  </w:style>
  <w:style w:type="paragraph" w:customStyle="1" w:styleId="44">
    <w:name w:val="p0"/>
    <w:basedOn w:val="1"/>
    <w:qFormat/>
    <w:uiPriority w:val="0"/>
    <w:pPr>
      <w:widowControl/>
    </w:pPr>
    <w:rPr>
      <w:rFonts w:ascii="Calibri" w:hAnsi="Calibri" w:cs="宋体"/>
      <w:kern w:val="0"/>
      <w:szCs w:val="21"/>
    </w:rPr>
  </w:style>
  <w:style w:type="paragraph" w:customStyle="1" w:styleId="45">
    <w:name w:val="【正文】"/>
    <w:basedOn w:val="1"/>
    <w:link w:val="65"/>
    <w:qFormat/>
    <w:uiPriority w:val="0"/>
    <w:pPr>
      <w:spacing w:line="480" w:lineRule="exact"/>
      <w:ind w:firstLine="200" w:firstLineChars="200"/>
    </w:pPr>
    <w:rPr>
      <w:szCs w:val="20"/>
    </w:rPr>
  </w:style>
  <w:style w:type="paragraph" w:customStyle="1" w:styleId="46">
    <w:name w:val="小标题"/>
    <w:basedOn w:val="47"/>
    <w:qFormat/>
    <w:uiPriority w:val="0"/>
    <w:pPr>
      <w:spacing w:line="480" w:lineRule="exact"/>
      <w:ind w:firstLine="0" w:firstLineChars="0"/>
      <w:jc w:val="left"/>
    </w:pPr>
    <w:rPr>
      <w:b/>
      <w:color w:val="000000"/>
    </w:rPr>
  </w:style>
  <w:style w:type="paragraph" w:styleId="47">
    <w:name w:val="List Paragraph"/>
    <w:basedOn w:val="1"/>
    <w:qFormat/>
    <w:uiPriority w:val="99"/>
    <w:pPr>
      <w:ind w:firstLine="420" w:firstLineChars="200"/>
    </w:pPr>
  </w:style>
  <w:style w:type="character" w:customStyle="1" w:styleId="48">
    <w:name w:val="大标题"/>
    <w:qFormat/>
    <w:uiPriority w:val="0"/>
    <w:rPr>
      <w:rFonts w:ascii="Times New Roman" w:hAnsi="Times New Roman" w:eastAsia="宋体"/>
      <w:b/>
      <w:spacing w:val="0"/>
      <w:w w:val="100"/>
      <w:position w:val="0"/>
      <w:sz w:val="28"/>
    </w:rPr>
  </w:style>
  <w:style w:type="character" w:customStyle="1" w:styleId="49">
    <w:name w:val="文章正文 Char Char"/>
    <w:link w:val="50"/>
    <w:qFormat/>
    <w:uiPriority w:val="0"/>
    <w:rPr>
      <w:kern w:val="0"/>
      <w:szCs w:val="20"/>
    </w:rPr>
  </w:style>
  <w:style w:type="paragraph" w:customStyle="1" w:styleId="50">
    <w:name w:val="文章正文"/>
    <w:basedOn w:val="1"/>
    <w:link w:val="49"/>
    <w:qFormat/>
    <w:uiPriority w:val="0"/>
    <w:pPr>
      <w:spacing w:line="440" w:lineRule="exact"/>
      <w:ind w:firstLine="600"/>
    </w:pPr>
    <w:rPr>
      <w:kern w:val="0"/>
      <w:szCs w:val="20"/>
    </w:rPr>
  </w:style>
  <w:style w:type="character" w:customStyle="1" w:styleId="51">
    <w:name w:val="标题 1 字符"/>
    <w:link w:val="5"/>
    <w:qFormat/>
    <w:uiPriority w:val="99"/>
    <w:rPr>
      <w:b/>
      <w:bCs/>
      <w:color w:val="000000"/>
      <w:kern w:val="44"/>
      <w:sz w:val="24"/>
      <w:szCs w:val="30"/>
    </w:rPr>
  </w:style>
  <w:style w:type="paragraph" w:customStyle="1" w:styleId="52">
    <w:name w:val="引言二级条标题"/>
    <w:basedOn w:val="53"/>
    <w:next w:val="54"/>
    <w:qFormat/>
    <w:uiPriority w:val="0"/>
    <w:pPr>
      <w:tabs>
        <w:tab w:val="left" w:pos="1200"/>
        <w:tab w:val="left" w:pos="1320"/>
        <w:tab w:val="left" w:pos="1571"/>
      </w:tabs>
    </w:pPr>
    <w:rPr>
      <w:b w:val="0"/>
    </w:rPr>
  </w:style>
  <w:style w:type="paragraph" w:customStyle="1" w:styleId="53">
    <w:name w:val="引言一级条标题"/>
    <w:basedOn w:val="1"/>
    <w:next w:val="54"/>
    <w:qFormat/>
    <w:uiPriority w:val="0"/>
    <w:pPr>
      <w:widowControl/>
      <w:numPr>
        <w:ilvl w:val="0"/>
        <w:numId w:val="1"/>
      </w:numPr>
      <w:tabs>
        <w:tab w:val="left" w:pos="1200"/>
      </w:tabs>
    </w:pPr>
    <w:rPr>
      <w:rFonts w:eastAsia="黑体"/>
      <w:b/>
    </w:rPr>
  </w:style>
  <w:style w:type="paragraph" w:customStyle="1" w:styleId="54">
    <w:name w:val="段"/>
    <w:qFormat/>
    <w:uiPriority w:val="99"/>
    <w:pPr>
      <w:ind w:left="840" w:firstLine="200" w:firstLineChars="200"/>
      <w:jc w:val="both"/>
    </w:pPr>
    <w:rPr>
      <w:rFonts w:ascii="宋体" w:hAnsi="Calibri" w:eastAsia="宋体" w:cs="Arial"/>
      <w:sz w:val="21"/>
      <w:szCs w:val="22"/>
      <w:lang w:val="en-US" w:eastAsia="zh-CN" w:bidi="ar-SA"/>
    </w:rPr>
  </w:style>
  <w:style w:type="character" w:customStyle="1" w:styleId="55">
    <w:name w:val="报告表样式 Char Char"/>
    <w:link w:val="56"/>
    <w:qFormat/>
    <w:uiPriority w:val="0"/>
    <w:rPr>
      <w:sz w:val="28"/>
      <w:szCs w:val="28"/>
    </w:rPr>
  </w:style>
  <w:style w:type="paragraph" w:customStyle="1" w:styleId="56">
    <w:name w:val="报告表样式"/>
    <w:basedOn w:val="1"/>
    <w:link w:val="55"/>
    <w:qFormat/>
    <w:uiPriority w:val="0"/>
    <w:pPr>
      <w:adjustRightInd w:val="0"/>
      <w:snapToGrid w:val="0"/>
      <w:spacing w:line="360" w:lineRule="auto"/>
      <w:ind w:firstLine="200" w:firstLineChars="200"/>
    </w:pPr>
    <w:rPr>
      <w:kern w:val="0"/>
      <w:sz w:val="28"/>
      <w:szCs w:val="28"/>
    </w:rPr>
  </w:style>
  <w:style w:type="character" w:customStyle="1" w:styleId="57">
    <w:name w:val="标题 3 字符"/>
    <w:basedOn w:val="21"/>
    <w:link w:val="7"/>
    <w:semiHidden/>
    <w:qFormat/>
    <w:uiPriority w:val="0"/>
    <w:rPr>
      <w:b/>
      <w:bCs/>
      <w:kern w:val="2"/>
      <w:sz w:val="32"/>
      <w:szCs w:val="32"/>
    </w:rPr>
  </w:style>
  <w:style w:type="character" w:customStyle="1" w:styleId="58">
    <w:name w:val="纯文本 字符"/>
    <w:link w:val="11"/>
    <w:qFormat/>
    <w:uiPriority w:val="99"/>
    <w:rPr>
      <w:rFonts w:ascii="ˎ̥" w:hAnsi="ˎ̥"/>
      <w:kern w:val="2"/>
      <w:sz w:val="18"/>
      <w:szCs w:val="18"/>
    </w:rPr>
  </w:style>
  <w:style w:type="character" w:customStyle="1" w:styleId="59">
    <w:name w:val="正文文本 2 字符"/>
    <w:link w:val="16"/>
    <w:qFormat/>
    <w:uiPriority w:val="0"/>
    <w:rPr>
      <w:kern w:val="2"/>
      <w:sz w:val="24"/>
      <w:szCs w:val="24"/>
    </w:rPr>
  </w:style>
  <w:style w:type="character" w:customStyle="1" w:styleId="60">
    <w:name w:val="15"/>
    <w:qFormat/>
    <w:uiPriority w:val="0"/>
    <w:rPr>
      <w:rFonts w:hint="default" w:ascii="Times New Roman" w:hAnsi="Times New Roman" w:eastAsia="宋体" w:cs="Times New Roman"/>
      <w:sz w:val="24"/>
      <w:szCs w:val="24"/>
    </w:rPr>
  </w:style>
  <w:style w:type="character" w:customStyle="1" w:styleId="61">
    <w:name w:val="啊啊 Char Char"/>
    <w:link w:val="62"/>
    <w:qFormat/>
    <w:uiPriority w:val="0"/>
    <w:rPr>
      <w:kern w:val="2"/>
      <w:sz w:val="28"/>
      <w:szCs w:val="28"/>
    </w:rPr>
  </w:style>
  <w:style w:type="paragraph" w:customStyle="1" w:styleId="62">
    <w:name w:val="啊啊"/>
    <w:basedOn w:val="1"/>
    <w:link w:val="61"/>
    <w:qFormat/>
    <w:uiPriority w:val="0"/>
    <w:pPr>
      <w:spacing w:line="360" w:lineRule="auto"/>
      <w:ind w:firstLine="200" w:firstLineChars="200"/>
    </w:pPr>
    <w:rPr>
      <w:sz w:val="28"/>
      <w:szCs w:val="28"/>
    </w:rPr>
  </w:style>
  <w:style w:type="paragraph" w:customStyle="1" w:styleId="63">
    <w:name w:val="新正文"/>
    <w:basedOn w:val="1"/>
    <w:qFormat/>
    <w:uiPriority w:val="0"/>
    <w:pPr>
      <w:spacing w:before="60" w:line="460" w:lineRule="exact"/>
      <w:ind w:firstLine="200" w:firstLineChars="200"/>
    </w:pPr>
  </w:style>
  <w:style w:type="paragraph" w:customStyle="1" w:styleId="64">
    <w:name w:val="Table Paragraph"/>
    <w:basedOn w:val="1"/>
    <w:qFormat/>
    <w:uiPriority w:val="1"/>
    <w:pPr>
      <w:jc w:val="center"/>
    </w:pPr>
    <w:rPr>
      <w:rFonts w:ascii="宋体" w:hAnsi="宋体" w:cs="宋体"/>
      <w:sz w:val="21"/>
      <w:szCs w:val="20"/>
      <w:lang w:val="zh-CN" w:bidi="zh-CN"/>
    </w:rPr>
  </w:style>
  <w:style w:type="character" w:customStyle="1" w:styleId="65">
    <w:name w:val="【正文】 Char"/>
    <w:link w:val="45"/>
    <w:qFormat/>
    <w:uiPriority w:val="0"/>
    <w:rPr>
      <w:kern w:val="2"/>
      <w:sz w:val="24"/>
    </w:rPr>
  </w:style>
  <w:style w:type="character" w:customStyle="1" w:styleId="66">
    <w:name w:val="表格13 Char"/>
    <w:link w:val="67"/>
    <w:qFormat/>
    <w:locked/>
    <w:uiPriority w:val="0"/>
    <w:rPr>
      <w:rFonts w:ascii="宋体" w:cs="宋体"/>
      <w:sz w:val="18"/>
      <w:szCs w:val="18"/>
      <w:lang w:val="zh-CN"/>
    </w:rPr>
  </w:style>
  <w:style w:type="paragraph" w:customStyle="1" w:styleId="67">
    <w:name w:val="表格13"/>
    <w:basedOn w:val="1"/>
    <w:link w:val="66"/>
    <w:qFormat/>
    <w:uiPriority w:val="0"/>
    <w:pPr>
      <w:adjustRightInd w:val="0"/>
      <w:spacing w:line="260" w:lineRule="atLeast"/>
      <w:jc w:val="center"/>
      <w:textAlignment w:val="baseline"/>
    </w:pPr>
    <w:rPr>
      <w:rFonts w:ascii="宋体" w:cs="宋体"/>
      <w:kern w:val="0"/>
      <w:sz w:val="18"/>
      <w:szCs w:val="18"/>
      <w:lang w:val="zh-CN"/>
    </w:rPr>
  </w:style>
  <w:style w:type="character" w:customStyle="1" w:styleId="68">
    <w:name w:val="正文缩进 字符"/>
    <w:link w:val="2"/>
    <w:qFormat/>
    <w:uiPriority w:val="0"/>
    <w:rPr>
      <w:kern w:val="2"/>
      <w:sz w:val="24"/>
      <w:szCs w:val="24"/>
    </w:rPr>
  </w:style>
  <w:style w:type="paragraph" w:customStyle="1" w:styleId="69">
    <w:name w:val="TX-表头"/>
    <w:qFormat/>
    <w:uiPriority w:val="0"/>
    <w:pPr>
      <w:jc w:val="center"/>
    </w:pPr>
    <w:rPr>
      <w:rFonts w:ascii="Times New Roman" w:hAnsi="Times New Roman" w:eastAsia="仿宋" w:cs="Times New Roman"/>
      <w:b/>
      <w:kern w:val="2"/>
      <w:sz w:val="24"/>
      <w:szCs w:val="22"/>
      <w:lang w:val="en-US" w:eastAsia="zh-CN" w:bidi="ar-SA"/>
    </w:rPr>
  </w:style>
  <w:style w:type="character" w:customStyle="1" w:styleId="70">
    <w:name w:val="正文文本首行缩进 2 字符"/>
    <w:link w:val="3"/>
    <w:qFormat/>
    <w:uiPriority w:val="0"/>
    <w:rPr>
      <w:kern w:val="2"/>
      <w:sz w:val="21"/>
      <w:szCs w:val="24"/>
    </w:rPr>
  </w:style>
  <w:style w:type="character" w:customStyle="1" w:styleId="71">
    <w:name w:val="题注 字符"/>
    <w:link w:val="8"/>
    <w:qFormat/>
    <w:uiPriority w:val="0"/>
    <w:rPr>
      <w:b/>
      <w:kern w:val="2"/>
      <w:sz w:val="24"/>
      <w:szCs w:val="21"/>
    </w:rPr>
  </w:style>
  <w:style w:type="paragraph" w:customStyle="1" w:styleId="72">
    <w:name w:val="图、表头文字"/>
    <w:basedOn w:val="1"/>
    <w:qFormat/>
    <w:uiPriority w:val="0"/>
    <w:pPr>
      <w:autoSpaceDE w:val="0"/>
      <w:autoSpaceDN w:val="0"/>
      <w:adjustRightInd w:val="0"/>
      <w:snapToGrid w:val="0"/>
      <w:spacing w:before="80" w:after="80"/>
      <w:jc w:val="center"/>
      <w:textAlignment w:val="baseline"/>
    </w:pPr>
    <w:rPr>
      <w:rFonts w:ascii="黑体" w:eastAsia="黑体"/>
      <w:snapToGrid w:val="0"/>
      <w:kern w:val="0"/>
      <w:sz w:val="21"/>
      <w:szCs w:val="20"/>
    </w:rPr>
  </w:style>
  <w:style w:type="paragraph" w:customStyle="1" w:styleId="73">
    <w:name w:val="表文字"/>
    <w:basedOn w:val="1"/>
    <w:link w:val="74"/>
    <w:qFormat/>
    <w:uiPriority w:val="0"/>
    <w:pPr>
      <w:jc w:val="center"/>
    </w:pPr>
    <w:rPr>
      <w:color w:val="0070C0"/>
      <w:sz w:val="21"/>
      <w:szCs w:val="21"/>
    </w:rPr>
  </w:style>
  <w:style w:type="character" w:customStyle="1" w:styleId="74">
    <w:name w:val="表文字 Char"/>
    <w:link w:val="73"/>
    <w:qFormat/>
    <w:uiPriority w:val="0"/>
    <w:rPr>
      <w:color w:val="0070C0"/>
      <w:kern w:val="2"/>
      <w:sz w:val="21"/>
      <w:szCs w:val="21"/>
    </w:rPr>
  </w:style>
  <w:style w:type="paragraph" w:customStyle="1" w:styleId="75">
    <w:name w:val="A样式 小四 行距: 1.5 倍行距 首行缩进:  2 字符"/>
    <w:basedOn w:val="1"/>
    <w:qFormat/>
    <w:uiPriority w:val="0"/>
    <w:pPr>
      <w:ind w:firstLine="480"/>
    </w:pPr>
    <w:rPr>
      <w:rFonts w:cs="宋体"/>
      <w:sz w:val="21"/>
      <w:szCs w:val="21"/>
    </w:rPr>
  </w:style>
  <w:style w:type="paragraph" w:customStyle="1" w:styleId="76">
    <w:name w:val="Revision"/>
    <w:hidden/>
    <w:unhideWhenUsed/>
    <w:qFormat/>
    <w:uiPriority w:val="99"/>
    <w:rPr>
      <w:rFonts w:ascii="Times New Roman" w:hAnsi="Times New Roman" w:eastAsia="宋体" w:cs="Times New Roman"/>
      <w:kern w:val="2"/>
      <w:sz w:val="24"/>
      <w:szCs w:val="24"/>
      <w:lang w:val="en-US" w:eastAsia="zh-CN" w:bidi="ar-SA"/>
    </w:rPr>
  </w:style>
  <w:style w:type="character" w:customStyle="1" w:styleId="77">
    <w:name w:val="【表头】 Char"/>
    <w:link w:val="78"/>
    <w:qFormat/>
    <w:uiPriority w:val="0"/>
    <w:rPr>
      <w:rFonts w:cs="宋体"/>
      <w:b/>
      <w:sz w:val="24"/>
    </w:rPr>
  </w:style>
  <w:style w:type="paragraph" w:customStyle="1" w:styleId="78">
    <w:name w:val="【表头】"/>
    <w:basedOn w:val="1"/>
    <w:link w:val="77"/>
    <w:qFormat/>
    <w:uiPriority w:val="0"/>
    <w:pPr>
      <w:spacing w:line="360" w:lineRule="auto"/>
      <w:jc w:val="center"/>
    </w:pPr>
    <w:rPr>
      <w:rFonts w:cs="宋体"/>
      <w:b/>
      <w:kern w:val="0"/>
      <w:szCs w:val="20"/>
    </w:rPr>
  </w:style>
</w:styles>
</file>

<file path=word/_rels/document.xml.rels><?xml version="1.0" encoding="UTF-8" standalone="yes"?>
<Relationships xmlns="http://schemas.openxmlformats.org/package/2006/relationships"><Relationship Id="rId9" Type="http://schemas.openxmlformats.org/officeDocument/2006/relationships/package" Target="embeddings/Microsoft_Visio___1.vsdx"/><Relationship Id="rId8" Type="http://schemas.openxmlformats.org/officeDocument/2006/relationships/theme" Target="theme/theme1.xml"/><Relationship Id="rId7" Type="http://schemas.openxmlformats.org/officeDocument/2006/relationships/footer" Target="footer4.xml"/><Relationship Id="rId63" Type="http://schemas.openxmlformats.org/officeDocument/2006/relationships/fontTable" Target="fontTable.xml"/><Relationship Id="rId62" Type="http://schemas.openxmlformats.org/officeDocument/2006/relationships/numbering" Target="numbering.xml"/><Relationship Id="rId61" Type="http://schemas.openxmlformats.org/officeDocument/2006/relationships/customXml" Target="../customXml/item1.xml"/><Relationship Id="rId60" Type="http://schemas.openxmlformats.org/officeDocument/2006/relationships/image" Target="media/image49.jpeg"/><Relationship Id="rId6" Type="http://schemas.openxmlformats.org/officeDocument/2006/relationships/footer" Target="footer3.xml"/><Relationship Id="rId59" Type="http://schemas.openxmlformats.org/officeDocument/2006/relationships/image" Target="media/image48.jpeg"/><Relationship Id="rId58" Type="http://schemas.openxmlformats.org/officeDocument/2006/relationships/image" Target="media/image47.jpeg"/><Relationship Id="rId57" Type="http://schemas.openxmlformats.org/officeDocument/2006/relationships/image" Target="media/image46.jpeg"/><Relationship Id="rId56" Type="http://schemas.openxmlformats.org/officeDocument/2006/relationships/image" Target="media/image45.jpeg"/><Relationship Id="rId55" Type="http://schemas.openxmlformats.org/officeDocument/2006/relationships/image" Target="media/image44.jpeg"/><Relationship Id="rId54" Type="http://schemas.openxmlformats.org/officeDocument/2006/relationships/image" Target="media/image43.jpeg"/><Relationship Id="rId53" Type="http://schemas.openxmlformats.org/officeDocument/2006/relationships/image" Target="media/image42.png"/><Relationship Id="rId52" Type="http://schemas.openxmlformats.org/officeDocument/2006/relationships/image" Target="media/image41.jpeg"/><Relationship Id="rId51" Type="http://schemas.openxmlformats.org/officeDocument/2006/relationships/image" Target="media/image40.png"/><Relationship Id="rId50" Type="http://schemas.openxmlformats.org/officeDocument/2006/relationships/image" Target="media/image39.jpeg"/><Relationship Id="rId5" Type="http://schemas.openxmlformats.org/officeDocument/2006/relationships/footer" Target="footer2.xml"/><Relationship Id="rId49" Type="http://schemas.openxmlformats.org/officeDocument/2006/relationships/image" Target="media/image38.jpeg"/><Relationship Id="rId48" Type="http://schemas.openxmlformats.org/officeDocument/2006/relationships/image" Target="media/image37.jpeg"/><Relationship Id="rId47" Type="http://schemas.openxmlformats.org/officeDocument/2006/relationships/image" Target="media/image36.jpeg"/><Relationship Id="rId46" Type="http://schemas.openxmlformats.org/officeDocument/2006/relationships/image" Target="media/image35.jpeg"/><Relationship Id="rId45" Type="http://schemas.openxmlformats.org/officeDocument/2006/relationships/image" Target="media/image34.jpeg"/><Relationship Id="rId44" Type="http://schemas.openxmlformats.org/officeDocument/2006/relationships/image" Target="media/image33.jpeg"/><Relationship Id="rId43" Type="http://schemas.openxmlformats.org/officeDocument/2006/relationships/image" Target="media/image32.jpe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footer" Target="footer1.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jpeg"/><Relationship Id="rId33" Type="http://schemas.openxmlformats.org/officeDocument/2006/relationships/image" Target="media/image22.jpeg"/><Relationship Id="rId32" Type="http://schemas.openxmlformats.org/officeDocument/2006/relationships/image" Target="media/image21.jpe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jpeg"/><Relationship Id="rId17" Type="http://schemas.openxmlformats.org/officeDocument/2006/relationships/image" Target="media/image6.jpe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wmf"/><Relationship Id="rId13" Type="http://schemas.openxmlformats.org/officeDocument/2006/relationships/oleObject" Target="embeddings/oleObject1.bin"/><Relationship Id="rId12" Type="http://schemas.openxmlformats.org/officeDocument/2006/relationships/image" Target="media/image2.emf"/><Relationship Id="rId11" Type="http://schemas.openxmlformats.org/officeDocument/2006/relationships/package" Target="embeddings/Microsoft_Visio___2.vsdx"/><Relationship Id="rId10" Type="http://schemas.openxmlformats.org/officeDocument/2006/relationships/image" Target="media/image1.e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89</Pages>
  <Words>22771</Words>
  <Characters>26663</Characters>
  <Lines>216</Lines>
  <Paragraphs>60</Paragraphs>
  <TotalTime>41</TotalTime>
  <ScaleCrop>false</ScaleCrop>
  <LinksUpToDate>false</LinksUpToDate>
  <CharactersWithSpaces>27044</CharactersWithSpaces>
  <Application>WPS Office_11.8.2.12019_F1E327BC-269C-435d-A152-05C5408002CA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2024-08-13T15:32:00Z</dcterms:created>
  <dc:creator>lhj</dc:creator>
  <cp:lastModifiedBy>aaa</cp:lastModifiedBy>
  <cp:lastPrinted>2024-08-13T15:56:00Z</cp:lastPrinted>
  <dcterms:modified xsi:type="dcterms:W3CDTF">2025-04-15T16:34:09Z</dcterms:modified>
  <dc:title>附件2</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2052-11.8.2.12019</vt:lpwstr>
  </property>
  <property fmtid="{D5CDD505-2E9C-101B-9397-08002B2CF9AE}" pid="3" name="ICV">
    <vt:lpwstr>0F4EFD6270204CBEA5F0AE6C83858DA2</vt:lpwstr>
  </property>
  <property fmtid="{D5CDD505-2E9C-101B-9397-08002B2CF9AE}" pid="4" name="commondata">
    <vt:lpwstr>eyJoZGlkIjoiYjliOGY1MzQ1OWE3ODQyMzhkNWQzZjliYmY0Y2MxNGMifQ==</vt:lpwstr>
  </property>
</Properties>
</file>