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_GB2312" w:eastAsia="仿宋_GB2312" w:cs="仿宋_GB2312"/>
          <w:color w:val="auto"/>
          <w:sz w:val="36"/>
          <w:szCs w:val="36"/>
        </w:rPr>
      </w:pPr>
      <w:bookmarkStart w:id="0" w:name="_Hlk57883707"/>
    </w:p>
    <w:p>
      <w:pPr>
        <w:rPr>
          <w:rFonts w:ascii="仿宋_GB2312" w:hAnsi="仿宋_GB2312" w:eastAsia="仿宋_GB2312" w:cs="仿宋_GB2312"/>
          <w:color w:val="auto"/>
          <w:sz w:val="36"/>
          <w:szCs w:val="36"/>
        </w:rPr>
      </w:pPr>
    </w:p>
    <w:p>
      <w:pPr>
        <w:rPr>
          <w:rFonts w:ascii="仿宋_GB2312" w:hAnsi="仿宋_GB2312" w:eastAsia="仿宋_GB2312" w:cs="仿宋_GB2312"/>
          <w:color w:val="auto"/>
          <w:sz w:val="36"/>
          <w:szCs w:val="36"/>
        </w:rPr>
      </w:pPr>
    </w:p>
    <w:bookmarkEnd w:id="0"/>
    <w:p>
      <w:pPr>
        <w:adjustRightInd w:val="0"/>
        <w:snapToGrid w:val="0"/>
        <w:jc w:val="center"/>
        <w:outlineLvl w:val="0"/>
        <w:rPr>
          <w:rFonts w:hint="eastAsia" w:ascii="方正小标宋_GBK" w:eastAsia="方正小标宋_GBK"/>
          <w:bCs/>
          <w:color w:val="auto"/>
          <w:sz w:val="72"/>
          <w:szCs w:val="72"/>
        </w:rPr>
      </w:pPr>
      <w:r>
        <w:rPr>
          <w:rFonts w:hint="eastAsia" w:ascii="方正小标宋_GBK" w:eastAsia="方正小标宋_GBK"/>
          <w:bCs/>
          <w:color w:val="auto"/>
          <w:sz w:val="72"/>
          <w:szCs w:val="72"/>
        </w:rPr>
        <w:t>建设项目环境影响报告表</w:t>
      </w:r>
    </w:p>
    <w:p>
      <w:pPr>
        <w:adjustRightInd w:val="0"/>
        <w:snapToGrid w:val="0"/>
        <w:spacing w:before="192" w:beforeLines="80"/>
        <w:jc w:val="center"/>
        <w:rPr>
          <w:rFonts w:hint="eastAsia" w:ascii="楷体_GB2312" w:eastAsia="楷体_GB2312"/>
          <w:bCs/>
          <w:color w:val="auto"/>
          <w:sz w:val="48"/>
          <w:szCs w:val="48"/>
        </w:rPr>
      </w:pPr>
      <w:r>
        <w:rPr>
          <w:rFonts w:hint="eastAsia" w:ascii="楷体_GB2312" w:eastAsia="楷体_GB2312"/>
          <w:bCs/>
          <w:color w:val="auto"/>
          <w:sz w:val="48"/>
          <w:szCs w:val="48"/>
        </w:rPr>
        <w:t>（生态影响类）</w:t>
      </w:r>
    </w:p>
    <w:p>
      <w:pPr>
        <w:adjustRightInd w:val="0"/>
        <w:snapToGrid w:val="0"/>
        <w:spacing w:line="288" w:lineRule="auto"/>
        <w:jc w:val="center"/>
        <w:outlineLvl w:val="0"/>
        <w:rPr>
          <w:rFonts w:ascii="华文仿宋" w:hAnsi="华文仿宋" w:eastAsia="华文仿宋" w:cs="华文仿宋"/>
          <w:color w:val="auto"/>
          <w:kern w:val="44"/>
          <w:sz w:val="44"/>
          <w:szCs w:val="44"/>
        </w:rPr>
      </w:pPr>
      <w:bookmarkStart w:id="1" w:name="_Hlk57883728"/>
    </w:p>
    <w:p>
      <w:pPr>
        <w:jc w:val="center"/>
        <w:rPr>
          <w:rFonts w:eastAsia="仿宋"/>
          <w:color w:val="auto"/>
          <w:sz w:val="52"/>
          <w:szCs w:val="52"/>
        </w:rPr>
      </w:pPr>
    </w:p>
    <w:p>
      <w:pPr>
        <w:ind w:firstLine="1040"/>
        <w:rPr>
          <w:rFonts w:eastAsia="仿宋"/>
          <w:color w:val="auto"/>
          <w:sz w:val="44"/>
          <w:szCs w:val="44"/>
        </w:rPr>
      </w:pPr>
    </w:p>
    <w:p>
      <w:pPr>
        <w:rPr>
          <w:rFonts w:eastAsia="仿宋"/>
          <w:color w:val="auto"/>
          <w:sz w:val="44"/>
          <w:szCs w:val="44"/>
        </w:rPr>
      </w:pPr>
    </w:p>
    <w:p>
      <w:pPr>
        <w:ind w:firstLine="1040"/>
        <w:rPr>
          <w:rFonts w:eastAsia="仿宋"/>
          <w:color w:val="auto"/>
          <w:sz w:val="44"/>
          <w:szCs w:val="44"/>
        </w:rPr>
      </w:pPr>
    </w:p>
    <w:bookmarkEnd w:id="1"/>
    <w:p>
      <w:pPr>
        <w:adjustRightInd w:val="0"/>
        <w:snapToGrid w:val="0"/>
        <w:spacing w:line="360" w:lineRule="auto"/>
        <w:ind w:firstLine="720" w:firstLineChars="200"/>
        <w:rPr>
          <w:rFonts w:hint="eastAsia" w:ascii="仿宋_GB2312" w:eastAsia="仿宋_GB2312"/>
          <w:color w:val="auto"/>
          <w:sz w:val="36"/>
          <w:szCs w:val="36"/>
          <w:u w:val="single"/>
          <w:lang w:val="en-US" w:eastAsia="zh-CN"/>
        </w:rPr>
      </w:pPr>
      <w:r>
        <w:rPr>
          <w:rFonts w:hint="eastAsia" w:ascii="仿宋_GB2312" w:eastAsia="仿宋_GB2312"/>
          <w:color w:val="auto"/>
          <w:sz w:val="36"/>
          <w:szCs w:val="36"/>
        </w:rPr>
        <w:t>项目名称：</w:t>
      </w:r>
      <w:r>
        <w:rPr>
          <w:rFonts w:hint="eastAsia" w:ascii="仿宋_GB2312" w:eastAsia="仿宋_GB2312"/>
          <w:color w:val="auto"/>
          <w:sz w:val="36"/>
          <w:szCs w:val="36"/>
          <w:u w:val="single"/>
          <w:lang w:val="en-US" w:eastAsia="zh-CN"/>
        </w:rPr>
        <w:t>内蒙古星光汇农业科技有限责任公司</w:t>
      </w:r>
    </w:p>
    <w:p>
      <w:pPr>
        <w:adjustRightInd w:val="0"/>
        <w:snapToGrid w:val="0"/>
        <w:spacing w:line="360" w:lineRule="auto"/>
        <w:ind w:left="2873" w:leftChars="1368" w:firstLine="0" w:firstLineChars="0"/>
        <w:rPr>
          <w:rFonts w:hint="eastAsia" w:ascii="仿宋_GB2312" w:eastAsia="仿宋_GB2312"/>
          <w:color w:val="auto"/>
          <w:sz w:val="36"/>
          <w:szCs w:val="36"/>
        </w:rPr>
      </w:pPr>
      <w:r>
        <w:rPr>
          <w:rFonts w:hint="eastAsia" w:ascii="仿宋_GB2312" w:eastAsia="仿宋_GB2312"/>
          <w:color w:val="auto"/>
          <w:sz w:val="36"/>
          <w:szCs w:val="36"/>
          <w:u w:val="single"/>
          <w:lang w:val="en-US" w:eastAsia="zh-CN"/>
        </w:rPr>
        <w:t>农业高科技博览园一期项目</w:t>
      </w:r>
    </w:p>
    <w:p>
      <w:pPr>
        <w:adjustRightInd w:val="0"/>
        <w:snapToGrid w:val="0"/>
        <w:spacing w:line="360" w:lineRule="auto"/>
        <w:ind w:left="3598" w:leftChars="342" w:hanging="2880" w:hangingChars="800"/>
        <w:rPr>
          <w:rFonts w:ascii="仿宋_GB2312" w:eastAsia="仿宋_GB2312"/>
          <w:color w:val="auto"/>
          <w:sz w:val="36"/>
          <w:szCs w:val="36"/>
          <w:u w:val="single"/>
        </w:rPr>
      </w:pPr>
      <w:r>
        <w:rPr>
          <w:rFonts w:hint="eastAsia" w:ascii="仿宋_GB2312" w:eastAsia="仿宋_GB2312"/>
          <w:color w:val="auto"/>
          <w:sz w:val="36"/>
          <w:szCs w:val="36"/>
        </w:rPr>
        <w:t>建设单位（盖章）：</w:t>
      </w:r>
      <w:r>
        <w:rPr>
          <w:rFonts w:hint="eastAsia" w:ascii="仿宋_GB2312" w:eastAsia="仿宋_GB2312"/>
          <w:color w:val="auto"/>
          <w:sz w:val="36"/>
          <w:szCs w:val="36"/>
          <w:u w:val="single"/>
          <w:lang w:val="en-US" w:eastAsia="zh-CN"/>
        </w:rPr>
        <w:t>内蒙古星光汇农业科技有限责任公司</w:t>
      </w:r>
    </w:p>
    <w:p>
      <w:pPr>
        <w:adjustRightInd w:val="0"/>
        <w:snapToGrid w:val="0"/>
        <w:spacing w:line="360" w:lineRule="auto"/>
        <w:ind w:firstLine="720" w:firstLineChars="200"/>
        <w:rPr>
          <w:rFonts w:hint="eastAsia" w:ascii="仿宋_GB2312" w:eastAsia="仿宋_GB2312"/>
          <w:color w:val="auto"/>
          <w:sz w:val="36"/>
          <w:szCs w:val="36"/>
          <w:u w:val="single"/>
        </w:rPr>
      </w:pPr>
      <w:r>
        <w:rPr>
          <w:rFonts w:hint="eastAsia" w:ascii="仿宋_GB2312" w:eastAsia="仿宋_GB2312"/>
          <w:color w:val="auto"/>
          <w:sz w:val="36"/>
          <w:szCs w:val="36"/>
        </w:rPr>
        <w:t>编制日期：</w:t>
      </w:r>
      <w:r>
        <w:rPr>
          <w:rFonts w:hint="eastAsia" w:ascii="仿宋_GB2312" w:eastAsia="仿宋_GB2312"/>
          <w:color w:val="auto"/>
          <w:sz w:val="36"/>
          <w:szCs w:val="36"/>
          <w:u w:val="single"/>
          <w:lang w:val="en-US" w:eastAsia="zh-CN"/>
        </w:rPr>
        <w:t>2024年2月</w:t>
      </w:r>
    </w:p>
    <w:p>
      <w:pPr>
        <w:adjustRightInd w:val="0"/>
        <w:snapToGrid w:val="0"/>
        <w:spacing w:line="288" w:lineRule="auto"/>
        <w:ind w:firstLine="1040"/>
        <w:rPr>
          <w:rFonts w:ascii="仿宋_GB2312" w:eastAsia="仿宋_GB2312"/>
          <w:color w:val="auto"/>
          <w:sz w:val="36"/>
          <w:szCs w:val="36"/>
          <w:u w:val="single"/>
        </w:rPr>
      </w:pPr>
    </w:p>
    <w:p>
      <w:pPr>
        <w:adjustRightInd w:val="0"/>
        <w:snapToGrid w:val="0"/>
        <w:spacing w:line="288" w:lineRule="auto"/>
        <w:ind w:firstLine="1040"/>
        <w:rPr>
          <w:rFonts w:ascii="仿宋_GB2312" w:eastAsia="仿宋_GB2312"/>
          <w:color w:val="auto"/>
          <w:sz w:val="36"/>
          <w:szCs w:val="36"/>
        </w:rPr>
      </w:pPr>
    </w:p>
    <w:p>
      <w:pPr>
        <w:adjustRightInd w:val="0"/>
        <w:snapToGrid w:val="0"/>
        <w:spacing w:line="288" w:lineRule="auto"/>
        <w:ind w:firstLine="1040"/>
        <w:rPr>
          <w:rFonts w:ascii="仿宋_GB2312" w:eastAsia="仿宋_GB2312"/>
          <w:color w:val="auto"/>
          <w:sz w:val="36"/>
          <w:szCs w:val="36"/>
        </w:rPr>
      </w:pPr>
    </w:p>
    <w:p>
      <w:pPr>
        <w:adjustRightInd w:val="0"/>
        <w:snapToGrid w:val="0"/>
        <w:spacing w:line="288" w:lineRule="auto"/>
        <w:ind w:firstLine="1040"/>
        <w:rPr>
          <w:rFonts w:hint="eastAsia" w:ascii="仿宋_GB2312" w:eastAsia="仿宋_GB2312"/>
          <w:color w:val="auto"/>
          <w:sz w:val="36"/>
          <w:szCs w:val="36"/>
        </w:rPr>
      </w:pPr>
    </w:p>
    <w:p>
      <w:pPr>
        <w:adjustRightInd w:val="0"/>
        <w:snapToGrid w:val="0"/>
        <w:spacing w:line="288" w:lineRule="auto"/>
        <w:ind w:firstLine="1040"/>
        <w:rPr>
          <w:rFonts w:hint="eastAsia" w:ascii="仿宋_GB2312" w:eastAsia="仿宋_GB2312"/>
          <w:color w:val="auto"/>
          <w:sz w:val="36"/>
          <w:szCs w:val="36"/>
        </w:rPr>
      </w:pPr>
    </w:p>
    <w:p>
      <w:pPr>
        <w:adjustRightInd w:val="0"/>
        <w:snapToGrid w:val="0"/>
        <w:spacing w:line="288" w:lineRule="auto"/>
        <w:jc w:val="center"/>
        <w:rPr>
          <w:rFonts w:ascii="楷体_GB2312" w:eastAsia="楷体_GB2312"/>
          <w:color w:val="auto"/>
          <w:sz w:val="36"/>
          <w:szCs w:val="36"/>
        </w:rPr>
      </w:pPr>
      <w:r>
        <w:rPr>
          <w:rFonts w:hint="eastAsia" w:ascii="楷体_GB2312" w:eastAsia="楷体_GB2312"/>
          <w:color w:val="auto"/>
          <w:sz w:val="36"/>
          <w:szCs w:val="36"/>
        </w:rPr>
        <w:t>中华人民共和国生态环境部制</w:t>
      </w:r>
    </w:p>
    <w:p>
      <w:pPr>
        <w:adjustRightInd w:val="0"/>
        <w:snapToGrid w:val="0"/>
        <w:spacing w:line="288" w:lineRule="auto"/>
        <w:ind w:firstLine="1040"/>
        <w:rPr>
          <w:rFonts w:ascii="仿宋_GB2312" w:eastAsia="仿宋_GB2312"/>
          <w:color w:val="auto"/>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fmt="decimal" w:start="21"/>
          <w:cols w:space="720" w:num="1"/>
          <w:docGrid w:linePitch="312" w:charSpace="0"/>
        </w:sectPr>
      </w:pPr>
    </w:p>
    <w:p>
      <w:pPr>
        <w:pStyle w:val="21"/>
        <w:jc w:val="center"/>
        <w:outlineLvl w:val="0"/>
        <w:rPr>
          <w:rFonts w:hint="eastAsia" w:ascii="黑体" w:hAnsi="黑体" w:eastAsia="黑体"/>
          <w:snapToGrid w:val="0"/>
          <w:color w:val="auto"/>
          <w:sz w:val="30"/>
          <w:szCs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pPr>
        <w:pStyle w:val="21"/>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一、建设项目基本情况</w:t>
      </w:r>
    </w:p>
    <w:tbl>
      <w:tblPr>
        <w:tblStyle w:val="24"/>
        <w:tblW w:w="9039"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071"/>
        <w:gridCol w:w="2417"/>
        <w:gridCol w:w="1999"/>
        <w:gridCol w:w="255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8"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建设项目名称</w:t>
            </w:r>
          </w:p>
        </w:tc>
        <w:tc>
          <w:tcPr>
            <w:tcW w:w="6968" w:type="dxa"/>
            <w:gridSpan w:val="3"/>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内蒙古星光汇农业科技有限责任公司农业高科技博览园一期项目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项目代码</w:t>
            </w:r>
          </w:p>
        </w:tc>
        <w:tc>
          <w:tcPr>
            <w:tcW w:w="6968" w:type="dxa"/>
            <w:gridSpan w:val="3"/>
            <w:noWrap w:val="0"/>
            <w:vAlign w:val="center"/>
          </w:tcPr>
          <w:p>
            <w:pPr>
              <w:keepNext w:val="0"/>
              <w:keepLines w:val="0"/>
              <w:pageBreakBefore w:val="0"/>
              <w:widowControl/>
              <w:suppressLineNumbers w:val="0"/>
              <w:kinsoku/>
              <w:wordWrap/>
              <w:overflowPunct/>
              <w:topLinePunct w:val="0"/>
              <w:bidi w:val="0"/>
              <w:spacing w:line="384"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lang w:val="en-US" w:eastAsia="zh-CN" w:bidi="ar"/>
              </w:rPr>
              <w:t>2311-150627-04-01-401238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建设单位联系人</w:t>
            </w:r>
          </w:p>
        </w:tc>
        <w:tc>
          <w:tcPr>
            <w:tcW w:w="2417"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苏艳荣</w:t>
            </w:r>
          </w:p>
        </w:tc>
        <w:tc>
          <w:tcPr>
            <w:tcW w:w="1999"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联系方式</w:t>
            </w:r>
          </w:p>
        </w:tc>
        <w:tc>
          <w:tcPr>
            <w:tcW w:w="2552"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15149551819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建设地点</w:t>
            </w:r>
          </w:p>
        </w:tc>
        <w:tc>
          <w:tcPr>
            <w:tcW w:w="6968" w:type="dxa"/>
            <w:gridSpan w:val="3"/>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内蒙古自治区鄂尔多斯市伊金霍洛旗</w:t>
            </w:r>
            <w:r>
              <w:rPr>
                <w:rFonts w:hint="eastAsia" w:ascii="宋体" w:hAnsi="宋体" w:cs="宋体"/>
                <w:color w:val="auto"/>
                <w:sz w:val="24"/>
                <w:szCs w:val="24"/>
                <w:highlight w:val="none"/>
                <w:lang w:val="en-US" w:eastAsia="zh-CN"/>
              </w:rPr>
              <w:t>阿勒腾席热镇红海子村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地理坐标</w:t>
            </w:r>
          </w:p>
        </w:tc>
        <w:tc>
          <w:tcPr>
            <w:tcW w:w="6968" w:type="dxa"/>
            <w:gridSpan w:val="3"/>
            <w:noWrap w:val="0"/>
            <w:vAlign w:val="center"/>
          </w:tcPr>
          <w:p>
            <w:pPr>
              <w:keepNext w:val="0"/>
              <w:keepLines w:val="0"/>
              <w:pageBreakBefore w:val="0"/>
              <w:widowControl w:val="0"/>
              <w:kinsoku/>
              <w:wordWrap/>
              <w:overflowPunct/>
              <w:topLinePunct w:val="0"/>
              <w:autoSpaceDE/>
              <w:autoSpaceDN/>
              <w:bidi w:val="0"/>
              <w:adjustRightInd w:val="0"/>
              <w:snapToGrid w:val="0"/>
              <w:spacing w:line="384" w:lineRule="auto"/>
              <w:jc w:val="center"/>
              <w:textAlignment w:val="auto"/>
              <w:rPr>
                <w:rFonts w:ascii="宋体" w:hAnsi="宋体" w:cs="宋体"/>
                <w:color w:val="auto"/>
                <w:sz w:val="24"/>
                <w:szCs w:val="24"/>
                <w:highlight w:val="none"/>
              </w:rPr>
            </w:pPr>
            <w:r>
              <w:rPr>
                <w:rFonts w:hint="default" w:ascii="Times New Roman" w:hAnsi="Times New Roman" w:cs="Times New Roman"/>
                <w:color w:val="auto"/>
                <w:sz w:val="24"/>
                <w:szCs w:val="24"/>
                <w:highlight w:val="none"/>
                <w:u w:val="single"/>
                <w:lang w:val="en-US" w:eastAsia="zh-CN"/>
              </w:rPr>
              <w:t>10</w:t>
            </w:r>
            <w:r>
              <w:rPr>
                <w:rFonts w:hint="eastAsia" w:ascii="Times New Roman" w:hAnsi="Times New Roman" w:cs="Times New Roman"/>
                <w:color w:val="auto"/>
                <w:sz w:val="24"/>
                <w:szCs w:val="24"/>
                <w:highlight w:val="none"/>
                <w:u w:val="single"/>
                <w:lang w:val="en-US" w:eastAsia="zh-CN"/>
              </w:rPr>
              <w:t>9</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度</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47</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14.859</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秒，</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39</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度</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31</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11.308</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334"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建设项目</w:t>
            </w:r>
          </w:p>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行业类别</w:t>
            </w:r>
          </w:p>
        </w:tc>
        <w:tc>
          <w:tcPr>
            <w:tcW w:w="2417"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color w:val="auto"/>
                <w:sz w:val="24"/>
                <w:szCs w:val="24"/>
                <w:highlight w:val="none"/>
                <w:lang w:eastAsia="zh-CN"/>
              </w:rPr>
              <w:t>一</w:t>
            </w:r>
            <w:r>
              <w:rPr>
                <w:color w:val="auto"/>
                <w:sz w:val="24"/>
                <w:szCs w:val="24"/>
                <w:highlight w:val="none"/>
              </w:rPr>
              <w:t>、</w:t>
            </w:r>
            <w:r>
              <w:rPr>
                <w:rFonts w:hint="eastAsia"/>
                <w:color w:val="auto"/>
                <w:sz w:val="24"/>
                <w:szCs w:val="24"/>
                <w:highlight w:val="none"/>
                <w:lang w:eastAsia="zh-CN"/>
              </w:rPr>
              <w:t>农业</w:t>
            </w:r>
            <w:r>
              <w:rPr>
                <w:rFonts w:hint="eastAsia"/>
                <w:color w:val="auto"/>
                <w:sz w:val="24"/>
                <w:szCs w:val="24"/>
                <w:highlight w:val="none"/>
                <w:lang w:val="en-US" w:eastAsia="zh-CN"/>
              </w:rPr>
              <w:t>01</w:t>
            </w:r>
            <w:r>
              <w:rPr>
                <w:rFonts w:hint="eastAsia"/>
                <w:color w:val="auto"/>
                <w:sz w:val="24"/>
                <w:szCs w:val="24"/>
                <w:highlight w:val="none"/>
                <w:lang w:eastAsia="zh-CN"/>
              </w:rPr>
              <w:t>、林业</w:t>
            </w:r>
            <w:r>
              <w:rPr>
                <w:rFonts w:hint="eastAsia"/>
                <w:color w:val="auto"/>
                <w:sz w:val="24"/>
                <w:szCs w:val="24"/>
                <w:highlight w:val="none"/>
                <w:lang w:val="en-US" w:eastAsia="zh-CN"/>
              </w:rPr>
              <w:t>02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1.农产品基地项目（含药材基地）</w:t>
            </w:r>
            <w:r>
              <w:rPr>
                <w:rFonts w:hint="eastAsia" w:ascii="宋体" w:hAnsi="宋体" w:eastAsia="宋体" w:cs="宋体"/>
                <w:color w:val="auto"/>
                <w:sz w:val="24"/>
                <w:szCs w:val="24"/>
                <w:highlight w:val="none"/>
              </w:rPr>
              <w:t>”</w:t>
            </w:r>
          </w:p>
        </w:tc>
        <w:tc>
          <w:tcPr>
            <w:tcW w:w="1999"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用地面积（</w:t>
            </w:r>
            <w:r>
              <w:rPr>
                <w:rFonts w:ascii="宋体" w:hAnsi="宋体" w:cs="宋体"/>
                <w:color w:val="auto"/>
                <w:sz w:val="24"/>
                <w:szCs w:val="24"/>
                <w:highlight w:val="none"/>
              </w:rPr>
              <w:t>m</w:t>
            </w:r>
            <w:r>
              <w:rPr>
                <w:rFonts w:ascii="宋体" w:hAnsi="宋体" w:cs="宋体"/>
                <w:color w:val="auto"/>
                <w:sz w:val="24"/>
                <w:szCs w:val="24"/>
                <w:highlight w:val="none"/>
                <w:vertAlign w:val="superscript"/>
              </w:rPr>
              <w:t>2</w:t>
            </w:r>
            <w:r>
              <w:rPr>
                <w:rFonts w:hint="eastAsia" w:ascii="宋体" w:hAnsi="宋体" w:cs="宋体"/>
                <w:color w:val="auto"/>
                <w:sz w:val="24"/>
                <w:szCs w:val="24"/>
                <w:highlight w:val="none"/>
              </w:rPr>
              <w:t>）</w:t>
            </w:r>
          </w:p>
        </w:tc>
        <w:tc>
          <w:tcPr>
            <w:tcW w:w="2552"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cs="Times New Roman"/>
                <w:color w:val="auto"/>
                <w:sz w:val="24"/>
                <w:szCs w:val="24"/>
                <w:highlight w:val="none"/>
                <w:lang w:val="en-US" w:eastAsia="zh-CN"/>
              </w:rPr>
              <w:t>141939</w:t>
            </w:r>
            <w:r>
              <w:rPr>
                <w:rFonts w:hint="eastAsia" w:ascii="Times New Roman" w:hAnsi="Times New Roman" w:cs="Times New Roman"/>
                <w:color w:val="auto"/>
                <w:sz w:val="24"/>
                <w:szCs w:val="24"/>
                <w:highlight w:val="none"/>
                <w:lang w:val="en-US" w:eastAsia="zh-CN"/>
              </w:rPr>
              <w:t>m</w:t>
            </w:r>
            <w:r>
              <w:rPr>
                <w:rFonts w:hint="eastAsia" w:ascii="Times New Roman" w:hAnsi="Times New Roman" w:cs="Times New Roman"/>
                <w:color w:val="auto"/>
                <w:sz w:val="24"/>
                <w:szCs w:val="24"/>
                <w:highlight w:val="none"/>
                <w:vertAlign w:val="superscript"/>
                <w:lang w:val="en-US" w:eastAsia="zh-CN"/>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建设性质</w:t>
            </w:r>
          </w:p>
        </w:tc>
        <w:tc>
          <w:tcPr>
            <w:tcW w:w="2417" w:type="dxa"/>
            <w:noWrap w:val="0"/>
            <w:vAlign w:val="center"/>
          </w:tcPr>
          <w:p>
            <w:pPr>
              <w:keepNext w:val="0"/>
              <w:keepLines w:val="0"/>
              <w:pageBreakBefore w:val="0"/>
              <w:kinsoku/>
              <w:wordWrap/>
              <w:overflowPunct/>
              <w:topLinePunct w:val="0"/>
              <w:bidi w:val="0"/>
              <w:adjustRightInd w:val="0"/>
              <w:snapToGrid w:val="0"/>
              <w:spacing w:line="384" w:lineRule="auto"/>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sym w:font="Wingdings 2" w:char="0052"/>
            </w:r>
            <w:r>
              <w:rPr>
                <w:rFonts w:hint="eastAsia" w:ascii="宋体" w:hAnsi="宋体" w:cs="宋体"/>
                <w:color w:val="auto"/>
                <w:sz w:val="24"/>
                <w:szCs w:val="24"/>
                <w:highlight w:val="none"/>
              </w:rPr>
              <w:t>新建（迁建）</w:t>
            </w:r>
          </w:p>
          <w:p>
            <w:pPr>
              <w:keepNext w:val="0"/>
              <w:keepLines w:val="0"/>
              <w:pageBreakBefore w:val="0"/>
              <w:kinsoku/>
              <w:wordWrap/>
              <w:overflowPunct/>
              <w:topLinePunct w:val="0"/>
              <w:bidi w:val="0"/>
              <w:adjustRightInd w:val="0"/>
              <w:snapToGrid w:val="0"/>
              <w:spacing w:line="384" w:lineRule="auto"/>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□改建</w:t>
            </w:r>
          </w:p>
          <w:p>
            <w:pPr>
              <w:keepNext w:val="0"/>
              <w:keepLines w:val="0"/>
              <w:pageBreakBefore w:val="0"/>
              <w:kinsoku/>
              <w:wordWrap/>
              <w:overflowPunct/>
              <w:topLinePunct w:val="0"/>
              <w:bidi w:val="0"/>
              <w:adjustRightInd w:val="0"/>
              <w:snapToGrid w:val="0"/>
              <w:spacing w:line="384" w:lineRule="auto"/>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□扩建</w:t>
            </w:r>
          </w:p>
          <w:p>
            <w:pPr>
              <w:keepNext w:val="0"/>
              <w:keepLines w:val="0"/>
              <w:pageBreakBefore w:val="0"/>
              <w:kinsoku/>
              <w:wordWrap/>
              <w:overflowPunct/>
              <w:topLinePunct w:val="0"/>
              <w:bidi w:val="0"/>
              <w:adjustRightInd w:val="0"/>
              <w:snapToGrid w:val="0"/>
              <w:spacing w:line="384" w:lineRule="auto"/>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□技术改造</w:t>
            </w:r>
          </w:p>
        </w:tc>
        <w:tc>
          <w:tcPr>
            <w:tcW w:w="1999"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建设项目</w:t>
            </w:r>
          </w:p>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申报情形</w:t>
            </w:r>
          </w:p>
        </w:tc>
        <w:tc>
          <w:tcPr>
            <w:tcW w:w="2552" w:type="dxa"/>
            <w:noWrap w:val="0"/>
            <w:vAlign w:val="center"/>
          </w:tcPr>
          <w:p>
            <w:pPr>
              <w:keepNext w:val="0"/>
              <w:keepLines w:val="0"/>
              <w:pageBreakBefore w:val="0"/>
              <w:kinsoku/>
              <w:wordWrap/>
              <w:overflowPunct/>
              <w:topLinePunct w:val="0"/>
              <w:bidi w:val="0"/>
              <w:adjustRightInd w:val="0"/>
              <w:snapToGrid w:val="0"/>
              <w:spacing w:line="384" w:lineRule="auto"/>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sym w:font="Wingdings 2" w:char="0052"/>
            </w:r>
            <w:r>
              <w:rPr>
                <w:rFonts w:hint="eastAsia" w:ascii="宋体" w:hAnsi="宋体" w:cs="宋体"/>
                <w:color w:val="auto"/>
                <w:sz w:val="24"/>
                <w:szCs w:val="24"/>
                <w:highlight w:val="none"/>
              </w:rPr>
              <w:t>首次申报项目</w:t>
            </w:r>
          </w:p>
          <w:p>
            <w:pPr>
              <w:keepNext w:val="0"/>
              <w:keepLines w:val="0"/>
              <w:pageBreakBefore w:val="0"/>
              <w:kinsoku/>
              <w:wordWrap/>
              <w:overflowPunct/>
              <w:topLinePunct w:val="0"/>
              <w:bidi w:val="0"/>
              <w:adjustRightInd w:val="0"/>
              <w:snapToGrid w:val="0"/>
              <w:spacing w:line="384" w:lineRule="auto"/>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□不予批准后再次申报项目</w:t>
            </w:r>
          </w:p>
          <w:p>
            <w:pPr>
              <w:keepNext w:val="0"/>
              <w:keepLines w:val="0"/>
              <w:pageBreakBefore w:val="0"/>
              <w:kinsoku/>
              <w:wordWrap/>
              <w:overflowPunct/>
              <w:topLinePunct w:val="0"/>
              <w:bidi w:val="0"/>
              <w:adjustRightInd w:val="0"/>
              <w:snapToGrid w:val="0"/>
              <w:spacing w:line="384" w:lineRule="auto"/>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□超五年重新审核项目</w:t>
            </w:r>
          </w:p>
          <w:p>
            <w:pPr>
              <w:keepNext w:val="0"/>
              <w:keepLines w:val="0"/>
              <w:pageBreakBefore w:val="0"/>
              <w:kinsoku/>
              <w:wordWrap/>
              <w:overflowPunct/>
              <w:topLinePunct w:val="0"/>
              <w:bidi w:val="0"/>
              <w:adjustRightInd w:val="0"/>
              <w:snapToGrid w:val="0"/>
              <w:spacing w:line="384" w:lineRule="auto"/>
              <w:textAlignment w:val="auto"/>
              <w:rPr>
                <w:rFonts w:ascii="宋体" w:hAnsi="宋体" w:cs="宋体"/>
                <w:color w:val="auto"/>
                <w:sz w:val="24"/>
                <w:szCs w:val="24"/>
                <w:highlight w:val="none"/>
              </w:rPr>
            </w:pPr>
            <w:r>
              <w:rPr>
                <w:rFonts w:hint="eastAsia" w:ascii="宋体" w:hAnsi="宋体" w:cs="宋体"/>
                <w:color w:val="auto"/>
                <w:sz w:val="24"/>
                <w:szCs w:val="24"/>
                <w:highlight w:val="none"/>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项目审批（核准</w:t>
            </w:r>
            <w:r>
              <w:rPr>
                <w:rFonts w:ascii="宋体" w:hAnsi="宋体" w:cs="宋体"/>
                <w:color w:val="auto"/>
                <w:sz w:val="24"/>
                <w:szCs w:val="24"/>
                <w:highlight w:val="none"/>
              </w:rPr>
              <w:t>/</w:t>
            </w:r>
          </w:p>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备案）部门（选填）</w:t>
            </w:r>
          </w:p>
        </w:tc>
        <w:tc>
          <w:tcPr>
            <w:tcW w:w="2417"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伊金霍洛旗发改委</w:t>
            </w:r>
          </w:p>
        </w:tc>
        <w:tc>
          <w:tcPr>
            <w:tcW w:w="1999"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项目审批（核准</w:t>
            </w:r>
            <w:r>
              <w:rPr>
                <w:rFonts w:ascii="宋体" w:hAnsi="宋体" w:cs="宋体"/>
                <w:color w:val="auto"/>
                <w:sz w:val="24"/>
                <w:szCs w:val="24"/>
                <w:highlight w:val="none"/>
              </w:rPr>
              <w:t>/</w:t>
            </w:r>
          </w:p>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备案）文号（选填）</w:t>
            </w:r>
          </w:p>
        </w:tc>
        <w:tc>
          <w:tcPr>
            <w:tcW w:w="2552" w:type="dxa"/>
            <w:noWrap w:val="0"/>
            <w:vAlign w:val="center"/>
          </w:tcPr>
          <w:p>
            <w:pPr>
              <w:keepNext w:val="0"/>
              <w:keepLines w:val="0"/>
              <w:pageBreakBefore w:val="0"/>
              <w:widowControl/>
              <w:suppressLineNumbers w:val="0"/>
              <w:kinsoku/>
              <w:wordWrap/>
              <w:overflowPunct/>
              <w:topLinePunct w:val="0"/>
              <w:bidi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总投资（万元）</w:t>
            </w:r>
          </w:p>
        </w:tc>
        <w:tc>
          <w:tcPr>
            <w:tcW w:w="2417"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18000</w:t>
            </w:r>
          </w:p>
        </w:tc>
        <w:tc>
          <w:tcPr>
            <w:tcW w:w="1999"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环保投资（万元）</w:t>
            </w:r>
          </w:p>
        </w:tc>
        <w:tc>
          <w:tcPr>
            <w:tcW w:w="2552"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环保投资占比（</w:t>
            </w:r>
            <w:r>
              <w:rPr>
                <w:rFonts w:ascii="宋体" w:hAnsi="宋体" w:cs="宋体"/>
                <w:color w:val="auto"/>
                <w:sz w:val="24"/>
                <w:szCs w:val="24"/>
                <w:highlight w:val="none"/>
              </w:rPr>
              <w:t>%</w:t>
            </w:r>
            <w:r>
              <w:rPr>
                <w:rFonts w:hint="eastAsia" w:ascii="宋体" w:hAnsi="宋体" w:cs="宋体"/>
                <w:color w:val="auto"/>
                <w:sz w:val="24"/>
                <w:szCs w:val="24"/>
                <w:highlight w:val="none"/>
              </w:rPr>
              <w:t>）</w:t>
            </w:r>
          </w:p>
        </w:tc>
        <w:tc>
          <w:tcPr>
            <w:tcW w:w="2417"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0.1</w:t>
            </w:r>
          </w:p>
        </w:tc>
        <w:tc>
          <w:tcPr>
            <w:tcW w:w="1999"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施工工期</w:t>
            </w:r>
          </w:p>
        </w:tc>
        <w:tc>
          <w:tcPr>
            <w:tcW w:w="2552" w:type="dxa"/>
            <w:noWrap w:val="0"/>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个月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是否开工建设</w:t>
            </w:r>
          </w:p>
        </w:tc>
        <w:tc>
          <w:tcPr>
            <w:tcW w:w="6968" w:type="dxa"/>
            <w:gridSpan w:val="3"/>
            <w:noWrap w:val="0"/>
            <w:vAlign w:val="center"/>
          </w:tcPr>
          <w:p>
            <w:pPr>
              <w:keepNext w:val="0"/>
              <w:keepLines w:val="0"/>
              <w:pageBreakBefore w:val="0"/>
              <w:kinsoku/>
              <w:wordWrap/>
              <w:overflowPunct/>
              <w:topLinePunct w:val="0"/>
              <w:bidi w:val="0"/>
              <w:adjustRightInd w:val="0"/>
              <w:snapToGrid w:val="0"/>
              <w:spacing w:line="384" w:lineRule="auto"/>
              <w:ind w:firstLine="105"/>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sym w:font="Wingdings 2" w:char="0052"/>
            </w:r>
            <w:r>
              <w:rPr>
                <w:rFonts w:hint="eastAsia" w:ascii="宋体" w:hAnsi="宋体" w:cs="宋体"/>
                <w:color w:val="auto"/>
                <w:sz w:val="24"/>
                <w:szCs w:val="24"/>
                <w:highlight w:val="none"/>
              </w:rPr>
              <w:t>否</w:t>
            </w:r>
          </w:p>
          <w:p>
            <w:pPr>
              <w:keepNext w:val="0"/>
              <w:keepLines w:val="0"/>
              <w:pageBreakBefore w:val="0"/>
              <w:kinsoku/>
              <w:wordWrap/>
              <w:overflowPunct/>
              <w:topLinePunct w:val="0"/>
              <w:bidi w:val="0"/>
              <w:adjustRightInd w:val="0"/>
              <w:snapToGrid w:val="0"/>
              <w:spacing w:line="384" w:lineRule="auto"/>
              <w:ind w:firstLine="92"/>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□是：</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43"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autoSpaceDE w:val="0"/>
              <w:autoSpaceDN w:val="0"/>
              <w:bidi w:val="0"/>
              <w:adjustRightInd w:val="0"/>
              <w:snapToGrid w:val="0"/>
              <w:spacing w:line="384" w:lineRule="auto"/>
              <w:jc w:val="center"/>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专项评价设置情况</w:t>
            </w:r>
          </w:p>
        </w:tc>
        <w:tc>
          <w:tcPr>
            <w:tcW w:w="6968" w:type="dxa"/>
            <w:gridSpan w:val="3"/>
            <w:noWrap w:val="0"/>
            <w:tcMar>
              <w:top w:w="16" w:type="dxa"/>
              <w:left w:w="16" w:type="dxa"/>
              <w:right w:w="16" w:type="dxa"/>
            </w:tcMar>
            <w:vAlign w:val="center"/>
          </w:tcPr>
          <w:p>
            <w:pPr>
              <w:keepNext w:val="0"/>
              <w:keepLines w:val="0"/>
              <w:pageBreakBefore w:val="0"/>
              <w:kinsoku/>
              <w:wordWrap/>
              <w:overflowPunct/>
              <w:topLinePunct w:val="0"/>
              <w:autoSpaceDE w:val="0"/>
              <w:autoSpaceDN w:val="0"/>
              <w:bidi w:val="0"/>
              <w:adjustRightInd w:val="0"/>
              <w:snapToGrid w:val="0"/>
              <w:spacing w:line="384"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38"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autoSpaceDE w:val="0"/>
              <w:autoSpaceDN w:val="0"/>
              <w:bidi w:val="0"/>
              <w:adjustRightInd w:val="0"/>
              <w:snapToGrid w:val="0"/>
              <w:spacing w:line="384" w:lineRule="auto"/>
              <w:jc w:val="center"/>
              <w:textAlignment w:val="auto"/>
              <w:rPr>
                <w:rFonts w:ascii="宋体" w:hAnsi="宋体" w:cs="宋体"/>
                <w:color w:val="auto"/>
                <w:kern w:val="0"/>
                <w:sz w:val="24"/>
                <w:szCs w:val="24"/>
                <w:highlight w:val="none"/>
              </w:rPr>
            </w:pPr>
            <w:r>
              <w:rPr>
                <w:rFonts w:hint="eastAsia" w:ascii="宋体" w:hAnsi="宋体" w:cs="宋体"/>
                <w:color w:val="auto"/>
                <w:sz w:val="24"/>
                <w:szCs w:val="24"/>
                <w:highlight w:val="none"/>
              </w:rPr>
              <w:t>规划情况</w:t>
            </w:r>
          </w:p>
        </w:tc>
        <w:tc>
          <w:tcPr>
            <w:tcW w:w="6968" w:type="dxa"/>
            <w:gridSpan w:val="3"/>
            <w:noWrap w:val="0"/>
            <w:tcMar>
              <w:top w:w="16" w:type="dxa"/>
              <w:left w:w="16" w:type="dxa"/>
              <w:right w:w="16" w:type="dxa"/>
            </w:tcMar>
            <w:vAlign w:val="center"/>
          </w:tcPr>
          <w:p>
            <w:pPr>
              <w:keepNext w:val="0"/>
              <w:keepLines w:val="0"/>
              <w:pageBreakBefore w:val="0"/>
              <w:kinsoku/>
              <w:wordWrap/>
              <w:overflowPunct/>
              <w:topLinePunct w:val="0"/>
              <w:autoSpaceDE w:val="0"/>
              <w:autoSpaceDN w:val="0"/>
              <w:bidi w:val="0"/>
              <w:adjustRightInd w:val="0"/>
              <w:snapToGrid w:val="0"/>
              <w:spacing w:line="384"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87"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autoSpaceDE w:val="0"/>
              <w:autoSpaceDN w:val="0"/>
              <w:bidi w:val="0"/>
              <w:adjustRightInd w:val="0"/>
              <w:snapToGrid w:val="0"/>
              <w:spacing w:line="384"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规划环境影响</w:t>
            </w:r>
          </w:p>
          <w:p>
            <w:pPr>
              <w:keepNext w:val="0"/>
              <w:keepLines w:val="0"/>
              <w:pageBreakBefore w:val="0"/>
              <w:kinsoku/>
              <w:wordWrap/>
              <w:overflowPunct/>
              <w:topLinePunct w:val="0"/>
              <w:autoSpaceDE w:val="0"/>
              <w:autoSpaceDN w:val="0"/>
              <w:bidi w:val="0"/>
              <w:adjustRightInd w:val="0"/>
              <w:snapToGrid w:val="0"/>
              <w:spacing w:line="384" w:lineRule="auto"/>
              <w:jc w:val="center"/>
              <w:textAlignment w:val="auto"/>
              <w:rPr>
                <w:rFonts w:ascii="宋体" w:hAnsi="宋体" w:cs="宋体"/>
                <w:color w:val="auto"/>
                <w:kern w:val="0"/>
                <w:sz w:val="24"/>
                <w:szCs w:val="24"/>
                <w:highlight w:val="none"/>
              </w:rPr>
            </w:pPr>
            <w:r>
              <w:rPr>
                <w:rFonts w:hint="eastAsia" w:ascii="宋体" w:hAnsi="宋体" w:cs="宋体"/>
                <w:color w:val="auto"/>
                <w:sz w:val="24"/>
                <w:szCs w:val="24"/>
                <w:highlight w:val="none"/>
              </w:rPr>
              <w:t>评价情况</w:t>
            </w:r>
          </w:p>
        </w:tc>
        <w:tc>
          <w:tcPr>
            <w:tcW w:w="6968" w:type="dxa"/>
            <w:gridSpan w:val="3"/>
            <w:noWrap w:val="0"/>
            <w:tcMar>
              <w:top w:w="16" w:type="dxa"/>
              <w:left w:w="16" w:type="dxa"/>
              <w:right w:w="16" w:type="dxa"/>
            </w:tcMar>
            <w:vAlign w:val="center"/>
          </w:tcPr>
          <w:p>
            <w:pPr>
              <w:keepNext w:val="0"/>
              <w:keepLines w:val="0"/>
              <w:pageBreakBefore w:val="0"/>
              <w:kinsoku/>
              <w:wordWrap/>
              <w:overflowPunct/>
              <w:topLinePunct w:val="0"/>
              <w:autoSpaceDE w:val="0"/>
              <w:autoSpaceDN w:val="0"/>
              <w:bidi w:val="0"/>
              <w:adjustRightInd w:val="0"/>
              <w:snapToGrid w:val="0"/>
              <w:spacing w:line="384"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35"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autoSpaceDE w:val="0"/>
              <w:autoSpaceDN w:val="0"/>
              <w:bidi w:val="0"/>
              <w:adjustRightInd w:val="0"/>
              <w:snapToGrid w:val="0"/>
              <w:spacing w:line="384" w:lineRule="auto"/>
              <w:jc w:val="center"/>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规划及</w:t>
            </w:r>
            <w:r>
              <w:rPr>
                <w:rFonts w:hint="eastAsia" w:ascii="宋体" w:hAnsi="宋体" w:cs="宋体"/>
                <w:color w:val="auto"/>
                <w:sz w:val="24"/>
                <w:szCs w:val="24"/>
                <w:highlight w:val="none"/>
              </w:rPr>
              <w:t>规划环境影响评价</w:t>
            </w:r>
            <w:r>
              <w:rPr>
                <w:rFonts w:hint="eastAsia" w:ascii="宋体" w:hAnsi="宋体" w:cs="宋体"/>
                <w:color w:val="auto"/>
                <w:kern w:val="0"/>
                <w:sz w:val="24"/>
                <w:szCs w:val="24"/>
                <w:highlight w:val="none"/>
              </w:rPr>
              <w:t>符合性分析</w:t>
            </w:r>
          </w:p>
        </w:tc>
        <w:tc>
          <w:tcPr>
            <w:tcW w:w="6968" w:type="dxa"/>
            <w:gridSpan w:val="3"/>
            <w:noWrap w:val="0"/>
            <w:tcMar>
              <w:top w:w="16" w:type="dxa"/>
              <w:left w:w="16" w:type="dxa"/>
              <w:right w:w="16" w:type="dxa"/>
            </w:tcMar>
            <w:vAlign w:val="center"/>
          </w:tcPr>
          <w:p>
            <w:pPr>
              <w:keepNext w:val="0"/>
              <w:keepLines w:val="0"/>
              <w:pageBreakBefore w:val="0"/>
              <w:kinsoku/>
              <w:wordWrap/>
              <w:overflowPunct/>
              <w:topLinePunct w:val="0"/>
              <w:autoSpaceDE w:val="0"/>
              <w:autoSpaceDN w:val="0"/>
              <w:bidi w:val="0"/>
              <w:adjustRightInd w:val="0"/>
              <w:snapToGrid w:val="0"/>
              <w:spacing w:line="384" w:lineRule="auto"/>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70" w:hRule="atLeast"/>
        </w:trPr>
        <w:tc>
          <w:tcPr>
            <w:tcW w:w="2071" w:type="dxa"/>
            <w:noWrap w:val="0"/>
            <w:tcMar>
              <w:top w:w="16" w:type="dxa"/>
              <w:left w:w="16" w:type="dxa"/>
              <w:right w:w="16" w:type="dxa"/>
            </w:tcMar>
            <w:vAlign w:val="center"/>
          </w:tcPr>
          <w:p>
            <w:pPr>
              <w:keepNext w:val="0"/>
              <w:keepLines w:val="0"/>
              <w:pageBreakBefore w:val="0"/>
              <w:kinsoku/>
              <w:wordWrap/>
              <w:overflowPunct/>
              <w:topLinePunct w:val="0"/>
              <w:autoSpaceDE w:val="0"/>
              <w:autoSpaceDN w:val="0"/>
              <w:bidi w:val="0"/>
              <w:adjustRightInd w:val="0"/>
              <w:snapToGrid w:val="0"/>
              <w:spacing w:line="384" w:lineRule="auto"/>
              <w:jc w:val="center"/>
              <w:textAlignment w:val="auto"/>
              <w:rPr>
                <w:rFonts w:ascii="宋体" w:hAnsi="宋体" w:cs="宋体"/>
                <w:color w:val="auto"/>
                <w:kern w:val="0"/>
                <w:sz w:val="24"/>
                <w:szCs w:val="24"/>
                <w:highlight w:val="none"/>
              </w:rPr>
            </w:pPr>
            <w:bookmarkStart w:id="2" w:name="_Hlk56690880"/>
            <w:r>
              <w:rPr>
                <w:rFonts w:hint="eastAsia" w:ascii="宋体" w:hAnsi="宋体" w:cs="宋体"/>
                <w:color w:val="auto"/>
                <w:kern w:val="0"/>
                <w:sz w:val="24"/>
                <w:szCs w:val="24"/>
                <w:highlight w:val="none"/>
              </w:rPr>
              <w:t>其他符合性分析</w:t>
            </w:r>
            <w:bookmarkEnd w:id="2"/>
          </w:p>
        </w:tc>
        <w:tc>
          <w:tcPr>
            <w:tcW w:w="6968" w:type="dxa"/>
            <w:gridSpan w:val="3"/>
            <w:noWrap w:val="0"/>
            <w:tcMar>
              <w:top w:w="16" w:type="dxa"/>
              <w:left w:w="16" w:type="dxa"/>
              <w:right w:w="16" w:type="dxa"/>
            </w:tcMar>
            <w:vAlign w:val="center"/>
          </w:tcPr>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1、产业政策符合性分析</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eastAsia" w:ascii="Times New Roman" w:hAnsi="Times New Roman" w:eastAsia="宋体" w:cs="Times New Roman"/>
                <w:color w:val="auto"/>
                <w:kern w:val="0"/>
                <w:sz w:val="24"/>
                <w:szCs w:val="24"/>
                <w:highlight w:val="none"/>
                <w:lang w:eastAsia="zh-CN"/>
              </w:rPr>
            </w:pPr>
            <w:r>
              <w:rPr>
                <w:rFonts w:hint="default" w:ascii="Times New Roman" w:hAnsi="Times New Roman" w:cs="Times New Roman"/>
                <w:color w:val="auto"/>
                <w:kern w:val="0"/>
                <w:sz w:val="24"/>
                <w:szCs w:val="24"/>
                <w:highlight w:val="none"/>
              </w:rPr>
              <w:t>本项目为</w:t>
            </w:r>
            <w:r>
              <w:rPr>
                <w:rFonts w:hint="eastAsia" w:cs="Times New Roman"/>
                <w:color w:val="auto"/>
                <w:kern w:val="0"/>
                <w:sz w:val="24"/>
                <w:szCs w:val="24"/>
                <w:highlight w:val="none"/>
                <w:lang w:val="en-US" w:eastAsia="zh-CN"/>
              </w:rPr>
              <w:t>内蒙古星光汇农业科技有限责任公司农业高科技博览园一期项目</w:t>
            </w:r>
            <w:r>
              <w:rPr>
                <w:rFonts w:hint="default" w:ascii="Times New Roman" w:hAnsi="Times New Roman" w:cs="Times New Roman"/>
                <w:color w:val="auto"/>
                <w:kern w:val="0"/>
                <w:sz w:val="24"/>
                <w:szCs w:val="24"/>
                <w:highlight w:val="none"/>
              </w:rPr>
              <w:t>，依据国家发展和改革委员会令第9号《产业结构调整指导目录（20</w:t>
            </w:r>
            <w:r>
              <w:rPr>
                <w:rFonts w:hint="eastAsia" w:cs="Times New Roman"/>
                <w:color w:val="auto"/>
                <w:kern w:val="0"/>
                <w:sz w:val="24"/>
                <w:szCs w:val="24"/>
                <w:highlight w:val="none"/>
                <w:lang w:val="en-US" w:eastAsia="zh-CN"/>
              </w:rPr>
              <w:t>24</w:t>
            </w:r>
            <w:r>
              <w:rPr>
                <w:rFonts w:hint="default" w:ascii="Times New Roman" w:hAnsi="Times New Roman" w:cs="Times New Roman"/>
                <w:color w:val="auto"/>
                <w:kern w:val="0"/>
                <w:sz w:val="24"/>
                <w:szCs w:val="24"/>
                <w:highlight w:val="none"/>
              </w:rPr>
              <w:t>年本）》（202</w:t>
            </w:r>
            <w:r>
              <w:rPr>
                <w:rFonts w:hint="eastAsia" w:cs="Times New Roman"/>
                <w:color w:val="auto"/>
                <w:kern w:val="0"/>
                <w:sz w:val="24"/>
                <w:szCs w:val="24"/>
                <w:highlight w:val="none"/>
                <w:lang w:val="en-US" w:eastAsia="zh-CN"/>
              </w:rPr>
              <w:t>4</w:t>
            </w:r>
            <w:r>
              <w:rPr>
                <w:rFonts w:hint="default" w:ascii="Times New Roman" w:hAnsi="Times New Roman" w:cs="Times New Roman"/>
                <w:color w:val="auto"/>
                <w:kern w:val="0"/>
                <w:sz w:val="24"/>
                <w:szCs w:val="24"/>
                <w:highlight w:val="none"/>
              </w:rPr>
              <w:t>年</w:t>
            </w:r>
            <w:r>
              <w:rPr>
                <w:rFonts w:hint="eastAsia" w:cs="Times New Roman"/>
                <w:color w:val="auto"/>
                <w:kern w:val="0"/>
                <w:sz w:val="24"/>
                <w:szCs w:val="24"/>
                <w:highlight w:val="none"/>
                <w:lang w:val="en-US" w:eastAsia="zh-CN"/>
              </w:rPr>
              <w:t>2</w:t>
            </w:r>
            <w:r>
              <w:rPr>
                <w:rFonts w:hint="default" w:ascii="Times New Roman" w:hAnsi="Times New Roman" w:cs="Times New Roman"/>
                <w:color w:val="auto"/>
                <w:kern w:val="0"/>
                <w:sz w:val="24"/>
                <w:szCs w:val="24"/>
                <w:highlight w:val="none"/>
              </w:rPr>
              <w:t>月1日执行），本项目属于鼓励类，第</w:t>
            </w:r>
            <w:r>
              <w:rPr>
                <w:rFonts w:hint="eastAsia" w:ascii="Times New Roman" w:hAnsi="Times New Roman" w:cs="Times New Roman"/>
                <w:color w:val="auto"/>
                <w:kern w:val="0"/>
                <w:sz w:val="24"/>
                <w:szCs w:val="24"/>
                <w:highlight w:val="none"/>
                <w:lang w:eastAsia="zh-CN"/>
              </w:rPr>
              <w:t>一</w:t>
            </w:r>
            <w:r>
              <w:rPr>
                <w:rFonts w:hint="default" w:ascii="Times New Roman" w:hAnsi="Times New Roman" w:cs="Times New Roman"/>
                <w:color w:val="auto"/>
                <w:kern w:val="0"/>
                <w:sz w:val="24"/>
                <w:szCs w:val="24"/>
                <w:highlight w:val="none"/>
              </w:rPr>
              <w:t>项</w:t>
            </w:r>
            <w:r>
              <w:rPr>
                <w:rFonts w:hint="eastAsia" w:ascii="宋体" w:hAnsi="宋体" w:eastAsia="宋体" w:cs="宋体"/>
                <w:color w:val="auto"/>
                <w:kern w:val="0"/>
                <w:sz w:val="24"/>
                <w:szCs w:val="24"/>
                <w:highlight w:val="none"/>
              </w:rPr>
              <w:t>“</w:t>
            </w:r>
            <w:r>
              <w:rPr>
                <w:rFonts w:hint="default" w:ascii="Times New Roman" w:hAnsi="Times New Roman" w:cs="Times New Roman"/>
                <w:color w:val="auto"/>
                <w:kern w:val="0"/>
                <w:sz w:val="24"/>
                <w:szCs w:val="24"/>
                <w:highlight w:val="none"/>
                <w:lang w:val="en-US" w:eastAsia="zh-CN"/>
              </w:rPr>
              <w:t>农林业</w:t>
            </w:r>
            <w:r>
              <w:rPr>
                <w:rFonts w:hint="eastAsia" w:ascii="宋体" w:hAnsi="宋体" w:eastAsia="宋体" w:cs="宋体"/>
                <w:color w:val="auto"/>
                <w:kern w:val="0"/>
                <w:sz w:val="24"/>
                <w:szCs w:val="24"/>
                <w:highlight w:val="none"/>
              </w:rPr>
              <w:t>”</w:t>
            </w:r>
            <w:r>
              <w:rPr>
                <w:rFonts w:hint="default" w:ascii="Times New Roman" w:hAnsi="Times New Roman" w:cs="Times New Roman"/>
                <w:color w:val="auto"/>
                <w:kern w:val="0"/>
                <w:sz w:val="24"/>
                <w:szCs w:val="24"/>
                <w:highlight w:val="none"/>
              </w:rPr>
              <w:t>中的“</w:t>
            </w:r>
            <w:r>
              <w:rPr>
                <w:rFonts w:hint="default" w:ascii="Times New Roman" w:hAnsi="Times New Roman" w:cs="Times New Roman"/>
                <w:color w:val="auto"/>
                <w:kern w:val="0"/>
                <w:sz w:val="24"/>
                <w:szCs w:val="24"/>
                <w:highlight w:val="none"/>
                <w:lang w:val="en-US" w:eastAsia="zh-CN"/>
              </w:rPr>
              <w:t>3、蔬菜、瓜果、花卉设施栽培（含无土栽培）先进技术开发与应用，优质、高产、高效标准化栽培技术开发与应用</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eastAsia="zh-CN"/>
              </w:rPr>
              <w:t>，</w:t>
            </w:r>
            <w:r>
              <w:rPr>
                <w:rFonts w:hint="default" w:ascii="Times New Roman" w:hAnsi="Times New Roman" w:cs="Times New Roman"/>
                <w:color w:val="auto"/>
                <w:kern w:val="0"/>
                <w:sz w:val="24"/>
                <w:szCs w:val="24"/>
                <w:highlight w:val="none"/>
              </w:rPr>
              <w:t>符合国家产业政策。</w:t>
            </w:r>
            <w:r>
              <w:rPr>
                <w:rFonts w:hint="eastAsia" w:ascii="宋体" w:hAnsi="宋体" w:cs="宋体"/>
                <w:color w:val="auto"/>
                <w:kern w:val="0"/>
                <w:sz w:val="24"/>
                <w:szCs w:val="24"/>
                <w:highlight w:val="none"/>
                <w:lang w:eastAsia="zh-CN"/>
              </w:rPr>
              <w:t>内蒙古星光汇农业科技有限责任公司</w:t>
            </w:r>
            <w:r>
              <w:rPr>
                <w:rFonts w:hint="eastAsia" w:ascii="宋体" w:hAnsi="宋体" w:cs="宋体"/>
                <w:color w:val="auto"/>
                <w:kern w:val="0"/>
                <w:sz w:val="24"/>
                <w:szCs w:val="24"/>
                <w:highlight w:val="none"/>
              </w:rPr>
              <w:t>于</w:t>
            </w:r>
            <w:r>
              <w:rPr>
                <w:color w:val="auto"/>
                <w:kern w:val="0"/>
                <w:sz w:val="24"/>
                <w:szCs w:val="24"/>
                <w:highlight w:val="none"/>
              </w:rPr>
              <w:t>202</w:t>
            </w:r>
            <w:r>
              <w:rPr>
                <w:rFonts w:hint="eastAsia"/>
                <w:color w:val="auto"/>
                <w:kern w:val="0"/>
                <w:sz w:val="24"/>
                <w:szCs w:val="24"/>
                <w:highlight w:val="none"/>
                <w:lang w:val="en-US" w:eastAsia="zh-CN"/>
              </w:rPr>
              <w:t>3</w:t>
            </w:r>
            <w:r>
              <w:rPr>
                <w:rFonts w:hint="eastAsia" w:ascii="宋体" w:hAnsi="宋体" w:cs="宋体"/>
                <w:color w:val="auto"/>
                <w:kern w:val="0"/>
                <w:sz w:val="24"/>
                <w:szCs w:val="24"/>
                <w:highlight w:val="none"/>
              </w:rPr>
              <w:t>年</w:t>
            </w:r>
            <w:r>
              <w:rPr>
                <w:rFonts w:hint="eastAsia"/>
                <w:color w:val="auto"/>
                <w:kern w:val="0"/>
                <w:sz w:val="24"/>
                <w:szCs w:val="24"/>
                <w:highlight w:val="none"/>
                <w:lang w:val="en-US" w:eastAsia="zh-CN"/>
              </w:rPr>
              <w:t>11</w:t>
            </w:r>
            <w:r>
              <w:rPr>
                <w:rFonts w:hint="eastAsia" w:ascii="宋体" w:hAnsi="宋体" w:cs="宋体"/>
                <w:color w:val="auto"/>
                <w:kern w:val="0"/>
                <w:sz w:val="24"/>
                <w:szCs w:val="24"/>
                <w:highlight w:val="none"/>
              </w:rPr>
              <w:t>月</w:t>
            </w:r>
            <w:r>
              <w:rPr>
                <w:rFonts w:hint="eastAsia"/>
                <w:color w:val="auto"/>
                <w:kern w:val="0"/>
                <w:sz w:val="24"/>
                <w:szCs w:val="24"/>
                <w:highlight w:val="none"/>
                <w:lang w:val="en-US" w:eastAsia="zh-CN"/>
              </w:rPr>
              <w:t>23</w:t>
            </w:r>
            <w:r>
              <w:rPr>
                <w:rFonts w:hint="eastAsia" w:ascii="宋体" w:hAnsi="宋体" w:cs="宋体"/>
                <w:color w:val="auto"/>
                <w:kern w:val="0"/>
                <w:sz w:val="24"/>
                <w:szCs w:val="24"/>
                <w:highlight w:val="none"/>
              </w:rPr>
              <w:t>日</w:t>
            </w:r>
            <w:r>
              <w:rPr>
                <w:rFonts w:hint="eastAsia" w:ascii="宋体" w:hAnsi="宋体" w:cs="宋体"/>
                <w:color w:val="auto"/>
                <w:kern w:val="0"/>
                <w:sz w:val="24"/>
                <w:szCs w:val="24"/>
                <w:highlight w:val="none"/>
                <w:lang w:eastAsia="zh-CN"/>
              </w:rPr>
              <w:t>取得了伊金霍洛旗发改委出具的《内蒙古星光汇农业科技有限责任公司农业高科技博览园一期</w:t>
            </w:r>
            <w:r>
              <w:rPr>
                <w:rFonts w:hint="eastAsia" w:ascii="Times New Roman" w:hAnsi="Times New Roman" w:eastAsia="宋体" w:cs="Times New Roman"/>
                <w:color w:val="auto"/>
                <w:kern w:val="0"/>
                <w:sz w:val="24"/>
                <w:szCs w:val="24"/>
                <w:highlight w:val="none"/>
                <w:lang w:eastAsia="zh-CN"/>
              </w:rPr>
              <w:t>项目的项目备案告知书</w:t>
            </w:r>
            <w:r>
              <w:rPr>
                <w:rFonts w:hint="eastAsia" w:ascii="宋体" w:hAnsi="宋体" w:cs="宋体"/>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rPr>
              <w:t>项目代码</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2311-150627-04-01-401238</w:t>
            </w:r>
            <w:r>
              <w:rPr>
                <w:rFonts w:hint="eastAsia" w:ascii="Times New Roman" w:hAnsi="Times New Roman" w:eastAsia="宋体" w:cs="Times New Roman"/>
                <w:color w:val="auto"/>
                <w:kern w:val="0"/>
                <w:sz w:val="24"/>
                <w:szCs w:val="24"/>
                <w:highlight w:val="none"/>
                <w:lang w:eastAsia="zh-CN"/>
              </w:rPr>
              <w:t>）</w:t>
            </w:r>
            <w:r>
              <w:rPr>
                <w:rFonts w:hint="eastAsia" w:ascii="宋体" w:hAnsi="宋体" w:cs="宋体"/>
                <w:color w:val="auto"/>
                <w:kern w:val="0"/>
                <w:sz w:val="24"/>
                <w:szCs w:val="24"/>
                <w:highlight w:val="none"/>
              </w:rPr>
              <w:t>。</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default"/>
                <w:color w:val="auto"/>
                <w:kern w:val="0"/>
                <w:sz w:val="24"/>
                <w:szCs w:val="24"/>
                <w:highlight w:val="none"/>
                <w:lang w:val="en-US" w:eastAsia="zh-CN"/>
              </w:rPr>
            </w:pPr>
            <w:r>
              <w:rPr>
                <w:rFonts w:hint="default"/>
                <w:color w:val="auto"/>
                <w:kern w:val="0"/>
                <w:sz w:val="24"/>
                <w:szCs w:val="24"/>
                <w:highlight w:val="none"/>
                <w:lang w:val="en-US" w:eastAsia="zh-CN"/>
              </w:rPr>
              <w:t>2、选址合理性分析</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eastAsia" w:ascii="仿宋_GB2312" w:hAnsi="宋体" w:eastAsia="仿宋_GB2312"/>
                <w:b/>
                <w:bCs/>
                <w:color w:val="auto"/>
                <w:sz w:val="28"/>
                <w:szCs w:val="28"/>
                <w:highlight w:val="none"/>
                <w:lang w:val="en-US" w:eastAsia="zh-CN"/>
              </w:rPr>
            </w:pPr>
            <w:r>
              <w:rPr>
                <w:rFonts w:hint="default"/>
                <w:color w:val="auto"/>
                <w:kern w:val="0"/>
                <w:sz w:val="24"/>
                <w:szCs w:val="24"/>
                <w:highlight w:val="none"/>
                <w:lang w:val="en-US" w:eastAsia="zh-CN"/>
              </w:rPr>
              <w:t>本项目位于</w:t>
            </w:r>
            <w:r>
              <w:rPr>
                <w:rFonts w:hint="eastAsia"/>
                <w:color w:val="auto"/>
                <w:kern w:val="0"/>
                <w:sz w:val="24"/>
                <w:szCs w:val="24"/>
                <w:highlight w:val="none"/>
                <w:lang w:val="en-US" w:eastAsia="zh-CN"/>
              </w:rPr>
              <w:t>内蒙古自治区鄂尔多斯市伊金霍洛旗阿勒腾席热镇红海子村。项目</w:t>
            </w:r>
            <w:r>
              <w:rPr>
                <w:rFonts w:hint="default"/>
                <w:color w:val="auto"/>
                <w:kern w:val="0"/>
                <w:sz w:val="24"/>
                <w:szCs w:val="24"/>
                <w:highlight w:val="none"/>
                <w:lang w:val="en-US" w:eastAsia="zh-CN"/>
              </w:rPr>
              <w:t>区邻近交</w:t>
            </w:r>
            <w:r>
              <w:rPr>
                <w:rFonts w:hint="default" w:ascii="Times New Roman" w:hAnsi="Times New Roman" w:cs="Times New Roman"/>
                <w:color w:val="auto"/>
                <w:kern w:val="0"/>
                <w:sz w:val="24"/>
                <w:szCs w:val="24"/>
                <w:highlight w:val="none"/>
              </w:rPr>
              <w:t>通道路，交通条件较好，且不在生态红线范围内，用地范围无集中式饮用水水源保护区、</w:t>
            </w:r>
            <w:r>
              <w:rPr>
                <w:rFonts w:hint="default" w:ascii="Times New Roman" w:hAnsi="Times New Roman" w:cs="Times New Roman"/>
                <w:color w:val="auto"/>
                <w:kern w:val="0"/>
                <w:sz w:val="24"/>
                <w:szCs w:val="24"/>
                <w:highlight w:val="none"/>
                <w:lang w:val="en-US" w:eastAsia="zh-CN"/>
              </w:rPr>
              <w:t>自然保护区、风景名胜区、</w:t>
            </w:r>
            <w:r>
              <w:rPr>
                <w:rFonts w:hint="default" w:ascii="Times New Roman" w:hAnsi="Times New Roman" w:cs="Times New Roman"/>
                <w:color w:val="auto"/>
                <w:kern w:val="0"/>
                <w:sz w:val="24"/>
                <w:szCs w:val="24"/>
                <w:highlight w:val="none"/>
              </w:rPr>
              <w:t>文物古迹</w:t>
            </w:r>
            <w:r>
              <w:rPr>
                <w:rFonts w:hint="eastAsia" w:ascii="Times New Roman" w:hAnsi="Times New Roman" w:cs="Times New Roman"/>
                <w:color w:val="auto"/>
                <w:kern w:val="0"/>
                <w:sz w:val="24"/>
                <w:szCs w:val="24"/>
                <w:highlight w:val="none"/>
                <w:lang w:eastAsia="zh-CN"/>
              </w:rPr>
              <w:t>、基本农田、基本草原</w:t>
            </w:r>
            <w:r>
              <w:rPr>
                <w:rFonts w:hint="default" w:ascii="Times New Roman" w:hAnsi="Times New Roman" w:cs="Times New Roman"/>
                <w:color w:val="auto"/>
                <w:kern w:val="0"/>
                <w:sz w:val="24"/>
                <w:szCs w:val="24"/>
                <w:highlight w:val="none"/>
              </w:rPr>
              <w:t>等敏感</w:t>
            </w:r>
            <w:r>
              <w:rPr>
                <w:rFonts w:hint="eastAsia" w:ascii="Times New Roman" w:hAnsi="Times New Roman" w:cs="Times New Roman"/>
                <w:color w:val="auto"/>
                <w:kern w:val="0"/>
                <w:sz w:val="24"/>
                <w:szCs w:val="24"/>
                <w:highlight w:val="none"/>
                <w:lang w:eastAsia="zh-CN"/>
              </w:rPr>
              <w:t>区域。</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default" w:ascii="Times New Roman" w:hAnsi="Times New Roman" w:cs="Times New Roman"/>
                <w:color w:val="auto"/>
                <w:kern w:val="0"/>
                <w:sz w:val="24"/>
                <w:szCs w:val="24"/>
                <w:highlight w:val="none"/>
              </w:rPr>
            </w:pPr>
            <w:r>
              <w:rPr>
                <w:rFonts w:hint="eastAsia" w:ascii="Times New Roman" w:hAnsi="Times New Roman" w:cs="Times New Roman"/>
                <w:color w:val="auto"/>
                <w:kern w:val="0"/>
                <w:sz w:val="24"/>
                <w:szCs w:val="24"/>
                <w:highlight w:val="none"/>
                <w:lang w:eastAsia="zh-CN"/>
              </w:rPr>
              <w:t>本项目产生的废气、废水、固废和噪声采取相应的措施后</w:t>
            </w:r>
            <w:r>
              <w:rPr>
                <w:rFonts w:hint="default" w:ascii="Times New Roman" w:hAnsi="Times New Roman" w:cs="Times New Roman"/>
                <w:color w:val="auto"/>
                <w:kern w:val="0"/>
                <w:sz w:val="24"/>
                <w:szCs w:val="24"/>
                <w:highlight w:val="none"/>
              </w:rPr>
              <w:t>。对周边环境影响较小。因此，从环保角度分析，本项目的选址是合理的。</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3、“三线一单”符合性分析</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（1）生态保护红线</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根据2020年12月29日内蒙古自治区人民政府发布的《内蒙古自治区人民政府关于实施“三线一单”生态环境分区管控的意见》内政发[2020]24号精神，按照《鄂尔多斯市人民政府关于实施“三线一单”生态环境分区管控的意见》，全市共划分环境管控单元163个，包括优先保护单元</w:t>
            </w:r>
            <w:r>
              <w:rPr>
                <w:rFonts w:hint="eastAsia" w:ascii="Times New Roman" w:hAnsi="Times New Roman" w:eastAsia="宋体" w:cs="Times New Roman"/>
                <w:color w:val="auto"/>
                <w:kern w:val="0"/>
                <w:sz w:val="24"/>
                <w:szCs w:val="24"/>
                <w:highlight w:val="none"/>
                <w:lang w:eastAsia="zh-CN"/>
              </w:rPr>
              <w:t>共</w:t>
            </w:r>
            <w:r>
              <w:rPr>
                <w:rFonts w:hint="default" w:ascii="Times New Roman" w:hAnsi="Times New Roman" w:cs="Times New Roman"/>
                <w:color w:val="auto"/>
                <w:kern w:val="0"/>
                <w:sz w:val="24"/>
                <w:szCs w:val="24"/>
                <w:highlight w:val="none"/>
              </w:rPr>
              <w:t>69个、重点管控单元</w:t>
            </w:r>
            <w:r>
              <w:rPr>
                <w:rFonts w:hint="eastAsia" w:ascii="Times New Roman" w:hAnsi="Times New Roman" w:eastAsia="宋体" w:cs="Times New Roman"/>
                <w:color w:val="auto"/>
                <w:kern w:val="0"/>
                <w:sz w:val="24"/>
                <w:szCs w:val="24"/>
                <w:highlight w:val="none"/>
                <w:lang w:eastAsia="zh-CN"/>
              </w:rPr>
              <w:t>共</w:t>
            </w:r>
            <w:r>
              <w:rPr>
                <w:rFonts w:hint="default" w:ascii="Times New Roman" w:hAnsi="Times New Roman" w:cs="Times New Roman"/>
                <w:color w:val="auto"/>
                <w:kern w:val="0"/>
                <w:sz w:val="24"/>
                <w:szCs w:val="24"/>
                <w:highlight w:val="none"/>
              </w:rPr>
              <w:t>87个、一般管控单元</w:t>
            </w:r>
            <w:r>
              <w:rPr>
                <w:rFonts w:hint="eastAsia" w:ascii="Times New Roman" w:hAnsi="Times New Roman" w:eastAsia="宋体" w:cs="Times New Roman"/>
                <w:color w:val="auto"/>
                <w:kern w:val="0"/>
                <w:sz w:val="24"/>
                <w:szCs w:val="24"/>
                <w:highlight w:val="none"/>
                <w:lang w:eastAsia="zh-CN"/>
              </w:rPr>
              <w:t>共</w:t>
            </w:r>
            <w:r>
              <w:rPr>
                <w:rFonts w:hint="default" w:ascii="Times New Roman" w:hAnsi="Times New Roman" w:cs="Times New Roman"/>
                <w:color w:val="auto"/>
                <w:kern w:val="0"/>
                <w:sz w:val="24"/>
                <w:szCs w:val="24"/>
                <w:highlight w:val="none"/>
              </w:rPr>
              <w:t>7个，实施分类管控。本项目位于</w:t>
            </w:r>
            <w:r>
              <w:rPr>
                <w:rFonts w:hint="eastAsia" w:ascii="宋体" w:hAnsi="宋体" w:cs="宋体"/>
                <w:color w:val="auto"/>
                <w:sz w:val="24"/>
                <w:szCs w:val="24"/>
                <w:highlight w:val="none"/>
                <w:lang w:eastAsia="zh-CN"/>
              </w:rPr>
              <w:t>伊金霍洛旗</w:t>
            </w:r>
            <w:r>
              <w:rPr>
                <w:rFonts w:hint="eastAsia" w:ascii="宋体" w:hAnsi="宋体" w:cs="宋体"/>
                <w:color w:val="auto"/>
                <w:sz w:val="24"/>
                <w:szCs w:val="24"/>
                <w:highlight w:val="none"/>
                <w:lang w:val="en-US" w:eastAsia="zh-CN"/>
              </w:rPr>
              <w:t>阿勒腾席热镇</w:t>
            </w:r>
            <w:r>
              <w:rPr>
                <w:rFonts w:hint="eastAsia"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rPr>
              <w:t>属于重点管控单元，</w:t>
            </w:r>
            <w:r>
              <w:rPr>
                <w:rFonts w:hint="default" w:ascii="Times New Roman" w:hAnsi="Times New Roman" w:cs="Times New Roman"/>
                <w:color w:val="auto"/>
                <w:kern w:val="0"/>
                <w:sz w:val="24"/>
                <w:szCs w:val="24"/>
                <w:highlight w:val="none"/>
                <w:lang w:val="en-US" w:eastAsia="zh-CN"/>
              </w:rPr>
              <w:t>本项目为生态农业项目，对周边环境影响较小，本项目不在国家公园、风景名胜区、自然保护区以及饮用水源地等特殊环境敏感区</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cs="Times New Roman"/>
                <w:color w:val="auto"/>
                <w:kern w:val="0"/>
                <w:sz w:val="24"/>
                <w:szCs w:val="24"/>
                <w:highlight w:val="none"/>
              </w:rPr>
              <w:t>符合生态保护红线要求。</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（2）环境质量底线</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根据内蒙古自治区生态环境厅网站发布的2022年《内蒙古自治区生态环境状况公报》统计数据，鄂尔多斯市202</w:t>
            </w:r>
            <w:r>
              <w:rPr>
                <w:rFonts w:hint="eastAsia" w:ascii="Times New Roman" w:hAnsi="Times New Roman" w:cs="Times New Roman"/>
                <w:color w:val="auto"/>
                <w:kern w:val="0"/>
                <w:sz w:val="24"/>
                <w:szCs w:val="24"/>
                <w:highlight w:val="none"/>
                <w:lang w:val="en-US" w:eastAsia="zh-CN"/>
              </w:rPr>
              <w:t>2</w:t>
            </w:r>
            <w:r>
              <w:rPr>
                <w:rFonts w:hint="default" w:ascii="Times New Roman" w:hAnsi="Times New Roman" w:cs="Times New Roman"/>
                <w:color w:val="auto"/>
                <w:kern w:val="0"/>
                <w:sz w:val="24"/>
                <w:szCs w:val="24"/>
                <w:highlight w:val="none"/>
              </w:rPr>
              <w:t>年各基本污染物年平均浓度均低于《环境空气质量标准》（GB3095-2012）及其修改单二级标准浓度限值要求，项目所在区域为达标区。本项目为</w:t>
            </w:r>
            <w:r>
              <w:rPr>
                <w:rFonts w:hint="eastAsia" w:cs="Times New Roman"/>
                <w:color w:val="auto"/>
                <w:kern w:val="0"/>
                <w:sz w:val="24"/>
                <w:szCs w:val="24"/>
                <w:highlight w:val="none"/>
                <w:lang w:eastAsia="zh-CN"/>
              </w:rPr>
              <w:t>内蒙古星光汇农业科技有限责任公司农业高科技博览园一期项目</w:t>
            </w:r>
            <w:r>
              <w:rPr>
                <w:rFonts w:hint="default" w:ascii="Times New Roman" w:hAnsi="Times New Roman" w:cs="Times New Roman"/>
                <w:color w:val="auto"/>
                <w:kern w:val="0"/>
                <w:sz w:val="24"/>
                <w:szCs w:val="24"/>
                <w:highlight w:val="none"/>
              </w:rPr>
              <w:t>，</w:t>
            </w:r>
            <w:r>
              <w:rPr>
                <w:rFonts w:hint="default" w:ascii="Times New Roman" w:hAnsi="Times New Roman" w:cs="Times New Roman"/>
                <w:color w:val="auto"/>
                <w:kern w:val="0"/>
                <w:sz w:val="24"/>
                <w:szCs w:val="24"/>
                <w:highlight w:val="none"/>
                <w:lang w:val="en-US" w:eastAsia="zh-CN"/>
              </w:rPr>
              <w:t>为生态农业项目</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cs="Times New Roman"/>
                <w:color w:val="auto"/>
                <w:kern w:val="0"/>
                <w:sz w:val="24"/>
                <w:szCs w:val="24"/>
                <w:highlight w:val="none"/>
                <w:lang w:val="en-US" w:eastAsia="zh-CN"/>
              </w:rPr>
              <w:t>本项目生产过程中产生的废气、废水和噪声采取相应的污染防治措施后均可达标排放，产生的固体废物定期进行了合理的处置。因此，在落实本评价提出的相关污染防治措施后，项目各类污染物均能有效处理，不会明显降低区域环境质量现状，不会对当地环境质量底线造成冲击，不会突破区域环境质量底线</w:t>
            </w:r>
            <w:r>
              <w:rPr>
                <w:rFonts w:hint="default" w:ascii="Times New Roman" w:hAnsi="Times New Roman" w:cs="Times New Roman"/>
                <w:color w:val="auto"/>
                <w:kern w:val="0"/>
                <w:sz w:val="24"/>
                <w:szCs w:val="24"/>
                <w:highlight w:val="none"/>
              </w:rPr>
              <w:t>。因此，项目的建设满足当地环境质量底线要求。</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（3）资源利用上线</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本项目为</w:t>
            </w:r>
            <w:r>
              <w:rPr>
                <w:rFonts w:hint="default" w:ascii="Times New Roman" w:hAnsi="Times New Roman" w:cs="Times New Roman"/>
                <w:color w:val="auto"/>
                <w:kern w:val="0"/>
                <w:sz w:val="24"/>
                <w:szCs w:val="24"/>
                <w:highlight w:val="none"/>
                <w:lang w:val="en-US" w:eastAsia="zh-CN"/>
              </w:rPr>
              <w:t>生态农业项目</w:t>
            </w:r>
            <w:r>
              <w:rPr>
                <w:rFonts w:hint="default" w:ascii="Times New Roman" w:hAnsi="Times New Roman" w:cs="Times New Roman"/>
                <w:color w:val="auto"/>
                <w:kern w:val="0"/>
                <w:sz w:val="24"/>
                <w:szCs w:val="24"/>
                <w:highlight w:val="none"/>
              </w:rPr>
              <w:t>，不属于高耗能、高污染项目，运营过程中</w:t>
            </w:r>
            <w:r>
              <w:rPr>
                <w:rFonts w:hint="eastAsia" w:ascii="Times New Roman" w:hAnsi="Times New Roman" w:cs="Times New Roman"/>
                <w:color w:val="auto"/>
                <w:kern w:val="0"/>
                <w:sz w:val="24"/>
                <w:szCs w:val="24"/>
                <w:highlight w:val="none"/>
                <w:lang w:eastAsia="zh-CN"/>
              </w:rPr>
              <w:t>消耗一定量的电和水</w:t>
            </w:r>
            <w:r>
              <w:rPr>
                <w:rFonts w:hint="eastAsia" w:cs="Times New Roman"/>
                <w:color w:val="auto"/>
                <w:kern w:val="0"/>
                <w:sz w:val="24"/>
                <w:szCs w:val="24"/>
                <w:highlight w:val="none"/>
                <w:lang w:eastAsia="zh-CN"/>
              </w:rPr>
              <w:t>（灌溉用水水源来自西红海子，目前企业正在办理相关手续）</w:t>
            </w:r>
            <w:r>
              <w:rPr>
                <w:rFonts w:hint="default" w:ascii="Times New Roman" w:hAnsi="Times New Roman" w:cs="Times New Roman"/>
                <w:color w:val="auto"/>
                <w:kern w:val="0"/>
                <w:sz w:val="24"/>
                <w:szCs w:val="24"/>
                <w:highlight w:val="none"/>
              </w:rPr>
              <w:t>，</w:t>
            </w:r>
            <w:r>
              <w:rPr>
                <w:rFonts w:hint="default" w:ascii="Times New Roman" w:hAnsi="Times New Roman" w:cs="Times New Roman"/>
                <w:color w:val="auto"/>
                <w:kern w:val="0"/>
                <w:sz w:val="24"/>
                <w:szCs w:val="24"/>
                <w:highlight w:val="none"/>
                <w:lang w:val="en-US" w:eastAsia="zh-CN"/>
              </w:rPr>
              <w:t>资源消耗量相对于区域资源利用总量较少</w:t>
            </w:r>
            <w:r>
              <w:rPr>
                <w:rFonts w:hint="eastAsia"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rPr>
              <w:t>符合资源利用上限要求。</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（4）生态环境准入清单</w:t>
            </w:r>
          </w:p>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color w:val="auto"/>
                <w:sz w:val="24"/>
                <w:szCs w:val="24"/>
                <w:highlight w:val="none"/>
              </w:rPr>
            </w:pPr>
            <w:r>
              <w:rPr>
                <w:rFonts w:hint="default" w:ascii="Times New Roman" w:hAnsi="Times New Roman" w:cs="Times New Roman"/>
                <w:color w:val="auto"/>
                <w:kern w:val="0"/>
                <w:sz w:val="24"/>
                <w:szCs w:val="24"/>
                <w:highlight w:val="none"/>
              </w:rPr>
              <w:t>根据鄂尔多斯市生态环境局发布《鄂尔多斯市生态环境准入清单》的通知（鄂环函[2021]95号）及《鄂尔多斯市生态环境准入清单》文本，本项目所在区域属于重点管控单元</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rPr>
              <w:t>伊金霍洛旗城镇边界</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rPr>
              <w:t>ZH15062 720013</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cs="Times New Roman"/>
                <w:color w:val="auto"/>
                <w:kern w:val="0"/>
                <w:sz w:val="24"/>
                <w:szCs w:val="24"/>
                <w:highlight w:val="none"/>
              </w:rPr>
              <w:t>。本项目为</w:t>
            </w:r>
            <w:r>
              <w:rPr>
                <w:rFonts w:hint="eastAsia" w:cs="Times New Roman"/>
                <w:color w:val="auto"/>
                <w:kern w:val="0"/>
                <w:sz w:val="24"/>
                <w:szCs w:val="24"/>
                <w:highlight w:val="none"/>
                <w:lang w:eastAsia="zh-CN"/>
              </w:rPr>
              <w:t>内蒙古星光汇农业科技有限责任公司农业高科技博览园一期项目</w:t>
            </w:r>
            <w:r>
              <w:rPr>
                <w:rFonts w:hint="default" w:ascii="Times New Roman" w:hAnsi="Times New Roman" w:cs="Times New Roman"/>
                <w:color w:val="auto"/>
                <w:kern w:val="0"/>
                <w:sz w:val="24"/>
                <w:szCs w:val="24"/>
                <w:highlight w:val="none"/>
              </w:rPr>
              <w:t>，不属于大规模、高强度的工业开发项目，不属于“两高一资”的产业，因此项目的建设符合鄂尔多斯市环境准入清单的相关管控要求。</w:t>
            </w:r>
            <w:r>
              <w:rPr>
                <w:rFonts w:hint="eastAsia"/>
                <w:color w:val="auto"/>
                <w:sz w:val="24"/>
                <w:szCs w:val="24"/>
                <w:highlight w:val="none"/>
              </w:rPr>
              <w:t>本项目与生态环境准入清单符合性分析见表1-1。</w:t>
            </w:r>
          </w:p>
          <w:p>
            <w:pPr>
              <w:pStyle w:val="4"/>
              <w:keepNext w:val="0"/>
              <w:keepLines w:val="0"/>
              <w:pageBreakBefore w:val="0"/>
              <w:kinsoku/>
              <w:wordWrap/>
              <w:overflowPunct/>
              <w:topLinePunct w:val="0"/>
              <w:bidi w:val="0"/>
              <w:spacing w:line="384" w:lineRule="auto"/>
              <w:textAlignment w:val="auto"/>
              <w:rPr>
                <w:color w:val="auto"/>
                <w:sz w:val="24"/>
                <w:szCs w:val="24"/>
                <w:highlight w:val="none"/>
              </w:rPr>
            </w:pPr>
            <w:r>
              <w:rPr>
                <w:rFonts w:hint="eastAsia"/>
                <w:color w:val="auto"/>
                <w:sz w:val="24"/>
                <w:szCs w:val="24"/>
                <w:highlight w:val="none"/>
              </w:rPr>
              <w:t>表1-1</w:t>
            </w:r>
            <w:r>
              <w:rPr>
                <w:rFonts w:hint="eastAsia"/>
                <w:color w:val="auto"/>
                <w:sz w:val="24"/>
                <w:szCs w:val="24"/>
                <w:highlight w:val="none"/>
                <w:lang w:val="en-US" w:eastAsia="zh-CN"/>
              </w:rPr>
              <w:t xml:space="preserve">  </w:t>
            </w:r>
            <w:r>
              <w:rPr>
                <w:rFonts w:hint="eastAsia"/>
                <w:color w:val="auto"/>
                <w:sz w:val="24"/>
                <w:szCs w:val="24"/>
                <w:highlight w:val="none"/>
              </w:rPr>
              <w:t>本项目与生态环境准入清单符合性分析表</w:t>
            </w:r>
          </w:p>
          <w:tbl>
            <w:tblPr>
              <w:tblStyle w:val="25"/>
              <w:tblW w:w="6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3949"/>
              <w:gridCol w:w="2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4399" w:type="dxa"/>
                  <w:gridSpan w:val="2"/>
                  <w:noWrap w:val="0"/>
                  <w:vAlign w:val="top"/>
                </w:tcPr>
                <w:p>
                  <w:pPr>
                    <w:pStyle w:val="46"/>
                    <w:keepNext w:val="0"/>
                    <w:keepLines w:val="0"/>
                    <w:pageBreakBefore w:val="0"/>
                    <w:widowControl w:val="0"/>
                    <w:kinsoku/>
                    <w:wordWrap/>
                    <w:overflowPunct/>
                    <w:topLinePunct w:val="0"/>
                    <w:autoSpaceDE w:val="0"/>
                    <w:autoSpaceDN w:val="0"/>
                    <w:bidi w:val="0"/>
                    <w:adjustRightInd/>
                    <w:snapToGrid/>
                    <w:spacing w:line="384" w:lineRule="auto"/>
                    <w:ind w:right="0" w:rightChars="0"/>
                    <w:jc w:val="center"/>
                    <w:textAlignment w:val="auto"/>
                    <w:rPr>
                      <w:rFonts w:hint="default" w:ascii="Times New Roman" w:hAnsi="Times New Roman" w:eastAsia="宋体" w:cs="Times New Roman"/>
                      <w:color w:val="auto"/>
                      <w:kern w:val="2"/>
                      <w:sz w:val="21"/>
                      <w:szCs w:val="21"/>
                      <w:highlight w:val="none"/>
                      <w:lang w:val="zh-CN" w:eastAsia="zh-CN" w:bidi="zh-CN"/>
                    </w:rPr>
                  </w:pPr>
                  <w:r>
                    <w:rPr>
                      <w:rFonts w:hint="default" w:ascii="Times New Roman" w:hAnsi="Times New Roman" w:eastAsia="宋体" w:cs="Times New Roman"/>
                      <w:color w:val="auto"/>
                      <w:sz w:val="21"/>
                      <w:szCs w:val="21"/>
                      <w:highlight w:val="none"/>
                    </w:rPr>
                    <w:t>管控要求</w:t>
                  </w:r>
                </w:p>
              </w:tc>
              <w:tc>
                <w:tcPr>
                  <w:tcW w:w="2200" w:type="dxa"/>
                  <w:noWrap w:val="0"/>
                  <w:vAlign w:val="center"/>
                </w:tcPr>
                <w:p>
                  <w:pPr>
                    <w:pStyle w:val="46"/>
                    <w:keepNext w:val="0"/>
                    <w:keepLines w:val="0"/>
                    <w:pageBreakBefore w:val="0"/>
                    <w:widowControl w:val="0"/>
                    <w:kinsoku/>
                    <w:wordWrap/>
                    <w:overflowPunct/>
                    <w:topLinePunct w:val="0"/>
                    <w:autoSpaceDE w:val="0"/>
                    <w:autoSpaceDN w:val="0"/>
                    <w:bidi w:val="0"/>
                    <w:adjustRightInd/>
                    <w:snapToGrid/>
                    <w:spacing w:line="384"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zh-CN"/>
                    </w:rPr>
                  </w:pPr>
                  <w:r>
                    <w:rPr>
                      <w:rFonts w:hint="default" w:ascii="Times New Roman" w:hAnsi="Times New Roman" w:eastAsia="宋体" w:cs="Times New Roman"/>
                      <w:color w:val="auto"/>
                      <w:sz w:val="21"/>
                      <w:szCs w:val="21"/>
                      <w:highlight w:val="none"/>
                    </w:rPr>
                    <w:t>对照分析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jc w:val="center"/>
              </w:trPr>
              <w:tc>
                <w:tcPr>
                  <w:tcW w:w="450" w:type="dxa"/>
                  <w:noWrap w:val="0"/>
                  <w:vAlign w:val="top"/>
                </w:tcPr>
                <w:p>
                  <w:pPr>
                    <w:pStyle w:val="4"/>
                    <w:keepNext w:val="0"/>
                    <w:keepLines w:val="0"/>
                    <w:pageBreakBefore w:val="0"/>
                    <w:kinsoku/>
                    <w:wordWrap/>
                    <w:overflowPunct/>
                    <w:topLinePunct w:val="0"/>
                    <w:autoSpaceDE/>
                    <w:autoSpaceDN/>
                    <w:bidi w:val="0"/>
                    <w:adjustRightInd/>
                    <w:snapToGrid/>
                    <w:spacing w:after="0" w:line="384"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空间布局约束</w:t>
                  </w:r>
                </w:p>
              </w:tc>
              <w:tc>
                <w:tcPr>
                  <w:tcW w:w="3949" w:type="dxa"/>
                  <w:noWrap w:val="0"/>
                  <w:vAlign w:val="top"/>
                </w:tcPr>
                <w:p>
                  <w:pPr>
                    <w:pStyle w:val="46"/>
                    <w:keepNext w:val="0"/>
                    <w:keepLines w:val="0"/>
                    <w:pageBreakBefore w:val="0"/>
                    <w:numPr>
                      <w:ilvl w:val="0"/>
                      <w:numId w:val="0"/>
                    </w:numPr>
                    <w:tabs>
                      <w:tab w:val="left" w:pos="267"/>
                    </w:tabs>
                    <w:kinsoku/>
                    <w:wordWrap/>
                    <w:overflowPunct/>
                    <w:topLinePunct w:val="0"/>
                    <w:bidi w:val="0"/>
                    <w:spacing w:before="140" w:after="0" w:line="384" w:lineRule="auto"/>
                    <w:ind w:right="0" w:rightChars="0"/>
                    <w:jc w:val="left"/>
                    <w:textAlignment w:val="auto"/>
                    <w:rPr>
                      <w:color w:val="auto"/>
                      <w:sz w:val="21"/>
                      <w:szCs w:val="21"/>
                    </w:rPr>
                  </w:pPr>
                  <w:r>
                    <w:rPr>
                      <w:rFonts w:hint="eastAsia" w:eastAsia="宋体"/>
                      <w:color w:val="auto"/>
                      <w:spacing w:val="-3"/>
                      <w:sz w:val="21"/>
                      <w:szCs w:val="21"/>
                      <w:lang w:val="en-US" w:eastAsia="zh-CN"/>
                    </w:rPr>
                    <w:t>1.</w:t>
                  </w:r>
                  <w:r>
                    <w:rPr>
                      <w:color w:val="auto"/>
                      <w:spacing w:val="-3"/>
                      <w:sz w:val="21"/>
                      <w:szCs w:val="21"/>
                    </w:rPr>
                    <w:t>严控新建、扩建高污染、高耗水、高耗能项目。</w:t>
                  </w:r>
                </w:p>
                <w:p>
                  <w:pPr>
                    <w:pStyle w:val="46"/>
                    <w:keepNext w:val="0"/>
                    <w:keepLines w:val="0"/>
                    <w:pageBreakBefore w:val="0"/>
                    <w:numPr>
                      <w:ilvl w:val="0"/>
                      <w:numId w:val="0"/>
                    </w:numPr>
                    <w:tabs>
                      <w:tab w:val="left" w:pos="267"/>
                    </w:tabs>
                    <w:kinsoku/>
                    <w:wordWrap/>
                    <w:overflowPunct/>
                    <w:topLinePunct w:val="0"/>
                    <w:bidi w:val="0"/>
                    <w:spacing w:before="3" w:after="0" w:line="384" w:lineRule="auto"/>
                    <w:ind w:right="0" w:rightChars="0"/>
                    <w:jc w:val="left"/>
                    <w:textAlignment w:val="auto"/>
                    <w:rPr>
                      <w:color w:val="auto"/>
                      <w:sz w:val="21"/>
                      <w:szCs w:val="21"/>
                    </w:rPr>
                  </w:pPr>
                  <w:r>
                    <w:rPr>
                      <w:rFonts w:hint="eastAsia" w:eastAsia="宋体"/>
                      <w:color w:val="auto"/>
                      <w:spacing w:val="-7"/>
                      <w:sz w:val="21"/>
                      <w:szCs w:val="21"/>
                      <w:lang w:val="en-US" w:eastAsia="zh-CN"/>
                    </w:rPr>
                    <w:t>2.</w:t>
                  </w:r>
                  <w:r>
                    <w:rPr>
                      <w:color w:val="auto"/>
                      <w:spacing w:val="-7"/>
                      <w:sz w:val="21"/>
                      <w:szCs w:val="21"/>
                    </w:rPr>
                    <w:t xml:space="preserve">城市建成区禁止新建 </w:t>
                  </w:r>
                  <w:r>
                    <w:rPr>
                      <w:rFonts w:ascii="Times New Roman" w:eastAsia="Times New Roman"/>
                      <w:color w:val="auto"/>
                      <w:sz w:val="21"/>
                      <w:szCs w:val="21"/>
                    </w:rPr>
                    <w:t>35</w:t>
                  </w:r>
                  <w:r>
                    <w:rPr>
                      <w:rFonts w:ascii="Times New Roman" w:eastAsia="Times New Roman"/>
                      <w:color w:val="auto"/>
                      <w:spacing w:val="7"/>
                      <w:sz w:val="21"/>
                      <w:szCs w:val="21"/>
                    </w:rPr>
                    <w:t xml:space="preserve"> </w:t>
                  </w:r>
                  <w:r>
                    <w:rPr>
                      <w:color w:val="auto"/>
                      <w:sz w:val="21"/>
                      <w:szCs w:val="21"/>
                    </w:rPr>
                    <w:t>蒸吨</w:t>
                  </w:r>
                  <w:r>
                    <w:rPr>
                      <w:rFonts w:ascii="Times New Roman" w:eastAsia="Times New Roman"/>
                      <w:color w:val="auto"/>
                      <w:sz w:val="21"/>
                      <w:szCs w:val="21"/>
                    </w:rPr>
                    <w:t>/</w:t>
                  </w:r>
                  <w:r>
                    <w:rPr>
                      <w:color w:val="auto"/>
                      <w:spacing w:val="-3"/>
                      <w:sz w:val="21"/>
                      <w:szCs w:val="21"/>
                    </w:rPr>
                    <w:t>小时以下燃煤锅炉；</w:t>
                  </w:r>
                </w:p>
                <w:p>
                  <w:pPr>
                    <w:pStyle w:val="4"/>
                    <w:keepNext w:val="0"/>
                    <w:keepLines w:val="0"/>
                    <w:pageBreakBefore w:val="0"/>
                    <w:widowControl w:val="0"/>
                    <w:numPr>
                      <w:ilvl w:val="0"/>
                      <w:numId w:val="0"/>
                    </w:numPr>
                    <w:kinsoku/>
                    <w:wordWrap/>
                    <w:overflowPunct/>
                    <w:topLinePunct w:val="0"/>
                    <w:autoSpaceDE/>
                    <w:autoSpaceDN/>
                    <w:bidi w:val="0"/>
                    <w:adjustRightInd/>
                    <w:snapToGrid/>
                    <w:spacing w:after="0" w:line="384" w:lineRule="auto"/>
                    <w:ind w:leftChars="0"/>
                    <w:jc w:val="both"/>
                    <w:textAlignment w:val="auto"/>
                    <w:rPr>
                      <w:rFonts w:hint="default" w:ascii="Times New Roman" w:hAnsi="Times New Roman" w:eastAsia="宋体" w:cs="Times New Roman"/>
                      <w:color w:val="auto"/>
                      <w:sz w:val="21"/>
                      <w:szCs w:val="21"/>
                      <w:highlight w:val="none"/>
                      <w:vertAlign w:val="baseline"/>
                    </w:rPr>
                  </w:pPr>
                  <w:r>
                    <w:rPr>
                      <w:rFonts w:hint="eastAsia"/>
                      <w:color w:val="auto"/>
                      <w:sz w:val="21"/>
                      <w:szCs w:val="21"/>
                      <w:lang w:val="en-US" w:eastAsia="zh-CN"/>
                    </w:rPr>
                    <w:t>3.</w:t>
                  </w:r>
                  <w:r>
                    <w:rPr>
                      <w:color w:val="auto"/>
                      <w:sz w:val="21"/>
                      <w:szCs w:val="21"/>
                    </w:rPr>
                    <w:t>禁止在居民区和学校、医院、疗养院、养老院等</w:t>
                  </w:r>
                  <w:r>
                    <w:rPr>
                      <w:color w:val="auto"/>
                      <w:spacing w:val="-12"/>
                      <w:sz w:val="21"/>
                      <w:szCs w:val="21"/>
                    </w:rPr>
                    <w:t>单位周边新建、改建、扩建可能造成土壤污染的建设</w:t>
                  </w:r>
                  <w:r>
                    <w:rPr>
                      <w:color w:val="auto"/>
                      <w:spacing w:val="-8"/>
                      <w:sz w:val="21"/>
                      <w:szCs w:val="21"/>
                    </w:rPr>
                    <w:t>项目。禁止在人口聚居区域内新</w:t>
                  </w:r>
                  <w:r>
                    <w:rPr>
                      <w:color w:val="auto"/>
                      <w:sz w:val="21"/>
                      <w:szCs w:val="21"/>
                    </w:rPr>
                    <w:t>（</w:t>
                  </w:r>
                  <w:r>
                    <w:rPr>
                      <w:color w:val="auto"/>
                      <w:spacing w:val="-10"/>
                      <w:sz w:val="21"/>
                      <w:szCs w:val="21"/>
                    </w:rPr>
                    <w:t>改、扩</w:t>
                  </w:r>
                  <w:r>
                    <w:rPr>
                      <w:color w:val="auto"/>
                      <w:spacing w:val="-29"/>
                      <w:sz w:val="21"/>
                      <w:szCs w:val="21"/>
                    </w:rPr>
                    <w:t>）</w:t>
                  </w:r>
                  <w:r>
                    <w:rPr>
                      <w:color w:val="auto"/>
                      <w:spacing w:val="-5"/>
                      <w:sz w:val="21"/>
                      <w:szCs w:val="21"/>
                    </w:rPr>
                    <w:t>建涉重金</w:t>
                  </w:r>
                  <w:r>
                    <w:rPr>
                      <w:color w:val="auto"/>
                      <w:spacing w:val="-3"/>
                      <w:sz w:val="21"/>
                      <w:szCs w:val="21"/>
                    </w:rPr>
                    <w:t>属及恶臭气体排放企业。</w:t>
                  </w:r>
                </w:p>
              </w:tc>
              <w:tc>
                <w:tcPr>
                  <w:tcW w:w="2200" w:type="dxa"/>
                  <w:noWrap w:val="0"/>
                  <w:vAlign w:val="top"/>
                </w:tcPr>
                <w:p>
                  <w:pPr>
                    <w:pStyle w:val="46"/>
                    <w:keepNext w:val="0"/>
                    <w:keepLines w:val="0"/>
                    <w:pageBreakBefore w:val="0"/>
                    <w:numPr>
                      <w:ilvl w:val="0"/>
                      <w:numId w:val="0"/>
                    </w:numPr>
                    <w:tabs>
                      <w:tab w:val="left" w:pos="267"/>
                    </w:tabs>
                    <w:kinsoku/>
                    <w:wordWrap/>
                    <w:overflowPunct/>
                    <w:topLinePunct w:val="0"/>
                    <w:bidi w:val="0"/>
                    <w:spacing w:before="140" w:after="0" w:line="384" w:lineRule="auto"/>
                    <w:ind w:right="0" w:rightChars="0"/>
                    <w:jc w:val="left"/>
                    <w:textAlignment w:val="auto"/>
                    <w:rPr>
                      <w:color w:val="auto"/>
                      <w:sz w:val="21"/>
                      <w:szCs w:val="21"/>
                    </w:rPr>
                  </w:pPr>
                  <w:r>
                    <w:rPr>
                      <w:rFonts w:hint="eastAsia" w:eastAsia="宋体"/>
                      <w:color w:val="auto"/>
                      <w:spacing w:val="-3"/>
                      <w:sz w:val="21"/>
                      <w:szCs w:val="21"/>
                      <w:lang w:val="en-US" w:eastAsia="zh-CN"/>
                    </w:rPr>
                    <w:t>1.本项目</w:t>
                  </w:r>
                  <w:r>
                    <w:rPr>
                      <w:rFonts w:hint="default" w:ascii="Times New Roman" w:hAnsi="Times New Roman" w:cs="Times New Roman"/>
                      <w:color w:val="auto"/>
                      <w:kern w:val="0"/>
                      <w:sz w:val="21"/>
                      <w:szCs w:val="21"/>
                      <w:highlight w:val="none"/>
                    </w:rPr>
                    <w:t>为</w:t>
                  </w:r>
                  <w:r>
                    <w:rPr>
                      <w:rFonts w:hint="default" w:ascii="Times New Roman" w:hAnsi="Times New Roman" w:cs="Times New Roman"/>
                      <w:color w:val="auto"/>
                      <w:kern w:val="0"/>
                      <w:sz w:val="21"/>
                      <w:szCs w:val="21"/>
                      <w:highlight w:val="none"/>
                      <w:lang w:val="en-US" w:eastAsia="zh-CN"/>
                    </w:rPr>
                    <w:t>生态农业项目</w:t>
                  </w:r>
                  <w:r>
                    <w:rPr>
                      <w:rFonts w:hint="eastAsia" w:ascii="Times New Roman" w:hAnsi="Times New Roman" w:cs="Times New Roman"/>
                      <w:color w:val="auto"/>
                      <w:kern w:val="0"/>
                      <w:sz w:val="21"/>
                      <w:szCs w:val="21"/>
                      <w:highlight w:val="none"/>
                      <w:lang w:val="en-US" w:eastAsia="zh-CN"/>
                    </w:rPr>
                    <w:t>，</w:t>
                  </w:r>
                  <w:r>
                    <w:rPr>
                      <w:rFonts w:hint="eastAsia" w:eastAsia="宋体"/>
                      <w:color w:val="auto"/>
                      <w:spacing w:val="-3"/>
                      <w:sz w:val="21"/>
                      <w:szCs w:val="21"/>
                      <w:lang w:val="en-US" w:eastAsia="zh-CN"/>
                    </w:rPr>
                    <w:t>不属于</w:t>
                  </w:r>
                  <w:r>
                    <w:rPr>
                      <w:color w:val="auto"/>
                      <w:spacing w:val="-3"/>
                      <w:sz w:val="21"/>
                      <w:szCs w:val="21"/>
                    </w:rPr>
                    <w:t>高污染、高耗水、高耗能项目。</w:t>
                  </w:r>
                </w:p>
                <w:p>
                  <w:pPr>
                    <w:pStyle w:val="46"/>
                    <w:keepNext w:val="0"/>
                    <w:keepLines w:val="0"/>
                    <w:pageBreakBefore w:val="0"/>
                    <w:numPr>
                      <w:ilvl w:val="0"/>
                      <w:numId w:val="0"/>
                    </w:numPr>
                    <w:tabs>
                      <w:tab w:val="left" w:pos="267"/>
                    </w:tabs>
                    <w:kinsoku/>
                    <w:wordWrap/>
                    <w:overflowPunct/>
                    <w:topLinePunct w:val="0"/>
                    <w:bidi w:val="0"/>
                    <w:spacing w:before="3" w:after="0" w:line="384" w:lineRule="auto"/>
                    <w:ind w:right="0" w:rightChars="0"/>
                    <w:jc w:val="left"/>
                    <w:textAlignment w:val="auto"/>
                    <w:rPr>
                      <w:color w:val="auto"/>
                      <w:sz w:val="21"/>
                      <w:szCs w:val="21"/>
                    </w:rPr>
                  </w:pPr>
                  <w:r>
                    <w:rPr>
                      <w:rFonts w:hint="eastAsia" w:eastAsia="宋体"/>
                      <w:color w:val="auto"/>
                      <w:spacing w:val="-7"/>
                      <w:sz w:val="21"/>
                      <w:szCs w:val="21"/>
                      <w:lang w:val="en-US" w:eastAsia="zh-CN"/>
                    </w:rPr>
                    <w:t>2.本项目</w:t>
                  </w:r>
                  <w:r>
                    <w:rPr>
                      <w:rFonts w:hint="eastAsia" w:eastAsia="宋体"/>
                      <w:color w:val="auto"/>
                      <w:spacing w:val="-7"/>
                      <w:sz w:val="21"/>
                      <w:szCs w:val="21"/>
                      <w:lang w:eastAsia="zh-CN"/>
                    </w:rPr>
                    <w:t>不新建</w:t>
                  </w:r>
                  <w:r>
                    <w:rPr>
                      <w:color w:val="auto"/>
                      <w:spacing w:val="-3"/>
                      <w:sz w:val="21"/>
                      <w:szCs w:val="21"/>
                    </w:rPr>
                    <w:t>燃煤锅炉</w:t>
                  </w:r>
                  <w:r>
                    <w:rPr>
                      <w:rFonts w:hint="eastAsia" w:eastAsia="宋体"/>
                      <w:color w:val="auto"/>
                      <w:lang w:eastAsia="zh-CN"/>
                    </w:rPr>
                    <w:t>，供热来源于市政供热管网</w:t>
                  </w:r>
                  <w:r>
                    <w:rPr>
                      <w:color w:val="auto"/>
                      <w:spacing w:val="-3"/>
                      <w:sz w:val="21"/>
                      <w:szCs w:val="21"/>
                    </w:rPr>
                    <w:t>；</w:t>
                  </w:r>
                </w:p>
                <w:p>
                  <w:pPr>
                    <w:keepNext w:val="0"/>
                    <w:keepLines w:val="0"/>
                    <w:pageBreakBefore w:val="0"/>
                    <w:widowControl w:val="0"/>
                    <w:numPr>
                      <w:ilvl w:val="0"/>
                      <w:numId w:val="0"/>
                    </w:numPr>
                    <w:kinsoku/>
                    <w:wordWrap/>
                    <w:overflowPunct/>
                    <w:topLinePunct w:val="0"/>
                    <w:bidi w:val="0"/>
                    <w:adjustRightInd/>
                    <w:snapToGrid/>
                    <w:spacing w:line="384" w:lineRule="auto"/>
                    <w:ind w:leftChars="0"/>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olor w:val="auto"/>
                      <w:sz w:val="21"/>
                      <w:szCs w:val="21"/>
                      <w:lang w:val="en-US" w:eastAsia="zh-CN"/>
                    </w:rPr>
                    <w:t>3.</w:t>
                  </w:r>
                  <w:r>
                    <w:rPr>
                      <w:rFonts w:hint="eastAsia"/>
                      <w:color w:val="auto"/>
                      <w:sz w:val="21"/>
                      <w:szCs w:val="21"/>
                      <w:lang w:eastAsia="zh-CN"/>
                    </w:rPr>
                    <w:t>本项目周边无</w:t>
                  </w:r>
                  <w:r>
                    <w:rPr>
                      <w:color w:val="auto"/>
                      <w:sz w:val="21"/>
                      <w:szCs w:val="21"/>
                    </w:rPr>
                    <w:t>居民区和学校、医院、疗养院、养老院等</w:t>
                  </w:r>
                  <w:r>
                    <w:rPr>
                      <w:color w:val="auto"/>
                      <w:spacing w:val="-12"/>
                      <w:sz w:val="21"/>
                      <w:szCs w:val="21"/>
                    </w:rPr>
                    <w:t>单位</w:t>
                  </w:r>
                  <w:r>
                    <w:rPr>
                      <w:rFonts w:hint="eastAsia"/>
                      <w:color w:val="auto"/>
                      <w:spacing w:val="-12"/>
                      <w:sz w:val="21"/>
                      <w:szCs w:val="21"/>
                      <w:lang w:eastAsia="zh-CN"/>
                    </w:rPr>
                    <w:t>敏感目标；</w:t>
                  </w:r>
                  <w:r>
                    <w:rPr>
                      <w:rFonts w:hint="eastAsia"/>
                      <w:color w:val="auto"/>
                      <w:spacing w:val="-8"/>
                      <w:sz w:val="21"/>
                      <w:szCs w:val="21"/>
                      <w:lang w:eastAsia="zh-CN"/>
                    </w:rPr>
                    <w:t>本项目不涉及</w:t>
                  </w:r>
                  <w:r>
                    <w:rPr>
                      <w:color w:val="auto"/>
                      <w:spacing w:val="-5"/>
                      <w:sz w:val="21"/>
                      <w:szCs w:val="21"/>
                    </w:rPr>
                    <w:t>重金</w:t>
                  </w:r>
                  <w:r>
                    <w:rPr>
                      <w:color w:val="auto"/>
                      <w:spacing w:val="-3"/>
                      <w:sz w:val="21"/>
                      <w:szCs w:val="21"/>
                    </w:rPr>
                    <w:t>属及恶臭气体排放。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jc w:val="center"/>
              </w:trPr>
              <w:tc>
                <w:tcPr>
                  <w:tcW w:w="450" w:type="dxa"/>
                  <w:noWrap w:val="0"/>
                  <w:vAlign w:val="top"/>
                </w:tcPr>
                <w:p>
                  <w:pPr>
                    <w:pStyle w:val="4"/>
                    <w:keepNext w:val="0"/>
                    <w:keepLines w:val="0"/>
                    <w:pageBreakBefore w:val="0"/>
                    <w:kinsoku/>
                    <w:wordWrap/>
                    <w:overflowPunct/>
                    <w:topLinePunct w:val="0"/>
                    <w:autoSpaceDE/>
                    <w:autoSpaceDN/>
                    <w:bidi w:val="0"/>
                    <w:adjustRightInd/>
                    <w:snapToGrid/>
                    <w:spacing w:after="0" w:line="384"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kern w:val="0"/>
                      <w:sz w:val="21"/>
                      <w:szCs w:val="21"/>
                      <w:highlight w:val="none"/>
                      <w:lang w:val="en-US" w:eastAsia="zh-CN" w:bidi="ar"/>
                    </w:rPr>
                    <w:t>污染物排放管控</w:t>
                  </w:r>
                </w:p>
              </w:tc>
              <w:tc>
                <w:tcPr>
                  <w:tcW w:w="3949" w:type="dxa"/>
                  <w:noWrap w:val="0"/>
                  <w:vAlign w:val="top"/>
                </w:tcPr>
                <w:p>
                  <w:pPr>
                    <w:pStyle w:val="46"/>
                    <w:keepNext w:val="0"/>
                    <w:keepLines w:val="0"/>
                    <w:pageBreakBefore w:val="0"/>
                    <w:numPr>
                      <w:ilvl w:val="0"/>
                      <w:numId w:val="0"/>
                    </w:numPr>
                    <w:tabs>
                      <w:tab w:val="left" w:pos="267"/>
                    </w:tabs>
                    <w:kinsoku/>
                    <w:wordWrap/>
                    <w:overflowPunct/>
                    <w:topLinePunct w:val="0"/>
                    <w:bidi w:val="0"/>
                    <w:spacing w:before="140" w:after="0" w:line="384" w:lineRule="auto"/>
                    <w:ind w:right="0" w:rightChars="0"/>
                    <w:jc w:val="left"/>
                    <w:textAlignment w:val="auto"/>
                    <w:rPr>
                      <w:rFonts w:hint="eastAsia" w:eastAsia="宋体"/>
                      <w:color w:val="auto"/>
                      <w:spacing w:val="-3"/>
                      <w:sz w:val="21"/>
                      <w:szCs w:val="21"/>
                      <w:lang w:val="en-US" w:eastAsia="zh-CN"/>
                    </w:rPr>
                  </w:pPr>
                  <w:r>
                    <w:rPr>
                      <w:rFonts w:hint="eastAsia" w:eastAsia="宋体"/>
                      <w:color w:val="auto"/>
                      <w:spacing w:val="-3"/>
                      <w:sz w:val="21"/>
                      <w:szCs w:val="21"/>
                      <w:lang w:val="en-US" w:eastAsia="zh-CN"/>
                    </w:rPr>
                    <w:t>1.提升城镇生活污水收集管网覆盖率，逐步实施雨污管网分流改造、管网更新、破损修复改、中水回用等工程。城镇生活污水实现“应收尽收、应处尽处”。</w:t>
                  </w:r>
                </w:p>
                <w:p>
                  <w:pPr>
                    <w:pStyle w:val="46"/>
                    <w:keepNext w:val="0"/>
                    <w:keepLines w:val="0"/>
                    <w:pageBreakBefore w:val="0"/>
                    <w:numPr>
                      <w:ilvl w:val="0"/>
                      <w:numId w:val="0"/>
                    </w:numPr>
                    <w:tabs>
                      <w:tab w:val="left" w:pos="267"/>
                    </w:tabs>
                    <w:kinsoku/>
                    <w:wordWrap/>
                    <w:overflowPunct/>
                    <w:topLinePunct w:val="0"/>
                    <w:bidi w:val="0"/>
                    <w:spacing w:before="140" w:after="0" w:line="384" w:lineRule="auto"/>
                    <w:ind w:right="0" w:rightChars="0"/>
                    <w:jc w:val="left"/>
                    <w:textAlignment w:val="auto"/>
                    <w:rPr>
                      <w:rFonts w:hint="eastAsia" w:eastAsia="宋体"/>
                      <w:color w:val="auto"/>
                      <w:spacing w:val="-3"/>
                      <w:sz w:val="21"/>
                      <w:szCs w:val="21"/>
                      <w:lang w:val="en-US" w:eastAsia="zh-CN"/>
                    </w:rPr>
                  </w:pPr>
                  <w:r>
                    <w:rPr>
                      <w:rFonts w:hint="eastAsia" w:eastAsia="宋体"/>
                      <w:color w:val="auto"/>
                      <w:spacing w:val="-3"/>
                      <w:sz w:val="21"/>
                      <w:szCs w:val="21"/>
                      <w:lang w:val="en-US" w:eastAsia="zh-CN"/>
                    </w:rPr>
                    <w:t>2.禁止在人口集中地区熔化或者焚烧沥青、油毡、橡胶、塑料、皮革以及其他产生有毒有害烟尘和恶臭气体的物质。</w:t>
                  </w:r>
                </w:p>
                <w:p>
                  <w:pPr>
                    <w:pStyle w:val="46"/>
                    <w:keepNext w:val="0"/>
                    <w:keepLines w:val="0"/>
                    <w:pageBreakBefore w:val="0"/>
                    <w:numPr>
                      <w:ilvl w:val="0"/>
                      <w:numId w:val="0"/>
                    </w:numPr>
                    <w:tabs>
                      <w:tab w:val="left" w:pos="267"/>
                    </w:tabs>
                    <w:kinsoku/>
                    <w:wordWrap/>
                    <w:overflowPunct/>
                    <w:topLinePunct w:val="0"/>
                    <w:bidi w:val="0"/>
                    <w:spacing w:before="140" w:after="0" w:line="384" w:lineRule="auto"/>
                    <w:ind w:right="0" w:rightChars="0"/>
                    <w:jc w:val="left"/>
                    <w:textAlignment w:val="auto"/>
                    <w:rPr>
                      <w:rFonts w:hint="default" w:ascii="Times New Roman" w:hAnsi="Times New Roman" w:eastAsia="宋体" w:cs="Times New Roman"/>
                      <w:color w:val="auto"/>
                      <w:sz w:val="21"/>
                      <w:szCs w:val="21"/>
                      <w:highlight w:val="none"/>
                      <w:vertAlign w:val="baseline"/>
                    </w:rPr>
                  </w:pPr>
                  <w:r>
                    <w:rPr>
                      <w:rFonts w:hint="eastAsia" w:eastAsia="宋体"/>
                      <w:color w:val="auto"/>
                      <w:spacing w:val="-3"/>
                      <w:sz w:val="21"/>
                      <w:szCs w:val="21"/>
                      <w:lang w:val="en-US" w:eastAsia="zh-CN"/>
                    </w:rPr>
                    <w:t>3.65 蒸吨及以上燃煤锅炉要执行大气污染物特别排放限值。</w:t>
                  </w:r>
                </w:p>
              </w:tc>
              <w:tc>
                <w:tcPr>
                  <w:tcW w:w="2200" w:type="dxa"/>
                  <w:noWrap w:val="0"/>
                  <w:vAlign w:val="top"/>
                </w:tcPr>
                <w:p>
                  <w:pPr>
                    <w:pStyle w:val="4"/>
                    <w:keepNext w:val="0"/>
                    <w:keepLines w:val="0"/>
                    <w:pageBreakBefore w:val="0"/>
                    <w:widowControl w:val="0"/>
                    <w:kinsoku/>
                    <w:wordWrap/>
                    <w:overflowPunct/>
                    <w:topLinePunct w:val="0"/>
                    <w:bidi w:val="0"/>
                    <w:adjustRightInd/>
                    <w:snapToGrid/>
                    <w:spacing w:after="0" w:line="384" w:lineRule="auto"/>
                    <w:ind w:left="0" w:leftChars="0" w:firstLine="0" w:firstLineChars="0"/>
                    <w:jc w:val="both"/>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1.本项目生活污水</w:t>
                  </w:r>
                  <w:r>
                    <w:rPr>
                      <w:rFonts w:hint="default" w:ascii="Times New Roman" w:hAnsi="Times New Roman" w:eastAsia="宋体" w:cs="Times New Roman"/>
                      <w:color w:val="auto"/>
                      <w:sz w:val="21"/>
                      <w:szCs w:val="21"/>
                      <w:highlight w:val="none"/>
                      <w:lang w:val="en-US" w:eastAsia="zh-CN"/>
                    </w:rPr>
                    <w:t>经污水管网排入阿勒腾席热镇污水处理厂进行处置。</w:t>
                  </w:r>
                  <w:r>
                    <w:rPr>
                      <w:rFonts w:hint="eastAsia" w:ascii="Times New Roman" w:hAnsi="Times New Roman" w:eastAsia="宋体" w:cs="Times New Roman"/>
                      <w:color w:val="auto"/>
                      <w:sz w:val="21"/>
                      <w:szCs w:val="21"/>
                      <w:highlight w:val="none"/>
                      <w:lang w:val="en-US" w:eastAsia="zh-CN"/>
                    </w:rPr>
                    <w:t>2.</w:t>
                  </w:r>
                  <w:r>
                    <w:rPr>
                      <w:rFonts w:hint="eastAsia" w:cs="Times New Roman"/>
                      <w:color w:val="auto"/>
                      <w:sz w:val="21"/>
                      <w:szCs w:val="21"/>
                      <w:highlight w:val="none"/>
                      <w:lang w:val="en-US" w:eastAsia="zh-CN"/>
                    </w:rPr>
                    <w:t>本项目不涉及该项内容</w:t>
                  </w:r>
                  <w:r>
                    <w:rPr>
                      <w:rFonts w:hint="eastAsia" w:ascii="Times New Roman" w:hAnsi="Times New Roman" w:eastAsia="宋体" w:cs="Times New Roman"/>
                      <w:color w:val="auto"/>
                      <w:sz w:val="21"/>
                      <w:szCs w:val="21"/>
                      <w:highlight w:val="none"/>
                      <w:lang w:val="en-US" w:eastAsia="zh-CN"/>
                    </w:rPr>
                    <w:t>；3.</w:t>
                  </w:r>
                  <w:r>
                    <w:rPr>
                      <w:rFonts w:hint="eastAsia" w:cs="Times New Roman"/>
                      <w:color w:val="auto"/>
                      <w:sz w:val="21"/>
                      <w:szCs w:val="21"/>
                      <w:highlight w:val="none"/>
                      <w:lang w:val="en-US" w:eastAsia="zh-CN"/>
                    </w:rPr>
                    <w:t>本项目不涉及该项内容。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450" w:type="dxa"/>
                  <w:noWrap w:val="0"/>
                  <w:vAlign w:val="top"/>
                </w:tcPr>
                <w:p>
                  <w:pPr>
                    <w:keepNext w:val="0"/>
                    <w:keepLines w:val="0"/>
                    <w:pageBreakBefore w:val="0"/>
                    <w:widowControl/>
                    <w:suppressLineNumbers w:val="0"/>
                    <w:kinsoku/>
                    <w:wordWrap/>
                    <w:overflowPunct/>
                    <w:topLinePunct w:val="0"/>
                    <w:autoSpaceDE/>
                    <w:autoSpaceDN/>
                    <w:bidi w:val="0"/>
                    <w:adjustRightInd/>
                    <w:snapToGrid/>
                    <w:spacing w:line="384"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kern w:val="0"/>
                      <w:sz w:val="21"/>
                      <w:szCs w:val="21"/>
                      <w:highlight w:val="none"/>
                      <w:lang w:val="en-US" w:eastAsia="zh-CN" w:bidi="ar"/>
                    </w:rPr>
                    <w:t>资源利用效率要求</w:t>
                  </w:r>
                </w:p>
              </w:tc>
              <w:tc>
                <w:tcPr>
                  <w:tcW w:w="3949" w:type="dxa"/>
                  <w:noWrap w:val="0"/>
                  <w:vAlign w:val="top"/>
                </w:tcPr>
                <w:p>
                  <w:pPr>
                    <w:pStyle w:val="46"/>
                    <w:keepNext w:val="0"/>
                    <w:keepLines w:val="0"/>
                    <w:pageBreakBefore w:val="0"/>
                    <w:widowControl w:val="0"/>
                    <w:numPr>
                      <w:ilvl w:val="0"/>
                      <w:numId w:val="0"/>
                    </w:numPr>
                    <w:tabs>
                      <w:tab w:val="left" w:pos="267"/>
                    </w:tabs>
                    <w:kinsoku/>
                    <w:wordWrap/>
                    <w:overflowPunct/>
                    <w:topLinePunct w:val="0"/>
                    <w:autoSpaceDE/>
                    <w:autoSpaceDN/>
                    <w:bidi w:val="0"/>
                    <w:adjustRightInd/>
                    <w:snapToGrid/>
                    <w:spacing w:after="0" w:line="384" w:lineRule="auto"/>
                    <w:ind w:right="0" w:rightChars="0"/>
                    <w:jc w:val="left"/>
                    <w:textAlignment w:val="auto"/>
                    <w:rPr>
                      <w:rFonts w:hint="eastAsia" w:eastAsia="宋体"/>
                      <w:color w:val="auto"/>
                      <w:spacing w:val="-3"/>
                      <w:sz w:val="21"/>
                      <w:szCs w:val="21"/>
                      <w:lang w:val="en-US" w:eastAsia="zh-CN"/>
                    </w:rPr>
                  </w:pPr>
                  <w:r>
                    <w:rPr>
                      <w:rFonts w:hint="eastAsia" w:eastAsia="宋体"/>
                      <w:color w:val="auto"/>
                      <w:spacing w:val="-3"/>
                      <w:sz w:val="21"/>
                      <w:szCs w:val="21"/>
                      <w:lang w:val="en-US" w:eastAsia="zh-CN"/>
                    </w:rPr>
                    <w:t>1.电力、钢铁、纺织、造纸、石油化工、食品发酵等高耗水行业达到先进定额标准。水资源节约和循环利用达到国内先进水平。</w:t>
                  </w:r>
                </w:p>
                <w:p>
                  <w:pPr>
                    <w:pStyle w:val="46"/>
                    <w:keepNext w:val="0"/>
                    <w:keepLines w:val="0"/>
                    <w:pageBreakBefore w:val="0"/>
                    <w:widowControl w:val="0"/>
                    <w:numPr>
                      <w:ilvl w:val="0"/>
                      <w:numId w:val="0"/>
                    </w:numPr>
                    <w:tabs>
                      <w:tab w:val="left" w:pos="267"/>
                    </w:tabs>
                    <w:kinsoku/>
                    <w:wordWrap/>
                    <w:overflowPunct/>
                    <w:topLinePunct w:val="0"/>
                    <w:autoSpaceDE/>
                    <w:autoSpaceDN/>
                    <w:bidi w:val="0"/>
                    <w:adjustRightInd/>
                    <w:snapToGrid/>
                    <w:spacing w:after="0" w:line="384" w:lineRule="auto"/>
                    <w:ind w:right="0" w:rightChars="0"/>
                    <w:jc w:val="left"/>
                    <w:textAlignment w:val="auto"/>
                    <w:rPr>
                      <w:rFonts w:hint="default" w:ascii="Times New Roman" w:hAnsi="Times New Roman" w:eastAsia="宋体" w:cs="Times New Roman"/>
                      <w:color w:val="auto"/>
                      <w:sz w:val="21"/>
                      <w:szCs w:val="21"/>
                      <w:highlight w:val="none"/>
                      <w:vertAlign w:val="baseline"/>
                    </w:rPr>
                  </w:pPr>
                  <w:r>
                    <w:rPr>
                      <w:rFonts w:hint="eastAsia" w:eastAsia="宋体"/>
                      <w:color w:val="auto"/>
                      <w:spacing w:val="-3"/>
                      <w:sz w:val="21"/>
                      <w:szCs w:val="21"/>
                      <w:lang w:val="en-US" w:eastAsia="zh-CN"/>
                    </w:rPr>
                    <w:t>2.强化水资源论证管理，优化水源配置，鼓励优先配置利用非常规水源。</w:t>
                  </w:r>
                </w:p>
              </w:tc>
              <w:tc>
                <w:tcPr>
                  <w:tcW w:w="2200" w:type="dxa"/>
                  <w:noWrap w:val="0"/>
                  <w:vAlign w:val="top"/>
                </w:tcPr>
                <w:p>
                  <w:pPr>
                    <w:pStyle w:val="4"/>
                    <w:keepNext w:val="0"/>
                    <w:keepLines w:val="0"/>
                    <w:pageBreakBefore w:val="0"/>
                    <w:widowControl w:val="0"/>
                    <w:kinsoku/>
                    <w:wordWrap/>
                    <w:overflowPunct/>
                    <w:topLinePunct w:val="0"/>
                    <w:bidi w:val="0"/>
                    <w:adjustRightInd/>
                    <w:snapToGrid/>
                    <w:spacing w:after="0" w:line="384" w:lineRule="auto"/>
                    <w:ind w:left="0" w:leftChars="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vertAlign w:val="baseline"/>
                      <w:lang w:val="en-US" w:eastAsia="zh-CN"/>
                    </w:rPr>
                    <w:t>1.</w:t>
                  </w:r>
                  <w:r>
                    <w:rPr>
                      <w:rFonts w:hint="eastAsia" w:cs="Times New Roman"/>
                      <w:color w:val="auto"/>
                      <w:sz w:val="21"/>
                      <w:szCs w:val="21"/>
                      <w:highlight w:val="none"/>
                      <w:lang w:val="en-US" w:eastAsia="zh-CN"/>
                    </w:rPr>
                    <w:t>本项目不涉及该项内容；</w:t>
                  </w:r>
                </w:p>
                <w:p>
                  <w:pPr>
                    <w:pStyle w:val="4"/>
                    <w:keepNext w:val="0"/>
                    <w:keepLines w:val="0"/>
                    <w:pageBreakBefore w:val="0"/>
                    <w:widowControl w:val="0"/>
                    <w:kinsoku/>
                    <w:wordWrap/>
                    <w:overflowPunct/>
                    <w:topLinePunct w:val="0"/>
                    <w:bidi w:val="0"/>
                    <w:adjustRightInd/>
                    <w:snapToGrid/>
                    <w:spacing w:after="0" w:line="384" w:lineRule="auto"/>
                    <w:ind w:left="0" w:leftChars="0" w:firstLine="0" w:firstLineChars="0"/>
                    <w:jc w:val="both"/>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val="en-US" w:eastAsia="zh-CN"/>
                    </w:rPr>
                    <w:t>.本项目农业生产用水使用西红海子水源，</w:t>
                  </w:r>
                  <w:r>
                    <w:rPr>
                      <w:rFonts w:hint="eastAsia" w:cs="Times New Roman"/>
                      <w:color w:val="auto"/>
                      <w:kern w:val="0"/>
                      <w:sz w:val="21"/>
                      <w:szCs w:val="21"/>
                      <w:highlight w:val="none"/>
                      <w:lang w:eastAsia="zh-CN"/>
                    </w:rPr>
                    <w:t>目前企业正在办理相关手续</w:t>
                  </w:r>
                  <w:r>
                    <w:rPr>
                      <w:rFonts w:hint="eastAsia" w:cs="Times New Roman"/>
                      <w:color w:val="auto"/>
                      <w:kern w:val="0"/>
                      <w:sz w:val="24"/>
                      <w:szCs w:val="24"/>
                      <w:highlight w:val="none"/>
                      <w:lang w:eastAsia="zh-CN"/>
                    </w:rPr>
                    <w:t>；</w:t>
                  </w:r>
                  <w:r>
                    <w:rPr>
                      <w:rFonts w:hint="eastAsia" w:ascii="Times New Roman" w:hAnsi="Times New Roman" w:eastAsia="宋体" w:cs="Times New Roman"/>
                      <w:color w:val="auto"/>
                      <w:sz w:val="21"/>
                      <w:szCs w:val="21"/>
                      <w:highlight w:val="none"/>
                      <w:lang w:val="en-US" w:eastAsia="zh-CN"/>
                    </w:rPr>
                    <w:t>生活用水来自阿勒腾席热镇供水管网</w:t>
                  </w:r>
                  <w:r>
                    <w:rPr>
                      <w:rFonts w:hint="default" w:ascii="Times New Roman" w:hAnsi="Times New Roman" w:eastAsia="宋体" w:cs="Times New Roman"/>
                      <w:color w:val="auto"/>
                      <w:sz w:val="21"/>
                      <w:szCs w:val="21"/>
                      <w:highlight w:val="none"/>
                      <w:lang w:val="en-US" w:eastAsia="zh-CN"/>
                    </w:rPr>
                    <w:t>。</w:t>
                  </w:r>
                </w:p>
              </w:tc>
            </w:tr>
          </w:tbl>
          <w:p>
            <w:pPr>
              <w:keepNext w:val="0"/>
              <w:keepLines w:val="0"/>
              <w:pageBreakBefore w:val="0"/>
              <w:widowControl w:val="0"/>
              <w:kinsoku/>
              <w:wordWrap/>
              <w:overflowPunct/>
              <w:topLinePunct w:val="0"/>
              <w:autoSpaceDE/>
              <w:autoSpaceDN/>
              <w:bidi w:val="0"/>
              <w:adjustRightInd/>
              <w:snapToGrid/>
              <w:spacing w:before="157" w:beforeLines="50" w:line="384" w:lineRule="auto"/>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color w:val="auto"/>
                <w:sz w:val="24"/>
                <w:szCs w:val="24"/>
                <w:highlight w:val="none"/>
              </w:rPr>
              <w:t>综上所述，本项目符合“三线一单”要求</w:t>
            </w:r>
            <w:r>
              <w:rPr>
                <w:rFonts w:hint="eastAsia"/>
                <w:color w:val="auto"/>
                <w:sz w:val="24"/>
                <w:szCs w:val="24"/>
                <w:highlight w:val="none"/>
                <w:lang w:eastAsia="zh-CN"/>
              </w:rPr>
              <w:t>。</w:t>
            </w:r>
          </w:p>
          <w:p>
            <w:pPr>
              <w:pStyle w:val="4"/>
              <w:keepNext w:val="0"/>
              <w:keepLines w:val="0"/>
              <w:pageBreakBefore w:val="0"/>
              <w:kinsoku/>
              <w:wordWrap/>
              <w:overflowPunct/>
              <w:topLinePunct w:val="0"/>
              <w:bidi w:val="0"/>
              <w:spacing w:line="384" w:lineRule="auto"/>
              <w:textAlignment w:val="auto"/>
              <w:rPr>
                <w:color w:val="auto"/>
                <w:sz w:val="24"/>
                <w:szCs w:val="24"/>
                <w:highlight w:val="none"/>
              </w:rPr>
            </w:pPr>
          </w:p>
          <w:p>
            <w:pPr>
              <w:keepNext w:val="0"/>
              <w:keepLines w:val="0"/>
              <w:pageBreakBefore w:val="0"/>
              <w:kinsoku/>
              <w:wordWrap/>
              <w:overflowPunct/>
              <w:topLinePunct w:val="0"/>
              <w:bidi w:val="0"/>
              <w:spacing w:line="384" w:lineRule="auto"/>
              <w:textAlignment w:val="auto"/>
              <w:rPr>
                <w:color w:val="auto"/>
                <w:sz w:val="24"/>
                <w:szCs w:val="24"/>
                <w:highlight w:val="none"/>
              </w:rPr>
            </w:pPr>
          </w:p>
        </w:tc>
      </w:tr>
    </w:tbl>
    <w:p>
      <w:pPr>
        <w:spacing w:line="360" w:lineRule="auto"/>
        <w:outlineLvl w:val="0"/>
        <w:rPr>
          <w:rFonts w:eastAsia="黑体"/>
          <w:color w:val="auto"/>
          <w:sz w:val="30"/>
          <w:highlight w:val="none"/>
        </w:rPr>
        <w:sectPr>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pPr>
        <w:pStyle w:val="21"/>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二、建设内容</w:t>
      </w:r>
    </w:p>
    <w:tbl>
      <w:tblPr>
        <w:tblStyle w:val="24"/>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80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81" w:hRule="atLeast"/>
          <w:jc w:val="center"/>
        </w:trPr>
        <w:tc>
          <w:tcPr>
            <w:tcW w:w="224" w:type="pct"/>
            <w:noWrap w:val="0"/>
            <w:vAlign w:val="center"/>
          </w:tcPr>
          <w:p>
            <w:pPr>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地理位置</w:t>
            </w:r>
          </w:p>
        </w:tc>
        <w:tc>
          <w:tcPr>
            <w:tcW w:w="4775" w:type="pct"/>
            <w:noWrap w:val="0"/>
            <w:vAlign w:val="top"/>
          </w:tcPr>
          <w:p>
            <w:pPr>
              <w:keepNext w:val="0"/>
              <w:keepLines w:val="0"/>
              <w:pageBreakBefore w:val="0"/>
              <w:widowControl w:val="0"/>
              <w:kinsoku/>
              <w:wordWrap/>
              <w:overflowPunct/>
              <w:topLinePunct w:val="0"/>
              <w:autoSpaceDE/>
              <w:autoSpaceDN/>
              <w:bidi w:val="0"/>
              <w:adjustRightInd w:val="0"/>
              <w:snapToGrid w:val="0"/>
              <w:spacing w:before="157" w:beforeLines="50" w:line="384" w:lineRule="auto"/>
              <w:ind w:firstLine="480" w:firstLineChars="200"/>
              <w:jc w:val="both"/>
              <w:textAlignment w:val="auto"/>
              <w:rPr>
                <w:rFonts w:hint="eastAsia"/>
                <w:color w:val="auto"/>
                <w:sz w:val="24"/>
                <w:szCs w:val="24"/>
                <w:highlight w:val="none"/>
                <w:lang w:eastAsia="zh-CN"/>
              </w:rPr>
            </w:pPr>
            <w:r>
              <w:rPr>
                <w:rFonts w:hint="default"/>
                <w:color w:val="auto"/>
                <w:sz w:val="24"/>
                <w:szCs w:val="24"/>
                <w:highlight w:val="none"/>
                <w:lang w:val="en-US" w:eastAsia="zh-CN"/>
              </w:rPr>
              <w:t>项目建设地点为</w:t>
            </w:r>
            <w:r>
              <w:rPr>
                <w:rFonts w:hint="eastAsia"/>
                <w:color w:val="auto"/>
                <w:sz w:val="24"/>
                <w:szCs w:val="24"/>
                <w:highlight w:val="none"/>
                <w:lang w:val="en-US" w:eastAsia="zh-CN"/>
              </w:rPr>
              <w:t>内蒙古自治区鄂尔多斯市伊金霍洛旗阿勒腾席热镇红海子村</w:t>
            </w:r>
            <w:r>
              <w:rPr>
                <w:rFonts w:hint="default"/>
                <w:color w:val="auto"/>
                <w:sz w:val="24"/>
                <w:szCs w:val="24"/>
                <w:highlight w:val="none"/>
                <w:lang w:val="en-US" w:eastAsia="zh-CN"/>
              </w:rPr>
              <w:t>。</w:t>
            </w:r>
            <w:r>
              <w:rPr>
                <w:rFonts w:hint="default"/>
                <w:color w:val="auto"/>
                <w:sz w:val="24"/>
                <w:szCs w:val="24"/>
                <w:highlight w:val="none"/>
              </w:rPr>
              <w:t>本项目主要拐点坐标见表2-1；项目地理位置见附图1</w:t>
            </w:r>
            <w:r>
              <w:rPr>
                <w:rFonts w:hint="eastAsia" w:ascii="宋体" w:hAnsi="宋体" w:cs="宋体"/>
                <w:color w:val="auto"/>
                <w:kern w:val="0"/>
                <w:sz w:val="24"/>
                <w:szCs w:val="24"/>
                <w:highlight w:val="none"/>
                <w:lang w:val="en-US" w:eastAsia="zh-CN"/>
              </w:rPr>
              <w:t>。</w:t>
            </w:r>
          </w:p>
          <w:p>
            <w:pPr>
              <w:adjustRightInd w:val="0"/>
              <w:snapToGrid w:val="0"/>
              <w:jc w:val="center"/>
              <w:rPr>
                <w:rFonts w:hint="eastAsia" w:ascii="宋体" w:hAnsi="宋体" w:eastAsia="宋体" w:cs="宋体"/>
                <w:color w:val="auto"/>
                <w:kern w:val="0"/>
                <w:sz w:val="28"/>
                <w:szCs w:val="28"/>
                <w:highlight w:val="none"/>
                <w:lang w:eastAsia="zh-CN"/>
              </w:rPr>
            </w:pPr>
            <w:r>
              <w:rPr>
                <w:color w:val="auto"/>
                <w:sz w:val="24"/>
                <w:szCs w:val="24"/>
                <w:highlight w:val="none"/>
              </w:rPr>
              <w:t>表2-</w:t>
            </w:r>
            <w:r>
              <w:rPr>
                <w:rFonts w:hint="eastAsia"/>
                <w:color w:val="auto"/>
                <w:sz w:val="24"/>
                <w:szCs w:val="24"/>
                <w:highlight w:val="none"/>
              </w:rPr>
              <w:t>1</w:t>
            </w:r>
            <w:r>
              <w:rPr>
                <w:rFonts w:hint="eastAsia"/>
                <w:color w:val="auto"/>
                <w:sz w:val="24"/>
                <w:szCs w:val="24"/>
                <w:highlight w:val="none"/>
                <w:lang w:val="en-US" w:eastAsia="zh-CN"/>
              </w:rPr>
              <w:t xml:space="preserve">   </w:t>
            </w:r>
            <w:r>
              <w:rPr>
                <w:color w:val="auto"/>
                <w:sz w:val="24"/>
                <w:szCs w:val="24"/>
                <w:highlight w:val="none"/>
              </w:rPr>
              <w:t>本项目拐点坐标一览表</w:t>
            </w:r>
          </w:p>
          <w:tbl>
            <w:tblPr>
              <w:tblStyle w:val="24"/>
              <w:tblW w:w="778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55"/>
              <w:gridCol w:w="1492"/>
              <w:gridCol w:w="1765"/>
              <w:gridCol w:w="1640"/>
              <w:gridCol w:w="15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trPr>
              <w:tc>
                <w:tcPr>
                  <w:tcW w:w="7787" w:type="dxa"/>
                  <w:gridSpan w:val="5"/>
                  <w:tcBorders>
                    <w:top w:val="single" w:color="000000" w:sz="8" w:space="0"/>
                    <w:left w:val="single" w:color="000000" w:sz="8"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界 址 点 成 果 表（宗地一）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759" w:type="dxa"/>
                  <w:gridSpan w:val="5"/>
                  <w:tcBorders>
                    <w:top w:val="single" w:color="000000" w:sz="4" w:space="0"/>
                    <w:left w:val="single" w:color="000000" w:sz="8"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宗地面积(平方米): 122901.1006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759" w:type="dxa"/>
                  <w:gridSpan w:val="5"/>
                  <w:tcBorders>
                    <w:top w:val="single" w:color="000000" w:sz="4" w:space="0"/>
                    <w:left w:val="single" w:color="000000" w:sz="8"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界  址  点  坐  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 号</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点 号</w:t>
                  </w:r>
                </w:p>
              </w:tc>
              <w:tc>
                <w:tcPr>
                  <w:tcW w:w="3422"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坐 标</w:t>
                  </w: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default" w:ascii="宋体" w:hAnsi="宋体" w:eastAsia="宋体" w:cs="宋体"/>
                      <w:b/>
                      <w:bCs/>
                      <w:i w:val="0"/>
                      <w:iCs w:val="0"/>
                      <w:color w:val="auto"/>
                      <w:sz w:val="21"/>
                      <w:szCs w:val="21"/>
                      <w:u w:val="none"/>
                      <w:lang w:val="en-US" w:eastAsia="zh-CN"/>
                    </w:rPr>
                  </w:pPr>
                  <w:r>
                    <w:rPr>
                      <w:rFonts w:hint="eastAsia" w:ascii="宋体" w:hAnsi="宋体" w:eastAsia="宋体" w:cs="宋体"/>
                      <w:b/>
                      <w:bCs/>
                      <w:i w:val="0"/>
                      <w:iCs w:val="0"/>
                      <w:color w:val="auto"/>
                      <w:kern w:val="0"/>
                      <w:sz w:val="21"/>
                      <w:szCs w:val="21"/>
                      <w:u w:val="none"/>
                      <w:lang w:val="en-US" w:eastAsia="zh-CN" w:bidi="ar"/>
                    </w:rPr>
                    <w:t>边 长</w:t>
                  </w:r>
                  <w:r>
                    <w:rPr>
                      <w:rFonts w:hint="eastAsia"/>
                      <w:color w:val="auto"/>
                      <w:lang w:val="en-US" w:eastAsia="zh-CN"/>
                    </w:rPr>
                    <w:t>(m)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ign w:val="center"/>
                </w:tcPr>
                <w:p>
                  <w:pPr>
                    <w:spacing w:line="240" w:lineRule="auto"/>
                    <w:jc w:val="center"/>
                    <w:rPr>
                      <w:rFonts w:hint="eastAsia" w:ascii="宋体" w:hAnsi="宋体" w:eastAsia="宋体" w:cs="宋体"/>
                      <w:b/>
                      <w:bCs/>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b/>
                      <w:bCs/>
                      <w:i w:val="0"/>
                      <w:iCs w:val="0"/>
                      <w:color w:val="auto"/>
                      <w:sz w:val="21"/>
                      <w:szCs w:val="21"/>
                      <w:u w:val="none"/>
                    </w:rPr>
                  </w:pPr>
                </w:p>
              </w:tc>
              <w:tc>
                <w:tcPr>
                  <w:tcW w:w="177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x(m)</w:t>
                  </w:r>
                </w:p>
              </w:tc>
              <w:tc>
                <w:tcPr>
                  <w:tcW w:w="16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y(m)</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b/>
                      <w:bCs/>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J1</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4377242.9049</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395642.3396</w:t>
                  </w:r>
                </w:p>
              </w:tc>
              <w:tc>
                <w:tcPr>
                  <w:tcW w:w="1017" w:type="dxa"/>
                  <w:tcBorders>
                    <w:top w:val="single" w:color="000000" w:sz="4" w:space="0"/>
                    <w:left w:val="single" w:color="000000" w:sz="4" w:space="0"/>
                    <w:bottom w:val="single" w:color="000000" w:sz="4" w:space="0"/>
                    <w:right w:val="single" w:color="000000" w:sz="8" w:space="0"/>
                  </w:tcBorders>
                  <w:noWrap/>
                  <w:vAlign w:val="bottom"/>
                </w:tcPr>
                <w:p>
                  <w:pPr>
                    <w:spacing w:line="240" w:lineRule="auto"/>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bottom"/>
                </w:tcPr>
                <w:p>
                  <w:pPr>
                    <w:keepNext w:val="0"/>
                    <w:keepLines w:val="0"/>
                    <w:widowControl/>
                    <w:suppressLineNumbers w:val="0"/>
                    <w:spacing w:line="240" w:lineRule="auto"/>
                    <w:jc w:val="center"/>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262.26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J2</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4377085.6209</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395852.1963</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bottom"/>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J3</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4377077.7583</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395848.0390</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J4</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4377066.7517</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395843.3823</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J5</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4377058.2850</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395840.6307</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J6</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4377050.6650</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395839.7840</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J7</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4377042.1983</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395839.5724</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J8</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4377038.9787</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395840.3349</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J9</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4377034.1549</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395841.4773</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J10</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4377021.2432</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395846.5574</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J11</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4377006.0608</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395855.3294</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J12</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4376992.6682</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395863.0674</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J13</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4376965.1556</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395878.1511</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14</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J14</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4376944.4081</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395889.5258</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J15</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4376892.5496</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395920.2175</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J16</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4376855.4215</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395940.7786</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J17</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4376839.4212</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395949.6393</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J18</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4376836.3439</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395951.2729</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J19</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4376836.1764</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395951.3618</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179.85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20</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J20</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4376692.5431</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395843.1263</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433.90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21</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J21</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4376953.6698</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395496.5995</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104.86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22</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J22</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4377036.3624</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395561.0860</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J23</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4377107.3651</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395597.1535</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24</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J24</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4377163.1819</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395616.7927</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J25</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4377191.6721</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395634.8366</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262" w:type="dxa"/>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26</w:t>
                  </w:r>
                </w:p>
              </w:tc>
              <w:tc>
                <w:tcPr>
                  <w:tcW w:w="1499"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J1</w:t>
                  </w:r>
                </w:p>
              </w:tc>
              <w:tc>
                <w:tcPr>
                  <w:tcW w:w="17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4377242.9049</w:t>
                  </w:r>
                </w:p>
              </w:tc>
              <w:tc>
                <w:tcPr>
                  <w:tcW w:w="164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395642.3396</w:t>
                  </w:r>
                </w:p>
              </w:tc>
              <w:tc>
                <w:tcPr>
                  <w:tcW w:w="1017" w:type="dxa"/>
                  <w:vMerge w:val="continue"/>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1262" w:type="dxa"/>
                  <w:vMerge w:val="continue"/>
                  <w:tcBorders>
                    <w:top w:val="single" w:color="000000" w:sz="4" w:space="0"/>
                    <w:left w:val="single" w:color="000000" w:sz="8" w:space="0"/>
                    <w:bottom w:val="single" w:color="000000" w:sz="4" w:space="0"/>
                    <w:right w:val="single" w:color="000000" w:sz="4" w:space="0"/>
                  </w:tcBorders>
                  <w:noWrap w:val="0"/>
                  <w:vAlign w:val="center"/>
                </w:tcPr>
                <w:p>
                  <w:pPr>
                    <w:spacing w:line="240" w:lineRule="auto"/>
                    <w:jc w:val="center"/>
                    <w:rPr>
                      <w:rFonts w:hint="eastAsia" w:ascii="宋体" w:hAnsi="宋体" w:eastAsia="宋体" w:cs="宋体"/>
                      <w:i w:val="0"/>
                      <w:iCs w:val="0"/>
                      <w:color w:val="auto"/>
                      <w:sz w:val="21"/>
                      <w:szCs w:val="21"/>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774"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64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240" w:lineRule="auto"/>
                    <w:jc w:val="center"/>
                    <w:rPr>
                      <w:rFonts w:hint="eastAsia" w:ascii="宋体" w:hAnsi="宋体" w:eastAsia="宋体" w:cs="宋体"/>
                      <w:i w:val="0"/>
                      <w:iCs w:val="0"/>
                      <w:color w:val="auto"/>
                      <w:sz w:val="21"/>
                      <w:szCs w:val="21"/>
                      <w:u w:val="none"/>
                    </w:rPr>
                  </w:pPr>
                </w:p>
              </w:tc>
              <w:tc>
                <w:tcPr>
                  <w:tcW w:w="1017" w:type="dxa"/>
                  <w:tcBorders>
                    <w:top w:val="single" w:color="000000" w:sz="4" w:space="0"/>
                    <w:left w:val="single" w:color="000000" w:sz="4" w:space="0"/>
                    <w:bottom w:val="single" w:color="000000" w:sz="4" w:space="0"/>
                    <w:right w:val="single" w:color="000000" w:sz="8" w:space="0"/>
                  </w:tcBorders>
                  <w:noWrap/>
                  <w:vAlign w:val="center"/>
                </w:tcPr>
                <w:p>
                  <w:pPr>
                    <w:spacing w:line="240" w:lineRule="auto"/>
                    <w:jc w:val="center"/>
                    <w:rPr>
                      <w:rFonts w:hint="eastAsia" w:ascii="宋体" w:hAnsi="宋体" w:eastAsia="宋体" w:cs="宋体"/>
                      <w:i w:val="0"/>
                      <w:iCs w:val="0"/>
                      <w:color w:val="auto"/>
                      <w:sz w:val="21"/>
                      <w:szCs w:val="21"/>
                      <w:u w:val="none"/>
                    </w:rPr>
                  </w:pPr>
                </w:p>
              </w:tc>
            </w:tr>
          </w:tbl>
          <w:tbl>
            <w:tblPr>
              <w:tblStyle w:val="24"/>
              <w:tblpPr w:leftFromText="180" w:rightFromText="180" w:vertAnchor="text" w:horzAnchor="page" w:tblpX="250" w:tblpY="158"/>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16"/>
              <w:gridCol w:w="506"/>
              <w:gridCol w:w="936"/>
              <w:gridCol w:w="61"/>
              <w:gridCol w:w="1809"/>
              <w:gridCol w:w="30"/>
              <w:gridCol w:w="1715"/>
              <w:gridCol w:w="15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5000" w:type="pct"/>
                  <w:gridSpan w:val="8"/>
                  <w:tcBorders>
                    <w:top w:val="single" w:color="000000" w:sz="8" w:space="0"/>
                    <w:left w:val="single" w:color="000000" w:sz="8"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界 址 点 成 果 表（宗地二）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8"/>
                  <w:tcBorders>
                    <w:top w:val="single" w:color="000000" w:sz="4" w:space="0"/>
                    <w:left w:val="single" w:color="000000" w:sz="8"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宗地面积(平方米): 17467.9655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8"/>
                  <w:tcBorders>
                    <w:top w:val="single" w:color="000000" w:sz="4" w:space="0"/>
                    <w:left w:val="single" w:color="000000" w:sz="8"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界  址  点  坐  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5" w:type="pct"/>
                  <w:vMerge w:val="restart"/>
                  <w:tcBorders>
                    <w:top w:val="single" w:color="000000" w:sz="4" w:space="0"/>
                    <w:left w:val="single" w:color="000000" w:sz="8"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 号</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点 号</w:t>
                  </w:r>
                </w:p>
              </w:tc>
              <w:tc>
                <w:tcPr>
                  <w:tcW w:w="2302"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坐 标</w:t>
                  </w: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边 长</w:t>
                  </w:r>
                  <w:r>
                    <w:rPr>
                      <w:rFonts w:hint="eastAsia" w:ascii="宋体" w:hAnsi="宋体" w:cs="宋体"/>
                      <w:b/>
                      <w:bCs/>
                      <w:i w:val="0"/>
                      <w:iCs w:val="0"/>
                      <w:color w:val="auto"/>
                      <w:kern w:val="0"/>
                      <w:sz w:val="21"/>
                      <w:szCs w:val="21"/>
                      <w:u w:val="none"/>
                      <w:lang w:val="en-US" w:eastAsia="zh-CN" w:bidi="ar"/>
                    </w:rPr>
                    <w:t>（m）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auto"/>
                      <w:sz w:val="21"/>
                      <w:szCs w:val="21"/>
                      <w:u w:val="none"/>
                    </w:rPr>
                  </w:pPr>
                </w:p>
              </w:tc>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x(m)</w:t>
                  </w:r>
                </w:p>
              </w:tc>
              <w:tc>
                <w:tcPr>
                  <w:tcW w:w="1110"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y(m)</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b/>
                      <w:bCs/>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27</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J26</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4377082.1698</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395856.7931</w:t>
                  </w:r>
                </w:p>
              </w:tc>
              <w:tc>
                <w:tcPr>
                  <w:tcW w:w="1003" w:type="pct"/>
                  <w:tcBorders>
                    <w:top w:val="single" w:color="000000" w:sz="4" w:space="0"/>
                    <w:left w:val="single" w:color="000000" w:sz="4" w:space="0"/>
                    <w:bottom w:val="single" w:color="000000" w:sz="4" w:space="0"/>
                    <w:right w:val="single" w:color="000000" w:sz="8" w:space="0"/>
                  </w:tcBorders>
                  <w:noWrap/>
                  <w:vAlign w:val="bottom"/>
                </w:tcPr>
                <w:p>
                  <w:pP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28</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J27</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4377003.1449</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395962.0536</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bottom"/>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J28</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4376989.0575</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395951.4751</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30</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J29</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4376985.5968</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395956.0836</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J30</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4376985.2051</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395955.8117</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32</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J31</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4376981.8056</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395960.7291</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J32</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4376953.9857</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395999.0753</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J33</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4376948.8263</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396006.6160</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35</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J34</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4376946.5759</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396009.8529</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36</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J35</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4376950.6367</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396013.4543</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37</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J36</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4376959.6645</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396019.8472</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38</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J37</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4376947.7827</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396035.4632</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132.65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J38</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4376841.8427</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395955.6317</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J39</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4376845.4941</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395953.5326</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41</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J40</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4376849.0424</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395951.4929</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J41</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4376853.2303</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395949.0855</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J42</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4376858.8945</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395945.8293</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44</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J43</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4376865.2367</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395942.1319</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45</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J44</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4376866.9005</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395941.1620</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J45</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4376908.6363</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395916.8308</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J46</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4376949.9114</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395893.3358</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J47</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4376966.1665</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395884.1000</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J48</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4376966.3882</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395883.9740</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50</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J49</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4376996.4782</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395866.8774</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J50</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4377000.9713</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395864.4034</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52</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J51</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4377029.9217</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395848.4624</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53</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J52</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4377034.4656</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395847.7675</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54</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J53</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4377047.9133</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395845.7107</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55</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J54</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4377059.3433</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395846.3457</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56</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J55</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4377074.5833</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395852.9074</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w:t>
                  </w:r>
                </w:p>
              </w:tc>
              <w:tc>
                <w:tcPr>
                  <w:tcW w:w="918"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J26</w:t>
                  </w:r>
                </w:p>
              </w:tc>
              <w:tc>
                <w:tcPr>
                  <w:tcW w:w="119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4377082.1698</w:t>
                  </w:r>
                </w:p>
              </w:tc>
              <w:tc>
                <w:tcPr>
                  <w:tcW w:w="1110"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395856.7931</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18"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9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10"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tcBorders>
                    <w:top w:val="single" w:color="000000" w:sz="4" w:space="0"/>
                    <w:left w:val="single" w:color="000000" w:sz="4" w:space="0"/>
                    <w:bottom w:val="nil"/>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5000" w:type="pct"/>
                  <w:gridSpan w:val="8"/>
                  <w:tcBorders>
                    <w:top w:val="single" w:color="000000" w:sz="8" w:space="0"/>
                    <w:left w:val="single" w:color="000000" w:sz="8"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界 址 点 成 果 表（宗地三）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8"/>
                  <w:tcBorders>
                    <w:top w:val="single" w:color="000000" w:sz="4" w:space="0"/>
                    <w:left w:val="single" w:color="000000" w:sz="8"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宗地面积(平方米): 1569.4993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8"/>
                  <w:tcBorders>
                    <w:top w:val="single" w:color="000000" w:sz="4" w:space="0"/>
                    <w:left w:val="single" w:color="000000" w:sz="8" w:space="0"/>
                    <w:bottom w:val="single" w:color="000000" w:sz="4" w:space="0"/>
                    <w:right w:val="single" w:color="000000" w:sz="8" w:space="0"/>
                  </w:tcBorders>
                  <w:noWrap/>
                  <w:vAlign w:val="center"/>
                </w:tcPr>
                <w:p>
                  <w:pPr>
                    <w:keepNext w:val="0"/>
                    <w:keepLines w:val="0"/>
                    <w:widowControl/>
                    <w:suppressLineNumbers w:val="0"/>
                    <w:jc w:val="left"/>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 xml:space="preserve">                         界  址  点  坐  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97" w:type="pct"/>
                  <w:gridSpan w:val="2"/>
                  <w:vMerge w:val="restart"/>
                  <w:tcBorders>
                    <w:top w:val="single" w:color="000000" w:sz="4" w:space="0"/>
                    <w:left w:val="single" w:color="000000" w:sz="8"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 号</w:t>
                  </w:r>
                </w:p>
              </w:tc>
              <w:tc>
                <w:tcPr>
                  <w:tcW w:w="635"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点 号</w:t>
                  </w:r>
                </w:p>
              </w:tc>
              <w:tc>
                <w:tcPr>
                  <w:tcW w:w="2263" w:type="pct"/>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坐 标</w:t>
                  </w: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default" w:ascii="宋体" w:hAnsi="宋体" w:eastAsia="宋体" w:cs="宋体"/>
                      <w:b/>
                      <w:bCs/>
                      <w:i w:val="0"/>
                      <w:iCs w:val="0"/>
                      <w:color w:val="auto"/>
                      <w:sz w:val="21"/>
                      <w:szCs w:val="21"/>
                      <w:u w:val="none"/>
                      <w:lang w:val="en-US"/>
                    </w:rPr>
                  </w:pPr>
                  <w:r>
                    <w:rPr>
                      <w:rFonts w:hint="eastAsia" w:ascii="宋体" w:hAnsi="宋体" w:eastAsia="宋体" w:cs="宋体"/>
                      <w:b/>
                      <w:bCs/>
                      <w:i w:val="0"/>
                      <w:iCs w:val="0"/>
                      <w:color w:val="auto"/>
                      <w:kern w:val="0"/>
                      <w:sz w:val="21"/>
                      <w:szCs w:val="21"/>
                      <w:u w:val="none"/>
                      <w:lang w:val="en-US" w:eastAsia="zh-CN" w:bidi="ar"/>
                    </w:rPr>
                    <w:t>边 长</w:t>
                  </w:r>
                  <w:r>
                    <w:rPr>
                      <w:rFonts w:hint="eastAsia" w:ascii="宋体" w:hAnsi="宋体" w:cs="宋体"/>
                      <w:b/>
                      <w:bCs/>
                      <w:i w:val="0"/>
                      <w:iCs w:val="0"/>
                      <w:color w:val="auto"/>
                      <w:kern w:val="0"/>
                      <w:sz w:val="21"/>
                      <w:szCs w:val="21"/>
                      <w:u w:val="none"/>
                      <w:lang w:val="en-US" w:eastAsia="zh-CN" w:bidi="ar"/>
                    </w:rPr>
                    <w:t>(m)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97" w:type="pct"/>
                  <w:gridSpan w:val="2"/>
                  <w:vMerge w:val="continue"/>
                  <w:tcBorders>
                    <w:top w:val="single" w:color="000000" w:sz="4" w:space="0"/>
                    <w:left w:val="single" w:color="000000" w:sz="8"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auto"/>
                      <w:sz w:val="21"/>
                      <w:szCs w:val="21"/>
                      <w:u w:val="none"/>
                    </w:rPr>
                  </w:pPr>
                </w:p>
              </w:tc>
              <w:tc>
                <w:tcPr>
                  <w:tcW w:w="63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auto"/>
                      <w:sz w:val="21"/>
                      <w:szCs w:val="21"/>
                      <w:u w:val="none"/>
                    </w:rPr>
                  </w:pPr>
                </w:p>
              </w:tc>
              <w:tc>
                <w:tcPr>
                  <w:tcW w:w="1171"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x(m)</w:t>
                  </w:r>
                </w:p>
              </w:tc>
              <w:tc>
                <w:tcPr>
                  <w:tcW w:w="109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y(m)</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b/>
                      <w:bCs/>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97" w:type="pct"/>
                  <w:gridSpan w:val="2"/>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58</w:t>
                  </w:r>
                </w:p>
              </w:tc>
              <w:tc>
                <w:tcPr>
                  <w:tcW w:w="635" w:type="pct"/>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J56</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4377085.6209</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395852.1963</w:t>
                  </w:r>
                </w:p>
              </w:tc>
              <w:tc>
                <w:tcPr>
                  <w:tcW w:w="1003" w:type="pct"/>
                  <w:tcBorders>
                    <w:top w:val="single" w:color="000000" w:sz="4" w:space="0"/>
                    <w:left w:val="single" w:color="000000" w:sz="4" w:space="0"/>
                    <w:bottom w:val="single" w:color="000000" w:sz="4" w:space="0"/>
                    <w:right w:val="single" w:color="000000" w:sz="8" w:space="0"/>
                  </w:tcBorders>
                  <w:noWrap/>
                  <w:vAlign w:val="bottom"/>
                </w:tcPr>
                <w:p>
                  <w:pP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tcBorders>
                    <w:top w:val="single" w:color="000000" w:sz="4" w:space="0"/>
                    <w:left w:val="single" w:color="000000" w:sz="8"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tcBorders>
                    <w:top w:val="single" w:color="000000" w:sz="4" w:space="0"/>
                    <w:left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59</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J57</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4377082.1698</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395856.7931</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bottom"/>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J58</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4377074.5833</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395852.9074</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16.59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61</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J59</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4377059.3433</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395846.3457</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62</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J60</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4377047.9133</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395845.7107</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63</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J61</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4377034.4656</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395847.7675</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64</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J62</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4377029.9217</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395848.4624</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J63</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4377000.9713</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395864.4034</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5.13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66</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J64</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4376996.4782</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395866.8774</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J65</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4376966.3882</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395883.9740</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68</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J66</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4376966.1665</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395884.1000</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69</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J67</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4376949.9114</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395893.3358</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47.49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J68</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4376908.6363</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395916.8308</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71</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J69</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4376866.9005</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395941.1620</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72</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J70</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4376865.2367</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395942.1319</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73</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J71</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4376858.8945</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395945.8293</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74</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J72</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4376853.2303</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395949.0855</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75</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J73</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4376849.0424</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395951.4929</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J74</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4376845.4941</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395953.5326</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77</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J75</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4376841.8427</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395955.6317</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78</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J76</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4376836.1764</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395951.3618</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79</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J77</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4376836.3439</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395951.2729</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80</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J78</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4376839.4212</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395949.6393</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18.29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81</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J79</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4376855.4215</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395940.7786</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42.44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82</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J80</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4376892.5496</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395920.2175</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83</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J81</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4376944.4081</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395889.5258</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J82</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4376965.1556</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395878.1511</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85</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J83</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4376992.6682</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395863.0674</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15.47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86</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J84</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4377006.0608</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395855.3294</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17.53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87</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J85</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4377021.2432</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395846.5574</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13.88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J86</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4377034.1549</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395841.4773</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J87</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4377038.9787</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395840.3349</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J88</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4377042.1983</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395839.5724</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91</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J89</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4377050.6650</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395839.7840</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92</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J90</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4377058.2850</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395840.6307</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93</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J90</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4377058.2850</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395840.6307</w:t>
                  </w:r>
                </w:p>
              </w:tc>
              <w:tc>
                <w:tcPr>
                  <w:tcW w:w="1003" w:type="pct"/>
                  <w:tcBorders>
                    <w:top w:val="single" w:color="000000" w:sz="4" w:space="0"/>
                    <w:left w:val="single" w:color="000000" w:sz="4" w:space="0"/>
                    <w:bottom w:val="single" w:color="000000" w:sz="4" w:space="0"/>
                    <w:right w:val="single" w:color="000000" w:sz="8" w:space="0"/>
                  </w:tcBorders>
                  <w:noWrap/>
                  <w:vAlign w:val="bottom"/>
                </w:tcPr>
                <w:p>
                  <w:pP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94</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J91</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4377066.7517</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395843.3823</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bottom"/>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95</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J92</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4377077.7583</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395848.0390</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vMerge w:val="restart"/>
                  <w:tcBorders>
                    <w:top w:val="single" w:color="000000" w:sz="4" w:space="0"/>
                    <w:left w:val="single" w:color="000000" w:sz="4" w:space="0"/>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8.89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75" w:type="pct"/>
                  <w:vMerge w:val="restart"/>
                  <w:tcBorders>
                    <w:top w:val="single" w:color="000000" w:sz="4" w:space="0"/>
                    <w:left w:val="single" w:color="000000" w:sz="8"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96</w:t>
                  </w:r>
                </w:p>
              </w:tc>
              <w:tc>
                <w:tcPr>
                  <w:tcW w:w="957" w:type="pct"/>
                  <w:gridSpan w:val="3"/>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J93</w:t>
                  </w:r>
                </w:p>
              </w:tc>
              <w:tc>
                <w:tcPr>
                  <w:tcW w:w="1171" w:type="pct"/>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4377085.6209</w:t>
                  </w:r>
                </w:p>
              </w:tc>
              <w:tc>
                <w:tcPr>
                  <w:tcW w:w="1091"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395852.1963</w:t>
                  </w:r>
                </w:p>
              </w:tc>
              <w:tc>
                <w:tcPr>
                  <w:tcW w:w="1003" w:type="pct"/>
                  <w:vMerge w:val="continue"/>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75" w:type="pct"/>
                  <w:vMerge w:val="continue"/>
                  <w:tcBorders>
                    <w:top w:val="single" w:color="000000" w:sz="4" w:space="0"/>
                    <w:left w:val="single" w:color="000000" w:sz="8"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auto"/>
                      <w:sz w:val="21"/>
                      <w:szCs w:val="21"/>
                      <w:u w:val="none"/>
                    </w:rPr>
                  </w:pPr>
                </w:p>
              </w:tc>
              <w:tc>
                <w:tcPr>
                  <w:tcW w:w="957" w:type="pct"/>
                  <w:gridSpan w:val="3"/>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171"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91"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auto"/>
                      <w:sz w:val="21"/>
                      <w:szCs w:val="21"/>
                      <w:u w:val="none"/>
                    </w:rPr>
                  </w:pPr>
                </w:p>
              </w:tc>
              <w:tc>
                <w:tcPr>
                  <w:tcW w:w="1003" w:type="pct"/>
                  <w:tcBorders>
                    <w:top w:val="single" w:color="000000" w:sz="4" w:space="0"/>
                    <w:left w:val="single" w:color="000000" w:sz="4" w:space="0"/>
                    <w:bottom w:val="single" w:color="000000" w:sz="4" w:space="0"/>
                    <w:right w:val="single" w:color="000000" w:sz="8" w:space="0"/>
                  </w:tcBorders>
                  <w:noWrap/>
                  <w:vAlign w:val="center"/>
                </w:tcPr>
                <w:p>
                  <w:pPr>
                    <w:jc w:val="center"/>
                    <w:rPr>
                      <w:rFonts w:hint="eastAsia" w:ascii="宋体" w:hAnsi="宋体" w:eastAsia="宋体" w:cs="宋体"/>
                      <w:i w:val="0"/>
                      <w:iCs w:val="0"/>
                      <w:color w:val="auto"/>
                      <w:sz w:val="21"/>
                      <w:szCs w:val="21"/>
                      <w:u w:val="none"/>
                    </w:rPr>
                  </w:pPr>
                </w:p>
              </w:tc>
            </w:tr>
          </w:tbl>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both"/>
              <w:textAlignment w:val="auto"/>
              <w:rPr>
                <w:rFonts w:hint="default"/>
                <w:color w:val="auto"/>
                <w:highlight w:val="none"/>
                <w:lang w:val="en-US" w:eastAsia="zh-CN"/>
              </w:rPr>
            </w:pPr>
          </w:p>
          <w:p>
            <w:pPr>
              <w:rPr>
                <w:rFonts w:hint="default"/>
                <w:color w:val="auto"/>
                <w:highlight w:val="none"/>
                <w:lang w:val="en-US" w:eastAsia="zh-CN"/>
              </w:rPr>
            </w:pPr>
            <w:r>
              <w:rPr>
                <w:rFonts w:hint="eastAsia"/>
                <w:color w:val="auto"/>
                <w:sz w:val="24"/>
                <w:szCs w:val="24"/>
                <w:highlight w:val="none"/>
                <w:lang w:val="en-US" w:eastAsia="zh-CN"/>
              </w:rPr>
              <w:drawing>
                <wp:anchor distT="0" distB="0" distL="114300" distR="114300" simplePos="0" relativeHeight="251682816" behindDoc="1" locked="0" layoutInCell="1" allowOverlap="1">
                  <wp:simplePos x="0" y="0"/>
                  <wp:positionH relativeFrom="column">
                    <wp:posOffset>11430</wp:posOffset>
                  </wp:positionH>
                  <wp:positionV relativeFrom="paragraph">
                    <wp:posOffset>103505</wp:posOffset>
                  </wp:positionV>
                  <wp:extent cx="2481580" cy="1866265"/>
                  <wp:effectExtent l="0" t="0" r="13970" b="635"/>
                  <wp:wrapNone/>
                  <wp:docPr id="1" name="图片 1" descr="f78fc452944f9328bcb9bdcd49a7a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78fc452944f9328bcb9bdcd49a7a92"/>
                          <pic:cNvPicPr>
                            <a:picLocks noChangeAspect="1"/>
                          </pic:cNvPicPr>
                        </pic:nvPicPr>
                        <pic:blipFill>
                          <a:blip r:embed="rId11"/>
                          <a:srcRect t="19401" r="50581" b="-207"/>
                          <a:stretch>
                            <a:fillRect/>
                          </a:stretch>
                        </pic:blipFill>
                        <pic:spPr>
                          <a:xfrm>
                            <a:off x="0" y="0"/>
                            <a:ext cx="2481580" cy="1866265"/>
                          </a:xfrm>
                          <a:prstGeom prst="rect">
                            <a:avLst/>
                          </a:prstGeom>
                        </pic:spPr>
                      </pic:pic>
                    </a:graphicData>
                  </a:graphic>
                </wp:anchor>
              </w:drawing>
            </w:r>
            <w:r>
              <w:rPr>
                <w:rFonts w:hint="eastAsia"/>
                <w:color w:val="auto"/>
                <w:sz w:val="24"/>
                <w:szCs w:val="24"/>
                <w:highlight w:val="none"/>
                <w:lang w:val="en-US" w:eastAsia="zh-CN"/>
              </w:rPr>
              <w:drawing>
                <wp:anchor distT="0" distB="0" distL="114300" distR="114300" simplePos="0" relativeHeight="251683840" behindDoc="0" locked="0" layoutInCell="1" allowOverlap="1">
                  <wp:simplePos x="0" y="0"/>
                  <wp:positionH relativeFrom="column">
                    <wp:posOffset>2573020</wp:posOffset>
                  </wp:positionH>
                  <wp:positionV relativeFrom="paragraph">
                    <wp:posOffset>102870</wp:posOffset>
                  </wp:positionV>
                  <wp:extent cx="2371725" cy="1890395"/>
                  <wp:effectExtent l="0" t="0" r="9525" b="14605"/>
                  <wp:wrapNone/>
                  <wp:docPr id="2" name="图片 2" descr="f2996ce10a04c7c7cb2dc97a2921a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2996ce10a04c7c7cb2dc97a2921af7"/>
                          <pic:cNvPicPr>
                            <a:picLocks noChangeAspect="1"/>
                          </pic:cNvPicPr>
                        </pic:nvPicPr>
                        <pic:blipFill>
                          <a:blip r:embed="rId12"/>
                          <a:srcRect r="42165" b="-637"/>
                          <a:stretch>
                            <a:fillRect/>
                          </a:stretch>
                        </pic:blipFill>
                        <pic:spPr>
                          <a:xfrm>
                            <a:off x="0" y="0"/>
                            <a:ext cx="2371725" cy="1890395"/>
                          </a:xfrm>
                          <a:prstGeom prst="rect">
                            <a:avLst/>
                          </a:prstGeom>
                        </pic:spPr>
                      </pic:pic>
                    </a:graphicData>
                  </a:graphic>
                </wp:anchor>
              </w:drawing>
            </w: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tabs>
                <w:tab w:val="left" w:pos="1563"/>
              </w:tabs>
              <w:jc w:val="center"/>
              <w:rPr>
                <w:rFonts w:hint="eastAsia"/>
                <w:color w:val="auto"/>
                <w:highlight w:val="none"/>
                <w:lang w:val="en-US" w:eastAsia="zh-CN"/>
              </w:rPr>
            </w:pPr>
          </w:p>
          <w:p>
            <w:pPr>
              <w:tabs>
                <w:tab w:val="left" w:pos="1563"/>
              </w:tabs>
              <w:jc w:val="center"/>
              <w:rPr>
                <w:rFonts w:hint="default"/>
                <w:color w:val="auto"/>
                <w:sz w:val="24"/>
                <w:szCs w:val="24"/>
                <w:highlight w:val="none"/>
                <w:lang w:val="en-US" w:eastAsia="zh-CN"/>
              </w:rPr>
            </w:pPr>
            <w:r>
              <w:rPr>
                <w:rFonts w:hint="eastAsia"/>
                <w:color w:val="auto"/>
                <w:sz w:val="24"/>
                <w:szCs w:val="24"/>
                <w:highlight w:val="none"/>
                <w:lang w:val="en-US" w:eastAsia="zh-CN"/>
              </w:rPr>
              <w:t>项目厂区现状照片</w:t>
            </w: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224" w:type="pct"/>
            <w:noWrap w:val="0"/>
            <w:vAlign w:val="center"/>
          </w:tcPr>
          <w:p>
            <w:pPr>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项目组成及规模</w:t>
            </w:r>
          </w:p>
        </w:tc>
        <w:tc>
          <w:tcPr>
            <w:tcW w:w="4775" w:type="pct"/>
            <w:noWrap w:val="0"/>
            <w:vAlign w:val="center"/>
          </w:tcPr>
          <w:p>
            <w:pPr>
              <w:keepNext w:val="0"/>
              <w:keepLines w:val="0"/>
              <w:pageBreakBefore w:val="0"/>
              <w:widowControl w:val="0"/>
              <w:kinsoku/>
              <w:wordWrap/>
              <w:overflowPunct/>
              <w:topLinePunct w:val="0"/>
              <w:autoSpaceDE/>
              <w:autoSpaceDN/>
              <w:bidi w:val="0"/>
              <w:adjustRightInd w:val="0"/>
              <w:snapToGrid w:val="0"/>
              <w:spacing w:before="157" w:beforeLines="50" w:line="384" w:lineRule="auto"/>
              <w:ind w:firstLine="480" w:firstLineChars="200"/>
              <w:jc w:val="left"/>
              <w:textAlignment w:val="auto"/>
              <w:rPr>
                <w:rFonts w:hint="eastAsia"/>
                <w:color w:val="auto"/>
                <w:sz w:val="24"/>
                <w:szCs w:val="24"/>
                <w:highlight w:val="none"/>
              </w:rPr>
            </w:pPr>
            <w:r>
              <w:rPr>
                <w:rFonts w:hint="eastAsia"/>
                <w:color w:val="auto"/>
                <w:sz w:val="24"/>
                <w:szCs w:val="24"/>
                <w:highlight w:val="none"/>
              </w:rPr>
              <w:t>1</w:t>
            </w:r>
            <w:r>
              <w:rPr>
                <w:rFonts w:hint="eastAsia"/>
                <w:color w:val="auto"/>
                <w:sz w:val="24"/>
                <w:szCs w:val="24"/>
                <w:highlight w:val="none"/>
                <w:lang w:eastAsia="zh-CN"/>
              </w:rPr>
              <w:t>、</w:t>
            </w:r>
            <w:r>
              <w:rPr>
                <w:rFonts w:hint="eastAsia"/>
                <w:color w:val="auto"/>
                <w:sz w:val="24"/>
                <w:szCs w:val="24"/>
                <w:highlight w:val="none"/>
              </w:rPr>
              <w:t>项目由来</w:t>
            </w:r>
          </w:p>
          <w:p>
            <w:pPr>
              <w:keepNext w:val="0"/>
              <w:keepLines w:val="0"/>
              <w:pageBreakBefore w:val="0"/>
              <w:kinsoku/>
              <w:wordWrap/>
              <w:overflowPunct/>
              <w:topLinePunct w:val="0"/>
              <w:autoSpaceDE/>
              <w:autoSpaceDN/>
              <w:bidi w:val="0"/>
              <w:adjustRightInd w:val="0"/>
              <w:snapToGrid w:val="0"/>
              <w:spacing w:line="384" w:lineRule="auto"/>
              <w:ind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GB"/>
              </w:rPr>
              <w:t>本项目为</w:t>
            </w:r>
            <w:r>
              <w:rPr>
                <w:rFonts w:hint="eastAsia"/>
                <w:color w:val="auto"/>
                <w:sz w:val="24"/>
                <w:szCs w:val="24"/>
                <w:highlight w:val="none"/>
              </w:rPr>
              <w:t>内蒙古星光汇农业科技有限责任公司农业高科技博览园一期项目，</w:t>
            </w:r>
            <w:r>
              <w:rPr>
                <w:rFonts w:hint="eastAsia"/>
                <w:color w:val="auto"/>
                <w:sz w:val="24"/>
                <w:szCs w:val="24"/>
                <w:highlight w:val="none"/>
                <w:lang w:val="en-GB"/>
              </w:rPr>
              <w:t>规划用地面积为</w:t>
            </w:r>
            <w:r>
              <w:rPr>
                <w:rFonts w:hint="eastAsia"/>
                <w:color w:val="auto"/>
                <w:sz w:val="24"/>
                <w:szCs w:val="24"/>
                <w:highlight w:val="none"/>
                <w:lang w:val="en-US" w:eastAsia="zh-CN"/>
              </w:rPr>
              <w:t>141939</w:t>
            </w:r>
            <w:r>
              <w:rPr>
                <w:rFonts w:hint="eastAsia"/>
                <w:color w:val="auto"/>
                <w:sz w:val="24"/>
                <w:szCs w:val="24"/>
                <w:highlight w:val="none"/>
                <w:lang w:val="en-GB"/>
              </w:rPr>
              <w:t>平方米，</w:t>
            </w:r>
            <w:r>
              <w:rPr>
                <w:rFonts w:hint="eastAsia"/>
                <w:color w:val="auto"/>
                <w:sz w:val="24"/>
                <w:szCs w:val="24"/>
                <w:highlight w:val="none"/>
                <w:lang w:val="en-GB" w:eastAsia="zh-CN"/>
              </w:rPr>
              <w:t>本项目建设内容包含有物联网控制中心、农文旅产品展销区、栽培模式展示馆、蔬菜文化创意馆、南果北种馆、荷兰模式展示馆</w:t>
            </w:r>
            <w:r>
              <w:rPr>
                <w:rFonts w:hint="eastAsia"/>
                <w:color w:val="auto"/>
                <w:sz w:val="24"/>
                <w:szCs w:val="24"/>
                <w:highlight w:val="none"/>
                <w:lang w:val="en-US" w:eastAsia="zh-CN"/>
              </w:rPr>
              <w:t>1</w:t>
            </w:r>
            <w:r>
              <w:rPr>
                <w:rFonts w:hint="eastAsia"/>
                <w:color w:val="auto"/>
                <w:sz w:val="24"/>
                <w:szCs w:val="24"/>
                <w:highlight w:val="none"/>
                <w:lang w:val="en-GB" w:eastAsia="zh-CN"/>
              </w:rPr>
              <w:t>、荷兰模式展示馆</w:t>
            </w:r>
            <w:r>
              <w:rPr>
                <w:rFonts w:hint="eastAsia"/>
                <w:color w:val="auto"/>
                <w:sz w:val="24"/>
                <w:szCs w:val="24"/>
                <w:highlight w:val="none"/>
                <w:lang w:val="en-US" w:eastAsia="zh-CN"/>
              </w:rPr>
              <w:t>2、</w:t>
            </w:r>
            <w:r>
              <w:rPr>
                <w:rFonts w:hint="eastAsia"/>
                <w:color w:val="auto"/>
                <w:sz w:val="24"/>
                <w:szCs w:val="24"/>
                <w:highlight w:val="none"/>
                <w:lang w:val="en-GB" w:eastAsia="zh-CN"/>
              </w:rPr>
              <w:t>扶正本草</w:t>
            </w:r>
            <w:r>
              <w:rPr>
                <w:rFonts w:hint="eastAsia"/>
                <w:color w:val="auto"/>
                <w:sz w:val="24"/>
                <w:szCs w:val="24"/>
                <w:highlight w:val="none"/>
                <w:lang w:val="en-US" w:eastAsia="zh-CN"/>
              </w:rPr>
              <w:t>馆</w:t>
            </w:r>
            <w:r>
              <w:rPr>
                <w:rFonts w:hint="eastAsia"/>
                <w:color w:val="auto"/>
                <w:sz w:val="24"/>
                <w:szCs w:val="24"/>
                <w:highlight w:val="none"/>
                <w:lang w:val="en-GB" w:eastAsia="zh-CN"/>
              </w:rPr>
              <w:t>、花开盛世馆，草原果蔬艺术馆、热带植物风情馆、生态研学馆、高科技农业科普展厅、互动研学体验区、停车场</w:t>
            </w:r>
            <w:r>
              <w:rPr>
                <w:rFonts w:hint="eastAsia"/>
                <w:color w:val="auto"/>
                <w:sz w:val="24"/>
                <w:szCs w:val="24"/>
                <w:highlight w:val="none"/>
                <w:lang w:val="en-GB"/>
              </w:rPr>
              <w:t>。建成后总建筑面积约为67960平米。打造集现代农旅、特色种植、科普研学、采摘体验等功能于一体的综合性现代农业科技园区，以“农业+旅游”深度融合为路径，全力打造鄂尔多斯市农业旅游新地标。</w:t>
            </w:r>
          </w:p>
          <w:p>
            <w:pPr>
              <w:keepNext w:val="0"/>
              <w:keepLines w:val="0"/>
              <w:pageBreakBefore w:val="0"/>
              <w:kinsoku/>
              <w:wordWrap/>
              <w:overflowPunct/>
              <w:topLinePunct w:val="0"/>
              <w:autoSpaceDE/>
              <w:autoSpaceDN/>
              <w:bidi w:val="0"/>
              <w:adjustRightInd w:val="0"/>
              <w:snapToGrid w:val="0"/>
              <w:spacing w:line="384" w:lineRule="auto"/>
              <w:ind w:firstLine="480" w:firstLineChars="200"/>
              <w:textAlignment w:val="auto"/>
              <w:rPr>
                <w:color w:val="auto"/>
                <w:sz w:val="24"/>
                <w:szCs w:val="24"/>
                <w:highlight w:val="none"/>
              </w:rPr>
            </w:pPr>
            <w:r>
              <w:rPr>
                <w:rFonts w:hint="eastAsia"/>
                <w:color w:val="auto"/>
                <w:sz w:val="24"/>
                <w:szCs w:val="24"/>
                <w:highlight w:val="none"/>
              </w:rPr>
              <w:t>根据《中华人民共和国环境影响评价法》、《建设项目环境保护管理条例》，本项目需进行环境影响评价。根据《建设项目环境</w:t>
            </w:r>
            <w:r>
              <w:rPr>
                <w:rFonts w:hint="eastAsia"/>
                <w:color w:val="auto"/>
                <w:sz w:val="24"/>
                <w:szCs w:val="24"/>
                <w:highlight w:val="none"/>
                <w:lang w:eastAsia="zh-CN"/>
              </w:rPr>
              <w:t>影响评价分类</w:t>
            </w:r>
            <w:r>
              <w:rPr>
                <w:rFonts w:hint="eastAsia"/>
                <w:color w:val="auto"/>
                <w:sz w:val="24"/>
                <w:szCs w:val="24"/>
                <w:highlight w:val="none"/>
              </w:rPr>
              <w:t>管理名录》（2</w:t>
            </w:r>
            <w:r>
              <w:rPr>
                <w:color w:val="auto"/>
                <w:sz w:val="24"/>
                <w:szCs w:val="24"/>
                <w:highlight w:val="none"/>
              </w:rPr>
              <w:t>021</w:t>
            </w:r>
            <w:r>
              <w:rPr>
                <w:rFonts w:hint="eastAsia"/>
                <w:color w:val="auto"/>
                <w:sz w:val="24"/>
                <w:szCs w:val="24"/>
                <w:highlight w:val="none"/>
              </w:rPr>
              <w:t>）的有关规定，本项目属于“</w:t>
            </w:r>
            <w:r>
              <w:rPr>
                <w:rFonts w:hint="eastAsia"/>
                <w:color w:val="auto"/>
                <w:sz w:val="24"/>
                <w:szCs w:val="24"/>
                <w:highlight w:val="none"/>
                <w:lang w:eastAsia="zh-CN"/>
              </w:rPr>
              <w:t>一、农业</w:t>
            </w:r>
            <w:r>
              <w:rPr>
                <w:rFonts w:hint="eastAsia"/>
                <w:color w:val="auto"/>
                <w:sz w:val="24"/>
                <w:szCs w:val="24"/>
                <w:highlight w:val="none"/>
                <w:lang w:val="en-US" w:eastAsia="zh-CN"/>
              </w:rPr>
              <w:t>01</w:t>
            </w:r>
            <w:r>
              <w:rPr>
                <w:rFonts w:hint="eastAsia"/>
                <w:color w:val="auto"/>
                <w:sz w:val="24"/>
                <w:szCs w:val="24"/>
                <w:highlight w:val="none"/>
                <w:lang w:eastAsia="zh-CN"/>
              </w:rPr>
              <w:t>、林业</w:t>
            </w:r>
            <w:r>
              <w:rPr>
                <w:rFonts w:hint="eastAsia"/>
                <w:color w:val="auto"/>
                <w:sz w:val="24"/>
                <w:szCs w:val="24"/>
                <w:highlight w:val="none"/>
                <w:lang w:val="en-US" w:eastAsia="zh-CN"/>
              </w:rPr>
              <w:t>02</w:t>
            </w:r>
            <w:r>
              <w:rPr>
                <w:rFonts w:hint="eastAsia"/>
                <w:color w:val="auto"/>
                <w:sz w:val="24"/>
                <w:szCs w:val="24"/>
                <w:highlight w:val="none"/>
              </w:rPr>
              <w:t>”</w:t>
            </w:r>
            <w:r>
              <w:rPr>
                <w:rFonts w:hint="eastAsia"/>
                <w:color w:val="auto"/>
                <w:sz w:val="24"/>
                <w:szCs w:val="24"/>
                <w:highlight w:val="none"/>
                <w:lang w:eastAsia="zh-CN"/>
              </w:rPr>
              <w:t>中</w:t>
            </w:r>
            <w:r>
              <w:rPr>
                <w:rFonts w:hint="eastAsia"/>
                <w:color w:val="auto"/>
                <w:sz w:val="24"/>
                <w:szCs w:val="24"/>
                <w:highlight w:val="none"/>
              </w:rPr>
              <w:t>的“</w:t>
            </w:r>
            <w:r>
              <w:rPr>
                <w:rFonts w:hint="eastAsia"/>
                <w:color w:val="auto"/>
                <w:sz w:val="24"/>
                <w:szCs w:val="24"/>
                <w:highlight w:val="none"/>
                <w:lang w:val="en-US" w:eastAsia="zh-CN"/>
              </w:rPr>
              <w:t>1.农产品基地项目（含药材基地）</w:t>
            </w:r>
            <w:r>
              <w:rPr>
                <w:rFonts w:hint="eastAsia"/>
                <w:color w:val="auto"/>
                <w:sz w:val="24"/>
                <w:szCs w:val="24"/>
                <w:highlight w:val="none"/>
              </w:rPr>
              <w:t>”类别，</w:t>
            </w:r>
            <w:r>
              <w:rPr>
                <w:rFonts w:hint="eastAsia"/>
                <w:color w:val="auto"/>
                <w:sz w:val="24"/>
                <w:szCs w:val="24"/>
                <w:highlight w:val="none"/>
                <w:lang w:eastAsia="zh-CN"/>
              </w:rPr>
              <w:t>根据</w:t>
            </w:r>
            <w:r>
              <w:rPr>
                <w:rFonts w:hint="eastAsia"/>
                <w:color w:val="auto"/>
                <w:sz w:val="24"/>
                <w:szCs w:val="24"/>
                <w:highlight w:val="none"/>
              </w:rPr>
              <w:t>《全国水土保持规划国家级水土流失重点预防区和重点治理区复核划分成果》的通知”（办水保〔2013〕188号）及《内蒙古自治区人民政府关于划分水土流失重点预防区和重点治理区的通告》（内政发〔2016〕44 号）</w:t>
            </w:r>
            <w:r>
              <w:rPr>
                <w:rFonts w:hint="eastAsia"/>
                <w:color w:val="auto"/>
                <w:sz w:val="24"/>
                <w:szCs w:val="24"/>
                <w:highlight w:val="none"/>
                <w:lang w:eastAsia="zh-CN"/>
              </w:rPr>
              <w:t>，项目所在区域属于水土流失重点治理区，</w:t>
            </w:r>
            <w:r>
              <w:rPr>
                <w:rFonts w:hint="eastAsia"/>
                <w:color w:val="auto"/>
                <w:sz w:val="24"/>
                <w:szCs w:val="24"/>
                <w:highlight w:val="none"/>
              </w:rPr>
              <w:t>应编制环境影响报告表。</w:t>
            </w:r>
          </w:p>
          <w:p>
            <w:pPr>
              <w:pStyle w:val="13"/>
              <w:keepNext w:val="0"/>
              <w:keepLines w:val="0"/>
              <w:pageBreakBefore w:val="0"/>
              <w:widowControl/>
              <w:kinsoku/>
              <w:wordWrap/>
              <w:overflowPunct/>
              <w:topLinePunct w:val="0"/>
              <w:autoSpaceDE/>
              <w:autoSpaceDN/>
              <w:bidi w:val="0"/>
              <w:adjustRightInd/>
              <w:snapToGrid w:val="0"/>
              <w:spacing w:before="0" w:after="0" w:line="384" w:lineRule="auto"/>
              <w:ind w:right="0" w:firstLine="480" w:firstLineChars="200"/>
              <w:textAlignment w:val="auto"/>
              <w:rPr>
                <w:color w:val="auto"/>
                <w:sz w:val="24"/>
                <w:szCs w:val="24"/>
                <w:highlight w:val="none"/>
              </w:rPr>
            </w:pPr>
            <w:r>
              <w:rPr>
                <w:rFonts w:hint="eastAsia"/>
                <w:color w:val="auto"/>
                <w:sz w:val="24"/>
                <w:szCs w:val="24"/>
                <w:highlight w:val="none"/>
                <w:lang w:val="en-US" w:eastAsia="zh-CN"/>
              </w:rPr>
              <w:t>建设单位（内蒙古星光汇农业科技有限责任公司）委托内蒙古金绿环保服务有限公司承担本项目的环评任务。接受委托后我公司立即组织技术人员对项目现场进行了踏勘，在收集资料的基础上，根据环境影响评价相关法律法规、导则及技术规范要求，编制完成《内蒙古星光汇农业科技有限责任公司农业高科技博览园一期项目环境影响报告表》。</w:t>
            </w:r>
          </w:p>
          <w:p>
            <w:pPr>
              <w:keepNext w:val="0"/>
              <w:keepLines w:val="0"/>
              <w:pageBreakBefore w:val="0"/>
              <w:kinsoku/>
              <w:wordWrap/>
              <w:overflowPunct/>
              <w:topLinePunct w:val="0"/>
              <w:autoSpaceDE/>
              <w:autoSpaceDN/>
              <w:bidi w:val="0"/>
              <w:adjustRightInd w:val="0"/>
              <w:snapToGrid w:val="0"/>
              <w:spacing w:line="384" w:lineRule="auto"/>
              <w:ind w:firstLine="480" w:firstLineChars="200"/>
              <w:jc w:val="both"/>
              <w:textAlignment w:val="auto"/>
              <w:rPr>
                <w:color w:val="auto"/>
                <w:sz w:val="24"/>
                <w:szCs w:val="24"/>
                <w:highlight w:val="none"/>
              </w:rPr>
            </w:pPr>
            <w:r>
              <w:rPr>
                <w:rFonts w:hint="eastAsia"/>
                <w:color w:val="auto"/>
                <w:sz w:val="24"/>
                <w:szCs w:val="24"/>
                <w:highlight w:val="none"/>
              </w:rPr>
              <w:t>2</w:t>
            </w:r>
            <w:r>
              <w:rPr>
                <w:rFonts w:hint="eastAsia"/>
                <w:color w:val="auto"/>
                <w:sz w:val="24"/>
                <w:szCs w:val="24"/>
                <w:highlight w:val="none"/>
                <w:lang w:eastAsia="zh-CN"/>
              </w:rPr>
              <w:t>、</w:t>
            </w:r>
            <w:r>
              <w:rPr>
                <w:color w:val="auto"/>
                <w:sz w:val="24"/>
                <w:szCs w:val="24"/>
                <w:highlight w:val="none"/>
              </w:rPr>
              <w:t>项目工程组成</w:t>
            </w:r>
          </w:p>
          <w:p>
            <w:pPr>
              <w:keepNext w:val="0"/>
              <w:keepLines w:val="0"/>
              <w:pageBreakBefore w:val="0"/>
              <w:numPr>
                <w:ilvl w:val="0"/>
                <w:numId w:val="3"/>
              </w:numPr>
              <w:kinsoku/>
              <w:wordWrap/>
              <w:overflowPunct/>
              <w:topLinePunct w:val="0"/>
              <w:autoSpaceDE/>
              <w:autoSpaceDN/>
              <w:bidi w:val="0"/>
              <w:spacing w:line="384" w:lineRule="auto"/>
              <w:ind w:right="0" w:firstLine="480" w:firstLineChars="200"/>
              <w:jc w:val="both"/>
              <w:textAlignment w:val="auto"/>
              <w:rPr>
                <w:rFonts w:hint="default"/>
                <w:color w:val="auto"/>
                <w:sz w:val="24"/>
                <w:szCs w:val="24"/>
                <w:highlight w:val="none"/>
                <w:lang w:val="en-US" w:eastAsia="zh-CN"/>
              </w:rPr>
            </w:pPr>
            <w:r>
              <w:rPr>
                <w:rFonts w:hint="default"/>
                <w:color w:val="auto"/>
                <w:sz w:val="24"/>
                <w:szCs w:val="24"/>
                <w:highlight w:val="none"/>
                <w:lang w:val="en-US" w:eastAsia="zh-CN"/>
              </w:rPr>
              <w:t>项目基本情况</w:t>
            </w:r>
          </w:p>
          <w:p>
            <w:pPr>
              <w:keepNext w:val="0"/>
              <w:keepLines w:val="0"/>
              <w:pageBreakBefore w:val="0"/>
              <w:widowControl w:val="0"/>
              <w:kinsoku/>
              <w:wordWrap/>
              <w:overflowPunct/>
              <w:topLinePunct w:val="0"/>
              <w:autoSpaceDE/>
              <w:autoSpaceDN/>
              <w:bidi w:val="0"/>
              <w:adjustRightInd w:val="0"/>
              <w:snapToGrid w:val="0"/>
              <w:spacing w:line="384" w:lineRule="auto"/>
              <w:ind w:right="0" w:firstLine="480" w:firstLineChars="200"/>
              <w:jc w:val="both"/>
              <w:textAlignment w:val="auto"/>
              <w:rPr>
                <w:rFonts w:hint="default"/>
                <w:color w:val="auto"/>
                <w:sz w:val="24"/>
                <w:szCs w:val="24"/>
                <w:highlight w:val="none"/>
                <w:lang w:val="en-US" w:eastAsia="zh-CN"/>
              </w:rPr>
            </w:pPr>
            <w:r>
              <w:rPr>
                <w:rFonts w:hint="default"/>
                <w:color w:val="auto"/>
                <w:sz w:val="24"/>
                <w:szCs w:val="24"/>
                <w:highlight w:val="none"/>
                <w:lang w:val="en-US" w:eastAsia="zh-CN"/>
              </w:rPr>
              <w:t>项目名称：</w:t>
            </w:r>
            <w:r>
              <w:rPr>
                <w:rFonts w:hint="eastAsia"/>
                <w:color w:val="auto"/>
                <w:sz w:val="24"/>
                <w:szCs w:val="24"/>
                <w:highlight w:val="none"/>
                <w:lang w:val="en-US" w:eastAsia="zh-CN"/>
              </w:rPr>
              <w:t>内蒙古星光汇农业科技有限责任公司农业高科技博览园一期项目</w:t>
            </w:r>
          </w:p>
          <w:p>
            <w:pPr>
              <w:pStyle w:val="23"/>
              <w:keepNext w:val="0"/>
              <w:keepLines w:val="0"/>
              <w:pageBreakBefore w:val="0"/>
              <w:kinsoku/>
              <w:wordWrap/>
              <w:overflowPunct/>
              <w:topLinePunct w:val="0"/>
              <w:autoSpaceDE/>
              <w:autoSpaceDN/>
              <w:bidi w:val="0"/>
              <w:spacing w:before="0" w:after="0" w:line="384" w:lineRule="auto"/>
              <w:ind w:right="0" w:firstLine="480" w:firstLineChars="200"/>
              <w:jc w:val="both"/>
              <w:textAlignment w:val="auto"/>
              <w:rPr>
                <w:rFonts w:hint="default"/>
                <w:color w:val="auto"/>
                <w:sz w:val="24"/>
                <w:szCs w:val="24"/>
                <w:highlight w:val="none"/>
                <w:lang w:val="en-US" w:eastAsia="zh-CN"/>
              </w:rPr>
            </w:pPr>
            <w:r>
              <w:rPr>
                <w:rFonts w:hint="default"/>
                <w:color w:val="auto"/>
                <w:sz w:val="24"/>
                <w:szCs w:val="24"/>
                <w:highlight w:val="none"/>
                <w:lang w:val="en-US" w:eastAsia="zh-CN"/>
              </w:rPr>
              <w:t>建设单位：</w:t>
            </w:r>
            <w:r>
              <w:rPr>
                <w:rFonts w:hint="eastAsia"/>
                <w:color w:val="auto"/>
                <w:sz w:val="24"/>
                <w:szCs w:val="24"/>
                <w:highlight w:val="none"/>
                <w:lang w:val="en-US" w:eastAsia="zh-CN"/>
              </w:rPr>
              <w:t>内蒙古星光汇农业科技有限责任公司</w:t>
            </w:r>
          </w:p>
          <w:p>
            <w:pPr>
              <w:pStyle w:val="23"/>
              <w:keepNext w:val="0"/>
              <w:keepLines w:val="0"/>
              <w:pageBreakBefore w:val="0"/>
              <w:kinsoku/>
              <w:wordWrap/>
              <w:overflowPunct/>
              <w:topLinePunct w:val="0"/>
              <w:autoSpaceDE/>
              <w:autoSpaceDN/>
              <w:bidi w:val="0"/>
              <w:spacing w:before="0" w:after="0" w:line="384" w:lineRule="auto"/>
              <w:ind w:right="0" w:firstLine="480" w:firstLineChars="200"/>
              <w:jc w:val="both"/>
              <w:textAlignment w:val="auto"/>
              <w:rPr>
                <w:rFonts w:hint="default"/>
                <w:color w:val="auto"/>
                <w:sz w:val="24"/>
                <w:szCs w:val="24"/>
                <w:highlight w:val="none"/>
                <w:lang w:val="en-US" w:eastAsia="zh-CN"/>
              </w:rPr>
            </w:pPr>
            <w:r>
              <w:rPr>
                <w:rFonts w:hint="default"/>
                <w:color w:val="auto"/>
                <w:sz w:val="24"/>
                <w:szCs w:val="24"/>
                <w:highlight w:val="none"/>
                <w:lang w:val="en-US" w:eastAsia="zh-CN"/>
              </w:rPr>
              <w:t>总投资：项目总投资</w:t>
            </w:r>
            <w:r>
              <w:rPr>
                <w:rFonts w:hint="eastAsia"/>
                <w:color w:val="auto"/>
                <w:sz w:val="24"/>
                <w:szCs w:val="24"/>
                <w:highlight w:val="none"/>
                <w:lang w:val="en-US" w:eastAsia="zh-CN"/>
              </w:rPr>
              <w:t>18000万元</w:t>
            </w:r>
            <w:r>
              <w:rPr>
                <w:rFonts w:hint="default"/>
                <w:color w:val="auto"/>
                <w:sz w:val="24"/>
                <w:szCs w:val="24"/>
                <w:highlight w:val="none"/>
                <w:lang w:val="en-US" w:eastAsia="zh-CN"/>
              </w:rPr>
              <w:t>，</w:t>
            </w:r>
            <w:r>
              <w:rPr>
                <w:rFonts w:hint="eastAsia"/>
                <w:color w:val="auto"/>
                <w:sz w:val="24"/>
                <w:szCs w:val="24"/>
                <w:highlight w:val="none"/>
                <w:lang w:val="en-US" w:eastAsia="zh-CN"/>
              </w:rPr>
              <w:t>环保投资为</w:t>
            </w:r>
            <w:r>
              <w:rPr>
                <w:rFonts w:hint="eastAsia" w:ascii="Times New Roman" w:hAnsi="Times New Roman" w:cs="Times New Roman"/>
                <w:color w:val="auto"/>
                <w:sz w:val="24"/>
                <w:szCs w:val="24"/>
                <w:highlight w:val="none"/>
                <w:lang w:val="en-US" w:eastAsia="zh-CN"/>
              </w:rPr>
              <w:t>1</w:t>
            </w:r>
            <w:r>
              <w:rPr>
                <w:rFonts w:hint="eastAsia" w:cs="Times New Roman"/>
                <w:color w:val="auto"/>
                <w:sz w:val="24"/>
                <w:szCs w:val="24"/>
                <w:highlight w:val="none"/>
                <w:lang w:val="en-US" w:eastAsia="zh-CN"/>
              </w:rPr>
              <w:t>8</w:t>
            </w:r>
            <w:r>
              <w:rPr>
                <w:rFonts w:hint="default"/>
                <w:color w:val="auto"/>
                <w:sz w:val="24"/>
                <w:szCs w:val="24"/>
                <w:highlight w:val="none"/>
                <w:lang w:val="en-US" w:eastAsia="zh-CN"/>
              </w:rPr>
              <w:t>万元，占总投资的</w:t>
            </w:r>
            <w:r>
              <w:rPr>
                <w:rFonts w:hint="eastAsia"/>
                <w:color w:val="auto"/>
                <w:sz w:val="24"/>
                <w:szCs w:val="24"/>
                <w:highlight w:val="none"/>
                <w:lang w:val="en-US" w:eastAsia="zh-CN"/>
              </w:rPr>
              <w:t>1‰</w:t>
            </w:r>
            <w:r>
              <w:rPr>
                <w:rFonts w:hint="default"/>
                <w:color w:val="auto"/>
                <w:sz w:val="24"/>
                <w:szCs w:val="24"/>
                <w:highlight w:val="none"/>
                <w:lang w:val="en-US" w:eastAsia="zh-CN"/>
              </w:rPr>
              <w:t>。</w:t>
            </w:r>
          </w:p>
          <w:p>
            <w:pPr>
              <w:keepNext w:val="0"/>
              <w:keepLines w:val="0"/>
              <w:pageBreakBefore w:val="0"/>
              <w:kinsoku/>
              <w:wordWrap/>
              <w:overflowPunct/>
              <w:topLinePunct w:val="0"/>
              <w:autoSpaceDE/>
              <w:autoSpaceDN/>
              <w:bidi w:val="0"/>
              <w:spacing w:line="384"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color w:val="auto"/>
                <w:sz w:val="24"/>
                <w:szCs w:val="24"/>
                <w:highlight w:val="none"/>
                <w:lang w:val="en-US" w:eastAsia="zh-CN"/>
              </w:rPr>
              <w:t>建设规模</w:t>
            </w:r>
            <w:r>
              <w:rPr>
                <w:rFonts w:hint="eastAsia"/>
                <w:color w:val="auto"/>
                <w:sz w:val="24"/>
                <w:szCs w:val="24"/>
                <w:highlight w:val="none"/>
                <w:lang w:val="en-US" w:eastAsia="zh-CN"/>
              </w:rPr>
              <w:t>及内容</w:t>
            </w:r>
            <w:r>
              <w:rPr>
                <w:rFonts w:hint="default"/>
                <w:color w:val="auto"/>
                <w:sz w:val="24"/>
                <w:szCs w:val="24"/>
                <w:highlight w:val="none"/>
                <w:lang w:val="en-US" w:eastAsia="zh-CN"/>
              </w:rPr>
              <w:t>：项目</w:t>
            </w:r>
            <w:r>
              <w:rPr>
                <w:rFonts w:hint="eastAsia"/>
                <w:color w:val="auto"/>
                <w:sz w:val="24"/>
                <w:szCs w:val="24"/>
                <w:highlight w:val="none"/>
                <w:lang w:val="en-GB" w:eastAsia="zh-CN"/>
              </w:rPr>
              <w:t>用地面积为141939</w:t>
            </w:r>
            <w:r>
              <w:rPr>
                <w:rFonts w:hint="eastAsia" w:ascii="宋体" w:hAnsi="宋体" w:cs="宋体"/>
                <w:color w:val="auto"/>
                <w:kern w:val="0"/>
                <w:sz w:val="24"/>
                <w:szCs w:val="24"/>
              </w:rPr>
              <w:t>㎡</w:t>
            </w:r>
            <w:r>
              <w:rPr>
                <w:rFonts w:hint="default"/>
                <w:color w:val="auto"/>
                <w:sz w:val="24"/>
                <w:szCs w:val="24"/>
                <w:highlight w:val="none"/>
                <w:lang w:val="en-US" w:eastAsia="zh-CN"/>
              </w:rPr>
              <w:t>，</w:t>
            </w:r>
            <w:r>
              <w:rPr>
                <w:rFonts w:hint="eastAsia"/>
                <w:color w:val="auto"/>
                <w:sz w:val="24"/>
                <w:szCs w:val="24"/>
                <w:highlight w:val="none"/>
                <w:lang w:val="en-GB" w:eastAsia="zh-CN"/>
              </w:rPr>
              <w:t>总建筑面积约为67960</w:t>
            </w:r>
            <w:r>
              <w:rPr>
                <w:rFonts w:hint="eastAsia" w:ascii="宋体" w:hAnsi="宋体" w:cs="宋体"/>
                <w:color w:val="auto"/>
                <w:kern w:val="0"/>
                <w:sz w:val="24"/>
                <w:szCs w:val="24"/>
              </w:rPr>
              <w:t>㎡</w:t>
            </w:r>
            <w:r>
              <w:rPr>
                <w:rFonts w:hint="eastAsia"/>
                <w:color w:val="auto"/>
                <w:sz w:val="24"/>
                <w:szCs w:val="24"/>
                <w:highlight w:val="none"/>
                <w:lang w:val="en-GB" w:eastAsia="zh-CN"/>
              </w:rPr>
              <w:t>。本项目建设内容包含有物联网控制中心、农文旅产品展销区、栽培模式展示馆、蔬菜文化创意馆、南果北种馆、荷兰模式展示馆</w:t>
            </w:r>
            <w:r>
              <w:rPr>
                <w:rFonts w:hint="eastAsia"/>
                <w:color w:val="auto"/>
                <w:sz w:val="24"/>
                <w:szCs w:val="24"/>
                <w:highlight w:val="none"/>
                <w:lang w:val="en-US" w:eastAsia="zh-CN"/>
              </w:rPr>
              <w:t>1</w:t>
            </w:r>
            <w:r>
              <w:rPr>
                <w:rFonts w:hint="eastAsia"/>
                <w:color w:val="auto"/>
                <w:sz w:val="24"/>
                <w:szCs w:val="24"/>
                <w:highlight w:val="none"/>
                <w:lang w:val="en-GB" w:eastAsia="zh-CN"/>
              </w:rPr>
              <w:t>、荷兰模式展示馆</w:t>
            </w:r>
            <w:r>
              <w:rPr>
                <w:rFonts w:hint="eastAsia"/>
                <w:color w:val="auto"/>
                <w:sz w:val="24"/>
                <w:szCs w:val="24"/>
                <w:highlight w:val="none"/>
                <w:lang w:val="en-US" w:eastAsia="zh-CN"/>
              </w:rPr>
              <w:t>2、</w:t>
            </w:r>
            <w:r>
              <w:rPr>
                <w:rFonts w:hint="eastAsia"/>
                <w:color w:val="auto"/>
                <w:sz w:val="24"/>
                <w:szCs w:val="24"/>
                <w:highlight w:val="none"/>
                <w:lang w:val="en-GB" w:eastAsia="zh-CN"/>
              </w:rPr>
              <w:t>扶正本草管、花开盛世馆、草原果蔬艺术馆、热带植物风情馆、生态研学馆、高科技农业科普展厅、互动研学体验区、停车场；</w:t>
            </w:r>
            <w:r>
              <w:rPr>
                <w:rFonts w:hint="default" w:ascii="Times New Roman" w:hAnsi="Times New Roman" w:eastAsia="宋体" w:cs="Times New Roman"/>
                <w:color w:val="auto"/>
                <w:sz w:val="24"/>
                <w:szCs w:val="24"/>
                <w:highlight w:val="none"/>
                <w:lang w:val="en-US" w:eastAsia="zh-CN"/>
              </w:rPr>
              <w:t>项目组成表见表2-</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w:t>
            </w:r>
          </w:p>
          <w:p>
            <w:pPr>
              <w:adjustRightInd w:val="0"/>
              <w:snapToGrid w:val="0"/>
              <w:spacing w:line="0" w:lineRule="atLeast"/>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表2-2</w:t>
            </w:r>
            <w:r>
              <w:rPr>
                <w:rFonts w:hint="eastAsia"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项目工程组成一览表</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61"/>
              <w:gridCol w:w="5876"/>
              <w:gridCol w:w="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814" w:type="pct"/>
                  <w:gridSpan w:val="2"/>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工程类别</w:t>
                  </w:r>
                </w:p>
              </w:tc>
              <w:tc>
                <w:tcPr>
                  <w:tcW w:w="3751"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建设内容</w:t>
                  </w:r>
                </w:p>
              </w:tc>
              <w:tc>
                <w:tcPr>
                  <w:tcW w:w="434"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建设情况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restar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主体工程</w:t>
                  </w: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GB" w:eastAsia="zh-CN"/>
                    </w:rPr>
                    <w:t>蔬菜文化创意馆</w:t>
                  </w:r>
                </w:p>
              </w:tc>
              <w:tc>
                <w:tcPr>
                  <w:tcW w:w="375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jc w:val="both"/>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项目区建有一座占地面积</w:t>
                  </w:r>
                  <w:r>
                    <w:rPr>
                      <w:rFonts w:hint="default" w:ascii="Times New Roman" w:hAnsi="Times New Roman" w:eastAsia="宋体" w:cs="Times New Roman"/>
                      <w:color w:val="auto"/>
                      <w:kern w:val="0"/>
                      <w:sz w:val="21"/>
                      <w:szCs w:val="21"/>
                    </w:rPr>
                    <w:t>8704㎡</w:t>
                  </w:r>
                  <w:r>
                    <w:rPr>
                      <w:rFonts w:hint="default" w:ascii="Times New Roman" w:hAnsi="Times New Roman" w:eastAsia="宋体" w:cs="Times New Roman"/>
                      <w:color w:val="auto"/>
                      <w:kern w:val="0"/>
                      <w:sz w:val="21"/>
                      <w:szCs w:val="21"/>
                      <w:lang w:eastAsia="zh-CN"/>
                    </w:rPr>
                    <w:t>的</w:t>
                  </w:r>
                  <w:r>
                    <w:rPr>
                      <w:rFonts w:hint="default" w:ascii="Times New Roman" w:hAnsi="Times New Roman" w:eastAsia="宋体" w:cs="Times New Roman"/>
                      <w:color w:val="auto"/>
                      <w:sz w:val="21"/>
                      <w:szCs w:val="21"/>
                      <w:highlight w:val="none"/>
                      <w:lang w:val="en-GB" w:eastAsia="zh-CN"/>
                    </w:rPr>
                    <w:t>蔬菜文化创意馆，内部种植</w:t>
                  </w:r>
                  <w:r>
                    <w:rPr>
                      <w:rFonts w:hint="default" w:ascii="Times New Roman" w:hAnsi="Times New Roman" w:eastAsia="宋体" w:cs="Times New Roman"/>
                      <w:color w:val="auto"/>
                      <w:sz w:val="21"/>
                      <w:szCs w:val="21"/>
                      <w:lang w:eastAsia="zh-CN"/>
                    </w:rPr>
                    <w:t>叶菜类、</w:t>
                  </w:r>
                  <w:r>
                    <w:rPr>
                      <w:rFonts w:hint="default" w:ascii="Times New Roman" w:hAnsi="Times New Roman" w:eastAsia="宋体" w:cs="Times New Roman"/>
                      <w:color w:val="auto"/>
                      <w:sz w:val="21"/>
                      <w:szCs w:val="21"/>
                      <w:lang w:val="en-US" w:eastAsia="zh-CN"/>
                    </w:rPr>
                    <w:t>果菜类、盆栽类、廊架种植类蔬菜。</w:t>
                  </w:r>
                  <w:r>
                    <w:rPr>
                      <w:rFonts w:hint="default" w:ascii="Times New Roman" w:hAnsi="Times New Roman" w:eastAsia="宋体" w:cs="Times New Roman"/>
                      <w:color w:val="auto"/>
                      <w:sz w:val="21"/>
                      <w:szCs w:val="21"/>
                      <w:lang w:eastAsia="zh-CN"/>
                    </w:rPr>
                    <w:t>叶菜类包括：</w:t>
                  </w:r>
                  <w:r>
                    <w:rPr>
                      <w:rFonts w:hint="default" w:ascii="Times New Roman" w:hAnsi="Times New Roman" w:eastAsia="宋体" w:cs="Times New Roman"/>
                      <w:color w:val="auto"/>
                      <w:sz w:val="21"/>
                      <w:szCs w:val="21"/>
                      <w:lang w:val="en-US" w:eastAsia="zh-CN"/>
                    </w:rPr>
                    <w:t>芹菜、菠菜、油菜、小白菜、甜菜、根达菜、生菜、油麦菜、乌塌菜、苦苣、</w:t>
                  </w:r>
                  <w:r>
                    <w:rPr>
                      <w:rFonts w:hint="default" w:ascii="Times New Roman" w:hAnsi="Times New Roman" w:eastAsia="宋体" w:cs="Times New Roman"/>
                      <w:color w:val="auto"/>
                      <w:sz w:val="21"/>
                      <w:szCs w:val="21"/>
                    </w:rPr>
                    <w:t>紫背天葵</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香芹</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银叶菊、花生、遍地黄金、菊花菜、</w:t>
                  </w:r>
                  <w:r>
                    <w:rPr>
                      <w:rFonts w:hint="default" w:ascii="Times New Roman" w:hAnsi="Times New Roman" w:eastAsia="宋体" w:cs="Times New Roman"/>
                      <w:color w:val="auto"/>
                      <w:sz w:val="21"/>
                      <w:szCs w:val="21"/>
                    </w:rPr>
                    <w:t>羽衣甘蓝</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碰手香及各种花卉点缀等。果菜类包括：</w:t>
                  </w:r>
                  <w:r>
                    <w:rPr>
                      <w:rFonts w:hint="default" w:ascii="Times New Roman" w:hAnsi="Times New Roman" w:eastAsia="宋体" w:cs="Times New Roman"/>
                      <w:color w:val="auto"/>
                      <w:sz w:val="21"/>
                      <w:szCs w:val="21"/>
                      <w:lang w:eastAsia="zh-CN"/>
                    </w:rPr>
                    <w:t>长茄、花茄、</w:t>
                  </w:r>
                  <w:r>
                    <w:rPr>
                      <w:rFonts w:hint="default" w:ascii="Times New Roman" w:hAnsi="Times New Roman" w:eastAsia="宋体" w:cs="Times New Roman"/>
                      <w:color w:val="auto"/>
                      <w:sz w:val="21"/>
                      <w:szCs w:val="21"/>
                      <w:lang w:val="en-US" w:eastAsia="zh-CN"/>
                    </w:rPr>
                    <w:t>绿茄、鸡蛋茄、五指茄、观赏辣椒、观赏番茄等。盆栽类包括：盆栽</w:t>
                  </w:r>
                  <w:r>
                    <w:rPr>
                      <w:rFonts w:hint="default" w:ascii="Times New Roman" w:hAnsi="Times New Roman" w:eastAsia="宋体" w:cs="Times New Roman"/>
                      <w:color w:val="auto"/>
                      <w:sz w:val="21"/>
                      <w:szCs w:val="21"/>
                      <w:lang w:eastAsia="zh-CN"/>
                    </w:rPr>
                    <w:t>辣椒、盆栽番茄、盆栽茄子、</w:t>
                  </w:r>
                  <w:r>
                    <w:rPr>
                      <w:rFonts w:hint="default" w:ascii="Times New Roman" w:hAnsi="Times New Roman" w:eastAsia="宋体" w:cs="Times New Roman"/>
                      <w:color w:val="auto"/>
                      <w:sz w:val="21"/>
                      <w:szCs w:val="21"/>
                      <w:lang w:val="en-US" w:eastAsia="zh-CN"/>
                    </w:rPr>
                    <w:t>盆栽南瓜。廊架种植包括：红栗南瓜、</w:t>
                  </w:r>
                  <w:r>
                    <w:rPr>
                      <w:rFonts w:hint="default" w:ascii="Times New Roman" w:hAnsi="Times New Roman" w:eastAsia="宋体" w:cs="Times New Roman"/>
                      <w:color w:val="auto"/>
                      <w:sz w:val="21"/>
                      <w:szCs w:val="21"/>
                      <w:lang w:eastAsia="zh-CN"/>
                    </w:rPr>
                    <w:t>麦克风南瓜、玩偶南瓜、天鹅葫芦、</w:t>
                  </w:r>
                  <w:r>
                    <w:rPr>
                      <w:rFonts w:hint="default" w:ascii="Times New Roman" w:hAnsi="Times New Roman" w:eastAsia="宋体" w:cs="Times New Roman"/>
                      <w:color w:val="auto"/>
                      <w:sz w:val="21"/>
                      <w:szCs w:val="21"/>
                      <w:lang w:val="en-US" w:eastAsia="zh-CN"/>
                    </w:rPr>
                    <w:t>鹤首南瓜等。</w:t>
                  </w:r>
                </w:p>
              </w:tc>
              <w:tc>
                <w:tcPr>
                  <w:tcW w:w="434"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GB" w:eastAsia="zh-CN"/>
                    </w:rPr>
                    <w:t>南果北种馆</w:t>
                  </w:r>
                </w:p>
              </w:tc>
              <w:tc>
                <w:tcPr>
                  <w:tcW w:w="375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项目区建有一座占地面积</w:t>
                  </w:r>
                  <w:r>
                    <w:rPr>
                      <w:rFonts w:hint="default" w:ascii="Times New Roman" w:hAnsi="Times New Roman" w:eastAsia="宋体" w:cs="Times New Roman"/>
                      <w:color w:val="auto"/>
                      <w:kern w:val="0"/>
                      <w:sz w:val="21"/>
                      <w:szCs w:val="21"/>
                    </w:rPr>
                    <w:t>7616㎡</w:t>
                  </w:r>
                  <w:r>
                    <w:rPr>
                      <w:rFonts w:hint="default" w:ascii="Times New Roman" w:hAnsi="Times New Roman" w:eastAsia="宋体" w:cs="Times New Roman"/>
                      <w:color w:val="auto"/>
                      <w:kern w:val="0"/>
                      <w:sz w:val="21"/>
                      <w:szCs w:val="21"/>
                      <w:lang w:eastAsia="zh-CN"/>
                    </w:rPr>
                    <w:t>的</w:t>
                  </w:r>
                  <w:r>
                    <w:rPr>
                      <w:rFonts w:hint="default" w:ascii="Times New Roman" w:hAnsi="Times New Roman" w:eastAsia="宋体" w:cs="Times New Roman"/>
                      <w:color w:val="auto"/>
                      <w:sz w:val="21"/>
                      <w:szCs w:val="21"/>
                      <w:highlight w:val="none"/>
                      <w:lang w:val="en-GB" w:eastAsia="zh-CN"/>
                    </w:rPr>
                    <w:t>南果北种馆，</w:t>
                  </w:r>
                  <w:r>
                    <w:rPr>
                      <w:rFonts w:hint="default" w:ascii="Times New Roman" w:hAnsi="Times New Roman" w:eastAsia="宋体" w:cs="Times New Roman"/>
                      <w:color w:val="auto"/>
                      <w:kern w:val="0"/>
                      <w:sz w:val="21"/>
                      <w:szCs w:val="21"/>
                      <w:lang w:eastAsia="zh-CN"/>
                    </w:rPr>
                    <w:t>主要种植</w:t>
                  </w:r>
                  <w:r>
                    <w:rPr>
                      <w:rFonts w:hint="default" w:ascii="Times New Roman" w:hAnsi="Times New Roman" w:eastAsia="宋体" w:cs="Times New Roman"/>
                      <w:color w:val="auto"/>
                      <w:kern w:val="0"/>
                      <w:sz w:val="21"/>
                      <w:szCs w:val="21"/>
                      <w:lang w:val="en-US" w:eastAsia="zh-CN"/>
                    </w:rPr>
                    <w:t>橘子树、橙子树、香蕉树、木瓜树、枇杷树、火龙果等。</w:t>
                  </w:r>
                </w:p>
              </w:tc>
              <w:tc>
                <w:tcPr>
                  <w:tcW w:w="43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firstLine="0" w:firstLineChars="0"/>
                    <w:jc w:val="both"/>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GB" w:eastAsia="zh-CN"/>
                    </w:rPr>
                    <w:t>草原果蔬艺术馆</w:t>
                  </w:r>
                </w:p>
              </w:tc>
              <w:tc>
                <w:tcPr>
                  <w:tcW w:w="3751" w:type="pct"/>
                  <w:noWrap w:val="0"/>
                  <w:vAlign w:val="center"/>
                </w:tcPr>
                <w:p>
                  <w:pPr>
                    <w:pStyle w:val="3"/>
                    <w:keepNext w:val="0"/>
                    <w:keepLines w:val="0"/>
                    <w:pageBreakBefore w:val="0"/>
                    <w:widowControl w:val="0"/>
                    <w:kinsoku/>
                    <w:wordWrap/>
                    <w:overflowPunct/>
                    <w:topLinePunct w:val="0"/>
                    <w:autoSpaceDE/>
                    <w:autoSpaceDN/>
                    <w:bidi w:val="0"/>
                    <w:spacing w:line="312" w:lineRule="auto"/>
                    <w:ind w:left="0" w:leftChars="0" w:firstLine="0" w:firstLineChars="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lang w:val="en-US" w:eastAsia="zh-CN"/>
                    </w:rPr>
                    <w:t>项目区建有一座占地面积</w:t>
                  </w:r>
                  <w:r>
                    <w:rPr>
                      <w:rFonts w:hint="default" w:ascii="Times New Roman" w:hAnsi="Times New Roman" w:eastAsia="宋体" w:cs="Times New Roman"/>
                      <w:color w:val="auto"/>
                      <w:kern w:val="0"/>
                      <w:sz w:val="21"/>
                      <w:szCs w:val="21"/>
                    </w:rPr>
                    <w:t>8960㎡</w:t>
                  </w:r>
                  <w:r>
                    <w:rPr>
                      <w:rFonts w:hint="default" w:ascii="Times New Roman" w:hAnsi="Times New Roman" w:eastAsia="宋体" w:cs="Times New Roman"/>
                      <w:color w:val="auto"/>
                      <w:kern w:val="0"/>
                      <w:sz w:val="21"/>
                      <w:szCs w:val="21"/>
                      <w:lang w:eastAsia="zh-CN"/>
                    </w:rPr>
                    <w:t>的</w:t>
                  </w:r>
                  <w:r>
                    <w:rPr>
                      <w:rFonts w:hint="default" w:ascii="Times New Roman" w:hAnsi="Times New Roman" w:eastAsia="宋体" w:cs="Times New Roman"/>
                      <w:color w:val="auto"/>
                      <w:sz w:val="21"/>
                      <w:szCs w:val="21"/>
                      <w:highlight w:val="none"/>
                      <w:lang w:val="en-GB" w:eastAsia="zh-CN"/>
                    </w:rPr>
                    <w:t>草原果蔬艺术馆，</w:t>
                  </w:r>
                  <w:r>
                    <w:rPr>
                      <w:rFonts w:hint="default" w:ascii="Times New Roman" w:hAnsi="Times New Roman" w:eastAsia="宋体" w:cs="Times New Roman"/>
                      <w:color w:val="auto"/>
                      <w:kern w:val="0"/>
                      <w:sz w:val="21"/>
                      <w:szCs w:val="21"/>
                      <w:lang w:val="en-US" w:eastAsia="zh-CN"/>
                    </w:rPr>
                    <w:t>主要种植沙果、苹果林、蓝莓、秋子梨、哈密瓜、西瓜、胡萝卜、土豆、洋葱、圆白菜、西红柿等。</w:t>
                  </w:r>
                </w:p>
              </w:tc>
              <w:tc>
                <w:tcPr>
                  <w:tcW w:w="43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firstLine="0" w:firstLineChars="0"/>
                    <w:jc w:val="both"/>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restart"/>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辅助</w:t>
                  </w:r>
                  <w:r>
                    <w:rPr>
                      <w:rFonts w:hint="default" w:ascii="Times New Roman" w:hAnsi="Times New Roman" w:eastAsia="宋体" w:cs="Times New Roman"/>
                      <w:color w:val="auto"/>
                      <w:sz w:val="21"/>
                      <w:szCs w:val="21"/>
                      <w:highlight w:val="none"/>
                    </w:rPr>
                    <w:t>工程</w:t>
                  </w: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GB" w:eastAsia="zh-CN"/>
                    </w:rPr>
                    <w:t>物联网控制中心</w:t>
                  </w:r>
                </w:p>
              </w:tc>
              <w:tc>
                <w:tcPr>
                  <w:tcW w:w="3751" w:type="pct"/>
                  <w:noWrap w:val="0"/>
                  <w:vAlign w:val="center"/>
                </w:tcPr>
                <w:p>
                  <w:pPr>
                    <w:keepNext w:val="0"/>
                    <w:keepLines w:val="0"/>
                    <w:pageBreakBefore w:val="0"/>
                    <w:widowControl w:val="0"/>
                    <w:kinsoku/>
                    <w:wordWrap/>
                    <w:overflowPunct/>
                    <w:topLinePunct w:val="0"/>
                    <w:autoSpaceDE/>
                    <w:autoSpaceDN/>
                    <w:bidi w:val="0"/>
                    <w:spacing w:line="312" w:lineRule="auto"/>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项目区建有一座占地面积</w:t>
                  </w:r>
                  <w:r>
                    <w:rPr>
                      <w:rFonts w:hint="default" w:ascii="Times New Roman" w:hAnsi="Times New Roman" w:eastAsia="宋体" w:cs="Times New Roman"/>
                      <w:color w:val="auto"/>
                      <w:kern w:val="0"/>
                      <w:sz w:val="21"/>
                      <w:szCs w:val="21"/>
                    </w:rPr>
                    <w:t>1736㎡</w:t>
                  </w:r>
                  <w:r>
                    <w:rPr>
                      <w:rFonts w:hint="default" w:ascii="Times New Roman" w:hAnsi="Times New Roman" w:eastAsia="宋体" w:cs="Times New Roman"/>
                      <w:color w:val="auto"/>
                      <w:kern w:val="0"/>
                      <w:sz w:val="21"/>
                      <w:szCs w:val="21"/>
                      <w:lang w:eastAsia="zh-CN"/>
                    </w:rPr>
                    <w:t>的</w:t>
                  </w:r>
                  <w:r>
                    <w:rPr>
                      <w:rFonts w:hint="default" w:ascii="Times New Roman" w:hAnsi="Times New Roman" w:eastAsia="宋体" w:cs="Times New Roman"/>
                      <w:color w:val="auto"/>
                      <w:sz w:val="21"/>
                      <w:szCs w:val="21"/>
                      <w:highlight w:val="none"/>
                      <w:lang w:val="en-US" w:eastAsia="zh-CN"/>
                    </w:rPr>
                    <w:t>物联网控制中心，</w:t>
                  </w:r>
                  <w:r>
                    <w:rPr>
                      <w:rFonts w:hint="default" w:ascii="Times New Roman" w:hAnsi="Times New Roman" w:eastAsia="宋体" w:cs="Times New Roman"/>
                      <w:color w:val="auto"/>
                      <w:kern w:val="0"/>
                      <w:sz w:val="21"/>
                      <w:szCs w:val="21"/>
                    </w:rPr>
                    <w:t>内部设置</w:t>
                  </w:r>
                  <w:r>
                    <w:rPr>
                      <w:rFonts w:hint="default" w:ascii="Times New Roman" w:hAnsi="Times New Roman" w:eastAsia="宋体" w:cs="Times New Roman"/>
                      <w:color w:val="auto"/>
                      <w:sz w:val="21"/>
                      <w:szCs w:val="21"/>
                    </w:rPr>
                    <w:t>沙盘展示、电子屏幕、屏幕铺装、竹林。</w:t>
                  </w:r>
                </w:p>
              </w:tc>
              <w:tc>
                <w:tcPr>
                  <w:tcW w:w="43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GB" w:eastAsia="zh-CN"/>
                    </w:rPr>
                    <w:t>农文旅产品展销区</w:t>
                  </w:r>
                </w:p>
              </w:tc>
              <w:tc>
                <w:tcPr>
                  <w:tcW w:w="3751" w:type="pct"/>
                  <w:noWrap w:val="0"/>
                  <w:vAlign w:val="center"/>
                </w:tcPr>
                <w:p>
                  <w:pPr>
                    <w:keepNext w:val="0"/>
                    <w:keepLines w:val="0"/>
                    <w:pageBreakBefore w:val="0"/>
                    <w:widowControl w:val="0"/>
                    <w:kinsoku/>
                    <w:wordWrap/>
                    <w:overflowPunct/>
                    <w:topLinePunct w:val="0"/>
                    <w:autoSpaceDE/>
                    <w:autoSpaceDN/>
                    <w:bidi w:val="0"/>
                    <w:spacing w:line="312" w:lineRule="auto"/>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项目区建有一座占地面积</w:t>
                  </w:r>
                  <w:r>
                    <w:rPr>
                      <w:rFonts w:hint="default" w:ascii="Times New Roman" w:hAnsi="Times New Roman" w:eastAsia="宋体" w:cs="Times New Roman"/>
                      <w:color w:val="auto"/>
                      <w:kern w:val="0"/>
                      <w:sz w:val="21"/>
                      <w:szCs w:val="21"/>
                    </w:rPr>
                    <w:t>2304㎡</w:t>
                  </w:r>
                  <w:r>
                    <w:rPr>
                      <w:rFonts w:hint="default" w:ascii="Times New Roman" w:hAnsi="Times New Roman" w:eastAsia="宋体" w:cs="Times New Roman"/>
                      <w:color w:val="auto"/>
                      <w:kern w:val="0"/>
                      <w:sz w:val="21"/>
                      <w:szCs w:val="21"/>
                      <w:lang w:eastAsia="zh-CN"/>
                    </w:rPr>
                    <w:t>的</w:t>
                  </w:r>
                  <w:r>
                    <w:rPr>
                      <w:rFonts w:hint="default" w:ascii="Times New Roman" w:hAnsi="Times New Roman" w:eastAsia="宋体" w:cs="Times New Roman"/>
                      <w:color w:val="auto"/>
                      <w:sz w:val="21"/>
                      <w:szCs w:val="21"/>
                      <w:highlight w:val="none"/>
                      <w:lang w:val="en-GB" w:eastAsia="zh-CN"/>
                    </w:rPr>
                    <w:t>农文旅产品展销区，</w:t>
                  </w:r>
                  <w:r>
                    <w:rPr>
                      <w:rFonts w:hint="default" w:ascii="Times New Roman" w:hAnsi="Times New Roman" w:eastAsia="宋体" w:cs="Times New Roman"/>
                      <w:color w:val="auto"/>
                      <w:kern w:val="0"/>
                      <w:sz w:val="21"/>
                      <w:szCs w:val="21"/>
                    </w:rPr>
                    <w:t>内部设置</w:t>
                  </w:r>
                  <w:r>
                    <w:rPr>
                      <w:rFonts w:hint="default" w:ascii="Times New Roman" w:hAnsi="Times New Roman" w:eastAsia="宋体" w:cs="Times New Roman"/>
                      <w:color w:val="auto"/>
                      <w:sz w:val="21"/>
                      <w:szCs w:val="21"/>
                    </w:rPr>
                    <w:t>展销区、生态超市货架区、蔬菜专区、休憩区、超市服务台、休息区服务台、操作间、竹林。</w:t>
                  </w:r>
                </w:p>
              </w:tc>
              <w:tc>
                <w:tcPr>
                  <w:tcW w:w="43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GB" w:eastAsia="zh-CN"/>
                    </w:rPr>
                    <w:t>栽培模式展示馆</w:t>
                  </w:r>
                </w:p>
              </w:tc>
              <w:tc>
                <w:tcPr>
                  <w:tcW w:w="3751" w:type="pct"/>
                  <w:noWrap w:val="0"/>
                  <w:vAlign w:val="center"/>
                </w:tcPr>
                <w:p>
                  <w:pPr>
                    <w:keepNext w:val="0"/>
                    <w:keepLines w:val="0"/>
                    <w:pageBreakBefore w:val="0"/>
                    <w:widowControl w:val="0"/>
                    <w:suppressLineNumbers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项目区建有一座占地面积</w:t>
                  </w:r>
                  <w:r>
                    <w:rPr>
                      <w:rFonts w:hint="default" w:ascii="Times New Roman" w:hAnsi="Times New Roman" w:eastAsia="宋体" w:cs="Times New Roman"/>
                      <w:color w:val="auto"/>
                      <w:kern w:val="0"/>
                      <w:sz w:val="21"/>
                      <w:szCs w:val="21"/>
                    </w:rPr>
                    <w:t>56</w:t>
                  </w:r>
                  <w:r>
                    <w:rPr>
                      <w:rFonts w:hint="default" w:ascii="Times New Roman" w:hAnsi="Times New Roman" w:eastAsia="宋体" w:cs="Times New Roman"/>
                      <w:color w:val="auto"/>
                      <w:kern w:val="0"/>
                      <w:sz w:val="21"/>
                      <w:szCs w:val="21"/>
                      <w:lang w:val="en-US" w:eastAsia="zh-CN"/>
                    </w:rPr>
                    <w:t>32</w:t>
                  </w: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kern w:val="0"/>
                      <w:sz w:val="21"/>
                      <w:szCs w:val="21"/>
                      <w:lang w:eastAsia="zh-CN"/>
                    </w:rPr>
                    <w:t>的</w:t>
                  </w:r>
                  <w:r>
                    <w:rPr>
                      <w:rFonts w:hint="default" w:ascii="Times New Roman" w:hAnsi="Times New Roman" w:eastAsia="宋体" w:cs="Times New Roman"/>
                      <w:color w:val="auto"/>
                      <w:sz w:val="21"/>
                      <w:szCs w:val="21"/>
                      <w:highlight w:val="none"/>
                      <w:lang w:val="en-GB" w:eastAsia="zh-CN"/>
                    </w:rPr>
                    <w:t>栽培模式展示馆，</w:t>
                  </w:r>
                  <w:r>
                    <w:rPr>
                      <w:rFonts w:hint="default" w:ascii="Times New Roman" w:hAnsi="Times New Roman" w:eastAsia="宋体" w:cs="Times New Roman"/>
                      <w:color w:val="auto"/>
                      <w:sz w:val="21"/>
                      <w:szCs w:val="21"/>
                      <w:highlight w:val="none"/>
                      <w:lang w:val="en-US" w:eastAsia="zh-CN"/>
                    </w:rPr>
                    <w:t>内部设置</w:t>
                  </w:r>
                  <w:r>
                    <w:rPr>
                      <w:rFonts w:hint="default" w:ascii="Times New Roman" w:hAnsi="Times New Roman" w:eastAsia="宋体" w:cs="Times New Roman"/>
                      <w:color w:val="auto"/>
                      <w:sz w:val="21"/>
                      <w:szCs w:val="21"/>
                      <w:lang w:val="en-US" w:eastAsia="zh-CN"/>
                    </w:rPr>
                    <w:t>科技栽培区、</w:t>
                  </w:r>
                  <w:r>
                    <w:rPr>
                      <w:rFonts w:hint="default" w:ascii="Times New Roman" w:hAnsi="Times New Roman" w:eastAsia="宋体" w:cs="Times New Roman"/>
                      <w:b w:val="0"/>
                      <w:bCs w:val="0"/>
                      <w:color w:val="auto"/>
                      <w:sz w:val="21"/>
                      <w:szCs w:val="21"/>
                      <w:lang w:val="en-US" w:eastAsia="zh-CN"/>
                    </w:rPr>
                    <w:t>植物工厂展示区、太空农业展示区、</w:t>
                  </w:r>
                  <w:r>
                    <w:rPr>
                      <w:rFonts w:hint="default" w:ascii="Times New Roman" w:hAnsi="Times New Roman" w:eastAsia="宋体" w:cs="Times New Roman"/>
                      <w:color w:val="auto"/>
                      <w:sz w:val="21"/>
                      <w:szCs w:val="21"/>
                      <w:lang w:val="en-US" w:eastAsia="zh-CN"/>
                    </w:rPr>
                    <w:t>智慧农业语音控制</w:t>
                  </w:r>
                  <w:r>
                    <w:rPr>
                      <w:rFonts w:hint="default" w:ascii="Times New Roman" w:hAnsi="Times New Roman" w:eastAsia="宋体" w:cs="Times New Roman"/>
                      <w:b w:val="0"/>
                      <w:bCs w:val="0"/>
                      <w:color w:val="auto"/>
                      <w:sz w:val="21"/>
                      <w:szCs w:val="21"/>
                      <w:lang w:val="en-US" w:eastAsia="zh-CN"/>
                    </w:rPr>
                    <w:t>展示区</w:t>
                  </w:r>
                  <w:r>
                    <w:rPr>
                      <w:rFonts w:hint="default" w:ascii="Times New Roman" w:hAnsi="Times New Roman" w:eastAsia="宋体" w:cs="Times New Roman"/>
                      <w:color w:val="auto"/>
                      <w:sz w:val="21"/>
                      <w:szCs w:val="21"/>
                      <w:lang w:val="en-US" w:eastAsia="zh-CN"/>
                    </w:rPr>
                    <w:t>、一粒种子改变一个世界</w:t>
                  </w:r>
                  <w:r>
                    <w:rPr>
                      <w:rFonts w:hint="default" w:ascii="Times New Roman" w:hAnsi="Times New Roman" w:eastAsia="宋体" w:cs="Times New Roman"/>
                      <w:b w:val="0"/>
                      <w:bCs w:val="0"/>
                      <w:color w:val="auto"/>
                      <w:sz w:val="21"/>
                      <w:szCs w:val="21"/>
                      <w:lang w:val="en-US" w:eastAsia="zh-CN"/>
                    </w:rPr>
                    <w:t>展示区。</w:t>
                  </w:r>
                </w:p>
              </w:tc>
              <w:tc>
                <w:tcPr>
                  <w:tcW w:w="43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GB" w:eastAsia="zh-CN"/>
                    </w:rPr>
                    <w:t>荷兰模式展示馆</w:t>
                  </w:r>
                  <w:r>
                    <w:rPr>
                      <w:rFonts w:hint="default" w:ascii="Times New Roman" w:hAnsi="Times New Roman" w:eastAsia="宋体" w:cs="Times New Roman"/>
                      <w:color w:val="auto"/>
                      <w:sz w:val="21"/>
                      <w:szCs w:val="21"/>
                      <w:highlight w:val="none"/>
                      <w:lang w:val="en-US" w:eastAsia="zh-CN"/>
                    </w:rPr>
                    <w:t>1</w:t>
                  </w:r>
                </w:p>
              </w:tc>
              <w:tc>
                <w:tcPr>
                  <w:tcW w:w="3751" w:type="pct"/>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项目区建有一座占地面积</w:t>
                  </w:r>
                  <w:r>
                    <w:rPr>
                      <w:rFonts w:hint="default" w:ascii="Times New Roman" w:hAnsi="Times New Roman" w:eastAsia="宋体" w:cs="Times New Roman"/>
                      <w:color w:val="auto"/>
                      <w:kern w:val="0"/>
                      <w:sz w:val="21"/>
                      <w:szCs w:val="21"/>
                    </w:rPr>
                    <w:t>5376㎡</w:t>
                  </w:r>
                  <w:r>
                    <w:rPr>
                      <w:rFonts w:hint="default" w:ascii="Times New Roman" w:hAnsi="Times New Roman" w:eastAsia="宋体" w:cs="Times New Roman"/>
                      <w:color w:val="auto"/>
                      <w:kern w:val="0"/>
                      <w:sz w:val="21"/>
                      <w:szCs w:val="21"/>
                      <w:lang w:eastAsia="zh-CN"/>
                    </w:rPr>
                    <w:t>的</w:t>
                  </w:r>
                  <w:r>
                    <w:rPr>
                      <w:rFonts w:hint="default" w:ascii="Times New Roman" w:hAnsi="Times New Roman" w:eastAsia="宋体" w:cs="Times New Roman"/>
                      <w:color w:val="auto"/>
                      <w:sz w:val="21"/>
                      <w:szCs w:val="21"/>
                      <w:highlight w:val="none"/>
                      <w:lang w:val="en-GB" w:eastAsia="zh-CN"/>
                    </w:rPr>
                    <w:t>荷兰模式展示馆</w:t>
                  </w:r>
                  <w:r>
                    <w:rPr>
                      <w:rFonts w:hint="default" w:ascii="Times New Roman" w:hAnsi="Times New Roman" w:eastAsia="宋体" w:cs="Times New Roman"/>
                      <w:color w:val="auto"/>
                      <w:sz w:val="21"/>
                      <w:szCs w:val="21"/>
                      <w:highlight w:val="none"/>
                      <w:lang w:val="en-US" w:eastAsia="zh-CN"/>
                    </w:rPr>
                    <w:t>1，内部设置栽培支架、栽培槽、轨道车、轨道、椰糠条、种植区地面铺设白色园艺地布、内部道路。</w:t>
                  </w:r>
                </w:p>
              </w:tc>
              <w:tc>
                <w:tcPr>
                  <w:tcW w:w="43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GB" w:eastAsia="zh-CN"/>
                    </w:rPr>
                    <w:t>荷兰模式展示馆</w:t>
                  </w:r>
                  <w:r>
                    <w:rPr>
                      <w:rFonts w:hint="default" w:ascii="Times New Roman" w:hAnsi="Times New Roman" w:eastAsia="宋体" w:cs="Times New Roman"/>
                      <w:color w:val="auto"/>
                      <w:sz w:val="21"/>
                      <w:szCs w:val="21"/>
                      <w:highlight w:val="none"/>
                      <w:lang w:val="en-US" w:eastAsia="zh-CN"/>
                    </w:rPr>
                    <w:t>2</w:t>
                  </w:r>
                </w:p>
              </w:tc>
              <w:tc>
                <w:tcPr>
                  <w:tcW w:w="375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项目区建有一座占地面积</w:t>
                  </w:r>
                  <w:r>
                    <w:rPr>
                      <w:rFonts w:hint="default" w:ascii="Times New Roman" w:hAnsi="Times New Roman" w:eastAsia="宋体" w:cs="Times New Roman"/>
                      <w:color w:val="auto"/>
                      <w:kern w:val="0"/>
                      <w:sz w:val="21"/>
                      <w:szCs w:val="21"/>
                    </w:rPr>
                    <w:t>4704㎡</w:t>
                  </w:r>
                  <w:r>
                    <w:rPr>
                      <w:rFonts w:hint="default" w:ascii="Times New Roman" w:hAnsi="Times New Roman" w:eastAsia="宋体" w:cs="Times New Roman"/>
                      <w:color w:val="auto"/>
                      <w:kern w:val="0"/>
                      <w:sz w:val="21"/>
                      <w:szCs w:val="21"/>
                      <w:lang w:eastAsia="zh-CN"/>
                    </w:rPr>
                    <w:t>的</w:t>
                  </w:r>
                  <w:r>
                    <w:rPr>
                      <w:rFonts w:hint="default" w:ascii="Times New Roman" w:hAnsi="Times New Roman" w:eastAsia="宋体" w:cs="Times New Roman"/>
                      <w:color w:val="auto"/>
                      <w:sz w:val="21"/>
                      <w:szCs w:val="21"/>
                      <w:highlight w:val="none"/>
                      <w:lang w:val="en-GB" w:eastAsia="zh-CN"/>
                    </w:rPr>
                    <w:t>荷兰模式展示馆</w:t>
                  </w:r>
                  <w:r>
                    <w:rPr>
                      <w:rFonts w:hint="default" w:ascii="Times New Roman" w:hAnsi="Times New Roman" w:eastAsia="宋体" w:cs="Times New Roman"/>
                      <w:color w:val="auto"/>
                      <w:sz w:val="21"/>
                      <w:szCs w:val="21"/>
                      <w:highlight w:val="none"/>
                      <w:lang w:val="en-US" w:eastAsia="zh-CN"/>
                    </w:rPr>
                    <w:t>2，内部设置栽培支架、栽培槽、轨道车、轨道、椰糠条、种植区地面铺设白色园艺地布、内部道路。</w:t>
                  </w:r>
                </w:p>
              </w:tc>
              <w:tc>
                <w:tcPr>
                  <w:tcW w:w="43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GB" w:eastAsia="zh-CN"/>
                    </w:rPr>
                    <w:t>扶正本草管、花开盛世馆</w:t>
                  </w:r>
                </w:p>
              </w:tc>
              <w:tc>
                <w:tcPr>
                  <w:tcW w:w="375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highlight w:val="none"/>
                      <w:lang w:val="en-US" w:eastAsia="zh-CN"/>
                    </w:rPr>
                    <w:t>项目区建有一座占地面积</w:t>
                  </w:r>
                  <w:r>
                    <w:rPr>
                      <w:rFonts w:hint="default" w:ascii="Times New Roman" w:hAnsi="Times New Roman" w:eastAsia="宋体" w:cs="Times New Roman"/>
                      <w:color w:val="auto"/>
                      <w:kern w:val="0"/>
                      <w:sz w:val="21"/>
                      <w:szCs w:val="21"/>
                    </w:rPr>
                    <w:t>8960㎡</w:t>
                  </w:r>
                  <w:r>
                    <w:rPr>
                      <w:rFonts w:hint="default" w:ascii="Times New Roman" w:hAnsi="Times New Roman" w:eastAsia="宋体" w:cs="Times New Roman"/>
                      <w:color w:val="auto"/>
                      <w:kern w:val="0"/>
                      <w:sz w:val="21"/>
                      <w:szCs w:val="21"/>
                      <w:lang w:eastAsia="zh-CN"/>
                    </w:rPr>
                    <w:t>的</w:t>
                  </w:r>
                  <w:r>
                    <w:rPr>
                      <w:rFonts w:hint="default" w:ascii="Times New Roman" w:hAnsi="Times New Roman" w:eastAsia="宋体" w:cs="Times New Roman"/>
                      <w:color w:val="auto"/>
                      <w:sz w:val="21"/>
                      <w:szCs w:val="21"/>
                      <w:highlight w:val="none"/>
                      <w:lang w:val="en-GB" w:eastAsia="zh-CN"/>
                    </w:rPr>
                    <w:t>扶正本草管、花开盛世馆，</w:t>
                  </w:r>
                  <w:r>
                    <w:rPr>
                      <w:rFonts w:hint="default" w:ascii="Times New Roman" w:hAnsi="Times New Roman" w:eastAsia="宋体" w:cs="Times New Roman"/>
                      <w:color w:val="auto"/>
                      <w:kern w:val="0"/>
                      <w:sz w:val="21"/>
                      <w:szCs w:val="21"/>
                      <w:lang w:eastAsia="zh-CN"/>
                    </w:rPr>
                    <w:t>内部设置各类中药种植及文化展示区、蒙医文化展示区、</w:t>
                  </w:r>
                  <w:r>
                    <w:rPr>
                      <w:rFonts w:hint="default" w:ascii="Times New Roman" w:hAnsi="Times New Roman" w:eastAsia="宋体" w:cs="Times New Roman"/>
                      <w:color w:val="auto"/>
                      <w:kern w:val="0"/>
                      <w:sz w:val="21"/>
                      <w:szCs w:val="21"/>
                      <w:lang w:val="en-US" w:eastAsia="zh-CN"/>
                    </w:rPr>
                    <w:t xml:space="preserve"> </w:t>
                  </w:r>
                  <w:r>
                    <w:rPr>
                      <w:rFonts w:hint="default" w:ascii="Times New Roman" w:hAnsi="Times New Roman" w:eastAsia="宋体" w:cs="Times New Roman"/>
                      <w:color w:val="auto"/>
                      <w:sz w:val="21"/>
                      <w:szCs w:val="21"/>
                      <w:highlight w:val="none"/>
                      <w:lang w:val="en-US" w:eastAsia="zh-CN"/>
                    </w:rPr>
                    <w:t>中医文化展示区、雕塑文化展示区、儿童拓展游乐区等。</w:t>
                  </w:r>
                  <w:r>
                    <w:rPr>
                      <w:rFonts w:hint="default" w:ascii="Times New Roman" w:hAnsi="Times New Roman" w:eastAsia="宋体" w:cs="Times New Roman"/>
                      <w:color w:val="auto"/>
                      <w:kern w:val="0"/>
                      <w:sz w:val="21"/>
                      <w:szCs w:val="21"/>
                      <w:lang w:val="en-US" w:eastAsia="zh-CN"/>
                    </w:rPr>
                    <w:t xml:space="preserve"> </w:t>
                  </w:r>
                </w:p>
              </w:tc>
              <w:tc>
                <w:tcPr>
                  <w:tcW w:w="43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GB" w:eastAsia="zh-CN"/>
                    </w:rPr>
                    <w:t>热带植物风情馆、生态研学馆</w:t>
                  </w:r>
                </w:p>
              </w:tc>
              <w:tc>
                <w:tcPr>
                  <w:tcW w:w="375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jc w:val="left"/>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sz w:val="21"/>
                      <w:szCs w:val="21"/>
                      <w:highlight w:val="none"/>
                      <w:lang w:val="en-US" w:eastAsia="zh-CN"/>
                    </w:rPr>
                    <w:t>项目区建有一座占地面积</w:t>
                  </w:r>
                  <w:r>
                    <w:rPr>
                      <w:rFonts w:hint="default" w:ascii="Times New Roman" w:hAnsi="Times New Roman" w:eastAsia="宋体" w:cs="Times New Roman"/>
                      <w:color w:val="auto"/>
                      <w:kern w:val="0"/>
                      <w:sz w:val="21"/>
                      <w:szCs w:val="21"/>
                    </w:rPr>
                    <w:t>6160㎡</w:t>
                  </w:r>
                  <w:r>
                    <w:rPr>
                      <w:rFonts w:hint="default" w:ascii="Times New Roman" w:hAnsi="Times New Roman" w:eastAsia="宋体" w:cs="Times New Roman"/>
                      <w:color w:val="auto"/>
                      <w:kern w:val="0"/>
                      <w:sz w:val="21"/>
                      <w:szCs w:val="21"/>
                      <w:lang w:eastAsia="zh-CN"/>
                    </w:rPr>
                    <w:t>的</w:t>
                  </w:r>
                  <w:r>
                    <w:rPr>
                      <w:rFonts w:hint="default" w:ascii="Times New Roman" w:hAnsi="Times New Roman" w:eastAsia="宋体" w:cs="Times New Roman"/>
                      <w:color w:val="auto"/>
                      <w:sz w:val="21"/>
                      <w:szCs w:val="21"/>
                      <w:highlight w:val="none"/>
                      <w:lang w:val="en-GB" w:eastAsia="zh-CN"/>
                    </w:rPr>
                    <w:t>热带植物风情馆、生态研学馆，</w:t>
                  </w:r>
                </w:p>
                <w:p>
                  <w:pPr>
                    <w:keepNext w:val="0"/>
                    <w:keepLines w:val="0"/>
                    <w:pageBreakBefore w:val="0"/>
                    <w:widowControl w:val="0"/>
                    <w:kinsoku/>
                    <w:wordWrap/>
                    <w:overflowPunct/>
                    <w:topLinePunct w:val="0"/>
                    <w:autoSpaceDE/>
                    <w:autoSpaceDN/>
                    <w:bidi w:val="0"/>
                    <w:spacing w:line="312" w:lineRule="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eastAsia="zh-CN"/>
                    </w:rPr>
                    <w:t>内部设置</w:t>
                  </w:r>
                  <w:r>
                    <w:rPr>
                      <w:rFonts w:hint="default" w:ascii="Times New Roman" w:hAnsi="Times New Roman" w:eastAsia="宋体" w:cs="Times New Roman"/>
                      <w:color w:val="auto"/>
                      <w:sz w:val="21"/>
                      <w:szCs w:val="21"/>
                      <w:highlight w:val="none"/>
                      <w:lang w:val="en-US" w:eastAsia="zh-CN"/>
                    </w:rPr>
                    <w:t>入口广场、温室内部参观道路、种植廊架、景观亭、防腐木参观步台。</w:t>
                  </w:r>
                </w:p>
              </w:tc>
              <w:tc>
                <w:tcPr>
                  <w:tcW w:w="43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GB" w:eastAsia="zh-CN"/>
                    </w:rPr>
                    <w:t>高科技农业科普展厅</w:t>
                  </w:r>
                </w:p>
              </w:tc>
              <w:tc>
                <w:tcPr>
                  <w:tcW w:w="375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jc w:val="both"/>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highlight w:val="none"/>
                      <w:lang w:val="en-US" w:eastAsia="zh-CN"/>
                    </w:rPr>
                    <w:t>项目区建有一座占地面积</w:t>
                  </w:r>
                  <w:r>
                    <w:rPr>
                      <w:rFonts w:hint="default" w:ascii="Times New Roman" w:hAnsi="Times New Roman" w:eastAsia="宋体" w:cs="Times New Roman"/>
                      <w:color w:val="auto"/>
                      <w:kern w:val="0"/>
                      <w:sz w:val="21"/>
                      <w:szCs w:val="21"/>
                    </w:rPr>
                    <w:t>7424㎡</w:t>
                  </w:r>
                  <w:r>
                    <w:rPr>
                      <w:rFonts w:hint="default" w:ascii="Times New Roman" w:hAnsi="Times New Roman" w:eastAsia="宋体" w:cs="Times New Roman"/>
                      <w:color w:val="auto"/>
                      <w:kern w:val="0"/>
                      <w:sz w:val="21"/>
                      <w:szCs w:val="21"/>
                      <w:lang w:eastAsia="zh-CN"/>
                    </w:rPr>
                    <w:t>的</w:t>
                  </w:r>
                  <w:r>
                    <w:rPr>
                      <w:rFonts w:hint="default" w:ascii="Times New Roman" w:hAnsi="Times New Roman" w:eastAsia="宋体" w:cs="Times New Roman"/>
                      <w:color w:val="auto"/>
                      <w:sz w:val="21"/>
                      <w:szCs w:val="21"/>
                      <w:highlight w:val="none"/>
                      <w:lang w:val="en-GB" w:eastAsia="zh-CN"/>
                    </w:rPr>
                    <w:t>高科技农业科普展厅，</w:t>
                  </w:r>
                  <w:r>
                    <w:rPr>
                      <w:rFonts w:hint="default" w:ascii="Times New Roman" w:hAnsi="Times New Roman" w:eastAsia="宋体" w:cs="Times New Roman"/>
                      <w:color w:val="auto"/>
                      <w:kern w:val="0"/>
                      <w:sz w:val="21"/>
                      <w:szCs w:val="21"/>
                    </w:rPr>
                    <w:t>内部设置</w:t>
                  </w:r>
                </w:p>
                <w:p>
                  <w:pPr>
                    <w:keepNext w:val="0"/>
                    <w:keepLines w:val="0"/>
                    <w:pageBreakBefore w:val="0"/>
                    <w:widowControl w:val="0"/>
                    <w:kinsoku/>
                    <w:wordWrap/>
                    <w:overflowPunct/>
                    <w:topLinePunct w:val="0"/>
                    <w:autoSpaceDE/>
                    <w:autoSpaceDN/>
                    <w:bidi w:val="0"/>
                    <w:spacing w:line="312" w:lineRule="auto"/>
                    <w:jc w:val="both"/>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rPr>
                    <w:t>前台接待、星光集团展示景墙、镂空景墙、竹林、小憩坐凳、办公室、卫生间、会议室、品鉴室、研学培训（300人）、绿化。</w:t>
                  </w:r>
                </w:p>
              </w:tc>
              <w:tc>
                <w:tcPr>
                  <w:tcW w:w="43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val="en-GB" w:eastAsia="zh-CN"/>
                    </w:rPr>
                  </w:pPr>
                  <w:r>
                    <w:rPr>
                      <w:rFonts w:hint="default" w:ascii="Times New Roman" w:hAnsi="Times New Roman" w:eastAsia="宋体" w:cs="Times New Roman"/>
                      <w:color w:val="auto"/>
                      <w:sz w:val="21"/>
                      <w:szCs w:val="21"/>
                      <w:highlight w:val="none"/>
                      <w:lang w:val="en-GB" w:eastAsia="zh-CN"/>
                    </w:rPr>
                    <w:t>互动研学体验区</w:t>
                  </w:r>
                </w:p>
              </w:tc>
              <w:tc>
                <w:tcPr>
                  <w:tcW w:w="375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项目区北侧设置一处占地面积 13236 </w:t>
                  </w:r>
                  <w:r>
                    <w:rPr>
                      <w:rFonts w:hint="default" w:ascii="Times New Roman" w:hAnsi="Times New Roman" w:eastAsia="宋体" w:cs="Times New Roman"/>
                      <w:color w:val="auto"/>
                      <w:kern w:val="0"/>
                      <w:sz w:val="21"/>
                      <w:szCs w:val="21"/>
                    </w:rPr>
                    <w:t>㎡</w:t>
                  </w:r>
                  <w:r>
                    <w:rPr>
                      <w:rFonts w:hint="default" w:ascii="Times New Roman" w:hAnsi="Times New Roman" w:eastAsia="宋体" w:cs="Times New Roman"/>
                      <w:color w:val="auto"/>
                      <w:kern w:val="0"/>
                      <w:sz w:val="21"/>
                      <w:szCs w:val="21"/>
                      <w:lang w:eastAsia="zh-CN"/>
                    </w:rPr>
                    <w:t>的互动研学体验区，该区域内建设文创展牌、雕塑、游乐设施等。</w:t>
                  </w:r>
                </w:p>
              </w:tc>
              <w:tc>
                <w:tcPr>
                  <w:tcW w:w="43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val="en-GB" w:eastAsia="zh-CN"/>
                    </w:rPr>
                  </w:pPr>
                  <w:r>
                    <w:rPr>
                      <w:rFonts w:hint="default" w:ascii="Times New Roman" w:hAnsi="Times New Roman" w:eastAsia="宋体" w:cs="Times New Roman"/>
                      <w:color w:val="auto"/>
                      <w:sz w:val="21"/>
                      <w:szCs w:val="21"/>
                      <w:highlight w:val="none"/>
                      <w:lang w:val="en-GB" w:eastAsia="zh-CN"/>
                    </w:rPr>
                    <w:t>停车场</w:t>
                  </w:r>
                </w:p>
              </w:tc>
              <w:tc>
                <w:tcPr>
                  <w:tcW w:w="3751"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项目入口设置一处生态停车场，设置437个停车位</w:t>
                  </w:r>
                </w:p>
              </w:tc>
              <w:tc>
                <w:tcPr>
                  <w:tcW w:w="43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restart"/>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储运工程</w:t>
                  </w:r>
                </w:p>
              </w:tc>
              <w:tc>
                <w:tcPr>
                  <w:tcW w:w="553" w:type="pct"/>
                  <w:vMerge w:val="restar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防火和灌溉储水池</w:t>
                  </w:r>
                </w:p>
              </w:tc>
              <w:tc>
                <w:tcPr>
                  <w:tcW w:w="3751" w:type="pct"/>
                  <w:vMerge w:val="restart"/>
                  <w:noWrap w:val="0"/>
                  <w:vAlign w:val="center"/>
                </w:tcPr>
                <w:p>
                  <w:pPr>
                    <w:keepNext w:val="0"/>
                    <w:keepLines w:val="0"/>
                    <w:pageBreakBefore w:val="0"/>
                    <w:widowControl w:val="0"/>
                    <w:kinsoku/>
                    <w:wordWrap/>
                    <w:overflowPunct/>
                    <w:topLinePunct w:val="0"/>
                    <w:autoSpaceDE/>
                    <w:autoSpaceDN/>
                    <w:bidi w:val="0"/>
                    <w:spacing w:line="312"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val="en-US" w:eastAsia="zh-CN"/>
                    </w:rPr>
                    <w:t>占地面积为500㎡，用于储存消防用水和灌溉用水</w:t>
                  </w:r>
                </w:p>
              </w:tc>
              <w:tc>
                <w:tcPr>
                  <w:tcW w:w="434" w:type="pct"/>
                  <w:noWrap w:val="0"/>
                  <w:vAlign w:val="center"/>
                </w:tcPr>
                <w:p>
                  <w:pPr>
                    <w:keepNext w:val="0"/>
                    <w:keepLines w:val="0"/>
                    <w:pageBreakBefore w:val="0"/>
                    <w:widowControl w:val="0"/>
                    <w:kinsoku/>
                    <w:wordWrap/>
                    <w:overflowPunct/>
                    <w:topLinePunct w:val="0"/>
                    <w:autoSpaceDE/>
                    <w:autoSpaceDN/>
                    <w:bidi w:val="0"/>
                    <w:spacing w:line="312" w:lineRule="auto"/>
                    <w:ind w:firstLine="0" w:firstLineChars="0"/>
                    <w:jc w:val="both"/>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ind w:firstLine="420" w:firstLineChars="200"/>
                    <w:jc w:val="both"/>
                    <w:textAlignment w:val="auto"/>
                    <w:rPr>
                      <w:rFonts w:hint="default" w:ascii="Times New Roman" w:hAnsi="Times New Roman" w:eastAsia="宋体" w:cs="Times New Roman"/>
                      <w:color w:val="auto"/>
                      <w:sz w:val="21"/>
                      <w:szCs w:val="21"/>
                      <w:highlight w:val="none"/>
                    </w:rPr>
                  </w:pPr>
                </w:p>
              </w:tc>
              <w:tc>
                <w:tcPr>
                  <w:tcW w:w="553"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lang w:eastAsia="zh-CN"/>
                    </w:rPr>
                  </w:pPr>
                </w:p>
              </w:tc>
              <w:tc>
                <w:tcPr>
                  <w:tcW w:w="375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ind w:firstLine="420" w:firstLineChars="200"/>
                    <w:jc w:val="both"/>
                    <w:textAlignment w:val="auto"/>
                    <w:rPr>
                      <w:rFonts w:hint="default" w:ascii="Times New Roman" w:hAnsi="Times New Roman" w:eastAsia="宋体" w:cs="Times New Roman"/>
                      <w:color w:val="auto"/>
                      <w:sz w:val="21"/>
                      <w:szCs w:val="21"/>
                      <w:highlight w:val="none"/>
                      <w:lang w:eastAsia="zh-CN"/>
                    </w:rPr>
                  </w:pPr>
                </w:p>
              </w:tc>
              <w:tc>
                <w:tcPr>
                  <w:tcW w:w="434" w:type="pct"/>
                  <w:noWrap w:val="0"/>
                  <w:vAlign w:val="center"/>
                </w:tcPr>
                <w:p>
                  <w:pPr>
                    <w:keepNext w:val="0"/>
                    <w:keepLines w:val="0"/>
                    <w:pageBreakBefore w:val="0"/>
                    <w:widowControl w:val="0"/>
                    <w:kinsoku/>
                    <w:wordWrap/>
                    <w:overflowPunct/>
                    <w:topLinePunct w:val="0"/>
                    <w:autoSpaceDE/>
                    <w:autoSpaceDN/>
                    <w:bidi w:val="0"/>
                    <w:spacing w:line="312" w:lineRule="auto"/>
                    <w:ind w:firstLine="0" w:firstLineChars="0"/>
                    <w:jc w:val="both"/>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restart"/>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公用工程</w:t>
                  </w: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给排水</w:t>
                  </w:r>
                </w:p>
              </w:tc>
              <w:tc>
                <w:tcPr>
                  <w:tcW w:w="3751" w:type="pct"/>
                  <w:noWrap w:val="0"/>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生活用水来自阿勒腾席热镇</w:t>
                  </w:r>
                  <w:r>
                    <w:rPr>
                      <w:rFonts w:hint="default" w:ascii="Times New Roman" w:hAnsi="Times New Roman" w:eastAsia="宋体" w:cs="Times New Roman"/>
                      <w:color w:val="auto"/>
                      <w:sz w:val="21"/>
                      <w:szCs w:val="21"/>
                      <w:highlight w:val="none"/>
                      <w:lang w:val="en-GB" w:eastAsia="zh-CN"/>
                    </w:rPr>
                    <w:t>市政自来水管网供给</w:t>
                  </w:r>
                  <w:r>
                    <w:rPr>
                      <w:rFonts w:hint="default" w:ascii="Times New Roman" w:hAnsi="Times New Roman" w:eastAsia="宋体" w:cs="Times New Roman"/>
                      <w:color w:val="auto"/>
                      <w:sz w:val="21"/>
                      <w:szCs w:val="21"/>
                      <w:highlight w:val="none"/>
                      <w:lang w:val="en-US" w:eastAsia="zh-CN"/>
                    </w:rPr>
                    <w:t>、灌溉用水由来自西红海子供给</w:t>
                  </w:r>
                  <w:r>
                    <w:rPr>
                      <w:rFonts w:hint="eastAsia" w:cs="Times New Roman"/>
                      <w:color w:val="auto"/>
                      <w:sz w:val="21"/>
                      <w:szCs w:val="21"/>
                      <w:highlight w:val="none"/>
                      <w:lang w:val="en-US" w:eastAsia="zh-CN"/>
                    </w:rPr>
                    <w:t>，灌溉用水经反渗透膜净水系统处理后用于灌溉生产</w:t>
                  </w:r>
                </w:p>
              </w:tc>
              <w:tc>
                <w:tcPr>
                  <w:tcW w:w="434" w:type="pct"/>
                  <w:noWrap w:val="0"/>
                  <w:vAlign w:val="center"/>
                </w:tcPr>
                <w:p>
                  <w:pPr>
                    <w:keepNext w:val="0"/>
                    <w:keepLines w:val="0"/>
                    <w:pageBreakBefore w:val="0"/>
                    <w:widowControl w:val="0"/>
                    <w:kinsoku/>
                    <w:wordWrap/>
                    <w:overflowPunct/>
                    <w:topLinePunct w:val="0"/>
                    <w:autoSpaceDE/>
                    <w:autoSpaceDN/>
                    <w:bidi w:val="0"/>
                    <w:adjustRightInd/>
                    <w:snapToGrid/>
                    <w:spacing w:line="312" w:lineRule="auto"/>
                    <w:ind w:firstLine="0" w:firstLineChars="0"/>
                    <w:jc w:val="both"/>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依托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供电</w:t>
                  </w:r>
                </w:p>
              </w:tc>
              <w:tc>
                <w:tcPr>
                  <w:tcW w:w="3751" w:type="pct"/>
                  <w:noWrap w:val="0"/>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市政电网供电，电源引自附近变电站</w:t>
                  </w:r>
                  <w:r>
                    <w:rPr>
                      <w:rFonts w:hint="default" w:ascii="Times New Roman" w:hAnsi="Times New Roman" w:eastAsia="宋体" w:cs="Times New Roman"/>
                      <w:color w:val="auto"/>
                      <w:sz w:val="21"/>
                      <w:szCs w:val="21"/>
                      <w:highlight w:val="none"/>
                    </w:rPr>
                    <w:t>。</w:t>
                  </w:r>
                </w:p>
              </w:tc>
              <w:tc>
                <w:tcPr>
                  <w:tcW w:w="434" w:type="pct"/>
                  <w:noWrap w:val="0"/>
                  <w:vAlign w:val="center"/>
                </w:tcPr>
                <w:p>
                  <w:pPr>
                    <w:keepNext w:val="0"/>
                    <w:keepLines w:val="0"/>
                    <w:pageBreakBefore w:val="0"/>
                    <w:widowControl w:val="0"/>
                    <w:kinsoku/>
                    <w:wordWrap/>
                    <w:overflowPunct/>
                    <w:topLinePunct w:val="0"/>
                    <w:autoSpaceDE/>
                    <w:autoSpaceDN/>
                    <w:bidi w:val="0"/>
                    <w:adjustRightInd/>
                    <w:snapToGrid/>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依托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供暖</w:t>
                  </w:r>
                </w:p>
              </w:tc>
              <w:tc>
                <w:tcPr>
                  <w:tcW w:w="3751" w:type="pct"/>
                  <w:noWrap w:val="0"/>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本项目供热接自阿勒腾席热镇</w:t>
                  </w:r>
                  <w:r>
                    <w:rPr>
                      <w:rFonts w:hint="default" w:ascii="Times New Roman" w:hAnsi="Times New Roman" w:eastAsia="宋体" w:cs="Times New Roman"/>
                      <w:color w:val="auto"/>
                      <w:sz w:val="21"/>
                      <w:szCs w:val="21"/>
                      <w:highlight w:val="none"/>
                      <w:lang w:val="en-GB" w:eastAsia="zh-CN"/>
                    </w:rPr>
                    <w:t>市政</w:t>
                  </w:r>
                  <w:r>
                    <w:rPr>
                      <w:rFonts w:hint="default" w:ascii="Times New Roman" w:hAnsi="Times New Roman" w:eastAsia="宋体" w:cs="Times New Roman"/>
                      <w:color w:val="auto"/>
                      <w:sz w:val="21"/>
                      <w:szCs w:val="21"/>
                      <w:highlight w:val="none"/>
                      <w:lang w:val="en-US" w:eastAsia="zh-CN"/>
                    </w:rPr>
                    <w:t>供热管网</w:t>
                  </w:r>
                </w:p>
              </w:tc>
              <w:tc>
                <w:tcPr>
                  <w:tcW w:w="434" w:type="pct"/>
                  <w:noWrap w:val="0"/>
                  <w:vAlign w:val="center"/>
                </w:tcPr>
                <w:p>
                  <w:pPr>
                    <w:keepNext w:val="0"/>
                    <w:keepLines w:val="0"/>
                    <w:pageBreakBefore w:val="0"/>
                    <w:widowControl w:val="0"/>
                    <w:kinsoku/>
                    <w:wordWrap/>
                    <w:overflowPunct/>
                    <w:topLinePunct w:val="0"/>
                    <w:autoSpaceDE/>
                    <w:autoSpaceDN/>
                    <w:bidi w:val="0"/>
                    <w:adjustRightInd/>
                    <w:snapToGrid/>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依托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restart"/>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环保工程</w:t>
                  </w: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3751" w:type="pct"/>
                  <w:noWrap w:val="0"/>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生活污水新建容积约</w:t>
                  </w:r>
                  <w:r>
                    <w:rPr>
                      <w:rFonts w:hint="eastAsia" w:ascii="Times New Roman" w:hAnsi="Times New Roman" w:eastAsia="宋体"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lang w:val="en-US" w:eastAsia="zh-CN"/>
                    </w:rPr>
                    <w:t>m³化粪池，化粪池收集后经污水管网排入阿勒腾席热镇污水处理厂进行处置。</w:t>
                  </w:r>
                </w:p>
              </w:tc>
              <w:tc>
                <w:tcPr>
                  <w:tcW w:w="434" w:type="pct"/>
                  <w:noWrap w:val="0"/>
                  <w:vAlign w:val="center"/>
                </w:tcPr>
                <w:p>
                  <w:pPr>
                    <w:keepNext w:val="0"/>
                    <w:keepLines w:val="0"/>
                    <w:pageBreakBefore w:val="0"/>
                    <w:widowControl w:val="0"/>
                    <w:kinsoku/>
                    <w:wordWrap/>
                    <w:overflowPunct/>
                    <w:topLinePunct w:val="0"/>
                    <w:autoSpaceDE/>
                    <w:autoSpaceDN/>
                    <w:bidi w:val="0"/>
                    <w:adjustRightInd/>
                    <w:snapToGrid/>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12" w:lineRule="auto"/>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固废</w:t>
                  </w:r>
                </w:p>
              </w:tc>
              <w:tc>
                <w:tcPr>
                  <w:tcW w:w="3751" w:type="pct"/>
                  <w:noWrap w:val="0"/>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设置垃圾桶，生活垃圾、分拣废物、废弃农膜统一收集后交环卫部门处理。</w:t>
                  </w:r>
                  <w:r>
                    <w:rPr>
                      <w:rFonts w:hint="eastAsia" w:cs="Times New Roman"/>
                      <w:color w:val="auto"/>
                      <w:sz w:val="21"/>
                      <w:szCs w:val="21"/>
                      <w:highlight w:val="none"/>
                      <w:lang w:val="en-US" w:eastAsia="zh-CN"/>
                    </w:rPr>
                    <w:t>废滤膜由厂家回收。</w:t>
                  </w:r>
                  <w:r>
                    <w:rPr>
                      <w:rFonts w:hint="default" w:ascii="Times New Roman" w:hAnsi="Times New Roman" w:eastAsia="宋体" w:cs="Times New Roman"/>
                      <w:color w:val="auto"/>
                      <w:sz w:val="21"/>
                      <w:szCs w:val="21"/>
                      <w:highlight w:val="none"/>
                      <w:lang w:val="en-US" w:eastAsia="zh-CN"/>
                    </w:rPr>
                    <w:t>有机肥包装袋</w:t>
                  </w:r>
                  <w:r>
                    <w:rPr>
                      <w:rFonts w:hint="eastAsia" w:cs="Times New Roman"/>
                      <w:color w:val="auto"/>
                      <w:sz w:val="21"/>
                      <w:szCs w:val="21"/>
                      <w:highlight w:val="none"/>
                      <w:lang w:val="en-US" w:eastAsia="zh-CN"/>
                    </w:rPr>
                    <w:t>由厂家全部回收利用。</w:t>
                  </w:r>
                </w:p>
              </w:tc>
              <w:tc>
                <w:tcPr>
                  <w:tcW w:w="434" w:type="pct"/>
                  <w:noWrap w:val="0"/>
                  <w:vAlign w:val="center"/>
                </w:tcPr>
                <w:p>
                  <w:pPr>
                    <w:keepNext w:val="0"/>
                    <w:keepLines w:val="0"/>
                    <w:pageBreakBefore w:val="0"/>
                    <w:widowControl w:val="0"/>
                    <w:kinsoku/>
                    <w:wordWrap/>
                    <w:overflowPunct/>
                    <w:topLinePunct w:val="0"/>
                    <w:autoSpaceDE/>
                    <w:autoSpaceDN/>
                    <w:bidi w:val="0"/>
                    <w:adjustRightInd/>
                    <w:snapToGrid/>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61" w:type="pct"/>
                  <w:vMerge w:val="continue"/>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p>
              </w:tc>
              <w:tc>
                <w:tcPr>
                  <w:tcW w:w="553" w:type="pct"/>
                  <w:noWrap w:val="0"/>
                  <w:vAlign w:val="center"/>
                </w:tcPr>
                <w:p>
                  <w:pPr>
                    <w:keepNext w:val="0"/>
                    <w:keepLines w:val="0"/>
                    <w:pageBreakBefore w:val="0"/>
                    <w:widowControl w:val="0"/>
                    <w:kinsoku/>
                    <w:wordWrap/>
                    <w:overflowPunct/>
                    <w:topLinePunct w:val="0"/>
                    <w:autoSpaceDE/>
                    <w:autoSpaceDN/>
                    <w:bidi w:val="0"/>
                    <w:spacing w:line="312" w:lineRule="auto"/>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3751" w:type="pct"/>
                  <w:noWrap w:val="0"/>
                  <w:vAlign w:val="center"/>
                </w:tcPr>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合理布局，选用底噪设备，基础减振，隔声。</w:t>
                  </w:r>
                </w:p>
              </w:tc>
              <w:tc>
                <w:tcPr>
                  <w:tcW w:w="434" w:type="pct"/>
                  <w:noWrap w:val="0"/>
                  <w:vAlign w:val="center"/>
                </w:tcPr>
                <w:p>
                  <w:pPr>
                    <w:keepNext w:val="0"/>
                    <w:keepLines w:val="0"/>
                    <w:pageBreakBefore w:val="0"/>
                    <w:widowControl w:val="0"/>
                    <w:kinsoku/>
                    <w:wordWrap/>
                    <w:overflowPunct/>
                    <w:topLinePunct w:val="0"/>
                    <w:autoSpaceDE/>
                    <w:autoSpaceDN/>
                    <w:bidi w:val="0"/>
                    <w:adjustRightInd/>
                    <w:snapToGrid/>
                    <w:spacing w:line="312" w:lineRule="auto"/>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新建</w:t>
                  </w:r>
                </w:p>
              </w:tc>
            </w:tr>
          </w:tbl>
          <w:p>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3、产品方案</w:t>
            </w:r>
          </w:p>
          <w:p>
            <w:pPr>
              <w:pStyle w:val="7"/>
              <w:keepNext/>
              <w:keepLines/>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本项目主要产品方案见下表</w:t>
            </w:r>
          </w:p>
          <w:p>
            <w:pPr>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表2-3</w:t>
            </w:r>
            <w:r>
              <w:rPr>
                <w:rFonts w:hint="eastAsia"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 xml:space="preserve"> 项目</w:t>
            </w:r>
            <w:r>
              <w:rPr>
                <w:rFonts w:hint="eastAsia" w:cs="Times New Roman"/>
                <w:color w:val="auto"/>
                <w:sz w:val="24"/>
                <w:szCs w:val="24"/>
                <w:highlight w:val="none"/>
                <w:lang w:val="en-US" w:eastAsia="zh-CN"/>
              </w:rPr>
              <w:t>主要</w:t>
            </w:r>
            <w:r>
              <w:rPr>
                <w:rFonts w:hint="default" w:ascii="Times New Roman" w:hAnsi="Times New Roman" w:eastAsia="宋体" w:cs="Times New Roman"/>
                <w:color w:val="auto"/>
                <w:sz w:val="24"/>
                <w:szCs w:val="24"/>
                <w:highlight w:val="none"/>
                <w:lang w:val="en-US" w:eastAsia="zh-CN"/>
              </w:rPr>
              <w:t>产品方案一览表</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1367"/>
              <w:gridCol w:w="946"/>
              <w:gridCol w:w="946"/>
              <w:gridCol w:w="3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49" w:type="pct"/>
                  <w:noWrap w:val="0"/>
                  <w:vAlign w:val="center"/>
                </w:tcPr>
                <w:p>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序号</w:t>
                  </w:r>
                </w:p>
              </w:tc>
              <w:tc>
                <w:tcPr>
                  <w:tcW w:w="872" w:type="pct"/>
                  <w:noWrap w:val="0"/>
                  <w:vAlign w:val="center"/>
                </w:tcPr>
                <w:p>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产品</w:t>
                  </w:r>
                </w:p>
              </w:tc>
              <w:tc>
                <w:tcPr>
                  <w:tcW w:w="603" w:type="pct"/>
                  <w:noWrap w:val="0"/>
                  <w:vAlign w:val="center"/>
                </w:tcPr>
                <w:p>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单位</w:t>
                  </w:r>
                </w:p>
              </w:tc>
              <w:tc>
                <w:tcPr>
                  <w:tcW w:w="603" w:type="pct"/>
                  <w:noWrap w:val="0"/>
                  <w:vAlign w:val="center"/>
                </w:tcPr>
                <w:p>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数量</w:t>
                  </w:r>
                </w:p>
              </w:tc>
              <w:tc>
                <w:tcPr>
                  <w:tcW w:w="2371" w:type="pct"/>
                  <w:noWrap w:val="0"/>
                  <w:vAlign w:val="center"/>
                </w:tcPr>
                <w:p>
                  <w:pPr>
                    <w:jc w:val="center"/>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49" w:type="pct"/>
                  <w:noWrap w:val="0"/>
                  <w:vAlign w:val="center"/>
                </w:tcPr>
                <w:p>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872" w:type="pct"/>
                  <w:noWrap w:val="0"/>
                  <w:vAlign w:val="center"/>
                </w:tcPr>
                <w:p>
                  <w:pPr>
                    <w:pStyle w:val="41"/>
                    <w:bidi w:val="0"/>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color w:val="auto"/>
                      <w:kern w:val="0"/>
                      <w:sz w:val="21"/>
                      <w:szCs w:val="21"/>
                      <w:highlight w:val="none"/>
                      <w:vertAlign w:val="baseline"/>
                      <w:lang w:val="en-US" w:eastAsia="zh-CN"/>
                    </w:rPr>
                    <w:t>绿色蔬菜</w:t>
                  </w:r>
                </w:p>
              </w:tc>
              <w:tc>
                <w:tcPr>
                  <w:tcW w:w="603" w:type="pct"/>
                  <w:noWrap w:val="0"/>
                  <w:vAlign w:val="center"/>
                </w:tcPr>
                <w:p>
                  <w:pPr>
                    <w:pStyle w:val="41"/>
                    <w:bidi w:val="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吨</w:t>
                  </w:r>
                </w:p>
              </w:tc>
              <w:tc>
                <w:tcPr>
                  <w:tcW w:w="603" w:type="pct"/>
                  <w:noWrap w:val="0"/>
                  <w:vAlign w:val="center"/>
                </w:tcPr>
                <w:p>
                  <w:pPr>
                    <w:pStyle w:val="41"/>
                    <w:bidi w:val="0"/>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cs="Times New Roman"/>
                      <w:color w:val="auto"/>
                      <w:kern w:val="0"/>
                      <w:sz w:val="21"/>
                      <w:szCs w:val="21"/>
                      <w:highlight w:val="none"/>
                      <w:vertAlign w:val="baseline"/>
                      <w:lang w:val="en-US" w:eastAsia="zh-CN"/>
                    </w:rPr>
                    <w:t>500</w:t>
                  </w:r>
                </w:p>
              </w:tc>
              <w:tc>
                <w:tcPr>
                  <w:tcW w:w="2371" w:type="pct"/>
                  <w:noWrap w:val="0"/>
                  <w:vAlign w:val="center"/>
                </w:tcPr>
                <w:p>
                  <w:pPr>
                    <w:pStyle w:val="41"/>
                    <w:bidi w:val="0"/>
                    <w:ind w:firstLine="0" w:firstLineChars="0"/>
                    <w:jc w:val="both"/>
                    <w:rPr>
                      <w:rFonts w:hint="eastAsia" w:ascii="Times New Roman" w:hAnsi="Times New Roman" w:eastAsia="宋体" w:cs="Times New Roman"/>
                      <w:color w:val="auto"/>
                      <w:kern w:val="0"/>
                      <w:sz w:val="21"/>
                      <w:szCs w:val="21"/>
                      <w:highlight w:val="none"/>
                      <w:vertAlign w:val="baseline"/>
                      <w:lang w:val="en-US" w:eastAsia="zh-CN"/>
                    </w:rPr>
                  </w:pPr>
                  <w:r>
                    <w:rPr>
                      <w:rFonts w:hint="eastAsia" w:hAnsi="宋体" w:cs="宋体"/>
                      <w:color w:val="auto"/>
                      <w:sz w:val="21"/>
                      <w:szCs w:val="21"/>
                      <w:lang w:val="en-US" w:eastAsia="zh-CN"/>
                    </w:rPr>
                    <w:t>芹菜、菠菜、油菜、小白菜、</w:t>
                  </w:r>
                  <w:r>
                    <w:rPr>
                      <w:rFonts w:hint="eastAsia" w:ascii="宋体" w:hAnsi="宋体" w:eastAsia="宋体" w:cs="宋体"/>
                      <w:color w:val="auto"/>
                      <w:sz w:val="21"/>
                      <w:szCs w:val="21"/>
                      <w:lang w:val="en-US" w:eastAsia="zh-CN"/>
                    </w:rPr>
                    <w:t>甜菜、根达菜、生菜、油麦菜、乌塌菜、苦苣、</w:t>
                  </w:r>
                  <w:r>
                    <w:rPr>
                      <w:rFonts w:hint="eastAsia" w:ascii="宋体" w:hAnsi="宋体" w:eastAsia="宋体" w:cs="宋体"/>
                      <w:color w:val="auto"/>
                      <w:sz w:val="21"/>
                      <w:szCs w:val="21"/>
                    </w:rPr>
                    <w:t>紫背天葵</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香芹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银叶菊、花生、遍地黄金、菊花菜、</w:t>
                  </w:r>
                  <w:r>
                    <w:rPr>
                      <w:rFonts w:hint="eastAsia" w:ascii="宋体" w:hAnsi="宋体" w:eastAsia="宋体" w:cs="宋体"/>
                      <w:color w:val="auto"/>
                      <w:sz w:val="21"/>
                      <w:szCs w:val="21"/>
                    </w:rPr>
                    <w:t>羽衣甘蓝</w:t>
                  </w:r>
                  <w:r>
                    <w:rPr>
                      <w:rFonts w:hint="eastAsia" w:ascii="宋体" w:hAnsi="宋体" w:eastAsia="宋体" w:cs="宋体"/>
                      <w:color w:val="auto"/>
                      <w:sz w:val="21"/>
                      <w:szCs w:val="21"/>
                      <w:lang w:eastAsia="zh-CN"/>
                    </w:rPr>
                    <w:t>、长茄、花茄、</w:t>
                  </w:r>
                  <w:r>
                    <w:rPr>
                      <w:rFonts w:hint="eastAsia" w:ascii="宋体" w:hAnsi="宋体" w:eastAsia="宋体" w:cs="宋体"/>
                      <w:color w:val="auto"/>
                      <w:sz w:val="21"/>
                      <w:szCs w:val="21"/>
                      <w:lang w:val="en-US" w:eastAsia="zh-CN"/>
                    </w:rPr>
                    <w:t>绿茄、鸡蛋茄、五指茄、观赏辣椒、观赏番茄</w:t>
                  </w:r>
                  <w:r>
                    <w:rPr>
                      <w:rFonts w:hint="eastAsia" w:hAnsi="宋体" w:cs="宋体"/>
                      <w:color w:val="auto"/>
                      <w:sz w:val="21"/>
                      <w:szCs w:val="21"/>
                      <w:lang w:val="en-US" w:eastAsia="zh-CN"/>
                    </w:rPr>
                    <w:t>、</w:t>
                  </w:r>
                  <w:r>
                    <w:rPr>
                      <w:rFonts w:hint="eastAsia" w:ascii="宋体" w:hAnsi="宋体" w:eastAsia="宋体" w:cs="宋体"/>
                      <w:color w:val="auto"/>
                      <w:sz w:val="21"/>
                      <w:szCs w:val="21"/>
                      <w:lang w:val="en-US" w:eastAsia="zh-CN"/>
                    </w:rPr>
                    <w:t>红栗南瓜、</w:t>
                  </w:r>
                  <w:r>
                    <w:rPr>
                      <w:rFonts w:hint="eastAsia" w:ascii="宋体" w:hAnsi="宋体" w:eastAsia="宋体" w:cs="宋体"/>
                      <w:color w:val="auto"/>
                      <w:sz w:val="21"/>
                      <w:szCs w:val="21"/>
                      <w:lang w:eastAsia="zh-CN"/>
                    </w:rPr>
                    <w:t>麦克风南瓜、玩偶南瓜、天鹅葫芦、</w:t>
                  </w:r>
                  <w:r>
                    <w:rPr>
                      <w:rFonts w:hint="eastAsia" w:ascii="宋体" w:hAnsi="宋体" w:eastAsia="宋体" w:cs="宋体"/>
                      <w:color w:val="auto"/>
                      <w:sz w:val="21"/>
                      <w:szCs w:val="21"/>
                      <w:lang w:val="en-US" w:eastAsia="zh-CN"/>
                    </w:rPr>
                    <w:t>鹤首南瓜等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49" w:type="pct"/>
                  <w:noWrap w:val="0"/>
                  <w:vAlign w:val="center"/>
                </w:tcPr>
                <w:p>
                  <w:pPr>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w:t>
                  </w:r>
                </w:p>
              </w:tc>
              <w:tc>
                <w:tcPr>
                  <w:tcW w:w="872" w:type="pct"/>
                  <w:noWrap w:val="0"/>
                  <w:vAlign w:val="center"/>
                </w:tcPr>
                <w:p>
                  <w:pPr>
                    <w:pStyle w:val="41"/>
                    <w:bidi w:val="0"/>
                    <w:ind w:firstLine="0" w:firstLineChars="0"/>
                    <w:jc w:val="center"/>
                    <w:rPr>
                      <w:rFonts w:hint="eastAsia" w:hAnsi="宋体" w:eastAsia="宋体" w:cs="宋体"/>
                      <w:color w:val="auto"/>
                      <w:kern w:val="0"/>
                      <w:sz w:val="21"/>
                      <w:szCs w:val="21"/>
                      <w:highlight w:val="none"/>
                      <w:lang w:val="en-US" w:eastAsia="zh-CN" w:bidi="ar-SA"/>
                    </w:rPr>
                  </w:pPr>
                  <w:r>
                    <w:rPr>
                      <w:rFonts w:hint="eastAsia" w:hAnsi="宋体" w:eastAsia="宋体" w:cs="宋体"/>
                      <w:color w:val="auto"/>
                      <w:kern w:val="0"/>
                      <w:sz w:val="21"/>
                      <w:szCs w:val="21"/>
                      <w:highlight w:val="none"/>
                      <w:lang w:val="en-US" w:eastAsia="zh-CN" w:bidi="ar-SA"/>
                    </w:rPr>
                    <w:t>绿色水果</w:t>
                  </w:r>
                </w:p>
              </w:tc>
              <w:tc>
                <w:tcPr>
                  <w:tcW w:w="603" w:type="pct"/>
                  <w:noWrap w:val="0"/>
                  <w:vAlign w:val="center"/>
                </w:tcPr>
                <w:p>
                  <w:pPr>
                    <w:pStyle w:val="41"/>
                    <w:bidi w:val="0"/>
                    <w:ind w:firstLine="0" w:firstLineChars="0"/>
                    <w:jc w:val="center"/>
                    <w:rPr>
                      <w:rFonts w:hint="eastAsia" w:hAnsi="宋体" w:eastAsia="宋体" w:cs="宋体"/>
                      <w:color w:val="auto"/>
                      <w:kern w:val="0"/>
                      <w:sz w:val="21"/>
                      <w:szCs w:val="21"/>
                      <w:highlight w:val="none"/>
                      <w:lang w:val="en-US" w:eastAsia="zh-CN" w:bidi="ar-SA"/>
                    </w:rPr>
                  </w:pPr>
                  <w:r>
                    <w:rPr>
                      <w:rFonts w:hint="eastAsia" w:hAnsi="宋体" w:eastAsia="宋体" w:cs="宋体"/>
                      <w:color w:val="auto"/>
                      <w:kern w:val="0"/>
                      <w:sz w:val="21"/>
                      <w:szCs w:val="21"/>
                      <w:highlight w:val="none"/>
                      <w:lang w:val="en-US" w:eastAsia="zh-CN" w:bidi="ar-SA"/>
                    </w:rPr>
                    <w:t>吨</w:t>
                  </w:r>
                </w:p>
              </w:tc>
              <w:tc>
                <w:tcPr>
                  <w:tcW w:w="603" w:type="pct"/>
                  <w:noWrap w:val="0"/>
                  <w:vAlign w:val="center"/>
                </w:tcPr>
                <w:p>
                  <w:pPr>
                    <w:pStyle w:val="41"/>
                    <w:bidi w:val="0"/>
                    <w:ind w:firstLine="0" w:firstLineChars="0"/>
                    <w:jc w:val="center"/>
                    <w:rPr>
                      <w:rFonts w:hint="default" w:hAnsi="宋体" w:eastAsia="宋体" w:cs="宋体"/>
                      <w:color w:val="auto"/>
                      <w:kern w:val="0"/>
                      <w:sz w:val="21"/>
                      <w:szCs w:val="21"/>
                      <w:highlight w:val="none"/>
                      <w:lang w:val="en-US" w:eastAsia="zh-CN" w:bidi="ar-SA"/>
                    </w:rPr>
                  </w:pPr>
                  <w:r>
                    <w:rPr>
                      <w:rFonts w:hint="eastAsia" w:hAnsi="宋体" w:eastAsia="宋体" w:cs="宋体"/>
                      <w:color w:val="auto"/>
                      <w:kern w:val="0"/>
                      <w:sz w:val="21"/>
                      <w:szCs w:val="21"/>
                      <w:highlight w:val="none"/>
                      <w:lang w:val="en-US" w:eastAsia="zh-CN" w:bidi="ar-SA"/>
                    </w:rPr>
                    <w:t>200</w:t>
                  </w:r>
                </w:p>
              </w:tc>
              <w:tc>
                <w:tcPr>
                  <w:tcW w:w="2371" w:type="pct"/>
                  <w:noWrap w:val="0"/>
                  <w:vAlign w:val="center"/>
                </w:tcPr>
                <w:p>
                  <w:pPr>
                    <w:pStyle w:val="41"/>
                    <w:bidi w:val="0"/>
                    <w:ind w:firstLine="0" w:firstLineChars="0"/>
                    <w:jc w:val="center"/>
                    <w:rPr>
                      <w:rFonts w:hint="default" w:hAnsi="宋体" w:eastAsia="宋体" w:cs="宋体"/>
                      <w:color w:val="auto"/>
                      <w:kern w:val="0"/>
                      <w:sz w:val="21"/>
                      <w:szCs w:val="21"/>
                      <w:highlight w:val="none"/>
                      <w:lang w:val="en-US" w:eastAsia="zh-CN" w:bidi="ar-SA"/>
                    </w:rPr>
                  </w:pPr>
                  <w:r>
                    <w:rPr>
                      <w:rFonts w:hint="eastAsia" w:hAnsi="宋体" w:eastAsia="宋体" w:cs="宋体"/>
                      <w:color w:val="auto"/>
                      <w:kern w:val="0"/>
                      <w:sz w:val="21"/>
                      <w:szCs w:val="21"/>
                      <w:highlight w:val="none"/>
                      <w:lang w:val="en-US" w:eastAsia="zh-CN" w:bidi="ar-SA"/>
                    </w:rPr>
                    <w:t>橘子、橙子、香蕉、木瓜、枇杷、火龙果等</w:t>
                  </w:r>
                  <w:r>
                    <w:rPr>
                      <w:rFonts w:hint="eastAsia"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lang w:val="en-US" w:eastAsia="zh-CN"/>
                    </w:rPr>
                    <w:t>沙果、苹果、蓝莓、秋子梨、哈密瓜、西瓜、胡萝卜、土豆、洋葱、圆白菜等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49" w:type="pct"/>
                  <w:noWrap w:val="0"/>
                  <w:vAlign w:val="center"/>
                </w:tcPr>
                <w:p>
                  <w:pPr>
                    <w:jc w:val="cente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w:t>
                  </w:r>
                </w:p>
              </w:tc>
              <w:tc>
                <w:tcPr>
                  <w:tcW w:w="872" w:type="pct"/>
                  <w:noWrap w:val="0"/>
                  <w:vAlign w:val="center"/>
                </w:tcPr>
                <w:p>
                  <w:pPr>
                    <w:pStyle w:val="41"/>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hAnsi="宋体" w:eastAsia="宋体" w:cs="宋体"/>
                      <w:color w:val="auto"/>
                      <w:kern w:val="0"/>
                      <w:sz w:val="21"/>
                      <w:szCs w:val="21"/>
                      <w:highlight w:val="none"/>
                      <w:vertAlign w:val="baseline"/>
                      <w:lang w:val="en-US" w:eastAsia="zh-CN"/>
                    </w:rPr>
                    <w:t>西红柿</w:t>
                  </w:r>
                </w:p>
              </w:tc>
              <w:tc>
                <w:tcPr>
                  <w:tcW w:w="603" w:type="pct"/>
                  <w:noWrap w:val="0"/>
                  <w:vAlign w:val="center"/>
                </w:tcPr>
                <w:p>
                  <w:pPr>
                    <w:pStyle w:val="41"/>
                    <w:bidi w:val="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cs="Times New Roman"/>
                      <w:color w:val="auto"/>
                      <w:kern w:val="0"/>
                      <w:sz w:val="21"/>
                      <w:szCs w:val="21"/>
                      <w:highlight w:val="none"/>
                      <w:lang w:val="en-US" w:eastAsia="zh-CN" w:bidi="ar-SA"/>
                    </w:rPr>
                    <w:t>吨</w:t>
                  </w:r>
                </w:p>
              </w:tc>
              <w:tc>
                <w:tcPr>
                  <w:tcW w:w="603" w:type="pct"/>
                  <w:noWrap w:val="0"/>
                  <w:vAlign w:val="center"/>
                </w:tcPr>
                <w:p>
                  <w:pPr>
                    <w:pStyle w:val="41"/>
                    <w:bidi w:val="0"/>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hAnsi="宋体" w:cs="宋体"/>
                      <w:color w:val="auto"/>
                      <w:kern w:val="0"/>
                      <w:sz w:val="21"/>
                      <w:szCs w:val="21"/>
                      <w:highlight w:val="none"/>
                      <w:lang w:val="en-US" w:eastAsia="zh-CN" w:bidi="ar-SA"/>
                    </w:rPr>
                    <w:t>60</w:t>
                  </w:r>
                </w:p>
              </w:tc>
              <w:tc>
                <w:tcPr>
                  <w:tcW w:w="2371" w:type="pct"/>
                  <w:noWrap w:val="0"/>
                  <w:vAlign w:val="center"/>
                </w:tcPr>
                <w:p>
                  <w:pPr>
                    <w:pStyle w:val="41"/>
                    <w:bidi w:val="0"/>
                    <w:ind w:firstLine="0" w:firstLineChars="0"/>
                    <w:jc w:val="both"/>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宋体" w:hAnsi="宋体" w:eastAsia="宋体" w:cs="宋体"/>
                      <w:color w:val="auto"/>
                      <w:kern w:val="0"/>
                      <w:sz w:val="21"/>
                      <w:szCs w:val="21"/>
                      <w:highlight w:val="none"/>
                      <w:vertAlign w:val="baseline"/>
                      <w:lang w:val="en-US" w:eastAsia="zh-CN"/>
                    </w:rPr>
                    <w:t>荷兰模式展示馆种植面积10亩地，西红柿一年种植2茬。</w:t>
                  </w:r>
                </w:p>
              </w:tc>
            </w:tr>
          </w:tbl>
          <w:p>
            <w:pPr>
              <w:adjustRightInd w:val="0"/>
              <w:snapToGrid w:val="0"/>
              <w:spacing w:line="360" w:lineRule="auto"/>
              <w:rPr>
                <w:rFonts w:hint="eastAsia"/>
                <w:color w:val="auto"/>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4、原辅材料消耗情况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本项目生产过程使用的主要原料为</w:t>
            </w:r>
            <w:r>
              <w:rPr>
                <w:rFonts w:hint="default" w:ascii="Times New Roman" w:hAnsi="Times New Roman" w:eastAsia="宋体" w:cs="Times New Roman"/>
                <w:color w:val="auto"/>
                <w:sz w:val="24"/>
                <w:szCs w:val="24"/>
                <w:highlight w:val="none"/>
                <w:lang w:val="en-US" w:eastAsia="zh-CN"/>
              </w:rPr>
              <w:t>肥料、种子</w:t>
            </w:r>
            <w:r>
              <w:rPr>
                <w:rFonts w:hint="eastAsia" w:ascii="Times New Roman" w:hAnsi="Times New Roman" w:eastAsia="宋体" w:cs="Times New Roman"/>
                <w:color w:val="auto"/>
                <w:sz w:val="24"/>
                <w:szCs w:val="24"/>
                <w:highlight w:val="none"/>
                <w:lang w:val="en-US" w:eastAsia="zh-CN"/>
              </w:rPr>
              <w:t>等</w:t>
            </w:r>
            <w:r>
              <w:rPr>
                <w:rFonts w:hint="default" w:ascii="Times New Roman" w:hAnsi="Times New Roman" w:eastAsia="宋体" w:cs="Times New Roman"/>
                <w:color w:val="auto"/>
                <w:sz w:val="24"/>
                <w:szCs w:val="24"/>
                <w:highlight w:val="none"/>
                <w:lang w:val="en-US" w:eastAsia="zh-CN"/>
              </w:rPr>
              <w:t>。所需原料见下表。</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 xml:space="preserve">表2-4 </w:t>
            </w:r>
            <w:r>
              <w:rPr>
                <w:rFonts w:hint="eastAsia"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项目原材料消耗表</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9"/>
              <w:gridCol w:w="1712"/>
              <w:gridCol w:w="886"/>
              <w:gridCol w:w="743"/>
              <w:gridCol w:w="1044"/>
              <w:gridCol w:w="2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736" w:type="pct"/>
                  <w:gridSpan w:val="2"/>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名称</w:t>
                  </w:r>
                </w:p>
              </w:tc>
              <w:tc>
                <w:tcPr>
                  <w:tcW w:w="565"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年用量</w:t>
                  </w:r>
                </w:p>
              </w:tc>
              <w:tc>
                <w:tcPr>
                  <w:tcW w:w="474"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单位</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来源</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736" w:type="pct"/>
                  <w:gridSpan w:val="2"/>
                  <w:noWrap w:val="0"/>
                  <w:vAlign w:val="center"/>
                </w:tcPr>
                <w:p>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default" w:ascii="Times New Roman" w:hAnsi="Times New Roman" w:eastAsia="宋体" w:cs="Times New Roman"/>
                      <w:color w:val="auto"/>
                      <w:sz w:val="21"/>
                      <w:szCs w:val="21"/>
                      <w:highlight w:val="yellow"/>
                      <w:lang w:val="en-US" w:eastAsia="zh-CN"/>
                    </w:rPr>
                  </w:pPr>
                  <w:r>
                    <w:rPr>
                      <w:rFonts w:hint="eastAsia" w:ascii="Times New Roman" w:hAnsi="Times New Roman" w:eastAsia="宋体" w:cs="Times New Roman"/>
                      <w:color w:val="auto"/>
                      <w:sz w:val="21"/>
                      <w:szCs w:val="21"/>
                      <w:highlight w:val="none"/>
                      <w:lang w:val="en-US" w:eastAsia="zh-CN"/>
                    </w:rPr>
                    <w:t>有机肥</w:t>
                  </w:r>
                </w:p>
              </w:tc>
              <w:tc>
                <w:tcPr>
                  <w:tcW w:w="565" w:type="pct"/>
                  <w:noWrap w:val="0"/>
                  <w:vAlign w:val="center"/>
                </w:tcPr>
                <w:p>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default" w:ascii="Times New Roman" w:hAnsi="Times New Roman" w:eastAsia="宋体" w:cs="Times New Roman"/>
                      <w:color w:val="auto"/>
                      <w:sz w:val="21"/>
                      <w:szCs w:val="21"/>
                      <w:highlight w:val="yellow"/>
                      <w:lang w:val="en-US" w:eastAsia="zh-CN"/>
                    </w:rPr>
                  </w:pPr>
                  <w:r>
                    <w:rPr>
                      <w:rFonts w:hint="eastAsia" w:ascii="宋体" w:hAnsi="宋体" w:eastAsia="宋体" w:cs="宋体"/>
                      <w:color w:val="auto"/>
                      <w:sz w:val="21"/>
                      <w:szCs w:val="21"/>
                      <w:highlight w:val="none"/>
                      <w:lang w:val="en-US" w:eastAsia="zh-CN"/>
                    </w:rPr>
                    <w:t>64</w:t>
                  </w:r>
                </w:p>
              </w:tc>
              <w:tc>
                <w:tcPr>
                  <w:tcW w:w="474" w:type="pct"/>
                  <w:noWrap w:val="0"/>
                  <w:vAlign w:val="center"/>
                </w:tcPr>
                <w:p>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吨</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外购</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color w:val="auto"/>
                      <w:sz w:val="21"/>
                      <w:szCs w:val="21"/>
                      <w:highlight w:val="none"/>
                      <w:lang w:val="en-US" w:eastAsia="zh-CN"/>
                    </w:rPr>
                    <w:t>温室内地面种植总面积约32亩，一年种植2茬；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736" w:type="pct"/>
                  <w:gridSpan w:val="2"/>
                  <w:noWrap w:val="0"/>
                  <w:vAlign w:val="center"/>
                </w:tcPr>
                <w:p>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default" w:ascii="Times New Roman" w:hAnsi="Times New Roman" w:eastAsia="宋体" w:cs="Times New Roman"/>
                      <w:color w:val="auto"/>
                      <w:sz w:val="21"/>
                      <w:szCs w:val="21"/>
                      <w:highlight w:val="yellow"/>
                      <w:lang w:val="en-US" w:eastAsia="zh-CN"/>
                    </w:rPr>
                  </w:pPr>
                  <w:r>
                    <w:rPr>
                      <w:rFonts w:hint="eastAsia" w:ascii="Times New Roman" w:hAnsi="Times New Roman" w:eastAsia="宋体" w:cs="Times New Roman"/>
                      <w:color w:val="auto"/>
                      <w:sz w:val="21"/>
                      <w:szCs w:val="21"/>
                      <w:highlight w:val="none"/>
                      <w:lang w:val="en-US" w:eastAsia="zh-CN"/>
                    </w:rPr>
                    <w:t>水溶肥、营养液</w:t>
                  </w:r>
                </w:p>
              </w:tc>
              <w:tc>
                <w:tcPr>
                  <w:tcW w:w="565" w:type="pct"/>
                  <w:noWrap w:val="0"/>
                  <w:vAlign w:val="center"/>
                </w:tcPr>
                <w:p>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default" w:ascii="Times New Roman" w:hAnsi="Times New Roman" w:eastAsia="宋体" w:cs="Times New Roman"/>
                      <w:color w:val="auto"/>
                      <w:sz w:val="21"/>
                      <w:szCs w:val="21"/>
                      <w:highlight w:val="yellow"/>
                      <w:lang w:val="en-US" w:eastAsia="zh-CN"/>
                    </w:rPr>
                  </w:pPr>
                  <w:r>
                    <w:rPr>
                      <w:rFonts w:hint="eastAsia" w:ascii="宋体" w:hAnsi="宋体" w:eastAsia="宋体" w:cs="宋体"/>
                      <w:color w:val="auto"/>
                      <w:sz w:val="21"/>
                      <w:szCs w:val="21"/>
                      <w:highlight w:val="none"/>
                      <w:lang w:val="en-US" w:eastAsia="zh-CN"/>
                    </w:rPr>
                    <w:t>36</w:t>
                  </w:r>
                </w:p>
              </w:tc>
              <w:tc>
                <w:tcPr>
                  <w:tcW w:w="474" w:type="pct"/>
                  <w:noWrap w:val="0"/>
                  <w:vAlign w:val="center"/>
                </w:tcPr>
                <w:p>
                  <w:pPr>
                    <w:keepNext w:val="0"/>
                    <w:keepLines w:val="0"/>
                    <w:pageBreakBefore w:val="0"/>
                    <w:widowControl/>
                    <w:suppressLineNumbers w:val="0"/>
                    <w:kinsoku/>
                    <w:wordWrap/>
                    <w:overflowPunct/>
                    <w:topLinePunct w:val="0"/>
                    <w:autoSpaceDE/>
                    <w:autoSpaceDN/>
                    <w:bidi w:val="0"/>
                    <w:spacing w:line="360" w:lineRule="auto"/>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吨</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水溶肥</w:t>
                  </w:r>
                  <w:r>
                    <w:rPr>
                      <w:rFonts w:hint="default" w:ascii="Times New Roman" w:hAnsi="Times New Roman" w:eastAsia="宋体" w:cs="Times New Roman"/>
                      <w:color w:val="auto"/>
                      <w:sz w:val="21"/>
                      <w:szCs w:val="21"/>
                      <w:highlight w:val="none"/>
                      <w:lang w:val="en-US" w:eastAsia="zh-CN"/>
                    </w:rPr>
                    <w:t>外购</w:t>
                  </w:r>
                  <w:r>
                    <w:rPr>
                      <w:rFonts w:hint="eastAsia" w:ascii="Times New Roman" w:hAnsi="Times New Roman" w:eastAsia="宋体" w:cs="Times New Roman"/>
                      <w:color w:val="auto"/>
                      <w:sz w:val="21"/>
                      <w:szCs w:val="21"/>
                      <w:highlight w:val="none"/>
                      <w:lang w:val="en-US" w:eastAsia="zh-CN"/>
                    </w:rPr>
                    <w:t>，营养液配方施肥</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1、栽培模式展示馆各种模式叶菜类一年种植4茬；</w:t>
                  </w:r>
                </w:p>
                <w:p>
                  <w:pPr>
                    <w:pStyle w:val="3"/>
                    <w:spacing w:line="360" w:lineRule="auto"/>
                    <w:ind w:left="0" w:leftChars="0" w:firstLine="0" w:firstLineChars="0"/>
                    <w:rPr>
                      <w:rFonts w:hint="default"/>
                      <w:color w:val="auto"/>
                      <w:lang w:val="en-US" w:eastAsia="zh-CN"/>
                    </w:rPr>
                  </w:pPr>
                  <w:r>
                    <w:rPr>
                      <w:rFonts w:hint="eastAsia" w:ascii="宋体" w:hAnsi="宋体" w:eastAsia="宋体" w:cs="宋体"/>
                      <w:color w:val="auto"/>
                      <w:sz w:val="21"/>
                      <w:szCs w:val="21"/>
                      <w:highlight w:val="none"/>
                      <w:lang w:val="en-US" w:eastAsia="zh-CN"/>
                    </w:rPr>
                    <w:t>2、地面种植32亩，一年种植2茬；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44" w:type="pct"/>
                  <w:vMerge w:val="restart"/>
                  <w:noWrap w:val="0"/>
                  <w:vAlign w:val="center"/>
                </w:tcPr>
                <w:p>
                  <w:pPr>
                    <w:pStyle w:val="41"/>
                    <w:keepNext w:val="0"/>
                    <w:keepLines w:val="0"/>
                    <w:pageBreakBefore w:val="0"/>
                    <w:kinsoku/>
                    <w:wordWrap/>
                    <w:overflowPunct/>
                    <w:topLinePunct w:val="0"/>
                    <w:autoSpaceDE/>
                    <w:autoSpaceDN/>
                    <w:bidi w:val="0"/>
                    <w:spacing w:beforeLines="0" w:afterLines="0" w:line="360" w:lineRule="auto"/>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种苗</w:t>
                  </w:r>
                </w:p>
              </w:tc>
              <w:tc>
                <w:tcPr>
                  <w:tcW w:w="1091"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西红柿 </w:t>
                  </w:r>
                </w:p>
              </w:tc>
              <w:tc>
                <w:tcPr>
                  <w:tcW w:w="565"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19000</w:t>
                  </w:r>
                </w:p>
              </w:tc>
              <w:tc>
                <w:tcPr>
                  <w:tcW w:w="474"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vertAlign w:val="baseline"/>
                      <w:lang w:val="en-US" w:eastAsia="zh-CN"/>
                    </w:rPr>
                    <w:t>一年种植2茬，荷兰栽培模式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44" w:type="pct"/>
                  <w:vMerge w:val="continue"/>
                  <w:noWrap w:val="0"/>
                  <w:vAlign w:val="center"/>
                </w:tcPr>
                <w:p>
                  <w:pPr>
                    <w:pStyle w:val="41"/>
                    <w:keepNext w:val="0"/>
                    <w:keepLines w:val="0"/>
                    <w:pageBreakBefore w:val="0"/>
                    <w:kinsoku/>
                    <w:wordWrap/>
                    <w:overflowPunct/>
                    <w:topLinePunct w:val="0"/>
                    <w:autoSpaceDE/>
                    <w:autoSpaceDN/>
                    <w:bidi w:val="0"/>
                    <w:spacing w:beforeLines="0" w:afterLines="0" w:line="360" w:lineRule="auto"/>
                    <w:jc w:val="center"/>
                    <w:rPr>
                      <w:rFonts w:hint="default" w:ascii="Times New Roman" w:hAnsi="Times New Roman" w:eastAsia="宋体" w:cs="Times New Roman"/>
                      <w:color w:val="auto"/>
                      <w:sz w:val="21"/>
                      <w:szCs w:val="21"/>
                      <w:highlight w:val="none"/>
                      <w:lang w:val="en-US" w:eastAsia="zh-CN"/>
                    </w:rPr>
                  </w:pPr>
                </w:p>
              </w:tc>
              <w:tc>
                <w:tcPr>
                  <w:tcW w:w="1091"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观赏瓜类</w:t>
                  </w:r>
                </w:p>
              </w:tc>
              <w:tc>
                <w:tcPr>
                  <w:tcW w:w="565"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3500</w:t>
                  </w:r>
                </w:p>
              </w:tc>
              <w:tc>
                <w:tcPr>
                  <w:tcW w:w="474"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kern w:val="0"/>
                      <w:sz w:val="21"/>
                      <w:szCs w:val="21"/>
                      <w:highlight w:val="none"/>
                      <w:vertAlign w:val="baseline"/>
                      <w:lang w:val="en-US" w:eastAsia="zh-CN"/>
                    </w:rPr>
                  </w:pPr>
                  <w:r>
                    <w:rPr>
                      <w:rFonts w:hint="eastAsia" w:ascii="宋体" w:hAnsi="宋体" w:eastAsia="宋体" w:cs="宋体"/>
                      <w:color w:val="auto"/>
                      <w:kern w:val="0"/>
                      <w:sz w:val="21"/>
                      <w:szCs w:val="21"/>
                      <w:highlight w:val="none"/>
                      <w:vertAlign w:val="baseline"/>
                      <w:lang w:val="en-US" w:eastAsia="zh-CN"/>
                    </w:rPr>
                    <w:t>一年种植2茬，廊架种植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44" w:type="pct"/>
                  <w:vMerge w:val="continue"/>
                  <w:noWrap w:val="0"/>
                  <w:vAlign w:val="center"/>
                </w:tcPr>
                <w:p>
                  <w:pPr>
                    <w:pStyle w:val="41"/>
                    <w:keepNext w:val="0"/>
                    <w:keepLines w:val="0"/>
                    <w:pageBreakBefore w:val="0"/>
                    <w:kinsoku/>
                    <w:wordWrap/>
                    <w:overflowPunct/>
                    <w:topLinePunct w:val="0"/>
                    <w:autoSpaceDE/>
                    <w:autoSpaceDN/>
                    <w:bidi w:val="0"/>
                    <w:spacing w:beforeLines="0" w:afterLines="0" w:line="360" w:lineRule="auto"/>
                    <w:jc w:val="center"/>
                    <w:rPr>
                      <w:rFonts w:hint="default" w:ascii="Times New Roman" w:hAnsi="Times New Roman" w:eastAsia="宋体" w:cs="Times New Roman"/>
                      <w:color w:val="auto"/>
                      <w:sz w:val="21"/>
                      <w:szCs w:val="21"/>
                      <w:highlight w:val="none"/>
                      <w:lang w:val="en-US" w:eastAsia="zh-CN"/>
                    </w:rPr>
                  </w:pPr>
                </w:p>
              </w:tc>
              <w:tc>
                <w:tcPr>
                  <w:tcW w:w="1091"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叶菜类</w:t>
                  </w:r>
                </w:p>
              </w:tc>
              <w:tc>
                <w:tcPr>
                  <w:tcW w:w="565"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111000</w:t>
                  </w:r>
                </w:p>
              </w:tc>
              <w:tc>
                <w:tcPr>
                  <w:tcW w:w="474"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栽培模式展示馆各种模式</w:t>
                  </w:r>
                  <w:r>
                    <w:rPr>
                      <w:rFonts w:hint="eastAsia" w:ascii="宋体" w:hAnsi="宋体" w:eastAsia="宋体" w:cs="宋体"/>
                      <w:color w:val="auto"/>
                      <w:kern w:val="0"/>
                      <w:sz w:val="21"/>
                      <w:szCs w:val="21"/>
                      <w:highlight w:val="none"/>
                      <w:vertAlign w:val="baseline"/>
                      <w:lang w:val="en-US" w:eastAsia="zh-CN"/>
                    </w:rPr>
                    <w:t>一年种植4茬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44" w:type="pct"/>
                  <w:vMerge w:val="restart"/>
                  <w:noWrap w:val="0"/>
                  <w:vAlign w:val="center"/>
                </w:tcPr>
                <w:p>
                  <w:pPr>
                    <w:pStyle w:val="41"/>
                    <w:keepNext w:val="0"/>
                    <w:keepLines w:val="0"/>
                    <w:pageBreakBefore w:val="0"/>
                    <w:kinsoku/>
                    <w:wordWrap/>
                    <w:overflowPunct/>
                    <w:topLinePunct w:val="0"/>
                    <w:autoSpaceDE/>
                    <w:autoSpaceDN/>
                    <w:bidi w:val="0"/>
                    <w:spacing w:beforeLines="0" w:afterLines="0" w:line="36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地面绿植（</w:t>
                  </w:r>
                  <w:r>
                    <w:rPr>
                      <w:rFonts w:hint="eastAsia"/>
                      <w:color w:val="auto"/>
                      <w:sz w:val="21"/>
                      <w:szCs w:val="21"/>
                      <w:highlight w:val="none"/>
                      <w:lang w:val="en-US" w:eastAsia="zh-CN"/>
                    </w:rPr>
                    <w:t>蔬菜、水果、草药、花卉</w:t>
                  </w:r>
                  <w:r>
                    <w:rPr>
                      <w:rFonts w:hint="eastAsia" w:ascii="Times New Roman" w:hAnsi="Times New Roman" w:eastAsia="宋体" w:cs="Times New Roman"/>
                      <w:color w:val="auto"/>
                      <w:sz w:val="21"/>
                      <w:szCs w:val="21"/>
                      <w:highlight w:val="none"/>
                      <w:lang w:val="en-US" w:eastAsia="zh-CN"/>
                    </w:rPr>
                    <w:t>）</w:t>
                  </w:r>
                </w:p>
              </w:tc>
              <w:tc>
                <w:tcPr>
                  <w:tcW w:w="1091"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高度0.15-0.3米</w:t>
                  </w:r>
                </w:p>
              </w:tc>
              <w:tc>
                <w:tcPr>
                  <w:tcW w:w="565"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339800</w:t>
                  </w:r>
                </w:p>
              </w:tc>
              <w:tc>
                <w:tcPr>
                  <w:tcW w:w="474"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vertAlign w:val="baseline"/>
                      <w:lang w:val="en-US" w:eastAsia="zh-CN"/>
                    </w:rPr>
                    <w:t>一年种植2茬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44" w:type="pct"/>
                  <w:vMerge w:val="continue"/>
                  <w:noWrap w:val="0"/>
                  <w:vAlign w:val="center"/>
                </w:tcPr>
                <w:p>
                  <w:pPr>
                    <w:pStyle w:val="41"/>
                    <w:keepNext w:val="0"/>
                    <w:keepLines w:val="0"/>
                    <w:pageBreakBefore w:val="0"/>
                    <w:kinsoku/>
                    <w:wordWrap/>
                    <w:overflowPunct/>
                    <w:topLinePunct w:val="0"/>
                    <w:autoSpaceDE/>
                    <w:autoSpaceDN/>
                    <w:bidi w:val="0"/>
                    <w:spacing w:beforeLines="0" w:afterLines="0" w:line="360" w:lineRule="auto"/>
                    <w:jc w:val="center"/>
                    <w:rPr>
                      <w:rFonts w:hint="default" w:ascii="Times New Roman" w:hAnsi="Times New Roman" w:eastAsia="宋体" w:cs="Times New Roman"/>
                      <w:color w:val="auto"/>
                      <w:sz w:val="21"/>
                      <w:szCs w:val="21"/>
                      <w:highlight w:val="none"/>
                      <w:lang w:val="en-US" w:eastAsia="zh-CN"/>
                    </w:rPr>
                  </w:pPr>
                </w:p>
              </w:tc>
              <w:tc>
                <w:tcPr>
                  <w:tcW w:w="1091"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高度0.3-0.6米</w:t>
                  </w:r>
                </w:p>
              </w:tc>
              <w:tc>
                <w:tcPr>
                  <w:tcW w:w="565"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116300</w:t>
                  </w:r>
                </w:p>
              </w:tc>
              <w:tc>
                <w:tcPr>
                  <w:tcW w:w="474"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i w:val="0"/>
                      <w:iCs w:val="0"/>
                      <w:color w:val="auto"/>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44" w:type="pct"/>
                  <w:vMerge w:val="continue"/>
                  <w:noWrap w:val="0"/>
                  <w:vAlign w:val="center"/>
                </w:tcPr>
                <w:p>
                  <w:pPr>
                    <w:pStyle w:val="41"/>
                    <w:keepNext w:val="0"/>
                    <w:keepLines w:val="0"/>
                    <w:pageBreakBefore w:val="0"/>
                    <w:kinsoku/>
                    <w:wordWrap/>
                    <w:overflowPunct/>
                    <w:topLinePunct w:val="0"/>
                    <w:autoSpaceDE/>
                    <w:autoSpaceDN/>
                    <w:bidi w:val="0"/>
                    <w:spacing w:beforeLines="0" w:afterLines="0" w:line="360" w:lineRule="auto"/>
                    <w:jc w:val="center"/>
                    <w:rPr>
                      <w:rFonts w:hint="default" w:ascii="Times New Roman" w:hAnsi="Times New Roman" w:eastAsia="宋体" w:cs="Times New Roman"/>
                      <w:color w:val="auto"/>
                      <w:sz w:val="21"/>
                      <w:szCs w:val="21"/>
                      <w:highlight w:val="none"/>
                      <w:lang w:val="en-US" w:eastAsia="zh-CN"/>
                    </w:rPr>
                  </w:pPr>
                </w:p>
              </w:tc>
              <w:tc>
                <w:tcPr>
                  <w:tcW w:w="1091"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高度1米</w:t>
                  </w:r>
                </w:p>
              </w:tc>
              <w:tc>
                <w:tcPr>
                  <w:tcW w:w="565"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10650</w:t>
                  </w:r>
                </w:p>
              </w:tc>
              <w:tc>
                <w:tcPr>
                  <w:tcW w:w="474"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i w:val="0"/>
                      <w:iCs w:val="0"/>
                      <w:color w:val="auto"/>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44" w:type="pct"/>
                  <w:vMerge w:val="continue"/>
                  <w:noWrap w:val="0"/>
                  <w:vAlign w:val="center"/>
                </w:tcPr>
                <w:p>
                  <w:pPr>
                    <w:pStyle w:val="41"/>
                    <w:keepNext w:val="0"/>
                    <w:keepLines w:val="0"/>
                    <w:pageBreakBefore w:val="0"/>
                    <w:kinsoku/>
                    <w:wordWrap/>
                    <w:overflowPunct/>
                    <w:topLinePunct w:val="0"/>
                    <w:autoSpaceDE/>
                    <w:autoSpaceDN/>
                    <w:bidi w:val="0"/>
                    <w:spacing w:beforeLines="0" w:afterLines="0" w:line="360" w:lineRule="auto"/>
                    <w:jc w:val="center"/>
                    <w:rPr>
                      <w:rFonts w:hint="default" w:ascii="Times New Roman" w:hAnsi="Times New Roman" w:eastAsia="宋体" w:cs="Times New Roman"/>
                      <w:color w:val="auto"/>
                      <w:sz w:val="21"/>
                      <w:szCs w:val="21"/>
                      <w:highlight w:val="none"/>
                      <w:lang w:val="en-US" w:eastAsia="zh-CN"/>
                    </w:rPr>
                  </w:pPr>
                </w:p>
              </w:tc>
              <w:tc>
                <w:tcPr>
                  <w:tcW w:w="1091"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高度2米</w:t>
                  </w:r>
                </w:p>
              </w:tc>
              <w:tc>
                <w:tcPr>
                  <w:tcW w:w="565"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3200</w:t>
                  </w:r>
                </w:p>
              </w:tc>
              <w:tc>
                <w:tcPr>
                  <w:tcW w:w="474"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i w:val="0"/>
                      <w:iCs w:val="0"/>
                      <w:color w:val="auto"/>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44" w:type="pct"/>
                  <w:vMerge w:val="continue"/>
                  <w:noWrap w:val="0"/>
                  <w:vAlign w:val="center"/>
                </w:tcPr>
                <w:p>
                  <w:pPr>
                    <w:pStyle w:val="41"/>
                    <w:keepNext w:val="0"/>
                    <w:keepLines w:val="0"/>
                    <w:pageBreakBefore w:val="0"/>
                    <w:kinsoku/>
                    <w:wordWrap/>
                    <w:overflowPunct/>
                    <w:topLinePunct w:val="0"/>
                    <w:autoSpaceDE/>
                    <w:autoSpaceDN/>
                    <w:bidi w:val="0"/>
                    <w:spacing w:beforeLines="0" w:afterLines="0" w:line="360" w:lineRule="auto"/>
                    <w:jc w:val="center"/>
                    <w:rPr>
                      <w:rFonts w:hint="default" w:ascii="Times New Roman" w:hAnsi="Times New Roman" w:eastAsia="宋体" w:cs="Times New Roman"/>
                      <w:color w:val="auto"/>
                      <w:sz w:val="21"/>
                      <w:szCs w:val="21"/>
                      <w:highlight w:val="none"/>
                      <w:lang w:val="en-US" w:eastAsia="zh-CN"/>
                    </w:rPr>
                  </w:pPr>
                </w:p>
              </w:tc>
              <w:tc>
                <w:tcPr>
                  <w:tcW w:w="1091"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高度2.5米</w:t>
                  </w:r>
                </w:p>
              </w:tc>
              <w:tc>
                <w:tcPr>
                  <w:tcW w:w="565"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2150</w:t>
                  </w:r>
                </w:p>
              </w:tc>
              <w:tc>
                <w:tcPr>
                  <w:tcW w:w="474"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i w:val="0"/>
                      <w:iCs w:val="0"/>
                      <w:color w:val="auto"/>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44" w:type="pct"/>
                  <w:vMerge w:val="continue"/>
                  <w:noWrap w:val="0"/>
                  <w:vAlign w:val="center"/>
                </w:tcPr>
                <w:p>
                  <w:pPr>
                    <w:pStyle w:val="41"/>
                    <w:keepNext w:val="0"/>
                    <w:keepLines w:val="0"/>
                    <w:pageBreakBefore w:val="0"/>
                    <w:kinsoku/>
                    <w:wordWrap/>
                    <w:overflowPunct/>
                    <w:topLinePunct w:val="0"/>
                    <w:autoSpaceDE/>
                    <w:autoSpaceDN/>
                    <w:bidi w:val="0"/>
                    <w:spacing w:beforeLines="0" w:afterLines="0" w:line="360" w:lineRule="auto"/>
                    <w:jc w:val="center"/>
                    <w:rPr>
                      <w:rFonts w:hint="default" w:ascii="Times New Roman" w:hAnsi="Times New Roman" w:eastAsia="宋体" w:cs="Times New Roman"/>
                      <w:color w:val="auto"/>
                      <w:sz w:val="21"/>
                      <w:szCs w:val="21"/>
                      <w:highlight w:val="none"/>
                      <w:lang w:val="en-US" w:eastAsia="zh-CN"/>
                    </w:rPr>
                  </w:pPr>
                </w:p>
              </w:tc>
              <w:tc>
                <w:tcPr>
                  <w:tcW w:w="1091"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高度3米</w:t>
                  </w:r>
                </w:p>
              </w:tc>
              <w:tc>
                <w:tcPr>
                  <w:tcW w:w="565"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2550</w:t>
                  </w:r>
                </w:p>
              </w:tc>
              <w:tc>
                <w:tcPr>
                  <w:tcW w:w="474"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株</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i w:val="0"/>
                      <w:iCs w:val="0"/>
                      <w:color w:val="auto"/>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44" w:type="pct"/>
                  <w:noWrap w:val="0"/>
                  <w:vAlign w:val="center"/>
                </w:tcPr>
                <w:p>
                  <w:pPr>
                    <w:pStyle w:val="41"/>
                    <w:keepNext w:val="0"/>
                    <w:keepLines w:val="0"/>
                    <w:pageBreakBefore w:val="0"/>
                    <w:kinsoku/>
                    <w:wordWrap/>
                    <w:overflowPunct/>
                    <w:topLinePunct w:val="0"/>
                    <w:autoSpaceDE/>
                    <w:autoSpaceDN/>
                    <w:bidi w:val="0"/>
                    <w:spacing w:beforeLines="0" w:afterLines="0" w:line="36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盆栽观赏蔬菜</w:t>
                  </w:r>
                </w:p>
              </w:tc>
              <w:tc>
                <w:tcPr>
                  <w:tcW w:w="1091"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高0.3-0.8米</w:t>
                  </w:r>
                </w:p>
              </w:tc>
              <w:tc>
                <w:tcPr>
                  <w:tcW w:w="565"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2000</w:t>
                  </w:r>
                </w:p>
              </w:tc>
              <w:tc>
                <w:tcPr>
                  <w:tcW w:w="474"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盆</w:t>
                  </w:r>
                </w:p>
              </w:tc>
              <w:tc>
                <w:tcPr>
                  <w:tcW w:w="666"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w:t>
                  </w:r>
                </w:p>
              </w:tc>
              <w:tc>
                <w:tcPr>
                  <w:tcW w:w="1558" w:type="pct"/>
                  <w:noWrap w:val="0"/>
                  <w:vAlign w:val="center"/>
                </w:tcPr>
                <w:p>
                  <w:pPr>
                    <w:keepNext w:val="0"/>
                    <w:keepLines w:val="0"/>
                    <w:pageBreakBefore w:val="0"/>
                    <w:kinsoku/>
                    <w:wordWrap/>
                    <w:overflowPunct/>
                    <w:topLinePunct w:val="0"/>
                    <w:autoSpaceDE/>
                    <w:autoSpaceDN/>
                    <w:bidi w:val="0"/>
                    <w:adjustRightInd w:val="0"/>
                    <w:snapToGrid w:val="0"/>
                    <w:spacing w:line="360" w:lineRule="auto"/>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盆栽观赏辣椒、盆栽番茄、盆栽茄子、盆栽观赏南瓜，1年种植2茬；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5000" w:type="pct"/>
                  <w:gridSpan w:val="6"/>
                  <w:noWrap w:val="0"/>
                  <w:vAlign w:val="center"/>
                </w:tcPr>
                <w:p>
                  <w:pPr>
                    <w:bidi w:val="0"/>
                    <w:spacing w:line="360" w:lineRule="auto"/>
                    <w:rPr>
                      <w:rFonts w:hint="eastAsia" w:ascii="宋体" w:hAnsi="宋体" w:eastAsia="宋体" w:cs="宋体"/>
                      <w:color w:val="auto"/>
                      <w:lang w:val="en-US" w:eastAsia="zh-CN"/>
                    </w:rPr>
                  </w:pPr>
                  <w:r>
                    <w:rPr>
                      <w:rFonts w:hint="eastAsia" w:ascii="Times New Roman" w:hAnsi="Times New Roman" w:eastAsia="宋体" w:cs="Times New Roman"/>
                      <w:b/>
                      <w:bCs/>
                      <w:color w:val="auto"/>
                      <w:sz w:val="21"/>
                      <w:szCs w:val="21"/>
                      <w:highlight w:val="none"/>
                      <w:lang w:val="en-US" w:eastAsia="zh-CN"/>
                    </w:rPr>
                    <w:t>备注：以上用量根据实际需求进行调整。</w:t>
                  </w:r>
                </w:p>
              </w:tc>
            </w:tr>
          </w:tbl>
          <w:p>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eastAsia="zh-CN"/>
              </w:rPr>
              <w:t>主要生产设备</w:t>
            </w:r>
          </w:p>
          <w:p>
            <w:pPr>
              <w:pStyle w:val="7"/>
              <w:pageBreakBefore w:val="0"/>
              <w:widowControl w:val="0"/>
              <w:kinsoku/>
              <w:wordWrap/>
              <w:overflowPunct/>
              <w:topLinePunct w:val="0"/>
              <w:autoSpaceDE/>
              <w:autoSpaceDN/>
              <w:bidi w:val="0"/>
              <w:spacing w:line="360" w:lineRule="auto"/>
              <w:ind w:firstLine="480" w:firstLineChars="200"/>
              <w:jc w:val="both"/>
              <w:textAlignment w:val="auto"/>
              <w:outlineLvl w:val="1"/>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项目主要生产设备见表</w:t>
            </w:r>
            <w:r>
              <w:rPr>
                <w:rFonts w:hint="eastAsia" w:ascii="Times New Roman" w:hAnsi="Times New Roman" w:eastAsia="宋体" w:cs="Times New Roman"/>
                <w:color w:val="auto"/>
                <w:sz w:val="24"/>
                <w:szCs w:val="24"/>
                <w:highlight w:val="none"/>
                <w:lang w:val="en-US" w:eastAsia="zh-CN"/>
              </w:rPr>
              <w:t>2-5。</w:t>
            </w:r>
          </w:p>
          <w:p>
            <w:pPr>
              <w:adjustRightInd w:val="0"/>
              <w:snapToGrid w:val="0"/>
              <w:jc w:val="center"/>
              <w:rPr>
                <w:color w:val="auto"/>
                <w:sz w:val="24"/>
                <w:szCs w:val="24"/>
                <w:highlight w:val="none"/>
              </w:rPr>
            </w:pPr>
            <w:r>
              <w:rPr>
                <w:color w:val="auto"/>
                <w:sz w:val="24"/>
                <w:szCs w:val="24"/>
                <w:highlight w:val="none"/>
              </w:rPr>
              <w:t>表</w:t>
            </w:r>
            <w:r>
              <w:rPr>
                <w:rFonts w:hint="eastAsia"/>
                <w:color w:val="auto"/>
                <w:sz w:val="24"/>
                <w:szCs w:val="24"/>
                <w:highlight w:val="none"/>
              </w:rPr>
              <w:t>2-</w:t>
            </w:r>
            <w:r>
              <w:rPr>
                <w:rFonts w:hint="eastAsia"/>
                <w:color w:val="auto"/>
                <w:sz w:val="24"/>
                <w:szCs w:val="24"/>
                <w:highlight w:val="none"/>
                <w:lang w:val="en-US" w:eastAsia="zh-CN"/>
              </w:rPr>
              <w:t>5  主要生产设备一览表</w:t>
            </w:r>
          </w:p>
          <w:tbl>
            <w:tblPr>
              <w:tblStyle w:val="24"/>
              <w:tblW w:w="49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3271"/>
              <w:gridCol w:w="1403"/>
              <w:gridCol w:w="2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74" w:type="pct"/>
                  <w:noWrap w:val="0"/>
                  <w:vAlign w:val="center"/>
                </w:tcPr>
                <w:p>
                  <w:pPr>
                    <w:pageBreakBefore w:val="0"/>
                    <w:kinsoku/>
                    <w:wordWrap/>
                    <w:overflowPunct/>
                    <w:topLinePunct w:val="0"/>
                    <w:autoSpaceDE/>
                    <w:autoSpaceDN/>
                    <w:bidi w:val="0"/>
                    <w:spacing w:line="360" w:lineRule="auto"/>
                    <w:jc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2096" w:type="pct"/>
                  <w:noWrap w:val="0"/>
                  <w:vAlign w:val="center"/>
                </w:tcPr>
                <w:p>
                  <w:pPr>
                    <w:pageBreakBefore w:val="0"/>
                    <w:kinsoku/>
                    <w:wordWrap/>
                    <w:overflowPunct/>
                    <w:topLinePunct w:val="0"/>
                    <w:autoSpaceDE/>
                    <w:autoSpaceDN/>
                    <w:bidi w:val="0"/>
                    <w:spacing w:line="360" w:lineRule="auto"/>
                    <w:jc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w:t>
                  </w:r>
                </w:p>
              </w:tc>
              <w:tc>
                <w:tcPr>
                  <w:tcW w:w="899" w:type="pct"/>
                  <w:noWrap w:val="0"/>
                  <w:vAlign w:val="center"/>
                </w:tcPr>
                <w:p>
                  <w:pPr>
                    <w:pageBreakBefore w:val="0"/>
                    <w:kinsoku/>
                    <w:wordWrap/>
                    <w:overflowPunct/>
                    <w:topLinePunct w:val="0"/>
                    <w:autoSpaceDE/>
                    <w:autoSpaceDN/>
                    <w:bidi w:val="0"/>
                    <w:spacing w:line="360" w:lineRule="auto"/>
                    <w:jc w:val="center"/>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数量</w:t>
                  </w:r>
                </w:p>
              </w:tc>
              <w:tc>
                <w:tcPr>
                  <w:tcW w:w="1529" w:type="pct"/>
                  <w:noWrap w:val="0"/>
                  <w:vAlign w:val="center"/>
                </w:tcPr>
                <w:p>
                  <w:pPr>
                    <w:pageBreakBefore w:val="0"/>
                    <w:kinsoku/>
                    <w:wordWrap/>
                    <w:overflowPunct/>
                    <w:topLinePunct w:val="0"/>
                    <w:autoSpaceDE/>
                    <w:autoSpaceDN/>
                    <w:bidi w:val="0"/>
                    <w:spacing w:line="360" w:lineRule="auto"/>
                    <w:jc w:val="center"/>
                    <w:outlineLvl w:val="9"/>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规格型号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74" w:type="pct"/>
                  <w:noWrap w:val="0"/>
                  <w:vAlign w:val="center"/>
                </w:tcPr>
                <w:p>
                  <w:pPr>
                    <w:pageBreakBefore w:val="0"/>
                    <w:kinsoku/>
                    <w:wordWrap/>
                    <w:overflowPunct/>
                    <w:topLinePunct w:val="0"/>
                    <w:autoSpaceDE/>
                    <w:autoSpaceDN/>
                    <w:bidi w:val="0"/>
                    <w:spacing w:line="360" w:lineRule="auto"/>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2096" w:type="pct"/>
                  <w:noWrap w:val="0"/>
                  <w:vAlign w:val="center"/>
                </w:tcPr>
                <w:p>
                  <w:pPr>
                    <w:pageBreakBefore w:val="0"/>
                    <w:kinsoku/>
                    <w:wordWrap/>
                    <w:overflowPunct/>
                    <w:topLinePunct w:val="0"/>
                    <w:autoSpaceDE/>
                    <w:autoSpaceDN/>
                    <w:bidi w:val="0"/>
                    <w:spacing w:line="360" w:lineRule="auto"/>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水肥一体化设备</w:t>
                  </w:r>
                </w:p>
              </w:tc>
              <w:tc>
                <w:tcPr>
                  <w:tcW w:w="899" w:type="pct"/>
                  <w:noWrap w:val="0"/>
                  <w:vAlign w:val="center"/>
                </w:tcPr>
                <w:p>
                  <w:pPr>
                    <w:pageBreakBefore w:val="0"/>
                    <w:kinsoku/>
                    <w:wordWrap/>
                    <w:overflowPunct/>
                    <w:topLinePunct w:val="0"/>
                    <w:autoSpaceDE/>
                    <w:autoSpaceDN/>
                    <w:bidi w:val="0"/>
                    <w:spacing w:line="360" w:lineRule="auto"/>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529" w:type="pct"/>
                  <w:noWrap w:val="0"/>
                  <w:vAlign w:val="center"/>
                </w:tcPr>
                <w:p>
                  <w:pPr>
                    <w:pageBreakBefore w:val="0"/>
                    <w:kinsoku/>
                    <w:wordWrap/>
                    <w:overflowPunct/>
                    <w:topLinePunct w:val="0"/>
                    <w:autoSpaceDE/>
                    <w:autoSpaceDN/>
                    <w:bidi w:val="0"/>
                    <w:spacing w:line="360" w:lineRule="auto"/>
                    <w:jc w:val="center"/>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rPr>
                    <w:t>HG-SF00B智能型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74" w:type="pct"/>
                  <w:noWrap w:val="0"/>
                  <w:vAlign w:val="center"/>
                </w:tcPr>
                <w:p>
                  <w:pPr>
                    <w:pageBreakBefore w:val="0"/>
                    <w:kinsoku/>
                    <w:wordWrap/>
                    <w:overflowPunct/>
                    <w:topLinePunct w:val="0"/>
                    <w:autoSpaceDE/>
                    <w:autoSpaceDN/>
                    <w:bidi w:val="0"/>
                    <w:spacing w:line="360" w:lineRule="auto"/>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2096" w:type="pct"/>
                  <w:noWrap w:val="0"/>
                  <w:vAlign w:val="center"/>
                </w:tcPr>
                <w:p>
                  <w:pPr>
                    <w:pageBreakBefore w:val="0"/>
                    <w:kinsoku/>
                    <w:wordWrap/>
                    <w:overflowPunct/>
                    <w:topLinePunct w:val="0"/>
                    <w:autoSpaceDE/>
                    <w:autoSpaceDN/>
                    <w:bidi w:val="0"/>
                    <w:spacing w:line="360" w:lineRule="auto"/>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雾化降温设备</w:t>
                  </w:r>
                </w:p>
              </w:tc>
              <w:tc>
                <w:tcPr>
                  <w:tcW w:w="899" w:type="pct"/>
                  <w:noWrap w:val="0"/>
                  <w:vAlign w:val="center"/>
                </w:tcPr>
                <w:p>
                  <w:pPr>
                    <w:pageBreakBefore w:val="0"/>
                    <w:kinsoku/>
                    <w:wordWrap/>
                    <w:overflowPunct/>
                    <w:topLinePunct w:val="0"/>
                    <w:autoSpaceDE/>
                    <w:autoSpaceDN/>
                    <w:bidi w:val="0"/>
                    <w:spacing w:line="360" w:lineRule="auto"/>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1529" w:type="pct"/>
                  <w:noWrap w:val="0"/>
                  <w:vAlign w:val="center"/>
                </w:tcPr>
                <w:p>
                  <w:pPr>
                    <w:pageBreakBefore w:val="0"/>
                    <w:kinsoku/>
                    <w:wordWrap/>
                    <w:overflowPunct/>
                    <w:topLinePunct w:val="0"/>
                    <w:autoSpaceDE/>
                    <w:autoSpaceDN/>
                    <w:bidi w:val="0"/>
                    <w:spacing w:line="360" w:lineRule="auto"/>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lang w:val="en-US" w:eastAsia="zh-CN"/>
                    </w:rPr>
                    <w:t>20L-40L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74" w:type="pct"/>
                  <w:noWrap w:val="0"/>
                  <w:vAlign w:val="center"/>
                </w:tcPr>
                <w:p>
                  <w:pPr>
                    <w:pageBreakBefore w:val="0"/>
                    <w:kinsoku/>
                    <w:wordWrap/>
                    <w:overflowPunct/>
                    <w:topLinePunct w:val="0"/>
                    <w:autoSpaceDE/>
                    <w:autoSpaceDN/>
                    <w:bidi w:val="0"/>
                    <w:spacing w:line="360" w:lineRule="auto"/>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2096" w:type="pct"/>
                  <w:noWrap w:val="0"/>
                  <w:vAlign w:val="center"/>
                </w:tcPr>
                <w:p>
                  <w:pPr>
                    <w:widowControl/>
                    <w:spacing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旋耕机</w:t>
                  </w:r>
                </w:p>
              </w:tc>
              <w:tc>
                <w:tcPr>
                  <w:tcW w:w="899" w:type="pct"/>
                  <w:noWrap w:val="0"/>
                  <w:vAlign w:val="center"/>
                </w:tcPr>
                <w:p>
                  <w:pPr>
                    <w:widowControl/>
                    <w:spacing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2台</w:t>
                  </w:r>
                </w:p>
              </w:tc>
              <w:tc>
                <w:tcPr>
                  <w:tcW w:w="1529" w:type="pct"/>
                  <w:noWrap w:val="0"/>
                  <w:vAlign w:val="center"/>
                </w:tcPr>
                <w:p>
                  <w:pPr>
                    <w:widowControl/>
                    <w:spacing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170型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74" w:type="pct"/>
                  <w:noWrap w:val="0"/>
                  <w:vAlign w:val="center"/>
                </w:tcPr>
                <w:p>
                  <w:pPr>
                    <w:pageBreakBefore w:val="0"/>
                    <w:kinsoku/>
                    <w:wordWrap/>
                    <w:overflowPunct/>
                    <w:topLinePunct w:val="0"/>
                    <w:autoSpaceDE/>
                    <w:autoSpaceDN/>
                    <w:bidi w:val="0"/>
                    <w:spacing w:line="360" w:lineRule="auto"/>
                    <w:jc w:val="center"/>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p>
              </w:tc>
              <w:tc>
                <w:tcPr>
                  <w:tcW w:w="2096" w:type="pct"/>
                  <w:noWrap w:val="0"/>
                  <w:vAlign w:val="center"/>
                </w:tcPr>
                <w:p>
                  <w:pPr>
                    <w:widowControl/>
                    <w:spacing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手推车</w:t>
                  </w:r>
                </w:p>
              </w:tc>
              <w:tc>
                <w:tcPr>
                  <w:tcW w:w="899" w:type="pct"/>
                  <w:noWrap w:val="0"/>
                  <w:vAlign w:val="center"/>
                </w:tcPr>
                <w:p>
                  <w:pPr>
                    <w:widowControl/>
                    <w:spacing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16辆</w:t>
                  </w:r>
                </w:p>
              </w:tc>
              <w:tc>
                <w:tcPr>
                  <w:tcW w:w="1529" w:type="pct"/>
                  <w:noWrap w:val="0"/>
                  <w:vAlign w:val="center"/>
                </w:tcPr>
                <w:p>
                  <w:pPr>
                    <w:widowControl/>
                    <w:spacing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rPr>
                    <w:t>自制非标件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74" w:type="pct"/>
                  <w:noWrap w:val="0"/>
                  <w:vAlign w:val="center"/>
                </w:tcPr>
                <w:p>
                  <w:pPr>
                    <w:pageBreakBefore w:val="0"/>
                    <w:kinsoku/>
                    <w:wordWrap/>
                    <w:overflowPunct/>
                    <w:topLinePunct w:val="0"/>
                    <w:autoSpaceDE/>
                    <w:autoSpaceDN/>
                    <w:bidi w:val="0"/>
                    <w:spacing w:line="360" w:lineRule="auto"/>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2096" w:type="pct"/>
                  <w:noWrap w:val="0"/>
                  <w:vAlign w:val="center"/>
                </w:tcPr>
                <w:p>
                  <w:pPr>
                    <w:widowControl/>
                    <w:spacing w:line="360" w:lineRule="auto"/>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移动式打药机</w:t>
                  </w:r>
                </w:p>
              </w:tc>
              <w:tc>
                <w:tcPr>
                  <w:tcW w:w="899" w:type="pct"/>
                  <w:noWrap w:val="0"/>
                  <w:vAlign w:val="center"/>
                </w:tcPr>
                <w:p>
                  <w:pPr>
                    <w:widowControl/>
                    <w:spacing w:line="360" w:lineRule="auto"/>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8台</w:t>
                  </w:r>
                </w:p>
              </w:tc>
              <w:tc>
                <w:tcPr>
                  <w:tcW w:w="1529" w:type="pct"/>
                  <w:noWrap w:val="0"/>
                  <w:vAlign w:val="center"/>
                </w:tcPr>
                <w:p>
                  <w:pPr>
                    <w:widowControl/>
                    <w:spacing w:line="360" w:lineRule="auto"/>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300L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74" w:type="pct"/>
                  <w:noWrap w:val="0"/>
                  <w:vAlign w:val="center"/>
                </w:tcPr>
                <w:p>
                  <w:pPr>
                    <w:pageBreakBefore w:val="0"/>
                    <w:kinsoku/>
                    <w:wordWrap/>
                    <w:overflowPunct/>
                    <w:topLinePunct w:val="0"/>
                    <w:autoSpaceDE/>
                    <w:autoSpaceDN/>
                    <w:bidi w:val="0"/>
                    <w:spacing w:line="360" w:lineRule="auto"/>
                    <w:jc w:val="center"/>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2096" w:type="pct"/>
                  <w:noWrap w:val="0"/>
                  <w:vAlign w:val="center"/>
                </w:tcPr>
                <w:p>
                  <w:pPr>
                    <w:widowControl/>
                    <w:spacing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供水、供肥、供电系统</w:t>
                  </w:r>
                </w:p>
              </w:tc>
              <w:tc>
                <w:tcPr>
                  <w:tcW w:w="899" w:type="pct"/>
                  <w:noWrap w:val="0"/>
                  <w:vAlign w:val="center"/>
                </w:tcPr>
                <w:p>
                  <w:pPr>
                    <w:widowControl/>
                    <w:spacing w:line="360"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1项</w:t>
                  </w:r>
                </w:p>
              </w:tc>
              <w:tc>
                <w:tcPr>
                  <w:tcW w:w="1529" w:type="pct"/>
                  <w:noWrap w:val="0"/>
                  <w:vAlign w:val="center"/>
                </w:tcPr>
                <w:p>
                  <w:pPr>
                    <w:widowControl/>
                    <w:spacing w:line="360" w:lineRule="auto"/>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含泵、套管、电缆、水管、控制柜等；</w:t>
                  </w:r>
                </w:p>
              </w:tc>
            </w:tr>
          </w:tbl>
          <w:p>
            <w:pPr>
              <w:adjustRightInd w:val="0"/>
              <w:snapToGrid w:val="0"/>
              <w:jc w:val="center"/>
              <w:rPr>
                <w:color w:val="auto"/>
                <w:highlight w:val="none"/>
              </w:rPr>
            </w:pPr>
          </w:p>
          <w:p>
            <w:pPr>
              <w:keepNext w:val="0"/>
              <w:keepLines w:val="0"/>
              <w:pageBreakBefore w:val="0"/>
              <w:widowControl w:val="0"/>
              <w:kinsoku/>
              <w:wordWrap/>
              <w:overflowPunct/>
              <w:topLinePunct w:val="0"/>
              <w:autoSpaceDE/>
              <w:autoSpaceDN/>
              <w:bidi w:val="0"/>
              <w:adjustRightInd w:val="0"/>
              <w:snapToGrid w:val="0"/>
              <w:spacing w:line="384" w:lineRule="auto"/>
              <w:ind w:left="0" w:firstLine="480" w:firstLineChars="200"/>
              <w:jc w:val="both"/>
              <w:rPr>
                <w:rFonts w:hint="default" w:ascii="Times New Roman" w:hAnsi="Times New Roman" w:eastAsia="宋体" w:cs="Times New Roman"/>
                <w:color w:val="auto"/>
                <w:sz w:val="24"/>
                <w:szCs w:val="24"/>
                <w:highlight w:val="none"/>
              </w:rPr>
            </w:pPr>
            <w:r>
              <w:rPr>
                <w:rFonts w:hint="eastAsia"/>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劳动定员</w:t>
            </w:r>
          </w:p>
          <w:p>
            <w:pPr>
              <w:pStyle w:val="4"/>
              <w:keepNext w:val="0"/>
              <w:keepLines w:val="0"/>
              <w:pageBreakBefore w:val="0"/>
              <w:widowControl w:val="0"/>
              <w:numPr>
                <w:ilvl w:val="0"/>
                <w:numId w:val="0"/>
              </w:numPr>
              <w:kinsoku/>
              <w:wordWrap/>
              <w:overflowPunct/>
              <w:topLinePunct w:val="0"/>
              <w:autoSpaceDE/>
              <w:autoSpaceDN/>
              <w:bidi w:val="0"/>
              <w:adjustRightInd/>
              <w:snapToGrid/>
              <w:spacing w:after="0" w:line="384" w:lineRule="auto"/>
              <w:ind w:left="0" w:firstLine="480" w:firstLineChars="200"/>
              <w:textAlignment w:val="auto"/>
              <w:rPr>
                <w:rFonts w:hint="default"/>
                <w:color w:val="auto"/>
                <w:sz w:val="24"/>
                <w:szCs w:val="24"/>
                <w:highlight w:val="none"/>
                <w:lang w:val="en-US" w:eastAsia="zh-CN"/>
              </w:rPr>
            </w:pPr>
            <w:r>
              <w:rPr>
                <w:rFonts w:hint="default" w:ascii="Times New Roman" w:hAnsi="Times New Roman" w:cs="Times New Roman"/>
                <w:color w:val="auto"/>
                <w:sz w:val="24"/>
                <w:szCs w:val="24"/>
                <w:highlight w:val="none"/>
              </w:rPr>
              <w:t>本项目新增劳动定员</w:t>
            </w:r>
            <w:r>
              <w:rPr>
                <w:rFonts w:hint="eastAsia" w:cs="Times New Roman"/>
                <w:color w:val="auto"/>
                <w:kern w:val="2"/>
                <w:sz w:val="24"/>
                <w:szCs w:val="24"/>
                <w:highlight w:val="none"/>
                <w:lang w:val="en-US" w:eastAsia="zh-CN" w:bidi="ar-SA"/>
              </w:rPr>
              <w:t>87</w:t>
            </w:r>
            <w:r>
              <w:rPr>
                <w:rFonts w:hint="default" w:ascii="Times New Roman" w:hAnsi="Times New Roman" w:eastAsia="宋体" w:cs="Times New Roman"/>
                <w:color w:val="auto"/>
                <w:kern w:val="2"/>
                <w:sz w:val="24"/>
                <w:szCs w:val="24"/>
                <w:highlight w:val="none"/>
                <w:lang w:val="en-US" w:eastAsia="zh-CN" w:bidi="ar-SA"/>
              </w:rPr>
              <w:t>人，其中管理人员</w:t>
            </w:r>
            <w:r>
              <w:rPr>
                <w:rFonts w:hint="eastAsia" w:cs="Times New Roman"/>
                <w:color w:val="auto"/>
                <w:kern w:val="2"/>
                <w:sz w:val="24"/>
                <w:szCs w:val="24"/>
                <w:highlight w:val="none"/>
                <w:lang w:val="en-US" w:eastAsia="zh-CN" w:bidi="ar-SA"/>
              </w:rPr>
              <w:t>15</w:t>
            </w:r>
            <w:r>
              <w:rPr>
                <w:rFonts w:hint="default" w:ascii="Times New Roman" w:hAnsi="Times New Roman" w:eastAsia="宋体" w:cs="Times New Roman"/>
                <w:color w:val="auto"/>
                <w:kern w:val="2"/>
                <w:sz w:val="24"/>
                <w:szCs w:val="24"/>
                <w:highlight w:val="none"/>
                <w:lang w:val="en-US" w:eastAsia="zh-CN" w:bidi="ar-SA"/>
              </w:rPr>
              <w:t>人，技术员</w:t>
            </w:r>
            <w:r>
              <w:rPr>
                <w:rFonts w:hint="eastAsia" w:cs="Times New Roman"/>
                <w:color w:val="auto"/>
                <w:kern w:val="2"/>
                <w:sz w:val="24"/>
                <w:szCs w:val="24"/>
                <w:highlight w:val="none"/>
                <w:lang w:val="en-US" w:eastAsia="zh-CN" w:bidi="ar-SA"/>
              </w:rPr>
              <w:t>15</w:t>
            </w:r>
            <w:r>
              <w:rPr>
                <w:rFonts w:hint="default" w:ascii="Times New Roman" w:hAnsi="Times New Roman" w:eastAsia="宋体" w:cs="Times New Roman"/>
                <w:color w:val="auto"/>
                <w:kern w:val="2"/>
                <w:sz w:val="24"/>
                <w:szCs w:val="24"/>
                <w:highlight w:val="none"/>
                <w:lang w:val="en-US" w:eastAsia="zh-CN" w:bidi="ar-SA"/>
              </w:rPr>
              <w:t>人，</w:t>
            </w:r>
            <w:r>
              <w:rPr>
                <w:rFonts w:hint="eastAsia" w:cs="Times New Roman"/>
                <w:color w:val="auto"/>
                <w:kern w:val="2"/>
                <w:sz w:val="24"/>
                <w:szCs w:val="24"/>
                <w:highlight w:val="none"/>
                <w:lang w:val="en-US" w:eastAsia="zh-CN" w:bidi="ar-SA"/>
              </w:rPr>
              <w:t>工人57</w:t>
            </w:r>
            <w:r>
              <w:rPr>
                <w:rFonts w:hint="default" w:ascii="Times New Roman" w:hAnsi="Times New Roman" w:eastAsia="宋体" w:cs="Times New Roman"/>
                <w:color w:val="auto"/>
                <w:kern w:val="2"/>
                <w:sz w:val="24"/>
                <w:szCs w:val="24"/>
                <w:highlight w:val="none"/>
                <w:lang w:val="en-US" w:eastAsia="zh-CN" w:bidi="ar-SA"/>
              </w:rPr>
              <w:t>人</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rPr>
              <w:t>年工作365天，</w:t>
            </w:r>
            <w:r>
              <w:rPr>
                <w:rFonts w:hint="default" w:ascii="Times New Roman" w:hAnsi="Times New Roman" w:cs="Times New Roman"/>
                <w:color w:val="auto"/>
                <w:sz w:val="24"/>
                <w:szCs w:val="24"/>
                <w:highlight w:val="none"/>
                <w:lang w:eastAsia="zh-CN"/>
              </w:rPr>
              <w:t>每天工作时间为8小时</w:t>
            </w:r>
            <w:r>
              <w:rPr>
                <w:rFonts w:hint="eastAsia" w:ascii="Times New Roman" w:hAnsi="Times New Roman" w:cs="Times New Roman"/>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both"/>
              <w:rPr>
                <w:rFonts w:hint="default" w:ascii="Times New Roman" w:hAnsi="Times New Roman" w:cs="Times New Roman"/>
                <w:color w:val="auto"/>
                <w:sz w:val="24"/>
                <w:szCs w:val="24"/>
                <w:highlight w:val="none"/>
              </w:rPr>
            </w:pP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公用工程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84" w:lineRule="auto"/>
              <w:ind w:firstLine="480" w:firstLineChars="200"/>
              <w:jc w:val="both"/>
              <w:rPr>
                <w:rFonts w:hint="default" w:ascii="Times New Roman" w:hAnsi="Times New Roman" w:cs="Times New Roman"/>
                <w:color w:val="auto"/>
                <w:sz w:val="24"/>
                <w:szCs w:val="24"/>
                <w:highlight w:val="none"/>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1</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rPr>
              <w:t>给水</w:t>
            </w:r>
          </w:p>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color w:val="auto"/>
                <w:sz w:val="24"/>
                <w:szCs w:val="24"/>
                <w:highlight w:val="none"/>
              </w:rPr>
              <w:t>本项目</w:t>
            </w:r>
            <w:r>
              <w:rPr>
                <w:rFonts w:hint="eastAsia"/>
                <w:color w:val="auto"/>
                <w:sz w:val="24"/>
                <w:szCs w:val="24"/>
                <w:highlight w:val="none"/>
                <w:lang w:eastAsia="zh-CN"/>
              </w:rPr>
              <w:t>用水：</w:t>
            </w:r>
            <w:r>
              <w:rPr>
                <w:rFonts w:hint="default"/>
                <w:color w:val="auto"/>
                <w:sz w:val="24"/>
                <w:szCs w:val="24"/>
                <w:highlight w:val="none"/>
                <w:lang w:val="en-US" w:eastAsia="zh-CN"/>
              </w:rPr>
              <w:t>生活用水</w:t>
            </w:r>
            <w:r>
              <w:rPr>
                <w:rFonts w:hint="eastAsia"/>
                <w:color w:val="auto"/>
                <w:sz w:val="24"/>
                <w:szCs w:val="24"/>
                <w:highlight w:val="none"/>
                <w:lang w:val="en-US" w:eastAsia="zh-CN"/>
              </w:rPr>
              <w:t>来自阿勒腾席热镇</w:t>
            </w:r>
            <w:r>
              <w:rPr>
                <w:rFonts w:hint="eastAsia"/>
                <w:color w:val="auto"/>
                <w:sz w:val="24"/>
                <w:szCs w:val="24"/>
                <w:highlight w:val="none"/>
                <w:lang w:val="en-GB" w:eastAsia="zh-CN"/>
              </w:rPr>
              <w:t>市政自来水管网供给</w:t>
            </w:r>
            <w:r>
              <w:rPr>
                <w:rFonts w:hint="default"/>
                <w:color w:val="auto"/>
                <w:sz w:val="24"/>
                <w:szCs w:val="24"/>
                <w:highlight w:val="none"/>
                <w:lang w:val="en-US" w:eastAsia="zh-CN"/>
              </w:rPr>
              <w:t>、灌溉用水由</w:t>
            </w:r>
            <w:r>
              <w:rPr>
                <w:rFonts w:hint="eastAsia"/>
                <w:color w:val="auto"/>
                <w:sz w:val="24"/>
                <w:szCs w:val="24"/>
                <w:highlight w:val="none"/>
                <w:lang w:val="en-US" w:eastAsia="zh-CN"/>
              </w:rPr>
              <w:t>来自西红海子</w:t>
            </w:r>
            <w:r>
              <w:rPr>
                <w:rFonts w:hint="default"/>
                <w:color w:val="auto"/>
                <w:sz w:val="24"/>
                <w:szCs w:val="24"/>
                <w:highlight w:val="none"/>
                <w:lang w:val="en-US" w:eastAsia="zh-CN"/>
              </w:rPr>
              <w:t>供给</w:t>
            </w:r>
            <w:r>
              <w:rPr>
                <w:rFonts w:hint="eastAsia"/>
                <w:color w:val="auto"/>
                <w:sz w:val="24"/>
                <w:szCs w:val="24"/>
                <w:highlight w:val="none"/>
                <w:lang w:val="en-US" w:eastAsia="zh-CN"/>
              </w:rPr>
              <w:t>，</w:t>
            </w:r>
            <w:r>
              <w:rPr>
                <w:rFonts w:hint="eastAsia" w:cs="Times New Roman"/>
                <w:color w:val="auto"/>
                <w:kern w:val="0"/>
                <w:sz w:val="24"/>
                <w:szCs w:val="24"/>
                <w:highlight w:val="none"/>
                <w:lang w:eastAsia="zh-CN"/>
              </w:rPr>
              <w:t>目前企业正在办理相关手续</w:t>
            </w:r>
            <w:r>
              <w:rPr>
                <w:rFonts w:hint="eastAsia"/>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both"/>
              <w:rPr>
                <w:rFonts w:hint="default"/>
                <w:color w:val="auto"/>
                <w:sz w:val="24"/>
                <w:szCs w:val="24"/>
                <w:highlight w:val="none"/>
              </w:rPr>
            </w:pPr>
            <w:r>
              <w:rPr>
                <w:rFonts w:hint="default"/>
                <w:color w:val="auto"/>
                <w:sz w:val="24"/>
                <w:szCs w:val="24"/>
                <w:highlight w:val="none"/>
              </w:rPr>
              <w:t>①工作人员生活用水</w:t>
            </w:r>
          </w:p>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both"/>
              <w:rPr>
                <w:rFonts w:hint="default"/>
                <w:color w:val="auto"/>
                <w:sz w:val="24"/>
                <w:szCs w:val="24"/>
                <w:highlight w:val="none"/>
              </w:rPr>
            </w:pPr>
            <w:r>
              <w:rPr>
                <w:rFonts w:hint="default"/>
                <w:color w:val="auto"/>
                <w:sz w:val="24"/>
                <w:szCs w:val="24"/>
                <w:highlight w:val="none"/>
              </w:rPr>
              <w:t>本项目总人数</w:t>
            </w:r>
            <w:r>
              <w:rPr>
                <w:rFonts w:hint="eastAsia"/>
                <w:color w:val="auto"/>
                <w:sz w:val="24"/>
                <w:szCs w:val="24"/>
                <w:highlight w:val="none"/>
                <w:lang w:val="en-US" w:eastAsia="zh-CN"/>
              </w:rPr>
              <w:t>87</w:t>
            </w:r>
            <w:r>
              <w:rPr>
                <w:rFonts w:hint="default"/>
                <w:color w:val="auto"/>
                <w:sz w:val="24"/>
                <w:szCs w:val="24"/>
                <w:highlight w:val="none"/>
              </w:rPr>
              <w:t>人，用水定额根据</w:t>
            </w:r>
            <w:r>
              <w:rPr>
                <w:rFonts w:hint="default"/>
                <w:color w:val="auto"/>
                <w:sz w:val="24"/>
                <w:szCs w:val="24"/>
                <w:highlight w:val="none"/>
                <w:lang w:val="en-US" w:eastAsia="zh-CN"/>
              </w:rPr>
              <w:t>《内蒙古自治区行业用水定额》（DB15/T385-2020）</w:t>
            </w:r>
            <w:r>
              <w:rPr>
                <w:rFonts w:hint="default"/>
                <w:color w:val="auto"/>
                <w:sz w:val="24"/>
                <w:szCs w:val="24"/>
                <w:highlight w:val="none"/>
              </w:rPr>
              <w:t>按60L/人·d计，则工作人员生活用水量为</w:t>
            </w:r>
            <w:r>
              <w:rPr>
                <w:rFonts w:hint="eastAsia"/>
                <w:color w:val="auto"/>
                <w:sz w:val="24"/>
                <w:szCs w:val="24"/>
                <w:highlight w:val="none"/>
                <w:lang w:val="en-US" w:eastAsia="zh-CN"/>
              </w:rPr>
              <w:t>5.22</w:t>
            </w:r>
            <w:r>
              <w:rPr>
                <w:rFonts w:hint="default"/>
                <w:color w:val="auto"/>
                <w:sz w:val="24"/>
                <w:szCs w:val="24"/>
                <w:highlight w:val="none"/>
              </w:rPr>
              <w:t>m</w:t>
            </w:r>
            <w:r>
              <w:rPr>
                <w:rFonts w:hint="default"/>
                <w:color w:val="auto"/>
                <w:sz w:val="24"/>
                <w:szCs w:val="24"/>
                <w:highlight w:val="none"/>
                <w:vertAlign w:val="superscript"/>
              </w:rPr>
              <w:t>3</w:t>
            </w:r>
            <w:r>
              <w:rPr>
                <w:rFonts w:hint="default"/>
                <w:color w:val="auto"/>
                <w:sz w:val="24"/>
                <w:szCs w:val="24"/>
                <w:highlight w:val="none"/>
              </w:rPr>
              <w:t>/d（合</w:t>
            </w:r>
            <w:r>
              <w:rPr>
                <w:rFonts w:hint="eastAsia"/>
                <w:color w:val="auto"/>
                <w:sz w:val="24"/>
                <w:szCs w:val="24"/>
                <w:highlight w:val="none"/>
                <w:lang w:val="en-US" w:eastAsia="zh-CN"/>
              </w:rPr>
              <w:t>1905.3</w:t>
            </w:r>
            <w:r>
              <w:rPr>
                <w:rFonts w:hint="default"/>
                <w:color w:val="auto"/>
                <w:sz w:val="24"/>
                <w:szCs w:val="24"/>
                <w:highlight w:val="none"/>
              </w:rPr>
              <w:t>m</w:t>
            </w:r>
            <w:r>
              <w:rPr>
                <w:rFonts w:hint="default"/>
                <w:color w:val="auto"/>
                <w:sz w:val="24"/>
                <w:szCs w:val="24"/>
                <w:highlight w:val="none"/>
                <w:vertAlign w:val="superscript"/>
              </w:rPr>
              <w:t>3</w:t>
            </w:r>
            <w:r>
              <w:rPr>
                <w:rFonts w:hint="default"/>
                <w:color w:val="auto"/>
                <w:sz w:val="24"/>
                <w:szCs w:val="24"/>
                <w:highlight w:val="none"/>
              </w:rPr>
              <w:t>/a）。</w:t>
            </w:r>
          </w:p>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both"/>
              <w:rPr>
                <w:rFonts w:hint="default"/>
                <w:color w:val="auto"/>
                <w:sz w:val="24"/>
                <w:szCs w:val="24"/>
                <w:highlight w:val="none"/>
              </w:rPr>
            </w:pPr>
            <w:r>
              <w:rPr>
                <w:rFonts w:hint="default"/>
                <w:color w:val="auto"/>
                <w:sz w:val="24"/>
                <w:szCs w:val="24"/>
                <w:highlight w:val="none"/>
              </w:rPr>
              <w:t>②</w:t>
            </w:r>
            <w:r>
              <w:rPr>
                <w:rFonts w:hint="eastAsia"/>
                <w:color w:val="auto"/>
                <w:sz w:val="24"/>
                <w:szCs w:val="24"/>
                <w:highlight w:val="none"/>
                <w:lang w:eastAsia="zh-CN"/>
              </w:rPr>
              <w:t>灌溉</w:t>
            </w:r>
            <w:r>
              <w:rPr>
                <w:rFonts w:hint="default"/>
                <w:color w:val="auto"/>
                <w:sz w:val="24"/>
                <w:szCs w:val="24"/>
                <w:highlight w:val="none"/>
              </w:rPr>
              <w:t>用水</w:t>
            </w:r>
          </w:p>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both"/>
              <w:rPr>
                <w:rFonts w:hint="eastAsia"/>
                <w:color w:val="auto"/>
                <w:highlight w:val="none"/>
                <w:lang w:val="en-US" w:eastAsia="zh-CN"/>
              </w:rPr>
            </w:pPr>
            <w:r>
              <w:rPr>
                <w:rFonts w:hint="default"/>
                <w:color w:val="auto"/>
                <w:sz w:val="24"/>
                <w:szCs w:val="24"/>
                <w:highlight w:val="none"/>
              </w:rPr>
              <w:t>根据</w:t>
            </w:r>
            <w:r>
              <w:rPr>
                <w:rFonts w:hint="default"/>
                <w:color w:val="auto"/>
                <w:sz w:val="24"/>
                <w:szCs w:val="24"/>
                <w:highlight w:val="none"/>
                <w:lang w:val="en-US" w:eastAsia="zh-CN"/>
              </w:rPr>
              <w:t>《内蒙古自治区行业用水定额》（DB15/T385-2020）</w:t>
            </w:r>
            <w:r>
              <w:rPr>
                <w:rFonts w:hint="eastAsia"/>
                <w:color w:val="auto"/>
                <w:sz w:val="24"/>
                <w:szCs w:val="24"/>
                <w:highlight w:val="none"/>
                <w:lang w:eastAsia="zh-CN"/>
              </w:rPr>
              <w:t>，</w:t>
            </w:r>
            <w:r>
              <w:rPr>
                <w:rFonts w:hint="eastAsia"/>
                <w:color w:val="auto"/>
                <w:sz w:val="24"/>
                <w:szCs w:val="24"/>
                <w:highlight w:val="none"/>
                <w:lang w:val="en-US" w:eastAsia="zh-CN"/>
              </w:rPr>
              <w:t>蔬菜灌溉定额范围为5140立方米/公顷~2570立方米/公顷，本项目灌溉定额取均值3855立方米/公顷，需灌溉面积56112㎡，</w:t>
            </w:r>
            <w:r>
              <w:rPr>
                <w:rFonts w:hint="eastAsia"/>
                <w:color w:val="auto"/>
                <w:sz w:val="24"/>
                <w:szCs w:val="24"/>
                <w:highlight w:val="none"/>
                <w:lang w:eastAsia="zh-CN"/>
              </w:rPr>
              <w:t>则年灌溉</w:t>
            </w:r>
            <w:r>
              <w:rPr>
                <w:rFonts w:hint="default"/>
                <w:color w:val="auto"/>
                <w:sz w:val="24"/>
                <w:szCs w:val="24"/>
                <w:highlight w:val="none"/>
              </w:rPr>
              <w:t>用水量为</w:t>
            </w:r>
            <w:r>
              <w:rPr>
                <w:rFonts w:hint="eastAsia"/>
                <w:color w:val="auto"/>
                <w:sz w:val="24"/>
                <w:szCs w:val="24"/>
                <w:highlight w:val="none"/>
                <w:lang w:val="en-US" w:eastAsia="zh-CN"/>
              </w:rPr>
              <w:t>21631.176</w:t>
            </w:r>
            <w:r>
              <w:rPr>
                <w:rFonts w:hint="default"/>
                <w:color w:val="auto"/>
                <w:sz w:val="24"/>
                <w:szCs w:val="24"/>
                <w:highlight w:val="none"/>
              </w:rPr>
              <w:t>m</w:t>
            </w:r>
            <w:r>
              <w:rPr>
                <w:rFonts w:hint="default"/>
                <w:color w:val="auto"/>
                <w:sz w:val="24"/>
                <w:szCs w:val="24"/>
                <w:highlight w:val="none"/>
                <w:vertAlign w:val="superscript"/>
              </w:rPr>
              <w:t>3</w:t>
            </w:r>
            <w:r>
              <w:rPr>
                <w:rFonts w:hint="default"/>
                <w:color w:val="auto"/>
                <w:sz w:val="24"/>
                <w:szCs w:val="24"/>
                <w:highlight w:val="none"/>
              </w:rPr>
              <w:t>/a。</w:t>
            </w:r>
          </w:p>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both"/>
              <w:rPr>
                <w:color w:val="auto"/>
                <w:sz w:val="24"/>
                <w:szCs w:val="24"/>
                <w:highlight w:val="none"/>
              </w:rPr>
            </w:pPr>
            <w:r>
              <w:rPr>
                <w:color w:val="auto"/>
                <w:sz w:val="24"/>
                <w:szCs w:val="24"/>
                <w:highlight w:val="none"/>
              </w:rPr>
              <w:t>（2）排水</w:t>
            </w:r>
          </w:p>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both"/>
              <w:textAlignment w:val="auto"/>
              <w:rPr>
                <w:rFonts w:hint="eastAsia"/>
                <w:color w:val="auto"/>
                <w:sz w:val="24"/>
                <w:szCs w:val="24"/>
                <w:highlight w:val="none"/>
                <w:lang w:eastAsia="zh-CN"/>
              </w:rPr>
            </w:pPr>
            <w:r>
              <w:rPr>
                <w:rFonts w:hint="eastAsia"/>
                <w:color w:val="auto"/>
                <w:sz w:val="24"/>
                <w:szCs w:val="24"/>
                <w:highlight w:val="none"/>
              </w:rPr>
              <w:t>本项目生活</w:t>
            </w:r>
            <w:r>
              <w:rPr>
                <w:rFonts w:hint="eastAsia"/>
                <w:color w:val="auto"/>
                <w:sz w:val="24"/>
                <w:szCs w:val="24"/>
                <w:highlight w:val="none"/>
                <w:lang w:eastAsia="zh-CN"/>
              </w:rPr>
              <w:t>污</w:t>
            </w:r>
            <w:r>
              <w:rPr>
                <w:rFonts w:hint="eastAsia"/>
                <w:color w:val="auto"/>
                <w:sz w:val="24"/>
                <w:szCs w:val="24"/>
                <w:highlight w:val="none"/>
              </w:rPr>
              <w:t>水产生量按用水量的80%计算，则生活</w:t>
            </w:r>
            <w:r>
              <w:rPr>
                <w:rFonts w:hint="eastAsia"/>
                <w:color w:val="auto"/>
                <w:sz w:val="24"/>
                <w:szCs w:val="24"/>
                <w:highlight w:val="none"/>
                <w:lang w:eastAsia="zh-CN"/>
              </w:rPr>
              <w:t>污</w:t>
            </w:r>
            <w:r>
              <w:rPr>
                <w:rFonts w:hint="eastAsia"/>
                <w:color w:val="auto"/>
                <w:sz w:val="24"/>
                <w:szCs w:val="24"/>
                <w:highlight w:val="none"/>
              </w:rPr>
              <w:t>水产生量为</w:t>
            </w:r>
            <w:r>
              <w:rPr>
                <w:rFonts w:hint="eastAsia"/>
                <w:color w:val="auto"/>
                <w:sz w:val="24"/>
                <w:szCs w:val="24"/>
                <w:highlight w:val="none"/>
                <w:lang w:val="en-US" w:eastAsia="zh-CN"/>
              </w:rPr>
              <w:t>4.176</w:t>
            </w:r>
            <w:r>
              <w:rPr>
                <w:rFonts w:hint="default"/>
                <w:color w:val="auto"/>
                <w:sz w:val="24"/>
                <w:szCs w:val="24"/>
                <w:highlight w:val="none"/>
              </w:rPr>
              <w:t>m</w:t>
            </w:r>
            <w:r>
              <w:rPr>
                <w:rFonts w:hint="default"/>
                <w:color w:val="auto"/>
                <w:sz w:val="24"/>
                <w:szCs w:val="24"/>
                <w:highlight w:val="none"/>
                <w:vertAlign w:val="superscript"/>
              </w:rPr>
              <w:t>3</w:t>
            </w:r>
            <w:r>
              <w:rPr>
                <w:rFonts w:hint="default"/>
                <w:color w:val="auto"/>
                <w:sz w:val="24"/>
                <w:szCs w:val="24"/>
                <w:highlight w:val="none"/>
              </w:rPr>
              <w:t>/d</w:t>
            </w:r>
            <w:r>
              <w:rPr>
                <w:rFonts w:hint="eastAsia"/>
                <w:color w:val="auto"/>
                <w:sz w:val="24"/>
                <w:szCs w:val="24"/>
                <w:highlight w:val="none"/>
                <w:lang w:eastAsia="zh-CN"/>
              </w:rPr>
              <w:t>（</w:t>
            </w:r>
            <w:r>
              <w:rPr>
                <w:rFonts w:hint="eastAsia"/>
                <w:color w:val="auto"/>
                <w:sz w:val="24"/>
                <w:szCs w:val="24"/>
                <w:highlight w:val="none"/>
                <w:lang w:val="en-US" w:eastAsia="zh-CN"/>
              </w:rPr>
              <w:t>1524.24</w:t>
            </w:r>
            <w:r>
              <w:rPr>
                <w:rFonts w:hint="eastAsia"/>
                <w:color w:val="auto"/>
                <w:sz w:val="24"/>
                <w:szCs w:val="24"/>
                <w:highlight w:val="none"/>
              </w:rPr>
              <w:t>m</w:t>
            </w:r>
            <w:r>
              <w:rPr>
                <w:rFonts w:hint="eastAsia"/>
                <w:color w:val="auto"/>
                <w:sz w:val="24"/>
                <w:szCs w:val="24"/>
                <w:highlight w:val="none"/>
                <w:vertAlign w:val="superscript"/>
              </w:rPr>
              <w:t>3</w:t>
            </w:r>
            <w:r>
              <w:rPr>
                <w:rFonts w:hint="eastAsia"/>
                <w:color w:val="auto"/>
                <w:sz w:val="24"/>
                <w:szCs w:val="24"/>
                <w:highlight w:val="none"/>
              </w:rPr>
              <w:t>/a</w:t>
            </w:r>
            <w:r>
              <w:rPr>
                <w:rFonts w:hint="eastAsia"/>
                <w:color w:val="auto"/>
                <w:sz w:val="24"/>
                <w:szCs w:val="24"/>
                <w:highlight w:val="none"/>
                <w:lang w:eastAsia="zh-CN"/>
              </w:rPr>
              <w:t>）</w:t>
            </w:r>
            <w:r>
              <w:rPr>
                <w:rFonts w:hint="eastAsia" w:ascii="宋体" w:hAnsi="宋体" w:eastAsia="宋体" w:cs="宋体"/>
                <w:color w:val="auto"/>
                <w:sz w:val="24"/>
                <w:szCs w:val="24"/>
                <w:highlight w:val="none"/>
                <w:lang w:val="en-US" w:eastAsia="zh-CN"/>
              </w:rPr>
              <w:t>,</w:t>
            </w:r>
            <w:r>
              <w:rPr>
                <w:rFonts w:hint="eastAsia"/>
                <w:color w:val="auto"/>
                <w:sz w:val="24"/>
                <w:szCs w:val="24"/>
                <w:highlight w:val="none"/>
              </w:rPr>
              <w:t>生活污水</w:t>
            </w:r>
            <w:r>
              <w:rPr>
                <w:rFonts w:hint="eastAsia"/>
                <w:color w:val="auto"/>
                <w:sz w:val="24"/>
                <w:szCs w:val="24"/>
                <w:highlight w:val="none"/>
                <w:lang w:eastAsia="zh-CN"/>
              </w:rPr>
              <w:t>经化粪池收集</w:t>
            </w:r>
            <w:r>
              <w:rPr>
                <w:rFonts w:hint="eastAsia"/>
                <w:color w:val="auto"/>
                <w:sz w:val="24"/>
                <w:szCs w:val="24"/>
                <w:highlight w:val="none"/>
              </w:rPr>
              <w:t>后</w:t>
            </w:r>
            <w:r>
              <w:rPr>
                <w:rFonts w:hint="eastAsia"/>
                <w:color w:val="auto"/>
                <w:sz w:val="24"/>
                <w:szCs w:val="24"/>
                <w:highlight w:val="none"/>
                <w:lang w:eastAsia="zh-CN"/>
              </w:rPr>
              <w:t>通过污水管网最终进入阿镇</w:t>
            </w:r>
            <w:r>
              <w:rPr>
                <w:rFonts w:hint="eastAsia"/>
                <w:color w:val="auto"/>
                <w:sz w:val="24"/>
                <w:szCs w:val="24"/>
                <w:highlight w:val="none"/>
              </w:rPr>
              <w:t>污水处理厂处理</w:t>
            </w:r>
            <w:r>
              <w:rPr>
                <w:rFonts w:hint="eastAsia" w:ascii="Times New Roman" w:hAnsi="Times New Roman" w:eastAsia="宋体" w:cs="Times New Roman"/>
                <w:color w:val="auto"/>
                <w:sz w:val="24"/>
                <w:szCs w:val="24"/>
                <w:highlight w:val="none"/>
                <w:lang w:eastAsia="zh-CN"/>
              </w:rPr>
              <w:t>。</w:t>
            </w:r>
            <w:r>
              <w:rPr>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2023110</wp:posOffset>
                      </wp:positionH>
                      <wp:positionV relativeFrom="paragraph">
                        <wp:posOffset>25867995</wp:posOffset>
                      </wp:positionV>
                      <wp:extent cx="428625" cy="268605"/>
                      <wp:effectExtent l="0" t="47625" r="13335" b="19050"/>
                      <wp:wrapNone/>
                      <wp:docPr id="8" name="自选图形 225"/>
                      <wp:cNvGraphicFramePr/>
                      <a:graphic xmlns:a="http://schemas.openxmlformats.org/drawingml/2006/main">
                        <a:graphicData uri="http://schemas.microsoft.com/office/word/2010/wordprocessingShape">
                          <wps:wsp>
                            <wps:cNvCnPr/>
                            <wps:spPr>
                              <a:xfrm flipV="1">
                                <a:off x="0" y="0"/>
                                <a:ext cx="428625" cy="268605"/>
                              </a:xfrm>
                              <a:prstGeom prst="curvedConnector3">
                                <a:avLst>
                                  <a:gd name="adj1" fmla="val 50074"/>
                                </a:avLst>
                              </a:prstGeom>
                              <a:ln w="9525" cap="flat" cmpd="sng">
                                <a:solidFill>
                                  <a:srgbClr val="000000"/>
                                </a:solidFill>
                                <a:prstDash val="dash"/>
                                <a:headEnd type="none" w="med" len="med"/>
                                <a:tailEnd type="arrow" w="med" len="med"/>
                              </a:ln>
                            </wps:spPr>
                            <wps:bodyPr/>
                          </wps:wsp>
                        </a:graphicData>
                      </a:graphic>
                    </wp:anchor>
                  </w:drawing>
                </mc:Choice>
                <mc:Fallback>
                  <w:pict>
                    <v:shape id="自选图形 225" o:spid="_x0000_s1026" o:spt="38" type="#_x0000_t38" style="position:absolute;left:0pt;flip:y;margin-left:159.3pt;margin-top:2036.85pt;height:21.15pt;width:33.75pt;z-index:251665408;mso-width-relative:page;mso-height-relative:page;" filled="f" stroked="t" coordsize="21600,21600" o:gfxdata="UEsDBAoAAAAAAIdO4kAAAAAAAAAAAAAAAAAEAAAAZHJzL1BLAwQUAAAACACHTuJAyxZSYNsAAAAN&#10;AQAADwAAAGRycy9kb3ducmV2LnhtbE2PwU7DMAyG70i8Q2QkbiwJLV1Vmk5iYgeOdCB2zBqvrdY4&#10;pcm68faEEzva/vT7+8vVxQ5sxsn3jhTIhQCG1DjTU6vgY7t5yIH5oMnowREq+EEPq+r2ptSFcWd6&#10;x7kOLYsh5AutoAthLDj3TYdW+4UbkeLt4CarQxynlptJn2O4HfijEBm3uqf4odMjrjtsjvXJKtiE&#10;8Jp+unT+3u7qtl0nT1+7lzel7u+keAYW8BL+YfjTj+pQRae9O5HxbFCQyDyLqIJULJMlsIgkeSaB&#10;7eNKykwAr0p+3aL6BVBLAwQUAAAACACHTuJASwWKHBwCAAAeBAAADgAAAGRycy9lMm9Eb2MueG1s&#10;rVPLjtMwFN0j8Q+W9zRpmJYSNZ1Fy7BBUInH3vWjMfJLtpu0O3aIb2DHcv4B/mYk+AuundCBgcUs&#10;yCK6tq/PPefc6+XlUSvUcR+kNQ2eTkqMuKGWSbNv8Ns3V48WGIVIDCPKGt7gEw/4cvXwwbJ3Na9s&#10;axXjHgGICXXvGtzG6OqiCLTlmoSJddzAobBekwhLvy+YJz2ga1VUZTkveuuZ85byEGB3MxziEdHf&#10;B9AKISnfWHrQ3MQB1XNFIkgKrXQBrzJbITiNr4QIPCLVYFAa8x+KQLxL/2K1JPXeE9dKOlIg96Fw&#10;R5Mm0kDRM9SGRIIOXv4FpSX1NlgRJ9TqYhCSHQEV0/KON69b4njWAlYHdzY9/D9Y+rLbeiRZg6Ht&#10;hmho+PeP1z8+fLr5/O3m6xdUVbPkUe9CDalrs/XjKritT4KPwmsklHTvYJiyBSAKHbPDp7PD/BgR&#10;hc2LajEHREThqJov5mVGLwaYBOd8iM+51SgFDaYH33G2tsZAJ61/nAuQ7kWI2Ww2Uibs/RQjoRX0&#10;riMKzcryyUXiDchjNkS/sNNVZVDf4KezTIbAGAsYH+ClHVgRzD4XClZJdiWVSjeC3+/WyiPAB1n5&#10;Gyv8kZaKbEhohzwGUcoidcsJe2YYiicHHht4Wjgx0JxhpDi8xBTlzEikus0k3tv+36kgSRnQmJoz&#10;tCNFO8tOuUt5H8YmuzCOeJrL39f59u2zXv0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yxZSYNsA&#10;AAANAQAADwAAAAAAAAABACAAAAAiAAAAZHJzL2Rvd25yZXYueG1sUEsBAhQAFAAAAAgAh07iQEsF&#10;ihwcAgAAHgQAAA4AAAAAAAAAAQAgAAAAKgEAAGRycy9lMm9Eb2MueG1sUEsFBgAAAAAGAAYAWQEA&#10;ALgFAAAAAA==&#10;" adj="10816">
                      <v:fill on="f" focussize="0,0"/>
                      <v:stroke color="#000000" joinstyle="round" dashstyle="dash" endarrow="open"/>
                      <v:imagedata o:title=""/>
                      <o:lock v:ext="edit" aspectratio="f"/>
                    </v:shape>
                  </w:pict>
                </mc:Fallback>
              </mc:AlternateContent>
            </w:r>
          </w:p>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left"/>
              <w:rPr>
                <w:rFonts w:hint="eastAsia"/>
                <w:color w:val="auto"/>
                <w:sz w:val="24"/>
                <w:szCs w:val="24"/>
                <w:highlight w:val="none"/>
              </w:rPr>
            </w:pPr>
            <w:r>
              <w:rPr>
                <w:rFonts w:hint="eastAsia"/>
                <w:color w:val="auto"/>
                <w:sz w:val="24"/>
                <w:szCs w:val="24"/>
                <w:highlight w:val="none"/>
              </w:rPr>
              <w:t>（3）供电</w:t>
            </w:r>
          </w:p>
          <w:p>
            <w:pPr>
              <w:pStyle w:val="3"/>
              <w:keepNext w:val="0"/>
              <w:keepLines w:val="0"/>
              <w:pageBreakBefore w:val="0"/>
              <w:widowControl w:val="0"/>
              <w:kinsoku/>
              <w:wordWrap/>
              <w:overflowPunct/>
              <w:topLinePunct w:val="0"/>
              <w:autoSpaceDE/>
              <w:autoSpaceDN/>
              <w:bidi w:val="0"/>
              <w:spacing w:line="384" w:lineRule="auto"/>
              <w:rPr>
                <w:rFonts w:hint="default" w:ascii="Times New Roman" w:hAnsi="Times New Roman" w:cs="Times New Roman"/>
                <w:color w:val="auto"/>
                <w:sz w:val="24"/>
                <w:szCs w:val="24"/>
                <w:highlight w:val="none"/>
                <w:lang w:val="en-US" w:eastAsia="zh-CN"/>
              </w:rPr>
            </w:pPr>
            <w:r>
              <w:rPr>
                <w:rFonts w:hint="eastAsia"/>
                <w:color w:val="auto"/>
                <w:sz w:val="24"/>
                <w:szCs w:val="24"/>
                <w:highlight w:val="none"/>
                <w:lang w:val="en-US" w:eastAsia="zh-CN"/>
              </w:rPr>
              <w:t>市政电网供电，电源引自附近变电站</w:t>
            </w:r>
            <w:r>
              <w:rPr>
                <w:rFonts w:hint="default" w:ascii="Times New Roman" w:hAnsi="Times New Roman" w:cs="Times New Roman"/>
                <w:color w:val="auto"/>
                <w:sz w:val="24"/>
                <w:szCs w:val="24"/>
                <w:highlight w:val="none"/>
                <w:lang w:val="en-US" w:eastAsia="zh-CN"/>
              </w:rPr>
              <w:t>。</w:t>
            </w:r>
          </w:p>
          <w:p>
            <w:pPr>
              <w:pStyle w:val="4"/>
              <w:keepNext w:val="0"/>
              <w:keepLines w:val="0"/>
              <w:pageBreakBefore w:val="0"/>
              <w:widowControl w:val="0"/>
              <w:numPr>
                <w:ilvl w:val="0"/>
                <w:numId w:val="4"/>
              </w:numPr>
              <w:kinsoku/>
              <w:wordWrap/>
              <w:overflowPunct/>
              <w:topLinePunct w:val="0"/>
              <w:bidi w:val="0"/>
              <w:spacing w:after="0"/>
              <w:ind w:left="0" w:leftChars="0"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供热</w:t>
            </w:r>
          </w:p>
          <w:p>
            <w:pPr>
              <w:pStyle w:val="60"/>
              <w:keepNext w:val="0"/>
              <w:keepLines w:val="0"/>
              <w:pageBreakBefore w:val="0"/>
              <w:widowControl w:val="0"/>
              <w:kinsoku/>
              <w:wordWrap/>
              <w:overflowPunct/>
              <w:topLinePunct w:val="0"/>
              <w:bidi w:val="0"/>
              <w:ind w:firstLine="600"/>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 xml:space="preserve"> 项目区采暖均使用市政集中供热。</w:t>
            </w:r>
          </w:p>
          <w:p>
            <w:pPr>
              <w:numPr>
                <w:ilvl w:val="0"/>
                <w:numId w:val="0"/>
              </w:numPr>
              <w:rPr>
                <w:rFonts w:hint="default" w:eastAsia="宋体"/>
                <w:color w:val="auto"/>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24" w:type="pct"/>
            <w:noWrap w:val="0"/>
            <w:vAlign w:val="center"/>
          </w:tcPr>
          <w:p>
            <w:pPr>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总平面及现场布置</w:t>
            </w:r>
          </w:p>
        </w:tc>
        <w:tc>
          <w:tcPr>
            <w:tcW w:w="4775" w:type="pct"/>
            <w:noWrap w:val="0"/>
            <w:vAlign w:val="center"/>
          </w:tcPr>
          <w:p>
            <w:pPr>
              <w:pStyle w:val="59"/>
              <w:keepNext w:val="0"/>
              <w:keepLines w:val="0"/>
              <w:pageBreakBefore w:val="0"/>
              <w:widowControl w:val="0"/>
              <w:kinsoku/>
              <w:wordWrap/>
              <w:overflowPunct/>
              <w:topLinePunct w:val="0"/>
              <w:autoSpaceDE w:val="0"/>
              <w:autoSpaceDN w:val="0"/>
              <w:bidi w:val="0"/>
              <w:adjustRightInd w:val="0"/>
              <w:snapToGrid/>
              <w:spacing w:before="157" w:beforeLines="50" w:line="384" w:lineRule="auto"/>
              <w:ind w:firstLine="600"/>
              <w:textAlignment w:val="auto"/>
              <w:rPr>
                <w:rFonts w:ascii="宋体" w:hAnsi="宋体" w:cs="宋体"/>
                <w:color w:val="auto"/>
                <w:kern w:val="0"/>
                <w:sz w:val="24"/>
                <w:szCs w:val="24"/>
                <w:highlight w:val="none"/>
              </w:rPr>
            </w:pPr>
            <w:r>
              <w:rPr>
                <w:rFonts w:hint="eastAsia" w:ascii="Times New Roman" w:hAnsi="Times New Roman" w:eastAsia="宋体" w:cs="Times New Roman"/>
                <w:color w:val="auto"/>
                <w:kern w:val="2"/>
                <w:sz w:val="24"/>
                <w:szCs w:val="24"/>
                <w:highlight w:val="none"/>
                <w:lang w:val="en-US" w:eastAsia="zh-CN" w:bidi="ar-SA"/>
              </w:rPr>
              <w:t>项目区整体呈矩形布置，</w:t>
            </w:r>
            <w:r>
              <w:rPr>
                <w:rFonts w:hint="eastAsia" w:eastAsia="宋体" w:cs="Times New Roman"/>
                <w:color w:val="auto"/>
                <w:kern w:val="2"/>
                <w:sz w:val="24"/>
                <w:szCs w:val="24"/>
                <w:highlight w:val="none"/>
                <w:lang w:val="en-US" w:eastAsia="zh-CN" w:bidi="ar-SA"/>
              </w:rPr>
              <w:t>项目主体工程</w:t>
            </w:r>
            <w:r>
              <w:rPr>
                <w:rFonts w:hint="eastAsia" w:ascii="Times New Roman" w:hAnsi="Times New Roman" w:eastAsia="宋体" w:cs="Times New Roman"/>
                <w:color w:val="auto"/>
                <w:kern w:val="2"/>
                <w:sz w:val="24"/>
                <w:szCs w:val="24"/>
                <w:highlight w:val="none"/>
                <w:lang w:val="en-GB" w:eastAsia="zh-CN" w:bidi="ar-SA"/>
              </w:rPr>
              <w:t>蔬菜文化创意馆、南果北种馆、草原果蔬艺术馆</w:t>
            </w:r>
            <w:r>
              <w:rPr>
                <w:rFonts w:hint="eastAsia" w:eastAsia="宋体" w:cs="Times New Roman"/>
                <w:color w:val="auto"/>
                <w:kern w:val="2"/>
                <w:sz w:val="24"/>
                <w:szCs w:val="24"/>
                <w:highlight w:val="none"/>
                <w:lang w:val="en-GB" w:eastAsia="zh-CN" w:bidi="ar-SA"/>
              </w:rPr>
              <w:t>三大经济作物种植区位于厂区东西两侧区域，辅助工程</w:t>
            </w:r>
            <w:r>
              <w:rPr>
                <w:rFonts w:hint="eastAsia" w:ascii="Times New Roman" w:hAnsi="Times New Roman" w:eastAsia="宋体" w:cs="Times New Roman"/>
                <w:color w:val="auto"/>
                <w:kern w:val="2"/>
                <w:sz w:val="24"/>
                <w:szCs w:val="24"/>
                <w:highlight w:val="none"/>
                <w:lang w:val="en-GB" w:eastAsia="zh-CN" w:bidi="ar-SA"/>
              </w:rPr>
              <w:t>物联网控制中心、农文旅产品展销区、栽培模式展示馆、互动研学体验区、停车场</w:t>
            </w:r>
            <w:r>
              <w:rPr>
                <w:rFonts w:hint="eastAsia" w:eastAsia="宋体" w:cs="Times New Roman"/>
                <w:color w:val="auto"/>
                <w:kern w:val="2"/>
                <w:sz w:val="24"/>
                <w:szCs w:val="24"/>
                <w:highlight w:val="none"/>
                <w:lang w:val="en-GB" w:eastAsia="zh-CN" w:bidi="ar-SA"/>
              </w:rPr>
              <w:t>、</w:t>
            </w:r>
            <w:r>
              <w:rPr>
                <w:rFonts w:hint="eastAsia" w:ascii="Times New Roman" w:hAnsi="Times New Roman" w:eastAsia="宋体" w:cs="Times New Roman"/>
                <w:color w:val="auto"/>
                <w:kern w:val="2"/>
                <w:sz w:val="24"/>
                <w:szCs w:val="24"/>
                <w:highlight w:val="none"/>
                <w:lang w:val="en-GB" w:eastAsia="zh-CN" w:bidi="ar-SA"/>
              </w:rPr>
              <w:t>高科技农业科普展厅</w:t>
            </w:r>
            <w:r>
              <w:rPr>
                <w:rFonts w:hint="eastAsia" w:eastAsia="宋体" w:cs="Times New Roman"/>
                <w:color w:val="auto"/>
                <w:kern w:val="2"/>
                <w:sz w:val="24"/>
                <w:szCs w:val="24"/>
                <w:highlight w:val="none"/>
                <w:lang w:val="en-GB" w:eastAsia="zh-CN" w:bidi="ar-SA"/>
              </w:rPr>
              <w:t>、</w:t>
            </w:r>
            <w:r>
              <w:rPr>
                <w:rFonts w:hint="eastAsia" w:ascii="Times New Roman" w:hAnsi="Times New Roman" w:eastAsia="宋体" w:cs="Times New Roman"/>
                <w:color w:val="auto"/>
                <w:kern w:val="2"/>
                <w:sz w:val="24"/>
                <w:szCs w:val="24"/>
                <w:highlight w:val="none"/>
                <w:lang w:val="en-GB" w:eastAsia="zh-CN" w:bidi="ar-SA"/>
              </w:rPr>
              <w:t>扶正本草</w:t>
            </w:r>
            <w:r>
              <w:rPr>
                <w:rFonts w:hint="eastAsia" w:ascii="Times New Roman" w:hAnsi="Times New Roman" w:eastAsia="宋体" w:cs="Times New Roman"/>
                <w:color w:val="auto"/>
                <w:kern w:val="2"/>
                <w:sz w:val="24"/>
                <w:szCs w:val="24"/>
                <w:highlight w:val="none"/>
                <w:lang w:val="en-US" w:eastAsia="zh-CN" w:bidi="ar-SA"/>
              </w:rPr>
              <w:t>馆</w:t>
            </w:r>
            <w:r>
              <w:rPr>
                <w:rFonts w:hint="eastAsia" w:ascii="Times New Roman" w:hAnsi="Times New Roman" w:eastAsia="宋体" w:cs="Times New Roman"/>
                <w:color w:val="auto"/>
                <w:kern w:val="2"/>
                <w:sz w:val="24"/>
                <w:szCs w:val="24"/>
                <w:highlight w:val="none"/>
                <w:lang w:val="en-GB" w:eastAsia="zh-CN" w:bidi="ar-SA"/>
              </w:rPr>
              <w:t>、花开盛世馆</w:t>
            </w:r>
            <w:r>
              <w:rPr>
                <w:rFonts w:hint="eastAsia" w:eastAsia="宋体" w:cs="Times New Roman"/>
                <w:color w:val="auto"/>
                <w:kern w:val="2"/>
                <w:sz w:val="24"/>
                <w:szCs w:val="24"/>
                <w:highlight w:val="none"/>
                <w:lang w:val="en-GB" w:eastAsia="zh-CN" w:bidi="ar-SA"/>
              </w:rPr>
              <w:t>位于厂区北侧区域，</w:t>
            </w:r>
            <w:r>
              <w:rPr>
                <w:rFonts w:hint="eastAsia" w:ascii="Times New Roman" w:hAnsi="Times New Roman" w:eastAsia="宋体" w:cs="Times New Roman"/>
                <w:color w:val="auto"/>
                <w:kern w:val="2"/>
                <w:sz w:val="24"/>
                <w:szCs w:val="24"/>
                <w:highlight w:val="none"/>
                <w:lang w:val="en-GB" w:eastAsia="zh-CN" w:bidi="ar-SA"/>
              </w:rPr>
              <w:t>荷兰模式展示馆</w:t>
            </w:r>
            <w:r>
              <w:rPr>
                <w:rFonts w:hint="eastAsia" w:ascii="Times New Roman" w:hAnsi="Times New Roman" w:eastAsia="宋体" w:cs="Times New Roman"/>
                <w:color w:val="auto"/>
                <w:kern w:val="2"/>
                <w:sz w:val="24"/>
                <w:szCs w:val="24"/>
                <w:highlight w:val="none"/>
                <w:lang w:val="en-US" w:eastAsia="zh-CN" w:bidi="ar-SA"/>
              </w:rPr>
              <w:t>1</w:t>
            </w:r>
            <w:r>
              <w:rPr>
                <w:rFonts w:hint="eastAsia" w:ascii="Times New Roman" w:hAnsi="Times New Roman" w:eastAsia="宋体" w:cs="Times New Roman"/>
                <w:color w:val="auto"/>
                <w:kern w:val="2"/>
                <w:sz w:val="24"/>
                <w:szCs w:val="24"/>
                <w:highlight w:val="none"/>
                <w:lang w:val="en-GB" w:eastAsia="zh-CN" w:bidi="ar-SA"/>
              </w:rPr>
              <w:t>、荷兰模式展示馆</w:t>
            </w:r>
            <w:r>
              <w:rPr>
                <w:rFonts w:hint="eastAsia" w:ascii="Times New Roman" w:hAnsi="Times New Roman" w:eastAsia="宋体" w:cs="Times New Roman"/>
                <w:color w:val="auto"/>
                <w:kern w:val="2"/>
                <w:sz w:val="24"/>
                <w:szCs w:val="24"/>
                <w:highlight w:val="none"/>
                <w:lang w:val="en-US" w:eastAsia="zh-CN" w:bidi="ar-SA"/>
              </w:rPr>
              <w:t>2</w:t>
            </w:r>
            <w:r>
              <w:rPr>
                <w:rFonts w:hint="eastAsia" w:eastAsia="宋体" w:cs="Times New Roman"/>
                <w:color w:val="auto"/>
                <w:kern w:val="2"/>
                <w:sz w:val="24"/>
                <w:szCs w:val="24"/>
                <w:highlight w:val="none"/>
                <w:lang w:val="en-US" w:eastAsia="zh-CN" w:bidi="ar-SA"/>
              </w:rPr>
              <w:t>位于厂区中央</w:t>
            </w:r>
            <w:r>
              <w:rPr>
                <w:rFonts w:hint="eastAsia" w:ascii="Times New Roman" w:hAnsi="Times New Roman" w:eastAsia="宋体" w:cs="Times New Roman"/>
                <w:color w:val="auto"/>
                <w:kern w:val="2"/>
                <w:sz w:val="24"/>
                <w:szCs w:val="24"/>
                <w:highlight w:val="none"/>
                <w:lang w:val="en-GB" w:eastAsia="zh-CN" w:bidi="ar-SA"/>
              </w:rPr>
              <w:t>，热带植物风情馆、生态研学馆</w:t>
            </w:r>
            <w:r>
              <w:rPr>
                <w:rFonts w:hint="eastAsia" w:eastAsia="宋体" w:cs="Times New Roman"/>
                <w:color w:val="auto"/>
                <w:kern w:val="2"/>
                <w:sz w:val="24"/>
                <w:szCs w:val="24"/>
                <w:highlight w:val="none"/>
                <w:lang w:val="en-GB" w:eastAsia="zh-CN" w:bidi="ar-SA"/>
              </w:rPr>
              <w:t>位于厂区东南区域</w:t>
            </w:r>
            <w:r>
              <w:rPr>
                <w:rFonts w:hint="eastAsia" w:ascii="Times New Roman" w:hAnsi="Times New Roman" w:eastAsia="宋体" w:cs="Times New Roman"/>
                <w:color w:val="auto"/>
                <w:kern w:val="2"/>
                <w:sz w:val="24"/>
                <w:szCs w:val="24"/>
                <w:highlight w:val="none"/>
                <w:lang w:val="en-GB" w:eastAsia="zh-CN" w:bidi="ar-SA"/>
              </w:rPr>
              <w:t>。</w:t>
            </w:r>
            <w:r>
              <w:rPr>
                <w:rFonts w:hint="eastAsia" w:ascii="Times New Roman" w:hAnsi="Times New Roman" w:eastAsia="宋体" w:cs="Times New Roman"/>
                <w:color w:val="auto"/>
                <w:kern w:val="2"/>
                <w:sz w:val="24"/>
                <w:szCs w:val="24"/>
                <w:highlight w:val="none"/>
                <w:lang w:val="en-US" w:eastAsia="zh-CN" w:bidi="ar-SA"/>
              </w:rPr>
              <w:t>该项目主要建筑利用地形合理布局，建筑围合形成宜人的空间格局，所有功能区内部视线通透，视线干扰小，富有韵律感。沿路立面简洁、美观、现代，入口合理布局。各项目区内建筑风格、环境景观与预留公共绿地有机联系，丰富了项目区空间，项目区内交通自呈体系，在厂区内车道沿外围环形布置，使人车分流，内部为应急消防车道，人行在内，车行在外，互不干扰；</w:t>
            </w:r>
            <w:r>
              <w:rPr>
                <w:rFonts w:hint="default" w:ascii="Times New Roman" w:hAnsi="Times New Roman" w:eastAsia="宋体" w:cs="Times New Roman"/>
                <w:color w:val="auto"/>
                <w:kern w:val="2"/>
                <w:sz w:val="24"/>
                <w:szCs w:val="24"/>
                <w:highlight w:val="none"/>
                <w:lang w:val="en-US" w:eastAsia="zh-CN" w:bidi="ar-SA"/>
              </w:rPr>
              <w:t>平面布置见附图2。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224" w:type="pct"/>
            <w:noWrap w:val="0"/>
            <w:vAlign w:val="center"/>
          </w:tcPr>
          <w:p>
            <w:pPr>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施工方案</w:t>
            </w:r>
          </w:p>
        </w:tc>
        <w:tc>
          <w:tcPr>
            <w:tcW w:w="4775"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84" w:lineRule="auto"/>
              <w:ind w:right="0" w:firstLine="482" w:firstLineChars="200"/>
              <w:jc w:val="both"/>
              <w:textAlignment w:val="auto"/>
              <w:outlineLvl w:val="9"/>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eastAsia="zh-CN"/>
              </w:rPr>
              <w:t>一、施工方案</w:t>
            </w:r>
          </w:p>
          <w:p>
            <w:pPr>
              <w:pStyle w:val="60"/>
              <w:keepNext w:val="0"/>
              <w:keepLines w:val="0"/>
              <w:pageBreakBefore w:val="0"/>
              <w:widowControl w:val="0"/>
              <w:kinsoku/>
              <w:wordWrap/>
              <w:overflowPunct/>
              <w:topLinePunct w:val="0"/>
              <w:bidi w:val="0"/>
              <w:spacing w:line="384" w:lineRule="auto"/>
              <w:ind w:firstLine="6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温室跨度12m,肩高7米，开间8米。室内独立基础,四周条形基础.温室采用240mm墙，墙裙高500mm，内外抹灰，墙裙以上覆盖采用5+6+5中空钢化玻璃覆盖，屋面采用5m钢化漫散射玻璃。</w:t>
            </w:r>
          </w:p>
          <w:p>
            <w:pPr>
              <w:pStyle w:val="60"/>
              <w:keepNext w:val="0"/>
              <w:keepLines w:val="0"/>
              <w:pageBreakBefore w:val="0"/>
              <w:widowControl w:val="0"/>
              <w:kinsoku/>
              <w:wordWrap/>
              <w:overflowPunct/>
              <w:topLinePunct w:val="0"/>
              <w:bidi w:val="0"/>
              <w:spacing w:line="384" w:lineRule="auto"/>
              <w:ind w:firstLine="6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温室配置包括电动外遮阳系统、电动内遮阳系统、电动内保温系统、电动顶通风系统（采用风琴式开窗、折叠防虫网）、风机湿帘降温系统、加温系统、内循环系统、四周保温系统等，整体采用物联网智能控制系统进行操控，配备手机APP、LED显示屏、气象站等。</w:t>
            </w:r>
          </w:p>
          <w:p>
            <w:pPr>
              <w:pStyle w:val="60"/>
              <w:keepNext w:val="0"/>
              <w:keepLines w:val="0"/>
              <w:pageBreakBefore w:val="0"/>
              <w:widowControl w:val="0"/>
              <w:kinsoku/>
              <w:wordWrap/>
              <w:overflowPunct/>
              <w:topLinePunct w:val="0"/>
              <w:bidi w:val="0"/>
              <w:spacing w:line="384" w:lineRule="auto"/>
              <w:ind w:firstLine="600"/>
              <w:textAlignment w:val="auto"/>
              <w:rPr>
                <w:rFonts w:hint="eastAsia" w:ascii="仿宋" w:hAnsi="仿宋" w:eastAsia="仿宋" w:cs="仿宋"/>
                <w:color w:val="auto"/>
                <w:sz w:val="30"/>
                <w:szCs w:val="30"/>
              </w:rPr>
            </w:pPr>
            <w:r>
              <w:rPr>
                <w:rFonts w:hint="default" w:ascii="Times New Roman" w:hAnsi="Times New Roman" w:eastAsia="宋体" w:cs="Times New Roman"/>
                <w:color w:val="auto"/>
                <w:sz w:val="24"/>
                <w:szCs w:val="24"/>
                <w:highlight w:val="none"/>
                <w:lang w:val="en-US" w:eastAsia="zh-CN"/>
              </w:rPr>
              <w:t>温室主体材料采用Q235钢材焊接后整体热镀锌再进行白色喷涂，四周围梁采用Q355材质激光打孔后整体热镀锌再进行白色喷涂，具有结构强度大、外形美观、使用寿命长等特点。顶部使用铝合金天沟和铝制屋架杆，密闭性强保温性能好。</w:t>
            </w:r>
          </w:p>
          <w:p>
            <w:pPr>
              <w:keepNext w:val="0"/>
              <w:keepLines w:val="0"/>
              <w:pageBreakBefore w:val="0"/>
              <w:widowControl w:val="0"/>
              <w:numPr>
                <w:ilvl w:val="0"/>
                <w:numId w:val="5"/>
              </w:numPr>
              <w:kinsoku/>
              <w:wordWrap/>
              <w:overflowPunct/>
              <w:topLinePunct w:val="0"/>
              <w:autoSpaceDE/>
              <w:autoSpaceDN/>
              <w:bidi w:val="0"/>
              <w:adjustRightInd w:val="0"/>
              <w:snapToGrid w:val="0"/>
              <w:spacing w:line="384" w:lineRule="auto"/>
              <w:ind w:firstLine="482" w:firstLineChars="200"/>
              <w:jc w:val="both"/>
              <w:textAlignment w:val="auto"/>
              <w:outlineLvl w:val="9"/>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工艺流程简述</w:t>
            </w:r>
          </w:p>
          <w:p>
            <w:pPr>
              <w:keepNext w:val="0"/>
              <w:keepLines w:val="0"/>
              <w:pageBreakBefore w:val="0"/>
              <w:widowControl w:val="0"/>
              <w:kinsoku/>
              <w:wordWrap/>
              <w:overflowPunct/>
              <w:topLinePunct w:val="0"/>
              <w:autoSpaceDE/>
              <w:autoSpaceDN/>
              <w:bidi w:val="0"/>
              <w:spacing w:line="384" w:lineRule="auto"/>
              <w:ind w:firstLine="482"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z w:val="24"/>
                <w:szCs w:val="24"/>
                <w:highlight w:val="none"/>
              </w:rPr>
              <w:t>1</w:t>
            </w:r>
            <w:r>
              <w:rPr>
                <w:rFonts w:hint="eastAsia" w:ascii="Times New Roman" w:hAnsi="Times New Roman" w:eastAsia="宋体" w:cs="Times New Roman"/>
                <w:b/>
                <w:color w:val="auto"/>
                <w:sz w:val="24"/>
                <w:szCs w:val="24"/>
                <w:highlight w:val="none"/>
                <w:lang w:eastAsia="zh-CN"/>
              </w:rPr>
              <w:t>、</w:t>
            </w:r>
            <w:r>
              <w:rPr>
                <w:rFonts w:hint="default" w:ascii="Times New Roman" w:hAnsi="Times New Roman" w:eastAsia="宋体" w:cs="Times New Roman"/>
                <w:b/>
                <w:color w:val="auto"/>
                <w:sz w:val="24"/>
                <w:szCs w:val="24"/>
                <w:highlight w:val="none"/>
              </w:rPr>
              <w:t>施工期工艺流程及产污节点</w:t>
            </w:r>
          </w:p>
          <w:p>
            <w:pPr>
              <w:keepNext w:val="0"/>
              <w:keepLines w:val="0"/>
              <w:pageBreakBefore w:val="0"/>
              <w:widowControl w:val="0"/>
              <w:kinsoku/>
              <w:wordWrap/>
              <w:overflowPunct/>
              <w:topLinePunct w:val="0"/>
              <w:autoSpaceDE/>
              <w:autoSpaceDN/>
              <w:bidi w:val="0"/>
              <w:spacing w:line="384" w:lineRule="auto"/>
              <w:ind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本项目工程简单，工程量少。工程施工期间的场地平整、基础工程、主体工程等建设工序将产生废气</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少量污水</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噪声</w:t>
            </w:r>
            <w:r>
              <w:rPr>
                <w:rFonts w:hint="default" w:ascii="Times New Roman" w:hAnsi="Times New Roman" w:eastAsia="宋体" w:cs="Times New Roman"/>
                <w:color w:val="auto"/>
                <w:sz w:val="24"/>
                <w:szCs w:val="24"/>
                <w:highlight w:val="none"/>
                <w:lang w:eastAsia="zh-CN"/>
              </w:rPr>
              <w:t>和</w:t>
            </w:r>
            <w:r>
              <w:rPr>
                <w:rFonts w:hint="default" w:ascii="Times New Roman" w:hAnsi="Times New Roman" w:eastAsia="宋体" w:cs="Times New Roman"/>
                <w:color w:val="auto"/>
                <w:sz w:val="24"/>
                <w:szCs w:val="24"/>
                <w:highlight w:val="none"/>
              </w:rPr>
              <w:t>固体废弃物等污染物。施工期工艺流程及产污环节图见图</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-1。</w:t>
            </w:r>
          </w:p>
          <w:p>
            <w:pPr>
              <w:pageBreakBefore w:val="0"/>
              <w:kinsoku/>
              <w:wordWrap/>
              <w:overflowPunct/>
              <w:topLinePunct w:val="0"/>
              <w:autoSpaceDE/>
              <w:autoSpaceDN/>
              <w:bidi w:val="0"/>
              <w:spacing w:line="360" w:lineRule="auto"/>
              <w:ind w:firstLine="480" w:firstLineChars="200"/>
              <w:jc w:val="both"/>
              <w:outlineLvl w:val="9"/>
              <w:rPr>
                <w:rFonts w:hint="default" w:ascii="Times New Roman" w:hAnsi="Times New Roman" w:eastAsia="宋体" w:cs="Times New Roman"/>
                <w:color w:val="auto"/>
                <w:sz w:val="24"/>
                <w:szCs w:val="24"/>
                <w:highlight w:val="none"/>
              </w:rPr>
            </w:pPr>
          </w:p>
          <w:p>
            <w:pPr>
              <w:pageBreakBefore w:val="0"/>
              <w:kinsoku/>
              <w:wordWrap/>
              <w:overflowPunct/>
              <w:topLinePunct w:val="0"/>
              <w:autoSpaceDE/>
              <w:autoSpaceDN/>
              <w:bidi w:val="0"/>
              <w:spacing w:line="360" w:lineRule="auto"/>
              <w:ind w:firstLine="480" w:firstLineChars="200"/>
              <w:jc w:val="both"/>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4648200" cy="1500505"/>
                  <wp:effectExtent l="0" t="0" r="0" b="8255"/>
                  <wp:docPr id="39" name="图片 11" descr="$MA1}~9F43JY6$`SVLGI@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1" descr="$MA1}~9F43JY6$`SVLGI@11"/>
                          <pic:cNvPicPr>
                            <a:picLocks noChangeAspect="1"/>
                          </pic:cNvPicPr>
                        </pic:nvPicPr>
                        <pic:blipFill>
                          <a:blip r:embed="rId13"/>
                          <a:stretch>
                            <a:fillRect/>
                          </a:stretch>
                        </pic:blipFill>
                        <pic:spPr>
                          <a:xfrm>
                            <a:off x="0" y="0"/>
                            <a:ext cx="4648200" cy="1500505"/>
                          </a:xfrm>
                          <a:prstGeom prst="rect">
                            <a:avLst/>
                          </a:prstGeom>
                          <a:noFill/>
                          <a:ln>
                            <a:noFill/>
                          </a:ln>
                        </pic:spPr>
                      </pic:pic>
                    </a:graphicData>
                  </a:graphic>
                </wp:inline>
              </w:drawing>
            </w:r>
          </w:p>
          <w:p>
            <w:pPr>
              <w:pageBreakBefore w:val="0"/>
              <w:kinsoku/>
              <w:wordWrap/>
              <w:overflowPunct/>
              <w:topLinePunct w:val="0"/>
              <w:autoSpaceDE/>
              <w:autoSpaceDN/>
              <w:bidi w:val="0"/>
              <w:spacing w:line="360" w:lineRule="auto"/>
              <w:jc w:val="center"/>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图</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-1  施工期工艺流程及产污环节图</w:t>
            </w:r>
          </w:p>
          <w:p>
            <w:pPr>
              <w:pageBreakBefore w:val="0"/>
              <w:kinsoku/>
              <w:wordWrap/>
              <w:overflowPunct/>
              <w:topLinePunct w:val="0"/>
              <w:autoSpaceDE/>
              <w:autoSpaceDN/>
              <w:bidi w:val="0"/>
              <w:adjustRightInd w:val="0"/>
              <w:snapToGrid w:val="0"/>
              <w:spacing w:line="360" w:lineRule="auto"/>
              <w:ind w:firstLine="482" w:firstLineChars="200"/>
              <w:jc w:val="both"/>
              <w:outlineLvl w:val="9"/>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w:t>
            </w:r>
            <w:r>
              <w:rPr>
                <w:rFonts w:hint="eastAsia"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 xml:space="preserve"> 运营期工艺</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项目运营期工艺流程及产污环节图见图</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-2。</w:t>
            </w:r>
          </w:p>
          <w:p>
            <w:pPr>
              <w:pageBreakBefore w:val="0"/>
              <w:kinsoku/>
              <w:wordWrap/>
              <w:overflowPunct/>
              <w:topLinePunct w:val="0"/>
              <w:autoSpaceDE/>
              <w:autoSpaceDN/>
              <w:bidi w:val="0"/>
              <w:spacing w:line="360" w:lineRule="auto"/>
              <w:jc w:val="both"/>
              <w:outlineLvl w:val="9"/>
              <w:rPr>
                <w:rFonts w:hint="default" w:ascii="Times New Roman" w:hAnsi="Times New Roman" w:eastAsia="宋体" w:cs="Times New Roman"/>
                <w:color w:val="auto"/>
                <w:sz w:val="24"/>
                <w:szCs w:val="24"/>
                <w:highlight w:val="none"/>
              </w:rPr>
            </w:pPr>
          </w:p>
          <w:p>
            <w:pPr>
              <w:pageBreakBefore w:val="0"/>
              <w:kinsoku/>
              <w:wordWrap/>
              <w:overflowPunct/>
              <w:topLinePunct w:val="0"/>
              <w:autoSpaceDE/>
              <w:autoSpaceDN/>
              <w:bidi w:val="0"/>
              <w:spacing w:line="360" w:lineRule="auto"/>
              <w:jc w:val="both"/>
              <w:outlineLvl w:val="9"/>
              <w:rPr>
                <w:rFonts w:hint="default" w:ascii="Times New Roman" w:hAnsi="Times New Roman" w:eastAsia="宋体" w:cs="Times New Roman"/>
                <w:color w:val="auto"/>
                <w:sz w:val="24"/>
                <w:szCs w:val="24"/>
                <w:highlight w:val="none"/>
              </w:rPr>
            </w:pPr>
          </w:p>
          <w:p>
            <w:pPr>
              <w:pageBreakBefore w:val="0"/>
              <w:kinsoku/>
              <w:wordWrap/>
              <w:overflowPunct/>
              <w:topLinePunct w:val="0"/>
              <w:autoSpaceDE/>
              <w:autoSpaceDN/>
              <w:bidi w:val="0"/>
              <w:spacing w:line="360" w:lineRule="auto"/>
              <w:jc w:val="both"/>
              <w:outlineLvl w:val="9"/>
              <w:rPr>
                <w:rFonts w:hint="default" w:ascii="Times New Roman" w:hAnsi="Times New Roman" w:eastAsia="宋体" w:cs="Times New Roman"/>
                <w:color w:val="auto"/>
                <w:sz w:val="24"/>
                <w:szCs w:val="24"/>
                <w:highlight w:val="none"/>
              </w:rPr>
            </w:pPr>
          </w:p>
          <w:p>
            <w:pPr>
              <w:pageBreakBefore w:val="0"/>
              <w:kinsoku/>
              <w:wordWrap/>
              <w:overflowPunct/>
              <w:topLinePunct w:val="0"/>
              <w:autoSpaceDE/>
              <w:autoSpaceDN/>
              <w:bidi w:val="0"/>
              <w:spacing w:line="360" w:lineRule="auto"/>
              <w:jc w:val="both"/>
              <w:outlineLvl w:val="9"/>
              <w:rPr>
                <w:rFonts w:hint="default" w:ascii="Times New Roman" w:hAnsi="Times New Roman" w:eastAsia="宋体" w:cs="Times New Roman"/>
                <w:color w:val="auto"/>
                <w:sz w:val="24"/>
                <w:szCs w:val="24"/>
                <w:highlight w:val="none"/>
              </w:rPr>
            </w:pPr>
            <w:r>
              <w:rPr>
                <w:color w:val="auto"/>
                <w:sz w:val="18"/>
              </w:rPr>
              <mc:AlternateContent>
                <mc:Choice Requires="wps">
                  <w:drawing>
                    <wp:anchor distT="0" distB="0" distL="114300" distR="114300" simplePos="0" relativeHeight="251703296" behindDoc="0" locked="0" layoutInCell="1" allowOverlap="1">
                      <wp:simplePos x="0" y="0"/>
                      <wp:positionH relativeFrom="column">
                        <wp:posOffset>1852295</wp:posOffset>
                      </wp:positionH>
                      <wp:positionV relativeFrom="paragraph">
                        <wp:posOffset>88900</wp:posOffset>
                      </wp:positionV>
                      <wp:extent cx="3086735" cy="269240"/>
                      <wp:effectExtent l="4445" t="4445" r="13970" b="12065"/>
                      <wp:wrapNone/>
                      <wp:docPr id="73" name="文本框 81"/>
                      <wp:cNvGraphicFramePr/>
                      <a:graphic xmlns:a="http://schemas.openxmlformats.org/drawingml/2006/main">
                        <a:graphicData uri="http://schemas.microsoft.com/office/word/2010/wordprocessingShape">
                          <wps:wsp>
                            <wps:cNvSpPr txBox="1"/>
                            <wps:spPr>
                              <a:xfrm>
                                <a:off x="0" y="0"/>
                                <a:ext cx="3086735" cy="269240"/>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hint="eastAsia" w:eastAsia="宋体"/>
                                      <w:lang w:val="en-US" w:eastAsia="zh-CN"/>
                                    </w:rPr>
                                  </w:pPr>
                                  <w:r>
                                    <w:rPr>
                                      <w:rFonts w:hint="eastAsia"/>
                                      <w:lang w:eastAsia="zh-CN"/>
                                    </w:rPr>
                                    <w:t>生活污水、生活垃圾</w:t>
                                  </w:r>
                                  <w:r>
                                    <w:rPr>
                                      <w:rFonts w:hint="eastAsia"/>
                                      <w:lang w:val="en-US" w:eastAsia="zh-CN"/>
                                    </w:rPr>
                                    <w:t>、噪声</w:t>
                                  </w:r>
                                </w:p>
                              </w:txbxContent>
                            </wps:txbx>
                            <wps:bodyPr vert="horz" wrap="square" anchor="t" anchorCtr="0" upright="1"/>
                          </wps:wsp>
                        </a:graphicData>
                      </a:graphic>
                    </wp:anchor>
                  </w:drawing>
                </mc:Choice>
                <mc:Fallback>
                  <w:pict>
                    <v:shape id="文本框 81" o:spid="_x0000_s1026" o:spt="202" type="#_x0000_t202" style="position:absolute;left:0pt;margin-left:145.85pt;margin-top:7pt;height:21.2pt;width:243.05pt;z-index:251703296;mso-width-relative:page;mso-height-relative:page;" fillcolor="#FFFFFF" filled="t" stroked="t" coordsize="21600,21600" o:gfxdata="UEsDBAoAAAAAAIdO4kAAAAAAAAAAAAAAAAAEAAAAZHJzL1BLAwQUAAAACACHTuJAh3mCg9cAAAAJ&#10;AQAADwAAAGRycy9kb3ducmV2LnhtbE2Py26DMBBF95X6D9ZU6q4xoCROCCaLPneRSrPo0sDwUPEY&#10;YQfSv+901S5H9+rOOdnxagcx4+R7RxriVQQCqXJ1T62G88fLww6ED4ZqMzhCDd/o4Zjf3mQmrd1C&#10;7zgXoRU8Qj41GroQxlRKX3VojV+5EYmzxk3WBD6nVtaTWXjcDjKJoq20pif+0JkRHzusvoqL1XB6&#10;87tSPc+fr8XZPZ0W1ZhN0mh9fxdHBxABr+GvDL/4jA45M5XuQrUXg4ZkHyuucrBmJy4opdil1LDZ&#10;rkHmmfxvkP8AUEsDBBQAAAAIAIdO4kCrIBJ7LwIAAGoEAAAOAAAAZHJzL2Uyb0RvYy54bWytVEuO&#10;EzEQ3SNxB8t70vkwmUyUzkhMCBsESAMHcNzutCX/sJ2kwwHgBqzYzJ5z5Rw8uzOZDyyyoBfdZbv8&#10;qt6rqp5dt1qRrfBBWlPSQa9PiTDcVtKsS/rl8/LVhJIQmamYskaUdC8CvZ6/fDHbuakY2saqSngC&#10;EBOmO1fSJkY3LYrAG6FZ6FknDA5r6zWLWPp1UXm2A7pWxbDfHxc76yvnLRchYHfRHdIjoj8H0Na1&#10;5GJh+UYLEztULxSLoBQa6QKd52zrWvD4sa6DiESVFExjfiMI7FV6F/MZm649c43kxxTYOSk846SZ&#10;NAh6glqwyMjGy7+gtOTeBlvHHre66IhkRcBi0H+mzW3DnMhcIHVwJ9HD/4PlH7afPJFVSS9HlBim&#10;UfHDzx+HX78Pd9/JZJAE2rkwhd+tg2ds39gWbXO/H7CZeLe11+kLRgTnkHd/kle0kXBsjvqT8eXo&#10;ghKOs+H4avg661883HY+xHfCapKMknqUL6vKtu9DRCZwvXdJwYJVslpKpfLCr1c3ypMtQ6mX+UlJ&#10;4soTN2XIrqRXF8OUB0P/1ugbmNpBg2DWOd6TG+ExcD8//wJOiS1YaLoEKljJi021jMJnqxGsemsq&#10;EvcOKhtMF025aFFRogSGMVnZMzKpzvEEOWXAMVWoq0SyYrtqAZPMla32qBrGHXI21n9DRDQ7mH7d&#10;MI/4zHBslxQSdOZN7KZj47xcN7iVS50joAWznsdxST3+eJ3zePhFzP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h3mCg9cAAAAJAQAADwAAAAAAAAABACAAAAAiAAAAZHJzL2Rvd25yZXYueG1sUEsB&#10;AhQAFAAAAAgAh07iQKsgEnsvAgAAagQAAA4AAAAAAAAAAQAgAAAAJgEAAGRycy9lMm9Eb2MueG1s&#10;UEsFBgAAAAAGAAYAWQEAAMcFAAAAAA==&#10;">
                      <v:fill on="t" focussize="0,0"/>
                      <v:stroke color="#000000" joinstyle="miter" dashstyle="dash"/>
                      <v:imagedata o:title=""/>
                      <o:lock v:ext="edit" aspectratio="f"/>
                      <v:textbox>
                        <w:txbxContent>
                          <w:p>
                            <w:pPr>
                              <w:jc w:val="center"/>
                              <w:rPr>
                                <w:rFonts w:hint="eastAsia" w:eastAsia="宋体"/>
                                <w:lang w:val="en-US" w:eastAsia="zh-CN"/>
                              </w:rPr>
                            </w:pPr>
                            <w:r>
                              <w:rPr>
                                <w:rFonts w:hint="eastAsia"/>
                                <w:lang w:eastAsia="zh-CN"/>
                              </w:rPr>
                              <w:t>生活污水、生活垃圾</w:t>
                            </w:r>
                            <w:r>
                              <w:rPr>
                                <w:rFonts w:hint="eastAsia"/>
                                <w:lang w:val="en-US" w:eastAsia="zh-CN"/>
                              </w:rPr>
                              <w:t>、噪声</w:t>
                            </w:r>
                          </w:p>
                        </w:txbxContent>
                      </v:textbox>
                    </v:shape>
                  </w:pict>
                </mc:Fallback>
              </mc:AlternateContent>
            </w:r>
          </w:p>
          <w:p>
            <w:pPr>
              <w:pageBreakBefore w:val="0"/>
              <w:kinsoku/>
              <w:wordWrap/>
              <w:overflowPunct/>
              <w:topLinePunct w:val="0"/>
              <w:autoSpaceDE/>
              <w:autoSpaceDN/>
              <w:bidi w:val="0"/>
              <w:spacing w:line="360" w:lineRule="auto"/>
              <w:ind w:firstLine="480" w:firstLineChars="200"/>
              <w:jc w:val="both"/>
              <w:outlineLvl w:val="9"/>
              <w:rPr>
                <w:rFonts w:hint="default" w:ascii="Times New Roman" w:hAnsi="Times New Roman" w:eastAsia="宋体" w:cs="Times New Roman"/>
                <w:color w:val="auto"/>
                <w:sz w:val="24"/>
                <w:szCs w:val="24"/>
                <w:highlight w:val="none"/>
              </w:rPr>
            </w:pPr>
            <w:r>
              <w:rPr>
                <w:color w:val="auto"/>
                <w:sz w:val="24"/>
              </w:rPr>
              <mc:AlternateContent>
                <mc:Choice Requires="wps">
                  <w:drawing>
                    <wp:anchor distT="0" distB="0" distL="114300" distR="114300" simplePos="0" relativeHeight="251702272" behindDoc="0" locked="0" layoutInCell="1" allowOverlap="1">
                      <wp:simplePos x="0" y="0"/>
                      <wp:positionH relativeFrom="column">
                        <wp:posOffset>3470275</wp:posOffset>
                      </wp:positionH>
                      <wp:positionV relativeFrom="paragraph">
                        <wp:posOffset>108585</wp:posOffset>
                      </wp:positionV>
                      <wp:extent cx="1270" cy="281940"/>
                      <wp:effectExtent l="48260" t="0" r="64770" b="3810"/>
                      <wp:wrapNone/>
                      <wp:docPr id="72" name="直线 84"/>
                      <wp:cNvGraphicFramePr/>
                      <a:graphic xmlns:a="http://schemas.openxmlformats.org/drawingml/2006/main">
                        <a:graphicData uri="http://schemas.microsoft.com/office/word/2010/wordprocessingShape">
                          <wps:wsp>
                            <wps:cNvCnPr/>
                            <wps:spPr>
                              <a:xfrm flipV="1">
                                <a:off x="0" y="0"/>
                                <a:ext cx="1270" cy="28194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84" o:spid="_x0000_s1026" o:spt="20" style="position:absolute;left:0pt;flip:y;margin-left:273.25pt;margin-top:8.55pt;height:22.2pt;width:0.1pt;z-index:251702272;mso-width-relative:page;mso-height-relative:page;" filled="f" stroked="t" coordsize="21600,21600" o:gfxdata="UEsDBAoAAAAAAIdO4kAAAAAAAAAAAAAAAAAEAAAAZHJzL1BLAwQUAAAACACHTuJAsrLfa9cAAAAJ&#10;AQAADwAAAGRycy9kb3ducmV2LnhtbE2PwU7DMAyG70i8Q2QkLhNLi2iLStMdJsGBG9k0rmmTtWWN&#10;UzXeVt4ec4Kj/X/6/bnaLH4UFzfHIaCCdJ2AcNgGO2CnYL97fXgGEcmgNWNAp+DbRdjUtzeVKW24&#10;4oe7aOoEl2AsjYKeaCqljG3vvInrMDnk7Bhmb4jHuZN2Nlcu96N8TJJcejMgX+jN5La9a0/67BW8&#10;vRM1u/1Eq9PxoL8+V9tFF1qp+7s0eQFBbqE/GH71WR1qdmrCGW0Uo4LsKc8Y5aBIQTDAiwJEoyBP&#10;M5B1Jf9/UP8AUEsDBBQAAAAIAIdO4kCqPJHQ+wEAAOoDAAAOAAAAZHJzL2Uyb0RvYy54bWytU0tu&#10;2zAQ3RfoHQjua9lC0iSC5SzippuiNdDPfkyREgH+MKQt+yy9Rlfd9Di5RoeU67RpF1lUC2HIeXwz&#10;73G4vD1Yw/YSo/au5YvZnDPphO+061v++dP9q2vOYgLXgfFOtvwoI79dvXyxHEMjaz9400lkROJi&#10;M4aWDymFpqqiGKSFOPNBOkoqjxYSLbGvOoSR2K2p6vn8dTV67AJ6IWOk3fWU5CdGfA6hV0oLufZi&#10;Z6VLEytKA4kkxUGHyFelW6WkSB+UijIx03JSmsqfilC8zf9qtYSmRwiDFqcW4DktPNFkQTsqeqZa&#10;QwK2Q/0XldUCffQqzYS31SSkOEIqFvMn3nwcIMiihayO4Wx6/H+04v1+g0x3Lb+qOXNg6cYfvn57&#10;+P6DXV9kd8YQGwLduQ2eVjFsMEs9KLRMGR2+0BgV8SSHHYq3x7O38pCYoM1FfUWeC0rU14ubi+J8&#10;NZFksoAxvZXeshy03GiXhUMD+3cxUWGC/oLkbePY2PKby/qSOIGmUNHtU2gDKYmuL2ejN7q718bk&#10;ExH77Z1Btoc8CeXL8oj3D1gusoY4TLiSmmZkkNC9cR1Lx0AWOXoaPLdgZceZkfSSckSE0CTQ5hEJ&#10;iH78N5RqG0ctZIsnU3O09d2RrmQXUPcDWbEobeYMjUBp+DSuecZ+Xxemxye6+g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yst9r1wAAAAkBAAAPAAAAAAAAAAEAIAAAACIAAABkcnMvZG93bnJldi54&#10;bWxQSwECFAAUAAAACACHTuJAqjyR0PsBAADqAwAADgAAAAAAAAABACAAAAAmAQAAZHJzL2Uyb0Rv&#10;Yy54bWxQSwUGAAAAAAYABgBZAQAAkwUAAAAA&#10;">
                      <v:fill on="f" focussize="0,0"/>
                      <v:stroke color="#000000" joinstyle="round" endarrow="open"/>
                      <v:imagedata o:title=""/>
                      <o:lock v:ext="edit" aspectratio="f"/>
                    </v:line>
                  </w:pict>
                </mc:Fallback>
              </mc:AlternateContent>
            </w:r>
          </w:p>
          <w:p>
            <w:pPr>
              <w:pageBreakBefore w:val="0"/>
              <w:kinsoku/>
              <w:wordWrap/>
              <w:overflowPunct/>
              <w:topLinePunct w:val="0"/>
              <w:autoSpaceDE/>
              <w:autoSpaceDN/>
              <w:bidi w:val="0"/>
              <w:spacing w:line="360" w:lineRule="auto"/>
              <w:ind w:firstLine="480" w:firstLineChars="200"/>
              <w:jc w:val="both"/>
              <w:outlineLvl w:val="9"/>
              <w:rPr>
                <w:rFonts w:hint="default" w:ascii="Times New Roman" w:hAnsi="Times New Roman" w:eastAsia="宋体" w:cs="Times New Roman"/>
                <w:color w:val="auto"/>
                <w:sz w:val="24"/>
                <w:szCs w:val="24"/>
                <w:highlight w:val="none"/>
              </w:rPr>
            </w:pPr>
            <w:r>
              <w:rPr>
                <w:color w:val="auto"/>
                <w:sz w:val="24"/>
              </w:rPr>
              <mc:AlternateContent>
                <mc:Choice Requires="wps">
                  <w:drawing>
                    <wp:anchor distT="0" distB="0" distL="114300" distR="114300" simplePos="0" relativeHeight="251701248" behindDoc="0" locked="0" layoutInCell="1" allowOverlap="1">
                      <wp:simplePos x="0" y="0"/>
                      <wp:positionH relativeFrom="column">
                        <wp:posOffset>3028950</wp:posOffset>
                      </wp:positionH>
                      <wp:positionV relativeFrom="paragraph">
                        <wp:posOffset>142875</wp:posOffset>
                      </wp:positionV>
                      <wp:extent cx="813435" cy="261620"/>
                      <wp:effectExtent l="4445" t="5080" r="20320" b="19050"/>
                      <wp:wrapNone/>
                      <wp:docPr id="71" name="文本框 3"/>
                      <wp:cNvGraphicFramePr/>
                      <a:graphic xmlns:a="http://schemas.openxmlformats.org/drawingml/2006/main">
                        <a:graphicData uri="http://schemas.microsoft.com/office/word/2010/wordprocessingShape">
                          <wps:wsp>
                            <wps:cNvSpPr txBox="1"/>
                            <wps:spPr>
                              <a:xfrm>
                                <a:off x="0" y="0"/>
                                <a:ext cx="813435" cy="261620"/>
                              </a:xfrm>
                              <a:prstGeom prst="rect">
                                <a:avLst/>
                              </a:prstGeom>
                              <a:solidFill>
                                <a:srgbClr val="FFFFFF"/>
                              </a:solidFill>
                              <a:ln w="9525" cap="flat" cmpd="sng">
                                <a:solidFill>
                                  <a:srgbClr val="000000"/>
                                </a:solidFill>
                                <a:prstDash val="solid"/>
                                <a:round/>
                                <a:headEnd type="none" w="med" len="med"/>
                                <a:tailEnd type="none" w="med" len="med"/>
                              </a:ln>
                            </wps:spPr>
                            <wps:txbx>
                              <w:txbxContent>
                                <w:p>
                                  <w:pPr>
                                    <w:rPr>
                                      <w:rFonts w:hint="eastAsia" w:eastAsia="宋体"/>
                                      <w:lang w:eastAsia="zh-CN"/>
                                    </w:rPr>
                                  </w:pPr>
                                  <w:r>
                                    <w:rPr>
                                      <w:rFonts w:hint="eastAsia" w:eastAsia="宋体"/>
                                      <w:lang w:eastAsia="zh-CN"/>
                                    </w:rPr>
                                    <w:t>观赏、采摘</w:t>
                                  </w:r>
                                </w:p>
                              </w:txbxContent>
                            </wps:txbx>
                            <wps:bodyPr vert="horz" wrap="square" anchor="t" anchorCtr="0" upright="1"/>
                          </wps:wsp>
                        </a:graphicData>
                      </a:graphic>
                    </wp:anchor>
                  </w:drawing>
                </mc:Choice>
                <mc:Fallback>
                  <w:pict>
                    <v:shape id="文本框 3" o:spid="_x0000_s1026" o:spt="202" type="#_x0000_t202" style="position:absolute;left:0pt;margin-left:238.5pt;margin-top:11.25pt;height:20.6pt;width:64.05pt;z-index:251701248;mso-width-relative:page;mso-height-relative:page;" fillcolor="#FFFFFF" filled="t" stroked="t" coordsize="21600,21600" o:gfxdata="UEsDBAoAAAAAAIdO4kAAAAAAAAAAAAAAAAAEAAAAZHJzL1BLAwQUAAAACACHTuJAAAJkaNkAAAAJ&#10;AQAADwAAAGRycy9kb3ducmV2LnhtbE2PwU7DMBBE70j8g7VIXBC1k7ZJCXF6QALBDQpqr27sJhH2&#10;OthuWv6e5QS3Wc1o9k29PjvLJhPi4FFCNhPADLZeD9hJ+Hh/vF0Bi0mhVtajkfBtIqyby4taVdqf&#10;8M1Mm9QxKsFYKQl9SmPFeWx741Sc+dEgeQcfnEp0ho7roE5U7izPhSi4UwPSh16N5qE37efm6CSs&#10;Fs/TLr7MX7dtcbB36aacnr6ClNdXmbgHlsw5/YXhF5/QoSGmvT+ijsxKWJQlbUkS8nwJjAKFWGbA&#10;9iTmJfCm5v8XND9QSwMEFAAAAAgAh07iQFsWBDssAgAAaQQAAA4AAABkcnMvZTJvRG9jLnhtbK1U&#10;S5LTMBDdU8UdVNoT58OEIRVnqpgQNhRQNXAARZZtVemHpCQOB4AbsGIze86Vc/AkZzIfWGSBF3ZL&#10;ar3u97rb86tOK7IVPkhrSjoaDCkRhttKmqakXz6vXlxSEiIzFVPWiJLuRaBXi+fP5js3E2PbWlUJ&#10;TwBiwmznStrG6GZFEXgrNAsD64TBYW29ZhFL3xSVZzuga1WMh8NpsbO+ct5yEQJ2l/0hPSL6cwBt&#10;XUsulpZvtDCxR/VCsQhKoZUu0EXOtq4Fjx/rOohIVEnBNOY3gsBep3exmLNZ45lrJT+mwM5J4Qkn&#10;zaRB0BPUkkVGNl7+BaUl9zbYOg641UVPJCsCFqPhE21uWuZE5gKpgzuJHv4fLP+w/eSJrEr6akSJ&#10;YRoVP/z8cfj1+3D7nUySPjsXZnC7cXCM3RvboWvu9gM2E+2u9jp9QYjgHOruT+qKLhKOzcvR5OXk&#10;ghKOo/F0NB1n9Yv7y86H+E5YTZJRUo/iZU3Z9n2ISASudy4pVrBKViupVF74Zn2tPNkyFHqVn5Qj&#10;rjxyU4bsSvr6YpzyYOjeGl0DUzsoEEyT4z26ER4CD/PzL+CU2JKFtk8gIyQ3NvN2Y6pstYJVb01F&#10;4t5BZIPhoikZLSpKlMAsJit7RibVOZ5gpwxIpgr1lUhW7NYdYJK5ttUeVcO0Q8/W+m+IiF4H1a8b&#10;5hGfGY7tkkKD3ryO/XBsnJdNi1u51DkCOjALepyW1OIP1zmP+z/E4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AAmRo2QAAAAkBAAAPAAAAAAAAAAEAIAAAACIAAABkcnMvZG93bnJldi54bWxQSwEC&#10;FAAUAAAACACHTuJAWxYEOywCAABpBAAADgAAAAAAAAABACAAAAAoAQAAZHJzL2Uyb0RvYy54bWxQ&#10;SwUGAAAAAAYABgBZAQAAxgUAAAAA&#10;">
                      <v:fill on="t" focussize="0,0"/>
                      <v:stroke color="#000000" joinstyle="round"/>
                      <v:imagedata o:title=""/>
                      <o:lock v:ext="edit" aspectratio="f"/>
                      <v:textbox>
                        <w:txbxContent>
                          <w:p>
                            <w:pPr>
                              <w:rPr>
                                <w:rFonts w:hint="eastAsia" w:eastAsia="宋体"/>
                                <w:lang w:eastAsia="zh-CN"/>
                              </w:rPr>
                            </w:pPr>
                            <w:r>
                              <w:rPr>
                                <w:rFonts w:hint="eastAsia" w:eastAsia="宋体"/>
                                <w:lang w:eastAsia="zh-CN"/>
                              </w:rPr>
                              <w:t>观赏、采摘</w:t>
                            </w:r>
                          </w:p>
                        </w:txbxContent>
                      </v:textbox>
                    </v:shape>
                  </w:pict>
                </mc:Fallback>
              </mc:AlternateContent>
            </w:r>
          </w:p>
          <w:p>
            <w:pPr>
              <w:pageBreakBefore w:val="0"/>
              <w:kinsoku/>
              <w:wordWrap/>
              <w:overflowPunct/>
              <w:topLinePunct w:val="0"/>
              <w:autoSpaceDE/>
              <w:autoSpaceDN/>
              <w:bidi w:val="0"/>
              <w:spacing w:line="360" w:lineRule="auto"/>
              <w:ind w:firstLine="480" w:firstLineChars="200"/>
              <w:jc w:val="both"/>
              <w:outlineLvl w:val="9"/>
              <w:rPr>
                <w:rFonts w:hint="default" w:ascii="Times New Roman" w:hAnsi="Times New Roman" w:eastAsia="宋体" w:cs="Times New Roman"/>
                <w:color w:val="auto"/>
                <w:sz w:val="24"/>
                <w:szCs w:val="24"/>
                <w:highlight w:val="none"/>
              </w:rPr>
            </w:pPr>
            <w:r>
              <w:rPr>
                <w:color w:val="auto"/>
                <w:sz w:val="24"/>
              </w:rPr>
              <mc:AlternateContent>
                <mc:Choice Requires="wps">
                  <w:drawing>
                    <wp:anchor distT="0" distB="0" distL="114300" distR="114300" simplePos="0" relativeHeight="251700224" behindDoc="0" locked="0" layoutInCell="1" allowOverlap="1">
                      <wp:simplePos x="0" y="0"/>
                      <wp:positionH relativeFrom="column">
                        <wp:posOffset>2266950</wp:posOffset>
                      </wp:positionH>
                      <wp:positionV relativeFrom="paragraph">
                        <wp:posOffset>20320</wp:posOffset>
                      </wp:positionV>
                      <wp:extent cx="734695" cy="224155"/>
                      <wp:effectExtent l="0" t="48895" r="8255" b="12700"/>
                      <wp:wrapNone/>
                      <wp:docPr id="70" name="肘形连接符 70"/>
                      <wp:cNvGraphicFramePr/>
                      <a:graphic xmlns:a="http://schemas.openxmlformats.org/drawingml/2006/main">
                        <a:graphicData uri="http://schemas.microsoft.com/office/word/2010/wordprocessingShape">
                          <wps:wsp>
                            <wps:cNvCnPr/>
                            <wps:spPr>
                              <a:xfrm flipV="1">
                                <a:off x="3698875" y="3841750"/>
                                <a:ext cx="734695" cy="224155"/>
                              </a:xfrm>
                              <a:prstGeom prst="bentConnector3">
                                <a:avLst>
                                  <a:gd name="adj1" fmla="val 29732"/>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flip:y;margin-left:178.5pt;margin-top:1.6pt;height:17.65pt;width:57.85pt;z-index:251700224;mso-width-relative:page;mso-height-relative:page;" filled="f" stroked="t" coordsize="21600,21600" o:gfxdata="UEsDBAoAAAAAAIdO4kAAAAAAAAAAAAAAAAAEAAAAZHJzL1BLAwQUAAAACACHTuJATvrNvdcAAAAI&#10;AQAADwAAAGRycy9kb3ducmV2LnhtbE2PzU7DMBCE70i8g7VI3KidQEgU4lQIGoljKRzam5ssSYS9&#10;jmL37+1ZTnDb0Yxmv6mWZ2fFEecwetKQLBQIpNZ3I/UaPj+auwJEiIY6Yz2hhgsGWNbXV5UpO3+i&#10;dzxuYi+4hEJpNAwxTqWUoR3QmbDwExJ7X352JrKce9nN5sTlzspUqUfpzEj8YTATvgzYfm8OTkN2&#10;eW6KV7Wz6+2usdv128q7ZKX17U2inkBEPMe/MPziMzrUzLT3B+qCsBrus5y3RD5SEOw/5GkOYs+6&#10;yEDWlfw/oP4BUEsDBBQAAAAIAIdO4kBTvn3rIwIAAAYEAAAOAAAAZHJzL2Uyb0RvYy54bWytU72O&#10;1DAQ7pF4B8s9m032P9rsFbscDYKV+Om9jp0Y+U+2b7Pb8gDUVBRIR8UrIJ4GuMdg7IQDjuYKUkRj&#10;z8z3zXwzXl+clERH5rwwusL5aIwR09TUQjcVfvXy8tESIx+Irok0mlX4zDy+2Dx8sO5syQrTGlkz&#10;hwBE+7KzFW5DsGWWedoyRfzIWKbByY1TJMDRNVntSAfoSmbFeDzPOuNq6wxl3sPtrnfiAdHdB9Bw&#10;LijbGXqlmA49qmOSBGjJt8J6vEnVcs5oeM65ZwHJCkOnIf2BBOxD/GebNSkbR2wr6FACuU8Jd3pS&#10;RGggvYXakUDQlRP/QClBnfGGhxE1KusbSYpAF/n4jjYvWmJZ6gWk9vZWdP//YOmz494hUVd4AZJo&#10;omDiN2/ff/vy8ebrh+/vrn98/oTAAzJ11pcQvdV7N5y83bvY84k7hbgU9jXsU1IB+kKnCk/mq+Vy&#10;McPoDPZymi9mg+DsFBCFgMVkOl+Bn0JAUUzz2SwyZT1khLbOhyfMKBSNCh9g3FujNYzVuEmiIsen&#10;PiTl66F8Ur/JMeJKwiCPRKJitZgUA+4QDQy/kGOqNpdCyrQKUqOuwvMJVIoogfXmsFZgKgsSed1g&#10;RGQD74YGl+i9kaKO2RHHu+awlQ4BK+xW+gbev8Ii9Y74to9LrhhGykCEfKxrFM4WxkCcM92QLzXI&#10;EifQax6tg6nPaRTpHtYjCTescty/P88p+/fz3fw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TvrN&#10;vdcAAAAIAQAADwAAAAAAAAABACAAAAAiAAAAZHJzL2Rvd25yZXYueG1sUEsBAhQAFAAAAAgAh07i&#10;QFO+fesjAgAABgQAAA4AAAAAAAAAAQAgAAAAJgEAAGRycy9lMm9Eb2MueG1sUEsFBgAAAAAGAAYA&#10;WQEAALsFAAAAAA==&#10;" adj="6422">
                      <v:fill on="f" focussize="0,0"/>
                      <v:stroke weight="0.5pt" color="#000000 [3213]" joinstyle="round" endarrow="open"/>
                      <v:imagedata o:title=""/>
                      <o:lock v:ext="edit" aspectratio="f"/>
                    </v:shape>
                  </w:pict>
                </mc:Fallback>
              </mc:AlternateContent>
            </w:r>
            <w:r>
              <w:rPr>
                <w:color w:val="auto"/>
                <w:sz w:val="24"/>
              </w:rPr>
              <mc:AlternateContent>
                <mc:Choice Requires="wps">
                  <w:drawing>
                    <wp:anchor distT="0" distB="0" distL="114300" distR="114300" simplePos="0" relativeHeight="251699200" behindDoc="0" locked="0" layoutInCell="1" allowOverlap="1">
                      <wp:simplePos x="0" y="0"/>
                      <wp:positionH relativeFrom="column">
                        <wp:posOffset>2251710</wp:posOffset>
                      </wp:positionH>
                      <wp:positionV relativeFrom="paragraph">
                        <wp:posOffset>251460</wp:posOffset>
                      </wp:positionV>
                      <wp:extent cx="464185" cy="142875"/>
                      <wp:effectExtent l="0" t="6350" r="12065" b="22225"/>
                      <wp:wrapNone/>
                      <wp:docPr id="66" name="肘形连接符 66"/>
                      <wp:cNvGraphicFramePr/>
                      <a:graphic xmlns:a="http://schemas.openxmlformats.org/drawingml/2006/main">
                        <a:graphicData uri="http://schemas.microsoft.com/office/word/2010/wordprocessingShape">
                          <wps:wsp>
                            <wps:cNvCnPr>
                              <a:stCxn id="40" idx="3"/>
                            </wps:cNvCnPr>
                            <wps:spPr>
                              <a:xfrm>
                                <a:off x="3683635" y="4059555"/>
                                <a:ext cx="464185" cy="142875"/>
                              </a:xfrm>
                              <a:prstGeom prst="bentConnector3">
                                <a:avLst>
                                  <a:gd name="adj1" fmla="val 50068"/>
                                </a:avLst>
                              </a:prstGeom>
                              <a:ln w="1270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4" type="#_x0000_t34" style="position:absolute;left:0pt;margin-left:177.3pt;margin-top:19.8pt;height:11.25pt;width:36.55pt;z-index:251699200;mso-width-relative:page;mso-height-relative:page;" filled="f" stroked="t" coordsize="21600,21600" o:gfxdata="UEsDBAoAAAAAAIdO4kAAAAAAAAAAAAAAAAAEAAAAZHJzL1BLAwQUAAAACACHTuJAb24UqdgAAAAJ&#10;AQAADwAAAGRycy9kb3ducmV2LnhtbE2PTU/DMAyG70j8h8hIXCaWthsdlKaTGOO2y8akXdPGtBWJ&#10;U5rs699jTnCyLT96/bhcXpwVJxxD70lBOk1AIDXe9NQq2H+8PzyBCFGT0dYTKrhigGV1e1Pqwvgz&#10;bfG0i63gEAqFVtDFOBRShqZDp8PUD0i8+/Sj05HHsZVm1GcOd1ZmSZJLp3viC50ecNVh87U7OgXD&#10;ZIb15vr2PUnXq9eDze12PVql7u/S5AVExEv8g+FXn9WhYqfaH8kEYRXMHuc5o9w8c2Vgni0WIGoF&#10;eZaCrEr5/4PqB1BLAwQUAAAACACHTuJAPw7bThwCAAALBAAADgAAAGRycy9lMm9Eb2MueG1srVPN&#10;jtMwEL4j8Q6W7zTpT7IlarqHVssFQSXgAVzHToz8J9vbtFcegDMnDkhw4hUQTwPsYzB20oVdLnsg&#10;h8jOfPPNfN9MVpdHJdGBOS+MrvF0kmPENDWN0G2N37y+erLEyAeiGyKNZjU+MY8v148frXpbsZnp&#10;jGyYQ0CifdXbGnch2CrLPO2YIn5iLNMQ5MYpEuDq2qxxpAd2JbNZnpdZb1xjnaHMe/i6HYJ4ZHQP&#10;ITScC8q2hl4rpsPA6pgkAST5TliP16lbzhkNLzn3LCBZY1Aa0huKwHkf39l6RarWEdsJOrZAHtLC&#10;PU2KCA1Fb6m2JBB07cQ/VEpQZ7zhYUKNygYhyRFQMc3vefOqI5YlLWC1t7em+/9HS18cdg6JpsZl&#10;iZEmCiZ+8+7Dj2+fbr5//Pn+86+vXxBEwKbe+grQG71zUagPm6NOiQvwUjTHGs8jLLuDixdvh4wj&#10;dypmgmgU0eVyXs4LjE41XuTF06IohmmwY0AUAItyMV1CnAJgupgtL1I8I9WZyDofnjGjUDzUeA+7&#10;sDFaw8yNm6dpkMNzH9JYmlEbad5OMeJKwpQPRKICNnKZ+ibViIYKZ+aYqs2VkDLtidSoh15mFzlI&#10;pgSWn8PSwVFZMNDrFiMiW/iraHCpvjdSNDE9Oeba/UY6BGVh89IzFr4Di7W3xHcDLoVGmNSjvYOj&#10;0du9aU47d7YddgQQd5bw73vK/vMPr3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b24UqdgAAAAJ&#10;AQAADwAAAAAAAAABACAAAAAiAAAAZHJzL2Rvd25yZXYueG1sUEsBAhQAFAAAAAgAh07iQD8O204c&#10;AgAACwQAAA4AAAAAAAAAAQAgAAAAJwEAAGRycy9lMm9Eb2MueG1sUEsFBgAAAAAGAAYAWQEAALUF&#10;AAAAAA==&#10;" adj="10815">
                      <v:fill on="f" focussize="0,0"/>
                      <v:stroke weight="1pt" color="#000000 [3213]" joinstyle="round"/>
                      <v:imagedata o:title=""/>
                      <o:lock v:ext="edit" aspectratio="f"/>
                    </v:shape>
                  </w:pict>
                </mc:Fallback>
              </mc:AlternateContent>
            </w:r>
            <w:r>
              <w:rPr>
                <w:color w:val="auto"/>
                <w:sz w:val="24"/>
              </w:rPr>
              <mc:AlternateContent>
                <mc:Choice Requires="wps">
                  <w:drawing>
                    <wp:anchor distT="0" distB="0" distL="114300" distR="114300" simplePos="0" relativeHeight="251694080" behindDoc="0" locked="0" layoutInCell="1" allowOverlap="1">
                      <wp:simplePos x="0" y="0"/>
                      <wp:positionH relativeFrom="column">
                        <wp:posOffset>4271645</wp:posOffset>
                      </wp:positionH>
                      <wp:positionV relativeFrom="paragraph">
                        <wp:posOffset>226695</wp:posOffset>
                      </wp:positionV>
                      <wp:extent cx="455930" cy="261620"/>
                      <wp:effectExtent l="4445" t="4445" r="15875" b="19685"/>
                      <wp:wrapNone/>
                      <wp:docPr id="59" name="文本框 3"/>
                      <wp:cNvGraphicFramePr/>
                      <a:graphic xmlns:a="http://schemas.openxmlformats.org/drawingml/2006/main">
                        <a:graphicData uri="http://schemas.microsoft.com/office/word/2010/wordprocessingShape">
                          <wps:wsp>
                            <wps:cNvSpPr txBox="1"/>
                            <wps:spPr>
                              <a:xfrm>
                                <a:off x="4808220" y="3943350"/>
                                <a:ext cx="455930" cy="261620"/>
                              </a:xfrm>
                              <a:prstGeom prst="rect">
                                <a:avLst/>
                              </a:prstGeom>
                              <a:solidFill>
                                <a:srgbClr val="FFFFFF"/>
                              </a:solidFill>
                              <a:ln w="6350" cap="flat" cmpd="sng">
                                <a:solidFill>
                                  <a:srgbClr val="000000"/>
                                </a:solidFill>
                                <a:prstDash val="solid"/>
                                <a:round/>
                                <a:headEnd type="none" w="med" len="med"/>
                                <a:tailEnd type="none" w="med" len="med"/>
                              </a:ln>
                            </wps:spPr>
                            <wps:txbx>
                              <w:txbxContent>
                                <w:p>
                                  <w:pPr>
                                    <w:rPr>
                                      <w:rFonts w:hint="eastAsia" w:eastAsia="宋体"/>
                                      <w:lang w:eastAsia="zh-CN"/>
                                    </w:rPr>
                                  </w:pPr>
                                  <w:r>
                                    <w:rPr>
                                      <w:rFonts w:hint="eastAsia"/>
                                      <w:lang w:eastAsia="zh-CN"/>
                                    </w:rPr>
                                    <w:t>外售</w:t>
                                  </w:r>
                                </w:p>
                              </w:txbxContent>
                            </wps:txbx>
                            <wps:bodyPr vert="horz" wrap="square" anchor="t" anchorCtr="0" upright="1"/>
                          </wps:wsp>
                        </a:graphicData>
                      </a:graphic>
                    </wp:anchor>
                  </w:drawing>
                </mc:Choice>
                <mc:Fallback>
                  <w:pict>
                    <v:shape id="文本框 3" o:spid="_x0000_s1026" o:spt="202" type="#_x0000_t202" style="position:absolute;left:0pt;margin-left:336.35pt;margin-top:17.85pt;height:20.6pt;width:35.9pt;z-index:251694080;mso-width-relative:page;mso-height-relative:page;" fillcolor="#FFFFFF" filled="t" stroked="t" coordsize="21600,21600" o:gfxdata="UEsDBAoAAAAAAIdO4kAAAAAAAAAAAAAAAAAEAAAAZHJzL1BLAwQUAAAACACHTuJAWjXEvNYAAAAJ&#10;AQAADwAAAGRycy9kb3ducmV2LnhtbE2PwU7DMAyG70i8Q2Qkbixdu7VQmk4CCQlxY/TCLWu8tiJx&#10;qiRbx9tjTnCyLX/6/bnZXZwVZwxx8qRgvcpAIPXeTDQo6D5e7u5BxKTJaOsJFXxjhF17fdXo2viF&#10;3vG8T4PgEIq1VjCmNNdSxn5Ep+PKz0i8O/rgdOIxDNIEvXC4szLPslI6PRFfGPWMzyP2X/uTU/Ba&#10;PqVP7MybKfLCL53sw9FGpW5v1tkjiISX9AfDrz6rQ8tOB38iE4VVUFZ5xaiCYsuVgWqz2YI4cFM+&#10;gGwb+f+D9gdQSwMEFAAAAAgAh07iQDzCQoozAgAAdQQAAA4AAABkcnMvZTJvRG9jLnhtbK1UTa7T&#10;MBDeI3EHy3uatH2t2qjpk3ilbBAgPTjA1HESS/7DdpuUA8ANWLFhz7l6DsZO3y8suiCLZGx//mbm&#10;m5msrnslyYE7L4wu6XiUU8I1M5XQTUk/f9q+WlDiA+gKpNG8pEfu6fX65YtVZws+Ma2RFXcESbQv&#10;OlvSNgRbZJlnLVfgR8ZyjYe1cQoCLl2TVQ46ZFcym+T5POuMq6wzjHuPu5vhkJ4Z3SWEpq4F4xvD&#10;9orrMLA6LiFgSr4V1tN1irauOQsf6trzQGRJMdOQ3ugE7V18Z+sVFI0D2wp2DgEuCeFZTgqERqf3&#10;VBsIQPZO/EWlBHPGmzqMmFHZkEhSBLMY58+0uW3B8pQLSu3tvej+/9Gy94ePjoiqpLMlJRoUVvz0&#10;4/vp5+/Tr29kGvXprC8QdmsRGPrXpseuudv3uBnT7mun4hcTInh+tcgXkwlqfCzpdHk1nc7OSvM+&#10;EBYBs9lyiucMAZP5eI5Y9JQ9EFnnw1tuFIlGSR0WMukLh3c+DNA7SPTrjRTVVkiZFq7Z3UhHDoBF&#10;36bnzP4EJjXpSjqPsREG2Mk1dhCayqIaXjfJ35Mb/jFxnp5/EcfANuDbIYDEEGFQOLPXVbJaDtUb&#10;XZFwtCi4xkGjMRjFK0okx7mMVkIGEPISJGonNUoYqzVUJVqh3/VIE82dqY5YQZx81LM17it6xL7H&#10;VL/swaF/0Ay3S4oaDOZNGAZlb51oWryVyp48YDemcp0nJ7b743WK4+Fvsf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jXEvNYAAAAJAQAADwAAAAAAAAABACAAAAAiAAAAZHJzL2Rvd25yZXYueG1s&#10;UEsBAhQAFAAAAAgAh07iQDzCQoozAgAAdQQAAA4AAAAAAAAAAQAgAAAAJQEAAGRycy9lMm9Eb2Mu&#10;eG1sUEsFBgAAAAAGAAYAWQEAAMoFAAAAAA==&#10;">
                      <v:fill on="t" focussize="0,0"/>
                      <v:stroke weight="0.5pt" color="#000000" joinstyle="round"/>
                      <v:imagedata o:title=""/>
                      <o:lock v:ext="edit" aspectratio="f"/>
                      <v:textbox>
                        <w:txbxContent>
                          <w:p>
                            <w:pPr>
                              <w:rPr>
                                <w:rFonts w:hint="eastAsia" w:eastAsia="宋体"/>
                                <w:lang w:eastAsia="zh-CN"/>
                              </w:rPr>
                            </w:pPr>
                            <w:r>
                              <w:rPr>
                                <w:rFonts w:hint="eastAsia"/>
                                <w:lang w:eastAsia="zh-CN"/>
                              </w:rPr>
                              <w:t>外售</w:t>
                            </w:r>
                          </w:p>
                        </w:txbxContent>
                      </v:textbox>
                    </v:shape>
                  </w:pict>
                </mc:Fallback>
              </mc:AlternateContent>
            </w:r>
            <w:r>
              <w:rPr>
                <w:color w:val="auto"/>
                <w:sz w:val="24"/>
              </w:rPr>
              <mc:AlternateContent>
                <mc:Choice Requires="wps">
                  <w:drawing>
                    <wp:anchor distT="0" distB="0" distL="114300" distR="114300" simplePos="0" relativeHeight="251695104" behindDoc="0" locked="0" layoutInCell="1" allowOverlap="1">
                      <wp:simplePos x="0" y="0"/>
                      <wp:positionH relativeFrom="column">
                        <wp:posOffset>738505</wp:posOffset>
                      </wp:positionH>
                      <wp:positionV relativeFrom="paragraph">
                        <wp:posOffset>236220</wp:posOffset>
                      </wp:positionV>
                      <wp:extent cx="167640" cy="635"/>
                      <wp:effectExtent l="0" t="48895" r="3810" b="64770"/>
                      <wp:wrapNone/>
                      <wp:docPr id="60" name="直线 163"/>
                      <wp:cNvGraphicFramePr/>
                      <a:graphic xmlns:a="http://schemas.openxmlformats.org/drawingml/2006/main">
                        <a:graphicData uri="http://schemas.microsoft.com/office/word/2010/wordprocessingShape">
                          <wps:wsp>
                            <wps:cNvCnPr/>
                            <wps:spPr>
                              <a:xfrm>
                                <a:off x="2170430" y="4057650"/>
                                <a:ext cx="167640" cy="63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163" o:spid="_x0000_s1026" o:spt="20" style="position:absolute;left:0pt;margin-left:58.15pt;margin-top:18.6pt;height:0.05pt;width:13.2pt;z-index:251695104;mso-width-relative:page;mso-height-relative:page;" filled="f" stroked="t" coordsize="21600,21600" o:gfxdata="UEsDBAoAAAAAAIdO4kAAAAAAAAAAAAAAAAAEAAAAZHJzL1BLAwQUAAAACACHTuJADv6LdtgAAAAJ&#10;AQAADwAAAGRycy9kb3ducmV2LnhtbE2Py07DMBBF90j8gzVIbBB1HtBWIU4XICRAsCCl6taNp3GE&#10;PY5itwl/j7OC5Z05unOm3EzWsDMOvnMkIF0kwJAapzpqBXxtn2/XwHyQpKRxhAJ+0MOmurwoZaHc&#10;SJ94rkPLYgn5QgrQIfQF577RaKVfuB4p7o5usDLEOLRcDXKM5dbwLEmW3MqO4gUte3zU2HzXJyug&#10;3Y2v6uV9Xx/N7mn7dn+j9YedhLi+SpMHYAGn8AfDrB/VoYpOB3ci5ZmJOV3mERWQrzJgM3CXrYAd&#10;5kEOvCr5/w+qX1BLAwQUAAAACACHTuJA6LnmtvwBAADsAwAADgAAAGRycy9lMm9Eb2MueG1srVNL&#10;ktMwEN1TxR1U2hPb+TiMK84sJgwbClIFHKAjybaq9CtJiZOzcA1WbDjOXIOWbSbMwGIWeCG31E9P&#10;/Z5am9uzVuQkfJDW1LSY5ZQIwyyXpq3p1y/3b95SEiIYDsoaUdOLCPR2+/rVpneVmNvOKi48QRIT&#10;qt7VtIvRVVkWWCc0hJl1wmCysV5DxKlvM+6hR3atsnmel1lvPXfeMhECru7GJJ0Y/UsIbdNIJnaW&#10;HbUwcWT1QkFESaGTLtDtUG3TCBY/NU0QkaiaotI4jHgIxoc0ZtsNVK0H10k2lQAvKeGZJg3S4KGP&#10;VDuIQI5e/kWlJfM22CbOmNXZKGRwBFUU+TNvPnfgxKAFrQ7u0fTw/2jZx9PeE8lrWqIlBjTe+MO3&#10;7w8/fpKiXCR7ehcqRN2ZvZ9mwe190npuvE5/VEHONZ0X63y5QJZLTZf5al2uJnvFORKGgKJcl0vM&#10;MwSUi1Uiz64szof4XlhNUlBTJU2SDhWcPoQ4Qn9D0rIypK/pzWq+QkLAPmzw/jHUDrUE0w57g1WS&#10;30ul0o7g28Od8uQEqReGbyrhCSwdsoPQjbghlWBQdQL4O8NJvDg0yeDjoKkELTglSuBbStGAjCDV&#10;FQne2/7fUJSvDLqQPB5dTdHB8gteytF52XZoRTGUmTLYBINnU8OmLvtzPjBdH+n2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A7+i3bYAAAACQEAAA8AAAAAAAAAAQAgAAAAIgAAAGRycy9kb3ducmV2&#10;LnhtbFBLAQIUABQAAAAIAIdO4kDouea2/AEAAOwDAAAOAAAAAAAAAAEAIAAAACcBAABkcnMvZTJv&#10;RG9jLnhtbFBLBQYAAAAABgAGAFkBAACVBQAAAAA=&#10;">
                      <v:fill on="f" focussize="0,0"/>
                      <v:stroke color="#000000" joinstyle="round" endarrow="open"/>
                      <v:imagedata o:title=""/>
                      <o:lock v:ext="edit" aspectratio="f"/>
                    </v:line>
                  </w:pict>
                </mc:Fallback>
              </mc:AlternateContent>
            </w:r>
            <w:r>
              <w:rPr>
                <w:color w:val="auto"/>
                <w:sz w:val="24"/>
              </w:rPr>
              <mc:AlternateContent>
                <mc:Choice Requires="wps">
                  <w:drawing>
                    <wp:anchor distT="0" distB="0" distL="114300" distR="114300" simplePos="0" relativeHeight="251688960" behindDoc="0" locked="0" layoutInCell="1" allowOverlap="1">
                      <wp:simplePos x="0" y="0"/>
                      <wp:positionH relativeFrom="column">
                        <wp:posOffset>1591945</wp:posOffset>
                      </wp:positionH>
                      <wp:positionV relativeFrom="paragraph">
                        <wp:posOffset>234950</wp:posOffset>
                      </wp:positionV>
                      <wp:extent cx="197485" cy="2540"/>
                      <wp:effectExtent l="0" t="47625" r="12065" b="64135"/>
                      <wp:wrapNone/>
                      <wp:docPr id="41" name="直接箭头连接符 25"/>
                      <wp:cNvGraphicFramePr/>
                      <a:graphic xmlns:a="http://schemas.openxmlformats.org/drawingml/2006/main">
                        <a:graphicData uri="http://schemas.microsoft.com/office/word/2010/wordprocessingShape">
                          <wps:wsp>
                            <wps:cNvCnPr/>
                            <wps:spPr>
                              <a:xfrm>
                                <a:off x="3023870" y="4056380"/>
                                <a:ext cx="197485" cy="2540"/>
                              </a:xfrm>
                              <a:prstGeom prst="straightConnector1">
                                <a:avLst/>
                              </a:prstGeom>
                              <a:ln w="9525" cap="flat" cmpd="sng">
                                <a:solidFill>
                                  <a:srgbClr val="000000"/>
                                </a:solidFill>
                                <a:prstDash val="solid"/>
                                <a:round/>
                                <a:headEnd type="none" w="med" len="med"/>
                                <a:tailEnd type="arrow" w="med" len="med"/>
                              </a:ln>
                            </wps:spPr>
                            <wps:bodyPr/>
                          </wps:wsp>
                        </a:graphicData>
                      </a:graphic>
                    </wp:anchor>
                  </w:drawing>
                </mc:Choice>
                <mc:Fallback>
                  <w:pict>
                    <v:shape id="直接箭头连接符 25" o:spid="_x0000_s1026" o:spt="32" type="#_x0000_t32" style="position:absolute;left:0pt;margin-left:125.35pt;margin-top:18.5pt;height:0.2pt;width:15.55pt;z-index:251688960;mso-width-relative:page;mso-height-relative:page;" filled="f" stroked="t" coordsize="21600,21600" o:gfxdata="UEsDBAoAAAAAAIdO4kAAAAAAAAAAAAAAAAAEAAAAZHJzL1BLAwQUAAAACACHTuJAwApHB9cAAAAJ&#10;AQAADwAAAGRycy9kb3ducmV2LnhtbE2PwU7DMAyG70i8Q2Qkbixt2dhUmu6AtEOlIcTGA2SNaSsa&#10;p2u8bnt7vBMcbf/6/H/F+uJ7NeEYu0AG0lkCCqkOrqPGwNd+87QCFdmSs30gNHDFCOvy/q6wuQtn&#10;+sRpx40SCMXcGmiZh1zrWLfobZyFAUlu32H0lmUcG+1Gexa473WWJC/a247kQ2sHfGux/tmdvIGs&#10;OvJ1s614+uDF+9Fn23k11MY8PqTJKyjGC/+F4VZfqkMpnQ7hRC6qXhiLZClRA89LcZJAtkrF5XBb&#10;zEGXhf5vUP4CUEsDBBQAAAAIAIdO4kAV2GMYGgIAAAcEAAAOAAAAZHJzL2Uyb0RvYy54bWytU0uO&#10;EzEQ3SNxB8t70p3fTKaVziwShg2CSMABHLe725J/Kjvp5BJcAIkVsGJYzZ7TwHAMyu4wgYHFLOiF&#10;u2xXPb/3XJ5f7rUiOwFeWlPS4SCnRBhuK2makr55ffVkRokPzFRMWSNKehCeXi4eP5p3rhAj21pV&#10;CSAIYnzRuZK2IbgiyzxvhWZ+YJ0wuFlb0CzgFJqsAtYhulbZKM/Pss5C5cBy4T2urvpNekSEhwDa&#10;upZcrCzfamFCjwpCsYCSfCudp4vEtq4FDy/r2otAVElRaUgjHoLxJo7ZYs6KBphrJT9SYA+hcE+T&#10;ZtLgoXdQKxYY2YL8C0pLDtbbOgy41VkvJDmCKob5PW9etcyJpAWt9u7OdP//YPmL3RqIrEo6GVJi&#10;mMYbv3138/3tx9sv198+3Pz4+j7Gnz+R0TSa1TlfYM3SrOE4824NUfm+Bh3/qInsSzrOR+PZOdp8&#10;QOh8ejaeHc0W+0A4JgwvziezKSUcE0bTSdrNTjAOfHgmrCYxKKkPwGTThqU1Bi/VwjDZzXbPfUAi&#10;WPirIHJQhnQlvZgiZ8IZNmmNzYGhdijUmybVeqtkdSWVihUems1SAdmx2Cjpi3IR94+0eMiK+bbP&#10;S1t9C4HdmgoLWNEKVj01FQkHh14afEM0ktGiokQJfHIxSpmBSXXKZAC2+3cqslAGyUTze7tjtLHV&#10;Id1CWsf+SHSPvRwb8Pd5qj6938V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wApHB9cAAAAJAQAA&#10;DwAAAAAAAAABACAAAAAiAAAAZHJzL2Rvd25yZXYueG1sUEsBAhQAFAAAAAgAh07iQBXYYxgaAgAA&#10;BwQAAA4AAAAAAAAAAQAgAAAAJgEAAGRycy9lMm9Eb2MueG1sUEsFBgAAAAAGAAYAWQEAALIFAAAA&#10;AA==&#10;">
                      <v:fill on="f" focussize="0,0"/>
                      <v:stroke color="#000000" joinstyle="round" endarrow="open"/>
                      <v:imagedata o:title=""/>
                      <o:lock v:ext="edit" aspectratio="f"/>
                    </v:shape>
                  </w:pict>
                </mc:Fallback>
              </mc:AlternateContent>
            </w:r>
            <w:r>
              <w:rPr>
                <w:color w:val="auto"/>
                <w:sz w:val="24"/>
              </w:rPr>
              <mc:AlternateContent>
                <mc:Choice Requires="wps">
                  <w:drawing>
                    <wp:anchor distT="0" distB="0" distL="114300" distR="114300" simplePos="0" relativeHeight="251687936" behindDoc="0" locked="0" layoutInCell="1" allowOverlap="1">
                      <wp:simplePos x="0" y="0"/>
                      <wp:positionH relativeFrom="column">
                        <wp:posOffset>1789430</wp:posOffset>
                      </wp:positionH>
                      <wp:positionV relativeFrom="paragraph">
                        <wp:posOffset>30480</wp:posOffset>
                      </wp:positionV>
                      <wp:extent cx="462280" cy="441960"/>
                      <wp:effectExtent l="5080" t="4445" r="8890" b="10795"/>
                      <wp:wrapNone/>
                      <wp:docPr id="40" name="文本框 3"/>
                      <wp:cNvGraphicFramePr/>
                      <a:graphic xmlns:a="http://schemas.openxmlformats.org/drawingml/2006/main">
                        <a:graphicData uri="http://schemas.microsoft.com/office/word/2010/wordprocessingShape">
                          <wps:wsp>
                            <wps:cNvSpPr txBox="1"/>
                            <wps:spPr>
                              <a:xfrm>
                                <a:off x="3221355" y="3851910"/>
                                <a:ext cx="462280" cy="441960"/>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eastAsia="宋体"/>
                                      <w:lang w:eastAsia="zh-CN"/>
                                    </w:rPr>
                                  </w:pPr>
                                  <w:r>
                                    <w:rPr>
                                      <w:rFonts w:hint="eastAsia" w:eastAsia="宋体"/>
                                      <w:lang w:eastAsia="zh-CN"/>
                                    </w:rPr>
                                    <w:t>田间管理</w:t>
                                  </w:r>
                                </w:p>
                              </w:txbxContent>
                            </wps:txbx>
                            <wps:bodyPr vert="horz" wrap="square" anchor="t" anchorCtr="0" upright="1"/>
                          </wps:wsp>
                        </a:graphicData>
                      </a:graphic>
                    </wp:anchor>
                  </w:drawing>
                </mc:Choice>
                <mc:Fallback>
                  <w:pict>
                    <v:shape id="文本框 3" o:spid="_x0000_s1026" o:spt="202" type="#_x0000_t202" style="position:absolute;left:0pt;margin-left:140.9pt;margin-top:2.4pt;height:34.8pt;width:36.4pt;z-index:251687936;mso-width-relative:page;mso-height-relative:page;" fillcolor="#FFFFFF" filled="t" stroked="t" coordsize="21600,21600" o:gfxdata="UEsDBAoAAAAAAIdO4kAAAAAAAAAAAAAAAAAEAAAAZHJzL1BLAwQUAAAACACHTuJATsvxcdUAAAAI&#10;AQAADwAAAGRycy9kb3ducmV2LnhtbE2PzU7DMBCE70i8g7VI3KjzR6hCNpVAQkLcKLlwc+NtEmGv&#10;I9ttyttjTnBajWY08227u1gjzuTD7Bgh32QgiAenZx4R+o+Xuy2IEBVrZRwTwjcF2HXXV61qtFv5&#10;nc77OIpUwqFRCFOMSyNlGCayKmzcQpy8o/NWxST9KLVXayq3RhZZVkurZk4Lk1roeaLha3+yCK/1&#10;U/ykXr/psijd2svBH01AvL3Js0cQkS7xLwy/+AkdusR0cCfWQRiEYpsn9IhQpZP88r6qQRwQHqoK&#10;ZNfK/w90P1BLAwQUAAAACACHTuJACG3rvDQCAAB1BAAADgAAAGRycy9lMm9Eb2MueG1srVRLjhMx&#10;EN0jcQfLe9L5KxOlMxITwgYB0sABHLc7bck/bCfpcAC4ASs27DlXzsGzO/OFRRb0ortsl1/Ve1XV&#10;i+tWK7IXPkhrSjro9SkRhttKmm1JP39av5pREiIzFVPWiJIeRaDXy5cvFgc3F0PbWFUJTwBiwvzg&#10;StrE6OZFEXgjNAs964TBYW29ZhFLvy0qzw5A16oY9vvT4mB95bzlIgTsrrpDekb0lwDaupZcrCzf&#10;aWFih+qFYhGUQiNdoMucbV0LHj/UdRCRqJKCacxvBIG9Se9iuWDzrWeukfycArskhWecNJMGQe+h&#10;ViwysvPyLygtubfB1rHHrS46IlkRsBj0n2lz2zAnMhdIHdy96OH/wfL3+4+eyKqkY0himEbFTz++&#10;n37+Pv36RkZJn4MLc7jdOjjG9rVt0TV3+wGbiXZbe52+IERwPhoOB6PJhJIj7NlkcDU4Ky3aSDgc&#10;xtPhcIaAHA7j8eBqms+LByDnQ3wrrCbJKKlHIbO+bP8uRCQF1zuXFDdYJau1VCov/HZzozzZMxR9&#10;nZ+UL648cVOGHEo6HU1SHgydXKODYGoHNYLZ5nhPboTHwP38/As4JbZioekSyAjJjc293ZkqW41g&#10;1RtTkXh0ENxg0GhKRouKEiUwl8nKnpFJdYkn2CkDkqlaXVWSFdtNC5hkbmx1RAUx+dCzsf4rIqLv&#10;QfXLjnnEZ4Zju6TQoDNvYjcoO+fltsGtXPYcAd2YBT1PTmr3x+ucx8PfYvk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TsvxcdUAAAAIAQAADwAAAAAAAAABACAAAAAiAAAAZHJzL2Rvd25yZXYueG1s&#10;UEsBAhQAFAAAAAgAh07iQAht67w0AgAAdQQAAA4AAAAAAAAAAQAgAAAAJAEAAGRycy9lMm9Eb2Mu&#10;eG1sUEsFBgAAAAAGAAYAWQEAAMoFAAAAAA==&#10;">
                      <v:fill on="t" focussize="0,0"/>
                      <v:stroke weight="0.5pt" color="#000000" joinstyle="round"/>
                      <v:imagedata o:title=""/>
                      <o:lock v:ext="edit" aspectratio="f"/>
                      <v:textbox>
                        <w:txbxContent>
                          <w:p>
                            <w:pPr>
                              <w:jc w:val="center"/>
                              <w:rPr>
                                <w:rFonts w:hint="eastAsia" w:eastAsia="宋体"/>
                                <w:lang w:eastAsia="zh-CN"/>
                              </w:rPr>
                            </w:pPr>
                            <w:r>
                              <w:rPr>
                                <w:rFonts w:hint="eastAsia" w:eastAsia="宋体"/>
                                <w:lang w:eastAsia="zh-CN"/>
                              </w:rPr>
                              <w:t>田间管理</w:t>
                            </w:r>
                          </w:p>
                        </w:txbxContent>
                      </v:textbox>
                    </v:shape>
                  </w:pict>
                </mc:Fallback>
              </mc:AlternateContent>
            </w:r>
            <w:r>
              <w:rPr>
                <w:color w:val="auto"/>
                <w:sz w:val="24"/>
              </w:rPr>
              <mc:AlternateContent>
                <mc:Choice Requires="wps">
                  <w:drawing>
                    <wp:anchor distT="0" distB="0" distL="114300" distR="114300" simplePos="0" relativeHeight="251686912" behindDoc="0" locked="0" layoutInCell="1" allowOverlap="1">
                      <wp:simplePos x="0" y="0"/>
                      <wp:positionH relativeFrom="column">
                        <wp:posOffset>920750</wp:posOffset>
                      </wp:positionH>
                      <wp:positionV relativeFrom="paragraph">
                        <wp:posOffset>23495</wp:posOffset>
                      </wp:positionV>
                      <wp:extent cx="671195" cy="422275"/>
                      <wp:effectExtent l="4445" t="5080" r="10160" b="10795"/>
                      <wp:wrapNone/>
                      <wp:docPr id="38" name="文本框 2"/>
                      <wp:cNvGraphicFramePr/>
                      <a:graphic xmlns:a="http://schemas.openxmlformats.org/drawingml/2006/main">
                        <a:graphicData uri="http://schemas.microsoft.com/office/word/2010/wordprocessingShape">
                          <wps:wsp>
                            <wps:cNvSpPr txBox="1"/>
                            <wps:spPr>
                              <a:xfrm>
                                <a:off x="2352675" y="3844925"/>
                                <a:ext cx="671195" cy="42227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sz w:val="21"/>
                                      <w:szCs w:val="21"/>
                                      <w:lang w:eastAsia="zh-CN"/>
                                    </w:rPr>
                                  </w:pPr>
                                  <w:r>
                                    <w:rPr>
                                      <w:rFonts w:hint="eastAsia" w:ascii="宋体" w:hAnsi="宋体" w:eastAsia="宋体" w:cs="宋体"/>
                                      <w:sz w:val="21"/>
                                      <w:szCs w:val="21"/>
                                      <w:lang w:val="en-US" w:eastAsia="zh-CN"/>
                                    </w:rPr>
                                    <w:t>种子/种苗栽种</w:t>
                                  </w:r>
                                </w:p>
                              </w:txbxContent>
                            </wps:txbx>
                            <wps:bodyPr vert="horz" wrap="square" anchor="t" anchorCtr="0" upright="1"/>
                          </wps:wsp>
                        </a:graphicData>
                      </a:graphic>
                    </wp:anchor>
                  </w:drawing>
                </mc:Choice>
                <mc:Fallback>
                  <w:pict>
                    <v:shape id="文本框 2" o:spid="_x0000_s1026" o:spt="202" type="#_x0000_t202" style="position:absolute;left:0pt;margin-left:72.5pt;margin-top:1.85pt;height:33.25pt;width:52.85pt;z-index:251686912;mso-width-relative:page;mso-height-relative:page;" fillcolor="#FFFFFF" filled="t" stroked="t" coordsize="21600,21600" o:gfxdata="UEsDBAoAAAAAAIdO4kAAAAAAAAAAAAAAAAAEAAAAZHJzL1BLAwQUAAAACACHTuJA09YCbNUAAAAI&#10;AQAADwAAAGRycy9kb3ducmV2LnhtbE2PwU7DMBBE70j8g7WVuFG7CW1RiFMJJCTEjZILNzfeJlHt&#10;dWS7Tfl7lhPcdjSj2Tf17uqduGBMYyANq6UCgdQFO1Kvof18vX8EkbIha1wg1PCNCXbN7U1tKhtm&#10;+sDLPveCSyhVRsOQ81RJmboBvUnLMCGxdwzRm8wy9tJGM3O5d7JQaiO9GYk/DGbClwG70/7sNbxt&#10;nvMXtvbdlkUZ5lZ28eiS1neLlXoCkfGa/8Lwi8/o0DDTIZzJJuFYP6x5S9ZQbkGwX6wVHwcNW1WA&#10;bGr5f0DzA1BLAwQUAAAACACHTuJAiPJ5EDMCAAB1BAAADgAAAGRycy9lMm9Eb2MueG1srVRLjhMx&#10;FNwjcQfLe9JJ5zNMNJ2RmBA2CJAGDuC43WlL/mE7SYcDwA1YsZk955pzUHZnvrDIgl50nu3qeq/q&#10;PefistOK7IQP0pqKjgZDSoThtpZmU9Evn1evXlMSIjM1U9aIih5EoJeLly8u9m4uSttaVQtPQGLC&#10;fO8q2sbo5kUReCs0CwPrhMFhY71mEUu/KWrP9mDXqiiHw1mxt7523nIRAnaX/SE9MvpTCG3TSC6W&#10;lm+1MLFn9UKxCEmhlS7QRa62aQSPH5smiEhURaE05jeSIF6nd7G4YPONZ66V/FgCO6WEZ5o0kwZJ&#10;76mWLDKy9fIvKi25t8E2ccCtLnoh2RGoGA2feXPdMieyFlgd3L3p4f/R8g+7T57IuqJj9N0wjY7f&#10;/vxx++v37c13UiZ/9i7MAbt2AMbuje0wNXf7AZtJdtd4nX4hiOC8HE/L2dmUkkPinUzOy2nvtOgi&#10;4QDMzkajc5xzACZlWQKLTMUDkfMhvhNWkxRU1KOR2V+2ex9iD72DpLzBKlmvpFJ54TfrK+XJjqHp&#10;q/wc2Z/AlCF7VDKeYhY4wyQ3mCCE2sGNYDY535MvwmPiYX7+RZwKW7LQ9gVkhl69t1tT54lrBavf&#10;mprEg4PhBheNpmK0qClRAvcyRRkZmVSnIOGdMrAwdavvSopit+5Ak8K1rQ/oIG4+/Gyt/4aMmHtI&#10;/bplHvmZ4diuKDzow6vYX5St83LT4qvc9pwB05jbdbw5adwfr3MdD/8Wi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T1gJs1QAAAAgBAAAPAAAAAAAAAAEAIAAAACIAAABkcnMvZG93bnJldi54bWxQ&#10;SwECFAAUAAAACACHTuJAiPJ5EDMCAAB1BAAADgAAAAAAAAABACAAAAAkAQAAZHJzL2Uyb0RvYy54&#10;bWxQSwUGAAAAAAYABgBZAQAAyQUAAAAA&#10;">
                      <v:fill on="t" focussize="0,0"/>
                      <v:stroke weight="0.5pt" color="#000000" joinstyle="round"/>
                      <v:imagedata o:title=""/>
                      <o:lock v:ext="edit" aspectratio="f"/>
                      <v:textbox>
                        <w:txbxContent>
                          <w:p>
                            <w:pPr>
                              <w:jc w:val="center"/>
                              <w:rPr>
                                <w:rFonts w:hint="eastAsia"/>
                                <w:sz w:val="21"/>
                                <w:szCs w:val="21"/>
                                <w:lang w:eastAsia="zh-CN"/>
                              </w:rPr>
                            </w:pPr>
                            <w:r>
                              <w:rPr>
                                <w:rFonts w:hint="eastAsia" w:ascii="宋体" w:hAnsi="宋体" w:eastAsia="宋体" w:cs="宋体"/>
                                <w:sz w:val="21"/>
                                <w:szCs w:val="21"/>
                                <w:lang w:val="en-US" w:eastAsia="zh-CN"/>
                              </w:rPr>
                              <w:t>种子/种苗栽种</w:t>
                            </w:r>
                          </w:p>
                        </w:txbxContent>
                      </v:textbox>
                    </v:shape>
                  </w:pict>
                </mc:Fallback>
              </mc:AlternateContent>
            </w:r>
            <w:r>
              <w:rPr>
                <w:color w:val="auto"/>
                <w:sz w:val="24"/>
              </w:rPr>
              <mc:AlternateContent>
                <mc:Choice Requires="wps">
                  <w:drawing>
                    <wp:anchor distT="0" distB="0" distL="114300" distR="114300" simplePos="0" relativeHeight="251685888" behindDoc="0" locked="0" layoutInCell="1" allowOverlap="1">
                      <wp:simplePos x="0" y="0"/>
                      <wp:positionH relativeFrom="column">
                        <wp:posOffset>279400</wp:posOffset>
                      </wp:positionH>
                      <wp:positionV relativeFrom="paragraph">
                        <wp:posOffset>10795</wp:posOffset>
                      </wp:positionV>
                      <wp:extent cx="459740" cy="428625"/>
                      <wp:effectExtent l="4445" t="4445" r="12065" b="5080"/>
                      <wp:wrapNone/>
                      <wp:docPr id="32" name="文本框 1"/>
                      <wp:cNvGraphicFramePr/>
                      <a:graphic xmlns:a="http://schemas.openxmlformats.org/drawingml/2006/main">
                        <a:graphicData uri="http://schemas.microsoft.com/office/word/2010/wordprocessingShape">
                          <wps:wsp>
                            <wps:cNvSpPr txBox="1"/>
                            <wps:spPr>
                              <a:xfrm>
                                <a:off x="1711325" y="3832225"/>
                                <a:ext cx="459740" cy="42862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lang w:eastAsia="zh-CN"/>
                                    </w:rPr>
                                  </w:pPr>
                                  <w:r>
                                    <w:rPr>
                                      <w:rFonts w:hint="eastAsia"/>
                                      <w:lang w:val="en-US" w:eastAsia="zh-CN"/>
                                    </w:rPr>
                                    <w:t>土壤整理</w:t>
                                  </w:r>
                                </w:p>
                              </w:txbxContent>
                            </wps:txbx>
                            <wps:bodyPr vert="horz" wrap="square" anchor="t" anchorCtr="0" upright="1"/>
                          </wps:wsp>
                        </a:graphicData>
                      </a:graphic>
                    </wp:anchor>
                  </w:drawing>
                </mc:Choice>
                <mc:Fallback>
                  <w:pict>
                    <v:shape id="文本框 1" o:spid="_x0000_s1026" o:spt="202" type="#_x0000_t202" style="position:absolute;left:0pt;margin-left:22pt;margin-top:0.85pt;height:33.75pt;width:36.2pt;z-index:251685888;mso-width-relative:page;mso-height-relative:page;" fillcolor="#FFFFFF" filled="t" stroked="t" coordsize="21600,21600" o:gfxdata="UEsDBAoAAAAAAIdO4kAAAAAAAAAAAAAAAAAEAAAAZHJzL1BLAwQUAAAACACHTuJAykMiFtQAAAAH&#10;AQAADwAAAGRycy9kb3ducmV2LnhtbE2PwU7DMBBE70j8g7VI3KiTNAo0jVMJJCTEjZILNzfeJhH2&#10;OrLdpvw92xMcd2Y087bZXZwVZwxx8qQgX2UgkHpvJhoUdJ+vD08gYtJktPWECn4wwq69vWl0bfxC&#10;H3jep0FwCcVaKxhTmmspYz+i03HlZyT2jj44nfgMgzRBL1zurCyyrJJOT8QLo57xZcT+e39yCt6q&#10;5/SFnXk362Ltl0724WijUvd3ebYFkfCS/sJwxWd0aJnp4E9korAKypJfSaw/grjaeVWCOCioNgXI&#10;tpH/+dtfUEsDBBQAAAAIAIdO4kA/v1ijNQIAAHUEAAAOAAAAZHJzL2Uyb0RvYy54bWytVEuS0zAQ&#10;3VPFHVTaEydOJhNScaaKCcOGAqoGDqDIcqwq/ZCUxOEAcANWbGbPueYcPMmZLyyywAu7JbVe93vd&#10;7cVFpxXZCR+kNRUdDYaUCMNtLc2mol8+X72aURIiMzVT1oiKHkSgF8uXLxZ7Nxelba2qhScAMWG+&#10;dxVtY3Tzogi8FZqFgXXC4LCxXrOIpd8UtWd7oGtVlMPhtNhbXztvuQgBu6v+kB4R/SmAtmkkFyvL&#10;t1qY2KN6oVgEpdBKF+gyZ9s0gsePTRNEJKqiYBrzG0Fgr9O7WC7YfOOZayU/psBOSeEZJ82kQdB7&#10;qBWLjGy9/AtKS+5tsE0ccKuLnkhWBCxGw2faXLfMicwFUgd3L3r4f7D8w+6TJ7Ku6LikxDCNit/+&#10;/HH76/ftzXcySvrsXZjD7drBMXZvbIeuudsP2Ey0u8br9AUhks7PR6NxeUbJAbizcVnCzkqLLhIO&#10;h8nZ6/MJasDhMCln0/68eAByPsR3wmqSjIp6FDLry3bvQwQUXO9cUtxglayvpFJ54TfrS+XJjqHo&#10;V/lJ0XHliZsyZF/R6fgs5cHQyQ06CKZ2UCOYTY735EZ4DDzMz7+AU2IrFto+gYzQs/d2a+qsQytY&#10;/dbUJB4cBDcYNJqS0aKmRAnMZbKyZ2RSneIJdsqAZKpWX5VkxW7dASaZa1sfUEFMPvRsrf+GiOh7&#10;UP26ZR7xmeHYrig06M3L2A/K1nm5aXErlz1HQDdmQY+Tk9r98Trn8fC3WP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ykMiFtQAAAAHAQAADwAAAAAAAAABACAAAAAiAAAAZHJzL2Rvd25yZXYueG1s&#10;UEsBAhQAFAAAAAgAh07iQD+/WKM1AgAAdQQAAA4AAAAAAAAAAQAgAAAAIwEAAGRycy9lMm9Eb2Mu&#10;eG1sUEsFBgAAAAAGAAYAWQEAAMoFAAAAAA==&#10;">
                      <v:fill on="t" focussize="0,0"/>
                      <v:stroke weight="0.5pt" color="#000000" joinstyle="round"/>
                      <v:imagedata o:title=""/>
                      <o:lock v:ext="edit" aspectratio="f"/>
                      <v:textbox>
                        <w:txbxContent>
                          <w:p>
                            <w:pPr>
                              <w:jc w:val="center"/>
                              <w:rPr>
                                <w:rFonts w:hint="eastAsia"/>
                                <w:lang w:eastAsia="zh-CN"/>
                              </w:rPr>
                            </w:pPr>
                            <w:r>
                              <w:rPr>
                                <w:rFonts w:hint="eastAsia"/>
                                <w:lang w:val="en-US" w:eastAsia="zh-CN"/>
                              </w:rPr>
                              <w:t>土壤整理</w:t>
                            </w:r>
                          </w:p>
                        </w:txbxContent>
                      </v:textbox>
                    </v:shape>
                  </w:pict>
                </mc:Fallback>
              </mc:AlternateContent>
            </w:r>
          </w:p>
          <w:p>
            <w:pPr>
              <w:pageBreakBefore w:val="0"/>
              <w:kinsoku/>
              <w:wordWrap/>
              <w:overflowPunct/>
              <w:topLinePunct w:val="0"/>
              <w:autoSpaceDE/>
              <w:autoSpaceDN/>
              <w:bidi w:val="0"/>
              <w:spacing w:line="360" w:lineRule="auto"/>
              <w:ind w:firstLine="480" w:firstLineChars="200"/>
              <w:jc w:val="both"/>
              <w:outlineLvl w:val="9"/>
              <w:rPr>
                <w:rFonts w:hint="default" w:ascii="Times New Roman" w:hAnsi="Times New Roman" w:eastAsia="宋体" w:cs="Times New Roman"/>
                <w:color w:val="auto"/>
                <w:sz w:val="24"/>
                <w:szCs w:val="24"/>
                <w:highlight w:val="none"/>
              </w:rPr>
            </w:pPr>
            <w:r>
              <w:rPr>
                <w:color w:val="auto"/>
                <w:sz w:val="24"/>
              </w:rPr>
              <mc:AlternateContent>
                <mc:Choice Requires="wps">
                  <w:drawing>
                    <wp:anchor distT="0" distB="0" distL="114300" distR="114300" simplePos="0" relativeHeight="251696128" behindDoc="0" locked="0" layoutInCell="1" allowOverlap="1">
                      <wp:simplePos x="0" y="0"/>
                      <wp:positionH relativeFrom="column">
                        <wp:posOffset>3039745</wp:posOffset>
                      </wp:positionH>
                      <wp:positionV relativeFrom="paragraph">
                        <wp:posOffset>1905</wp:posOffset>
                      </wp:positionV>
                      <wp:extent cx="774065" cy="261620"/>
                      <wp:effectExtent l="4445" t="4445" r="21590" b="19685"/>
                      <wp:wrapNone/>
                      <wp:docPr id="61" name="文本框 3"/>
                      <wp:cNvGraphicFramePr/>
                      <a:graphic xmlns:a="http://schemas.openxmlformats.org/drawingml/2006/main">
                        <a:graphicData uri="http://schemas.microsoft.com/office/word/2010/wordprocessingShape">
                          <wps:wsp>
                            <wps:cNvSpPr txBox="1"/>
                            <wps:spPr>
                              <a:xfrm>
                                <a:off x="4002405" y="4078605"/>
                                <a:ext cx="774065" cy="261620"/>
                              </a:xfrm>
                              <a:prstGeom prst="rect">
                                <a:avLst/>
                              </a:prstGeom>
                              <a:solidFill>
                                <a:srgbClr val="FFFFFF"/>
                              </a:solidFill>
                              <a:ln w="6350" cap="flat" cmpd="sng">
                                <a:solidFill>
                                  <a:srgbClr val="000000"/>
                                </a:solidFill>
                                <a:prstDash val="solid"/>
                                <a:round/>
                                <a:headEnd type="none" w="med" len="med"/>
                                <a:tailEnd type="none" w="med" len="med"/>
                              </a:ln>
                            </wps:spPr>
                            <wps:txbx>
                              <w:txbxContent>
                                <w:p>
                                  <w:pPr>
                                    <w:ind w:firstLine="210" w:firstLineChars="100"/>
                                    <w:rPr>
                                      <w:rFonts w:hint="eastAsia" w:eastAsia="宋体"/>
                                      <w:lang w:eastAsia="zh-CN"/>
                                    </w:rPr>
                                  </w:pPr>
                                  <w:r>
                                    <w:rPr>
                                      <w:rFonts w:hint="eastAsia" w:eastAsia="宋体"/>
                                      <w:lang w:eastAsia="zh-CN"/>
                                    </w:rPr>
                                    <w:t>采</w:t>
                                  </w:r>
                                  <w:r>
                                    <w:rPr>
                                      <w:rFonts w:hint="eastAsia" w:eastAsia="宋体"/>
                                      <w:lang w:val="en-US" w:eastAsia="zh-CN"/>
                                    </w:rPr>
                                    <w:t xml:space="preserve"> </w:t>
                                  </w:r>
                                  <w:r>
                                    <w:rPr>
                                      <w:rFonts w:hint="eastAsia" w:eastAsia="宋体"/>
                                      <w:lang w:eastAsia="zh-CN"/>
                                    </w:rPr>
                                    <w:t>收</w:t>
                                  </w:r>
                                </w:p>
                              </w:txbxContent>
                            </wps:txbx>
                            <wps:bodyPr vert="horz" wrap="square" anchor="t" anchorCtr="0" upright="1"/>
                          </wps:wsp>
                        </a:graphicData>
                      </a:graphic>
                    </wp:anchor>
                  </w:drawing>
                </mc:Choice>
                <mc:Fallback>
                  <w:pict>
                    <v:shape id="文本框 3" o:spid="_x0000_s1026" o:spt="202" type="#_x0000_t202" style="position:absolute;left:0pt;margin-left:239.35pt;margin-top:0.15pt;height:20.6pt;width:60.95pt;z-index:251696128;mso-width-relative:page;mso-height-relative:page;" fillcolor="#FFFFFF" filled="t" stroked="t" coordsize="21600,21600" o:gfxdata="UEsDBAoAAAAAAIdO4kAAAAAAAAAAAAAAAAAEAAAAZHJzL1BLAwQUAAAACACHTuJAZx3EnNMAAAAH&#10;AQAADwAAAGRycy9kb3ducmV2LnhtbE2OzU7DMBCE70i8g7VIvVEnDaRViFOplSohbpRcuLnxNomw&#10;15HtNuXtWU5wnB/NfPX25qy4YoijJwX5MgOB1HkzUq+g/Tg8bkDEpMlo6wkVfGOEbXN/V+vK+Jne&#10;8XpMveARipVWMKQ0VVLGbkCn49JPSJydfXA6sQy9NEHPPO6sXGVZKZ0eiR8GPeF+wO7reHEKXstd&#10;+sTWvJliVfi5lV0426jU4iHPXkAkvKW/MvziMzo0zHTyFzJRWAVP682aqwoKEByXfAbixH7+DLKp&#10;5X/+5gdQSwMEFAAAAAgAh07iQIKCC+A0AgAAdQQAAA4AAABkcnMvZTJvRG9jLnhtbK1US44TMRDd&#10;I3EHy3vSnUwmGUXpjMSEsEGANHAAx+1OW/IP20k6HABuwIoNe86Vc/DsznxhkQW96C7b5Vf1XlX1&#10;/LrTiuyED9Kaig4HJSXCcFtLs6no50+rV1eUhMhMzZQ1oqIHEej14uWL+d7NxMi2VtXCE4CYMNu7&#10;irYxullRBN4KzcLAOmFw2FivWcTSb4rasz3QtSpGZTkp9tbXzlsuQsDusj+kJ0R/DqBtGsnF0vKt&#10;Fib2qF4oFkEptNIFusjZNo3g8UPTBBGJqiiYxvxGENjr9C4WczbbeOZayU8psHNSeMZJM2kQ9B5q&#10;ySIjWy//gtKSextsEwfc6qInkhUBi2H5TJvbljmRuUDq4O5FD/8Plr/fffRE1hWdDCkxTKPixx/f&#10;jz9/H399IxdJn70LM7jdOjjG7rXt0DV3+wGbiXbXeJ2+IERwPi7L0bi8pOSQ7OnVBHZWWnSRcDhM&#10;p+NygnMOh9FkOBnlShQPQM6H+FZYTZJRUY9CZn3Z7l2IgILrnUuKG6yS9UoqlRd+s75RnuwYir7K&#10;T4qOK0/clCF70L64RC9whk5u0EEwtYMawWxyvCc3wmPgMj//Ak6JLVlo+wQyQs/e262psw6tYPUb&#10;U5N4cBDcYNBoSkaLmhIlMJfJyp6RSXWOJ9gpA5KpWn1VkhW7dQeYZK5tfUAFMfnQs7X+KyKi70H1&#10;y5Z5xGeGY7ui0KA3b2I/KFvn5abFrVz2HAHdmAU9TU5q98frnMfD32Lx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GcdxJzTAAAABwEAAA8AAAAAAAAAAQAgAAAAIgAAAGRycy9kb3ducmV2LnhtbFBL&#10;AQIUABQAAAAIAIdO4kCCggvgNAIAAHUEAAAOAAAAAAAAAAEAIAAAACIBAABkcnMvZTJvRG9jLnht&#10;bFBLBQYAAAAABgAGAFkBAADIBQAAAAA=&#10;">
                      <v:fill on="t" focussize="0,0"/>
                      <v:stroke weight="0.5pt" color="#000000" joinstyle="round"/>
                      <v:imagedata o:title=""/>
                      <o:lock v:ext="edit" aspectratio="f"/>
                      <v:textbox>
                        <w:txbxContent>
                          <w:p>
                            <w:pPr>
                              <w:ind w:firstLine="210" w:firstLineChars="100"/>
                              <w:rPr>
                                <w:rFonts w:hint="eastAsia" w:eastAsia="宋体"/>
                                <w:lang w:eastAsia="zh-CN"/>
                              </w:rPr>
                            </w:pPr>
                            <w:r>
                              <w:rPr>
                                <w:rFonts w:hint="eastAsia" w:eastAsia="宋体"/>
                                <w:lang w:eastAsia="zh-CN"/>
                              </w:rPr>
                              <w:t>采</w:t>
                            </w:r>
                            <w:r>
                              <w:rPr>
                                <w:rFonts w:hint="eastAsia" w:eastAsia="宋体"/>
                                <w:lang w:val="en-US" w:eastAsia="zh-CN"/>
                              </w:rPr>
                              <w:t xml:space="preserve"> </w:t>
                            </w:r>
                            <w:r>
                              <w:rPr>
                                <w:rFonts w:hint="eastAsia" w:eastAsia="宋体"/>
                                <w:lang w:eastAsia="zh-CN"/>
                              </w:rPr>
                              <w:t>收</w:t>
                            </w:r>
                          </w:p>
                        </w:txbxContent>
                      </v:textbox>
                    </v:shape>
                  </w:pict>
                </mc:Fallback>
              </mc:AlternateContent>
            </w:r>
            <w:r>
              <w:rPr>
                <w:color w:val="auto"/>
                <w:sz w:val="24"/>
              </w:rPr>
              <mc:AlternateContent>
                <mc:Choice Requires="wps">
                  <w:drawing>
                    <wp:anchor distT="0" distB="0" distL="114300" distR="114300" simplePos="0" relativeHeight="251697152" behindDoc="0" locked="0" layoutInCell="1" allowOverlap="1">
                      <wp:simplePos x="0" y="0"/>
                      <wp:positionH relativeFrom="column">
                        <wp:posOffset>2696845</wp:posOffset>
                      </wp:positionH>
                      <wp:positionV relativeFrom="paragraph">
                        <wp:posOffset>134620</wp:posOffset>
                      </wp:positionV>
                      <wp:extent cx="339090" cy="1905"/>
                      <wp:effectExtent l="0" t="47625" r="3810" b="64770"/>
                      <wp:wrapNone/>
                      <wp:docPr id="62" name="直接箭头连接符 26"/>
                      <wp:cNvGraphicFramePr/>
                      <a:graphic xmlns:a="http://schemas.openxmlformats.org/drawingml/2006/main">
                        <a:graphicData uri="http://schemas.microsoft.com/office/word/2010/wordprocessingShape">
                          <wps:wsp>
                            <wps:cNvCnPr/>
                            <wps:spPr>
                              <a:xfrm>
                                <a:off x="4462145" y="4066540"/>
                                <a:ext cx="339090" cy="1905"/>
                              </a:xfrm>
                              <a:prstGeom prst="straightConnector1">
                                <a:avLst/>
                              </a:prstGeom>
                              <a:ln w="9525" cap="flat" cmpd="sng">
                                <a:solidFill>
                                  <a:srgbClr val="000000"/>
                                </a:solidFill>
                                <a:prstDash val="solid"/>
                                <a:round/>
                                <a:headEnd type="none" w="med" len="med"/>
                                <a:tailEnd type="arrow" w="med" len="med"/>
                              </a:ln>
                            </wps:spPr>
                            <wps:bodyPr/>
                          </wps:wsp>
                        </a:graphicData>
                      </a:graphic>
                    </wp:anchor>
                  </w:drawing>
                </mc:Choice>
                <mc:Fallback>
                  <w:pict>
                    <v:shape id="直接箭头连接符 26" o:spid="_x0000_s1026" o:spt="32" type="#_x0000_t32" style="position:absolute;left:0pt;margin-left:212.35pt;margin-top:10.6pt;height:0.15pt;width:26.7pt;z-index:251697152;mso-width-relative:page;mso-height-relative:page;" filled="f" stroked="t" coordsize="21600,21600" o:gfxdata="UEsDBAoAAAAAAIdO4kAAAAAAAAAAAAAAAAAEAAAAZHJzL1BLAwQUAAAACACHTuJA37TLndcAAAAJ&#10;AQAADwAAAGRycy9kb3ducmV2LnhtbE2PwU7DMAyG70i8Q2Qkbixt1LGpNN0BaYdKQ4jBA2StaSsa&#10;p2u8bnt7vBMcbf/6/P3F5uIHNeMU+0AW0kUCCqkOTU+tha/P7dMaVGRHjRsCoYUrRtiU93eFy5tw&#10;pg+c99wqgVDMnYWOecy1jnWH3sVFGJHk9h0m71jGqdXN5M4C94M2SfKsvetJPnRuxNcO65/9yVsw&#10;1ZGv213F8zsv347e7LJqrK19fEiTF1CMF/4Lw01f1KEUp0M4URPVYCEz2UqiAksNKAlkq3UK6nBb&#10;LEGXhf7foPwFUEsDBBQAAAAIAIdO4kBCtFLyFwIAAAcEAAAOAAAAZHJzL2Uyb0RvYy54bWytU82O&#10;0zAQviPxDpbvNGm2jWjUdA8tywVBJeABXNtJLPlPttu0L8ELIHECTsBp7zwNLI/B2AlbWDjsgRyc&#10;sT3zzXzfjJeXRyXRgTsvjK7xdJJjxDU1TOi2xq9fXT16jJEPRDMijeY1PnGPL1cPHyx7W/HCdEYy&#10;7hCAaF/1tsZdCLbKMk87roifGMs1XDbGKRJg69qMOdIDupJZkedl1hvHrDOUew+nm+ESj4juPoCm&#10;aQTlG0P3iuswoDouSQBKvhPW41Wqtmk4DS+axvOAZI2BaUgrJAF7F9dstSRV64jtBB1LIPcp4Q4n&#10;RYSGpLdQGxII2jvxF5QS1BlvmjChRmUDkaQIsJjmd7R52RHLExeQ2ttb0f3/g6XPD1uHBKtxWWCk&#10;iYKO37y9/v7mw82Xz9/eX//4+i7anz6iooxi9dZXELPWWzfuvN26yPzYOBX/wAkdazyblcV0Nsfo&#10;BHZelvPZKDY/BkTB4eJikS+gDRQcpot8HtGzM4x1PjzlRqFo1NgHR0TbhbXRGppq3DTJTQ7PfBgC&#10;fwXEGqRGfY0X8wLyUwJD2sBwgKksEPW6TbHeSMGuhJQxwrt2t5YOHUgclPSNBf3hFpNsiO8Gv3QV&#10;3UjlzF6zZHWcsCeaoXCyoKWGN4RjMYozjCSHJxet5BmIkGdP4pzp/+0KskgN6kTxB7mjtTPslLqQ&#10;zmE+kn7jLMcB/H2fos/vd/U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37TLndcAAAAJAQAADwAA&#10;AAAAAAABACAAAAAiAAAAZHJzL2Rvd25yZXYueG1sUEsBAhQAFAAAAAgAh07iQEK0UvIXAgAABwQA&#10;AA4AAAAAAAAAAQAgAAAAJgEAAGRycy9lMm9Eb2MueG1sUEsFBgAAAAAGAAYAWQEAAK8FAAAAAA==&#10;">
                      <v:fill on="f" focussize="0,0"/>
                      <v:stroke color="#000000" joinstyle="round" endarrow="open"/>
                      <v:imagedata o:title=""/>
                      <o:lock v:ext="edit" aspectratio="f"/>
                    </v:shape>
                  </w:pict>
                </mc:Fallback>
              </mc:AlternateContent>
            </w:r>
            <w:r>
              <w:rPr>
                <w:color w:val="auto"/>
                <w:sz w:val="24"/>
              </w:rPr>
              <mc:AlternateContent>
                <mc:Choice Requires="wps">
                  <w:drawing>
                    <wp:anchor distT="0" distB="0" distL="114300" distR="114300" simplePos="0" relativeHeight="251698176" behindDoc="0" locked="0" layoutInCell="1" allowOverlap="1">
                      <wp:simplePos x="0" y="0"/>
                      <wp:positionH relativeFrom="column">
                        <wp:posOffset>3813810</wp:posOffset>
                      </wp:positionH>
                      <wp:positionV relativeFrom="paragraph">
                        <wp:posOffset>121285</wp:posOffset>
                      </wp:positionV>
                      <wp:extent cx="422275" cy="11430"/>
                      <wp:effectExtent l="0" t="46990" r="15875" b="55880"/>
                      <wp:wrapNone/>
                      <wp:docPr id="65" name="直接箭头连接符 26"/>
                      <wp:cNvGraphicFramePr/>
                      <a:graphic xmlns:a="http://schemas.openxmlformats.org/drawingml/2006/main">
                        <a:graphicData uri="http://schemas.microsoft.com/office/word/2010/wordprocessingShape">
                          <wps:wsp>
                            <wps:cNvCnPr>
                              <a:stCxn id="61" idx="3"/>
                            </wps:cNvCnPr>
                            <wps:spPr>
                              <a:xfrm flipV="1">
                                <a:off x="4520565" y="4239895"/>
                                <a:ext cx="422275" cy="11430"/>
                              </a:xfrm>
                              <a:prstGeom prst="straightConnector1">
                                <a:avLst/>
                              </a:prstGeom>
                              <a:ln w="9525" cap="flat" cmpd="sng">
                                <a:solidFill>
                                  <a:srgbClr val="000000"/>
                                </a:solidFill>
                                <a:prstDash val="solid"/>
                                <a:round/>
                                <a:headEnd type="none" w="med" len="med"/>
                                <a:tailEnd type="arrow" w="med" len="med"/>
                              </a:ln>
                            </wps:spPr>
                            <wps:bodyPr/>
                          </wps:wsp>
                        </a:graphicData>
                      </a:graphic>
                    </wp:anchor>
                  </w:drawing>
                </mc:Choice>
                <mc:Fallback>
                  <w:pict>
                    <v:shape id="直接箭头连接符 26" o:spid="_x0000_s1026" o:spt="32" type="#_x0000_t32" style="position:absolute;left:0pt;flip:y;margin-left:300.3pt;margin-top:9.55pt;height:0.9pt;width:33.25pt;z-index:251698176;mso-width-relative:page;mso-height-relative:page;" filled="f" stroked="t" coordsize="21600,21600" o:gfxdata="UEsDBAoAAAAAAIdO4kAAAAAAAAAAAAAAAAAEAAAAZHJzL1BLAwQUAAAACACHTuJAC1cZJNYAAAAJ&#10;AQAADwAAAGRycy9kb3ducmV2LnhtbE2PwU7DMAyG70i8Q2QkbizpBIWVpjuAOMGFgTTtljWm6Wic&#10;kmRreXvMCW62/l+fP9fr2Q/ihDH1gTQUCwUCqQ22p07D+9vT1R2IlA1ZMwRCDd+YYN2cn9WmsmGi&#10;VzxtcicYQqkyGlzOYyVlah16kxZhROLsI0RvMq+xkzaaieF+kEulSulNT3zBmREfHLafm6PXsH1R&#10;u5s5RHfYfV275/6x2x78pPXlRaHuQWSc818ZfvVZHRp22ocj2SQGDSXTucrBqgDBhbK85WGvYalW&#10;IJta/v+g+QFQSwMEFAAAAAgAh07iQA1BfP8vAgAAOQQAAA4AAABkcnMvZTJvRG9jLnhtbK1TzY7T&#10;MBC+I/EOlu80bbot26jpHlqWC4JK/Nxdx0ks+U9jt2lfghdA4gScgNPeeRpYHoOxU7bLwmEP5JCM&#10;428+z/fNeH6x14rsBHhpTUlHgyElwnBbSdOU9PWry0fnlPjATMWUNaKkB+HpxeLhg3nnCpHb1qpK&#10;AEES44vOlbQNwRVZ5nkrNPMD64TBzdqCZgGX0GQVsA7Ztcry4XCadRYqB5YL7/Hvqt+kR0a4D6Gt&#10;a8nFyvKtFib0rCAUCyjJt9J5ukjV1rXg4UVdexGIKikqDemNh2C8ie9sMWdFA8y1kh9LYPcp4Y4m&#10;zaTBQ2+oViwwsgX5F5WWHKy3dRhwq7NeSHIEVYyGd7x52TInkha02rsb0/3/o+XPd2sgsirpdEKJ&#10;YRo7fv3u6sfbj9dfv3z/cPXz2/sYf/5E8mk0q3O+wJylWUOU68Nyb/r0EcXvvqTjCMv+wMWFd33G&#10;vgZNaiXdGxy+ZBmaQDDvbJIPJ7GIA8b5eHY+m/TdEftAeATkef4Y9zkCRqOzcWpexorIGGtx4MNT&#10;YTWJQUl9ACabNiytMTgGFvrT2O6ZD7HCU0JMVoZ0JZ1N8ngAw7GucZww1A6t8aZJlXqrZHUplUrS&#10;odksFZAdi6OVnqQcTbkNi8WsmG97XNrqZYHdmiqNXytY9cRUJBwcum/w1tFYjBYVJUrgJY1RQgYm&#10;1QnJAGz3byiqU+bYht752IONrQ5r+N0enKhkw3H648jeXqfs041f/A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LVxkk1gAAAAkBAAAPAAAAAAAAAAEAIAAAACIAAABkcnMvZG93bnJldi54bWxQSwEC&#10;FAAUAAAACACHTuJADUF8/y8CAAA5BAAADgAAAAAAAAABACAAAAAlAQAAZHJzL2Uyb0RvYy54bWxQ&#10;SwUGAAAAAAYABgBZAQAAxgUAAAAA&#10;">
                      <v:fill on="f" focussize="0,0"/>
                      <v:stroke color="#000000" joinstyle="round" endarrow="open"/>
                      <v:imagedata o:title=""/>
                      <o:lock v:ext="edit" aspectratio="f"/>
                    </v:shape>
                  </w:pict>
                </mc:Fallback>
              </mc:AlternateContent>
            </w:r>
            <w:r>
              <w:rPr>
                <w:color w:val="auto"/>
                <w:sz w:val="24"/>
              </w:rPr>
              <mc:AlternateContent>
                <mc:Choice Requires="wps">
                  <w:drawing>
                    <wp:anchor distT="0" distB="0" distL="114300" distR="114300" simplePos="0" relativeHeight="251693056" behindDoc="0" locked="0" layoutInCell="1" allowOverlap="1">
                      <wp:simplePos x="0" y="0"/>
                      <wp:positionH relativeFrom="column">
                        <wp:posOffset>4456430</wp:posOffset>
                      </wp:positionH>
                      <wp:positionV relativeFrom="paragraph">
                        <wp:posOffset>224155</wp:posOffset>
                      </wp:positionV>
                      <wp:extent cx="9525" cy="342900"/>
                      <wp:effectExtent l="46990" t="0" r="57785" b="0"/>
                      <wp:wrapNone/>
                      <wp:docPr id="58" name="直线 89"/>
                      <wp:cNvGraphicFramePr/>
                      <a:graphic xmlns:a="http://schemas.openxmlformats.org/drawingml/2006/main">
                        <a:graphicData uri="http://schemas.microsoft.com/office/word/2010/wordprocessingShape">
                          <wps:wsp>
                            <wps:cNvCnPr/>
                            <wps:spPr>
                              <a:xfrm flipH="1">
                                <a:off x="5126355" y="4298950"/>
                                <a:ext cx="9525" cy="34290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89" o:spid="_x0000_s1026" o:spt="20" style="position:absolute;left:0pt;flip:x;margin-left:350.9pt;margin-top:17.65pt;height:27pt;width:0.75pt;z-index:251693056;mso-width-relative:page;mso-height-relative:page;" filled="f" stroked="t" coordsize="21600,21600" o:gfxdata="UEsDBAoAAAAAAIdO4kAAAAAAAAAAAAAAAAAEAAAAZHJzL1BLAwQUAAAACACHTuJAxWjnONgAAAAJ&#10;AQAADwAAAGRycy9kb3ducmV2LnhtbE2PwU7DMBBE70j8g7VIXCpqhwhSQpweKsGBW9MKrk68TUJj&#10;O4q3bfj7Lie47WhHM2+K9ewGccYp9sFrSJYKBPom2N63Gva7t4cViEjGWzMEjxp+MMK6vL0pTG7D&#10;xW/xXFErOMTH3GjoiMZcyth06ExchhE9/w5hcoZYTq20k7lwuBvko1LP0pnec0NnRtx02Byrk9Pw&#10;/kFU7/YjLY6Hz+r7a7GZq6zS+v4uUa8gCGf6M8MvPqNDyUx1OHkbxaAhUwmjk4b0KQXBhkylfNQa&#10;Vi8pyLKQ/xeUV1BLAwQUAAAACACHTuJAQXVsWAICAAD2AwAADgAAAGRycy9lMm9Eb2MueG1srVNL&#10;jhMxEN0jcQfLe9JJhowmrXRmMWFggSAScICK7e625J9cTjo5C9dgxYbjzDUou0MGBhazoBetsuv5&#10;Vb3n8ur2aA07qIjau4bPJlPOlBNeatc1/Mvn+1c3nGECJ8F4pxp+Ushv1y9frIZQq7nvvZEqMiJx&#10;WA+h4X1Koa4qFL2ygBMflKNk66OFRMvYVTLCQOzWVPPp9LoafJQheqEQaXczJvmZMT6H0LetFmrj&#10;xd4ql0bWqAwkkoS9DsjXpdu2VSJ9bFtUiZmGk9JU/lSE4l3+V+sV1F2E0GtxbgGe08ITTRa0o6IX&#10;qg0kYPuo/6KyWkSPvk0T4W01CimOkIrZ9Ik3n3oIqmghqzFcTMf/Rys+HLaRadnwBd27A0s3/vD1&#10;28P3H+xmmd0ZAtYEunPbeF5h2MYs9dhGy1qjwzsaoyKe5LAjMc3m11eLBWenhr+eL2+Wi7PP6piY&#10;IMByMaesoPQV5aclW42EmThETG+VtywHDTfaZROghsN7TNQEQX9B8rZxbLhwAk1kS5NA9DaQKnRd&#10;OYveaHmvjcknMHa7OxPZAfJUlC9LJd4/YLnIBrAfcSU1zkuvQL5xkqVTILscPROeW7BKcmYUvaoc&#10;ESHUCbR5REKMfvg3lGobRy1ku0eDc7Tz8kTXsw9Rdz1ZMStt5gyNQ2n4PLp53n5fF6bH57r+C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Vo5zjYAAAACQEAAA8AAAAAAAAAAQAgAAAAIgAAAGRycy9k&#10;b3ducmV2LnhtbFBLAQIUABQAAAAIAIdO4kBBdWxYAgIAAPYDAAAOAAAAAAAAAAEAIAAAACcBAABk&#10;cnMvZTJvRG9jLnhtbFBLBQYAAAAABgAGAFkBAACbBQAAAAA=&#10;">
                      <v:fill on="f" focussize="0,0"/>
                      <v:stroke color="#000000" joinstyle="round" endarrow="open"/>
                      <v:imagedata o:title=""/>
                      <o:lock v:ext="edit" aspectratio="f"/>
                    </v:line>
                  </w:pict>
                </mc:Fallback>
              </mc:AlternateContent>
            </w:r>
            <w:r>
              <w:rPr>
                <w:color w:val="auto"/>
                <w:sz w:val="24"/>
              </w:rPr>
              <mc:AlternateContent>
                <mc:Choice Requires="wps">
                  <w:drawing>
                    <wp:anchor distT="0" distB="0" distL="114300" distR="114300" simplePos="0" relativeHeight="251692032" behindDoc="0" locked="0" layoutInCell="1" allowOverlap="1">
                      <wp:simplePos x="0" y="0"/>
                      <wp:positionH relativeFrom="column">
                        <wp:posOffset>2018030</wp:posOffset>
                      </wp:positionH>
                      <wp:positionV relativeFrom="paragraph">
                        <wp:posOffset>193675</wp:posOffset>
                      </wp:positionV>
                      <wp:extent cx="635" cy="337820"/>
                      <wp:effectExtent l="48895" t="0" r="64770" b="5080"/>
                      <wp:wrapNone/>
                      <wp:docPr id="57" name="直线 84"/>
                      <wp:cNvGraphicFramePr/>
                      <a:graphic xmlns:a="http://schemas.openxmlformats.org/drawingml/2006/main">
                        <a:graphicData uri="http://schemas.microsoft.com/office/word/2010/wordprocessingShape">
                          <wps:wsp>
                            <wps:cNvCnPr/>
                            <wps:spPr>
                              <a:xfrm>
                                <a:off x="3449955" y="4277995"/>
                                <a:ext cx="635" cy="337820"/>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84" o:spid="_x0000_s1026" o:spt="20" style="position:absolute;left:0pt;margin-left:158.9pt;margin-top:15.25pt;height:26.6pt;width:0.05pt;z-index:251692032;mso-width-relative:page;mso-height-relative:page;" filled="f" stroked="t" coordsize="21600,21600" o:gfxdata="UEsDBAoAAAAAAIdO4kAAAAAAAAAAAAAAAAAEAAAAZHJzL1BLAwQUAAAACACHTuJAJpVdV9kAAAAJ&#10;AQAADwAAAGRycy9kb3ducmV2LnhtbE2PQU/DMAyF70j8h8hIXBBLyjQ2StMdQEiAxoGOiWvWeE1F&#10;41RNtpZ/jznBzX5+eu9zsZ58J044xDaQhmymQCDVwbbUaPjYPl2vQMRkyJouEGr4xgjr8vysMLkN&#10;I73jqUqN4BCKudHgUupzKWPt0Js4Cz0S3w5h8CbxOjTSDmbkcN/JG6VupTctcYMzPT44rL+qo9fQ&#10;7MYX+7z5rA7d7nH7urhy7s1PWl9eZOoeRMIp/ZnhF5/RoWSmfTiSjaLTMM+WjJ54UAsQbGDhDsRe&#10;w2q+BFkW8v8H5Q9QSwMEFAAAAAgAh07iQGbfmYD+AQAA6wMAAA4AAABkcnMvZTJvRG9jLnhtbK1T&#10;S5LTMBDdU8UdVNoT5ztJXHFmMWHYUDBVwAE6smyrSr9SK3FyFq7Big3HmWvQksMEBhazwAu5W916&#10;3e+ptbk9Gc2OMqBytuKT0ZgzaYWrlW0r/uXz/ZsVZxjB1qCdlRU/S+S329evNr0v5dR1TtcyMAKx&#10;WPa+4l2MviwKFJ00gCPnpaVg44KBSG5oizpAT+hGF9Px+KboXah9cEIi0u5uCPILYngJoGsaJeTO&#10;iYORNg6oQWqIRAk75ZFvc7dNI0X82DQoI9MVJ6Yxr1SE7H1ai+0GyjaA75S4tAAvaeEZJwPKUtEn&#10;qB1EYIeg/oIySgSHrokj4UwxEMmKEIvJ+Jk2nzrwMnMhqdE/iY7/D1Z8OD4EpuqKL5acWTB0449f&#10;vz1+/8FW86RO77GkpDv7EC4e+oeQqJ6aYNKfSLBTxWfz+Xq9WHB2rvh8ulySM6grT5EJSriZUVBQ&#10;dDZbrqZZ+uKK4gPGd9IZloyKa2UTcyjh+B4jVabUXylpW1vWV3y9mCZMoDFs6PrJNJ6ooG3zWXRa&#10;1fdK63QCQ7u/04EdIY1C/lJ/hPtHWiqyA+yGvBwaaHQS6re2ZvHsSSNLb4OnFoysOdOSnlKyCBDK&#10;CEpfMyEE1/87lWprSy0kjQdVk7V39Znu5OCDajuSYpLbTBGagdzwZV7TkP3uZ6TrG93+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aVXVfZAAAACQEAAA8AAAAAAAAAAQAgAAAAIgAAAGRycy9kb3du&#10;cmV2LnhtbFBLAQIUABQAAAAIAIdO4kBm35mA/gEAAOsDAAAOAAAAAAAAAAEAIAAAACgBAABkcnMv&#10;ZTJvRG9jLnhtbFBLBQYAAAAABgAGAFkBAACYBQAAAAA=&#10;">
                      <v:fill on="f" focussize="0,0"/>
                      <v:stroke color="#000000" joinstyle="round" endarrow="open"/>
                      <v:imagedata o:title=""/>
                      <o:lock v:ext="edit" aspectratio="f"/>
                    </v:line>
                  </w:pict>
                </mc:Fallback>
              </mc:AlternateContent>
            </w:r>
            <w:r>
              <w:rPr>
                <w:color w:val="auto"/>
                <w:sz w:val="24"/>
              </w:rPr>
              <mc:AlternateContent>
                <mc:Choice Requires="wps">
                  <w:drawing>
                    <wp:anchor distT="0" distB="0" distL="114300" distR="114300" simplePos="0" relativeHeight="251691008" behindDoc="0" locked="0" layoutInCell="1" allowOverlap="1">
                      <wp:simplePos x="0" y="0"/>
                      <wp:positionH relativeFrom="column">
                        <wp:posOffset>1259840</wp:posOffset>
                      </wp:positionH>
                      <wp:positionV relativeFrom="paragraph">
                        <wp:posOffset>210185</wp:posOffset>
                      </wp:positionV>
                      <wp:extent cx="635" cy="316865"/>
                      <wp:effectExtent l="48895" t="0" r="64770" b="6985"/>
                      <wp:wrapNone/>
                      <wp:docPr id="52" name="直线 82"/>
                      <wp:cNvGraphicFramePr/>
                      <a:graphic xmlns:a="http://schemas.openxmlformats.org/drawingml/2006/main">
                        <a:graphicData uri="http://schemas.microsoft.com/office/word/2010/wordprocessingShape">
                          <wps:wsp>
                            <wps:cNvCnPr/>
                            <wps:spPr>
                              <a:xfrm>
                                <a:off x="2691765" y="4294505"/>
                                <a:ext cx="635" cy="31686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直线 82" o:spid="_x0000_s1026" o:spt="20" style="position:absolute;left:0pt;margin-left:99.2pt;margin-top:16.55pt;height:24.95pt;width:0.05pt;z-index:251691008;mso-width-relative:page;mso-height-relative:page;" filled="f" stroked="t" coordsize="21600,21600" o:gfxdata="UEsDBAoAAAAAAIdO4kAAAAAAAAAAAAAAAAAEAAAAZHJzL1BLAwQUAAAACACHTuJAlLoAe9kAAAAJ&#10;AQAADwAAAGRycy9kb3ducmV2LnhtbE2PwU7DMBBE70j8g7VIXBC1QyhKQ5weQEiA4EBKxdWNt3GE&#10;vY5itwl/j3uC42ifZt5W69lZdsQx9J4kZAsBDKn1uqdOwufm6boAFqIirawnlPCDAdb1+VmlSu0n&#10;+sBjEzuWSiiUSoKJcSg5D61Bp8LCD0jptvejUzHFseN6VFMqd5bfCHHHneopLRg14IPB9rs5OAnd&#10;dnrRz29fzd5uHzevyytj3t0s5eVFJu6BRZzjHwwn/aQOdXLa+QPpwGzKq+I2oRLyPAN2AlbFEthO&#10;QpEL4HXF/39Q/wJQSwMEFAAAAAgAh07iQE+QS5b9AQAA6wMAAA4AAABkcnMvZTJvRG9jLnhtbK1T&#10;S5LTMBDdU8UdVNoTJ55JSFxxZjFh2FAwVQMH6EiyrSr9Sq3EyVm4Bis2HGeuQcsOExhYzAIv5Jb6&#10;6anfU2t9c7SGHVRE7V3NZ5MpZ8oJL7Vra/7l892bJWeYwEkw3qmanxTym83rV+s+VKr0nTdSRUYk&#10;Dqs+1LxLKVRFgaJTFnDig3KUbHy0kGga20JG6IndmqKcThdF76MM0QuFSKvbMcnPjPElhL5ptFBb&#10;L/ZWuTSyRmUgkSTsdEC+GaptGiXSp6ZBlZipOSlNw0iHULzLY7FZQ9VGCJ0W5xLgJSU802RBOzr0&#10;iWoLCdg+6r+orBbRo2/SRHhbjEIGR0jFbPrMm4cOghq0kNUYnkzH/0crPh7uI9Oy5vOSMweWbvzx&#10;67fH7z/Ysszu9AErAt26+3ieYbiPWeqxiTb/SQQ71rxcrGZvF3POTjW/LlfX8+l8dFcdExMEWFxR&#10;UlD2arZYEpDoigtLiJjeK29ZDmputMvKoYLDB0wj9BckLxvH+pqv5mXmBGrDhq6fQhtICrp22Ive&#10;aHmnjck7MLa7WxPZAXIrDN+5hD9g+ZAtYDfihtQoo1Mg3znJ0imQR47eBs8lWCU5M4qeUo6oUKgS&#10;aHNBQoy+/zeU5BtHLmSPR1dztPPyRHeyD1G3HVkxG8rMGeqBwbNzv+Ym+30+MF3e6OY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lLoAe9kAAAAJAQAADwAAAAAAAAABACAAAAAiAAAAZHJzL2Rvd25y&#10;ZXYueG1sUEsBAhQAFAAAAAgAh07iQE+QS5b9AQAA6wMAAA4AAAAAAAAAAQAgAAAAKAEAAGRycy9l&#10;Mm9Eb2MueG1sUEsFBgAAAAAGAAYAWQEAAJcFAAAAAA==&#10;">
                      <v:fill on="f" focussize="0,0"/>
                      <v:stroke color="#000000" joinstyle="round" endarrow="open"/>
                      <v:imagedata o:title=""/>
                      <o:lock v:ext="edit" aspectratio="f"/>
                    </v:line>
                  </w:pict>
                </mc:Fallback>
              </mc:AlternateContent>
            </w:r>
          </w:p>
          <w:p>
            <w:pPr>
              <w:pStyle w:val="23"/>
              <w:spacing w:line="360" w:lineRule="auto"/>
              <w:rPr>
                <w:rFonts w:hint="default"/>
                <w:color w:val="auto"/>
                <w:highlight w:val="none"/>
              </w:rPr>
            </w:pPr>
            <w:r>
              <w:rPr>
                <w:color w:val="auto"/>
                <w:sz w:val="18"/>
              </w:rPr>
              <mc:AlternateContent>
                <mc:Choice Requires="wps">
                  <w:drawing>
                    <wp:anchor distT="0" distB="0" distL="114300" distR="114300" simplePos="0" relativeHeight="251689984" behindDoc="0" locked="0" layoutInCell="1" allowOverlap="1">
                      <wp:simplePos x="0" y="0"/>
                      <wp:positionH relativeFrom="column">
                        <wp:posOffset>665480</wp:posOffset>
                      </wp:positionH>
                      <wp:positionV relativeFrom="paragraph">
                        <wp:posOffset>254635</wp:posOffset>
                      </wp:positionV>
                      <wp:extent cx="4018915" cy="269240"/>
                      <wp:effectExtent l="4445" t="4445" r="15240" b="12065"/>
                      <wp:wrapNone/>
                      <wp:docPr id="43" name="文本框 81"/>
                      <wp:cNvGraphicFramePr/>
                      <a:graphic xmlns:a="http://schemas.openxmlformats.org/drawingml/2006/main">
                        <a:graphicData uri="http://schemas.microsoft.com/office/word/2010/wordprocessingShape">
                          <wps:wsp>
                            <wps:cNvSpPr txBox="1"/>
                            <wps:spPr>
                              <a:xfrm>
                                <a:off x="2097405" y="4601845"/>
                                <a:ext cx="4018915" cy="269240"/>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hint="eastAsia" w:eastAsia="宋体"/>
                                      <w:lang w:val="en-US" w:eastAsia="zh-CN"/>
                                    </w:rPr>
                                  </w:pPr>
                                  <w:r>
                                    <w:rPr>
                                      <w:rFonts w:hint="eastAsia"/>
                                      <w:lang w:val="en-US" w:eastAsia="zh-CN"/>
                                    </w:rPr>
                                    <w:t>废水、噪声、固废</w:t>
                                  </w:r>
                                </w:p>
                              </w:txbxContent>
                            </wps:txbx>
                            <wps:bodyPr vert="horz" wrap="square" anchor="t" anchorCtr="0" upright="1"/>
                          </wps:wsp>
                        </a:graphicData>
                      </a:graphic>
                    </wp:anchor>
                  </w:drawing>
                </mc:Choice>
                <mc:Fallback>
                  <w:pict>
                    <v:shape id="文本框 81" o:spid="_x0000_s1026" o:spt="202" type="#_x0000_t202" style="position:absolute;left:0pt;margin-left:52.4pt;margin-top:20.05pt;height:21.2pt;width:316.45pt;z-index:251689984;mso-width-relative:page;mso-height-relative:page;" fillcolor="#FFFFFF" filled="t" stroked="t" coordsize="21600,21600" o:gfxdata="UEsDBAoAAAAAAIdO4kAAAAAAAAAAAAAAAAAEAAAAZHJzL1BLAwQUAAAACACHTuJAbVUnSNcAAAAJ&#10;AQAADwAAAGRycy9kb3ducmV2LnhtbE2Py07DMBRE90j8g3WR2FE7ocVRiNMFz12lhi5Y3sQ3DxHb&#10;Uewm5e8xK1iOZjRzpthfzMgWmv3grIJkI4CRbZwebKfg9PF6lwHzAa3G0VlS8E0e9uX1VYG5dqs9&#10;0lKFjsUS63NU0Icw5Zz7pieDfuMmstFr3WwwRDl3XM+4xnIz8lSIB25wsHGhx4meemq+qrNRcHj3&#10;WS1fls+36uSeD6tscZe2St3eJOIRWKBL+AvDL35EhzIy1e5stWdj1GIb0YOCrUiAxYC8lxJYrSBL&#10;d8DLgv9/UP4AUEsDBBQAAAAIAIdO4kBcyU4JNwIAAHYEAAAOAAAAZHJzL2Uyb0RvYy54bWytVEuS&#10;0zAQ3VPFHVTaM3ZCEpJUnKliwrChgKqBAyiyHKtKPyQlcTgA3IAVG/acK+fgSc58YZEFXtgtqfW6&#10;3+tuLy47rchO+CCtqejgoqREGG5raTYV/fzp+sWUkhCZqZmyRlT0IAK9XD5/tti7uRja1qpaeAIQ&#10;E+Z7V9E2RjcvisBboVm4sE4YHDbWaxax9Jui9mwPdK2KYVlOir31tfOWixCwu+oP6QnRnwNom0Zy&#10;sbJ8q4WJPaoXikVQCq10gS5ztk0jePzQNEFEoioKpjG/EQT2Or2L5YLNN565VvJTCuycFJ5w0kwa&#10;BL2DWrHIyNbLv6C05N4G28QLbnXRE8mKgMWgfKLNTcucyFwgdXB3oof/B8vf7z56IuuKjl5SYphG&#10;xY8/vh9//j7++kamgyTQ3oU5/G4cPGP32nZom9v9gM3Eu2u8Tl8wIjgflrNXo3JMyQHAk3IwHY17&#10;qUUXCYfDCHuzARw4PIaT2XCUa1HcIzkf4lthNUlGRT1KmRVmu3chIiu43rqkwMEqWV9LpfLCb9ZX&#10;ypMdQ9mv85PC48ojN2XIvqKz8TDlwdDLDXoIpnbQI5hNjvfoRngIXObnX8ApsRULbZ9ADatnr2UU&#10;PrdcK1j9xtQkHhwUN5g0mnLRoqZECQxmsrJnZFKd4wlyyoBjqlZflWTFbt0BJplrWx9QQYw+5Gyt&#10;/4qIaHww/bJlHvGZ4diuKCTozavYT8rWeblpcSuXPUdAO2Y9T6OT+v3hOudx/7tY/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tVSdI1wAAAAkBAAAPAAAAAAAAAAEAIAAAACIAAABkcnMvZG93bnJl&#10;di54bWxQSwECFAAUAAAACACHTuJAXMlOCTcCAAB2BAAADgAAAAAAAAABACAAAAAmAQAAZHJzL2Uy&#10;b0RvYy54bWxQSwUGAAAAAAYABgBZAQAAzwUAAAAA&#10;">
                      <v:fill on="t" focussize="0,0"/>
                      <v:stroke color="#000000" joinstyle="miter" dashstyle="dash"/>
                      <v:imagedata o:title=""/>
                      <o:lock v:ext="edit" aspectratio="f"/>
                      <v:textbox>
                        <w:txbxContent>
                          <w:p>
                            <w:pPr>
                              <w:jc w:val="center"/>
                              <w:rPr>
                                <w:rFonts w:hint="eastAsia" w:eastAsia="宋体"/>
                                <w:lang w:val="en-US" w:eastAsia="zh-CN"/>
                              </w:rPr>
                            </w:pPr>
                            <w:r>
                              <w:rPr>
                                <w:rFonts w:hint="eastAsia"/>
                                <w:lang w:val="en-US" w:eastAsia="zh-CN"/>
                              </w:rPr>
                              <w:t>废水、噪声、固废</w:t>
                            </w:r>
                          </w:p>
                        </w:txbxContent>
                      </v:textbox>
                    </v:shape>
                  </w:pict>
                </mc:Fallback>
              </mc:AlternateContent>
            </w:r>
          </w:p>
          <w:p>
            <w:pPr>
              <w:pageBreakBefore w:val="0"/>
              <w:kinsoku/>
              <w:wordWrap/>
              <w:overflowPunct/>
              <w:topLinePunct w:val="0"/>
              <w:autoSpaceDE/>
              <w:autoSpaceDN/>
              <w:bidi w:val="0"/>
              <w:spacing w:line="360" w:lineRule="auto"/>
              <w:ind w:firstLine="480" w:firstLineChars="200"/>
              <w:jc w:val="both"/>
              <w:outlineLvl w:val="9"/>
              <w:rPr>
                <w:rFonts w:hint="default" w:ascii="Times New Roman" w:hAnsi="Times New Roman" w:eastAsia="宋体" w:cs="Times New Roman"/>
                <w:color w:val="auto"/>
                <w:sz w:val="24"/>
                <w:szCs w:val="24"/>
                <w:highlight w:val="none"/>
              </w:rPr>
            </w:pPr>
            <w:r>
              <w:rPr>
                <w:color w:val="auto"/>
                <w:sz w:val="24"/>
                <w:highlight w:val="none"/>
              </w:rPr>
              <mc:AlternateContent>
                <mc:Choice Requires="wpg">
                  <w:drawing>
                    <wp:anchor distT="0" distB="0" distL="114300" distR="114300" simplePos="0" relativeHeight="251670528" behindDoc="0" locked="0" layoutInCell="1" allowOverlap="1">
                      <wp:simplePos x="0" y="0"/>
                      <wp:positionH relativeFrom="column">
                        <wp:posOffset>-1452880</wp:posOffset>
                      </wp:positionH>
                      <wp:positionV relativeFrom="paragraph">
                        <wp:posOffset>313702065</wp:posOffset>
                      </wp:positionV>
                      <wp:extent cx="7369810" cy="654865975"/>
                      <wp:effectExtent l="0" t="0" r="17145" b="0"/>
                      <wp:wrapNone/>
                      <wp:docPr id="30" name="组合 6"/>
                      <wp:cNvGraphicFramePr/>
                      <a:graphic xmlns:a="http://schemas.openxmlformats.org/drawingml/2006/main">
                        <a:graphicData uri="http://schemas.microsoft.com/office/word/2010/wordprocessingGroup">
                          <wpg:wgp>
                            <wpg:cNvGrpSpPr/>
                            <wpg:grpSpPr>
                              <a:xfrm>
                                <a:off x="0" y="0"/>
                                <a:ext cx="7369810" cy="654865975"/>
                                <a:chOff x="7755" y="-813551"/>
                                <a:chExt cx="11606" cy="1031285"/>
                              </a:xfrm>
                            </wpg:grpSpPr>
                            <wps:wsp>
                              <wps:cNvPr id="15" name="文本框 1"/>
                              <wps:cNvSpPr txBox="1"/>
                              <wps:spPr>
                                <a:xfrm>
                                  <a:off x="7755" y="216098"/>
                                  <a:ext cx="724" cy="67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lang w:eastAsia="zh-CN"/>
                                      </w:rPr>
                                    </w:pPr>
                                    <w:r>
                                      <w:rPr>
                                        <w:rFonts w:hint="eastAsia"/>
                                        <w:lang w:val="en-US" w:eastAsia="zh-CN"/>
                                      </w:rPr>
                                      <w:t>土壤整理</w:t>
                                    </w:r>
                                  </w:p>
                                </w:txbxContent>
                              </wps:txbx>
                              <wps:bodyPr vert="horz" wrap="square" anchor="t" anchorCtr="0" upright="1"/>
                            </wps:wsp>
                            <wps:wsp>
                              <wps:cNvPr id="16" name="文本框 2"/>
                              <wps:cNvSpPr txBox="1"/>
                              <wps:spPr>
                                <a:xfrm>
                                  <a:off x="8765" y="216118"/>
                                  <a:ext cx="1057" cy="66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sz w:val="21"/>
                                        <w:szCs w:val="21"/>
                                        <w:lang w:eastAsia="zh-CN"/>
                                      </w:rPr>
                                    </w:pPr>
                                    <w:r>
                                      <w:rPr>
                                        <w:rFonts w:hint="eastAsia" w:ascii="宋体" w:hAnsi="宋体" w:eastAsia="宋体" w:cs="宋体"/>
                                        <w:sz w:val="21"/>
                                        <w:szCs w:val="21"/>
                                        <w:lang w:val="en-US" w:eastAsia="zh-CN"/>
                                      </w:rPr>
                                      <w:t>种子/种苗栽种</w:t>
                                    </w:r>
                                  </w:p>
                                </w:txbxContent>
                              </wps:txbx>
                              <wps:bodyPr vert="horz" wrap="square" anchor="t" anchorCtr="0" upright="1"/>
                            </wps:wsp>
                            <wps:wsp>
                              <wps:cNvPr id="17" name="文本框 3"/>
                              <wps:cNvSpPr txBox="1"/>
                              <wps:spPr>
                                <a:xfrm>
                                  <a:off x="10133" y="216129"/>
                                  <a:ext cx="728" cy="652"/>
                                </a:xfrm>
                                <a:prstGeom prst="rect">
                                  <a:avLst/>
                                </a:prstGeom>
                                <a:solidFill>
                                  <a:srgbClr val="FFFFFF"/>
                                </a:solidFill>
                                <a:ln w="6350" cap="flat" cmpd="sng">
                                  <a:solidFill>
                                    <a:srgbClr val="000000"/>
                                  </a:solidFill>
                                  <a:prstDash val="solid"/>
                                  <a:round/>
                                  <a:headEnd type="none" w="med" len="med"/>
                                  <a:tailEnd type="none" w="med" len="med"/>
                                </a:ln>
                              </wps:spPr>
                              <wps:txbx>
                                <w:txbxContent>
                                  <w:p>
                                    <w:pPr>
                                      <w:jc w:val="center"/>
                                      <w:rPr>
                                        <w:rFonts w:hint="eastAsia" w:eastAsia="宋体"/>
                                        <w:lang w:eastAsia="zh-CN"/>
                                      </w:rPr>
                                    </w:pPr>
                                    <w:r>
                                      <w:rPr>
                                        <w:rFonts w:hint="eastAsia" w:eastAsia="宋体"/>
                                        <w:lang w:eastAsia="zh-CN"/>
                                      </w:rPr>
                                      <w:t>田间管理</w:t>
                                    </w:r>
                                  </w:p>
                                </w:txbxContent>
                              </wps:txbx>
                              <wps:bodyPr vert="horz" wrap="square" anchor="t" anchorCtr="0" upright="1"/>
                            </wps:wsp>
                            <wps:wsp>
                              <wps:cNvPr id="19" name="直接箭头连接符 25"/>
                              <wps:cNvCnPr>
                                <a:stCxn id="16" idx="3"/>
                                <a:endCxn id="17" idx="1"/>
                              </wps:cNvCnPr>
                              <wps:spPr>
                                <a:xfrm>
                                  <a:off x="9822" y="216451"/>
                                  <a:ext cx="311" cy="4"/>
                                </a:xfrm>
                                <a:prstGeom prst="straightConnector1">
                                  <a:avLst/>
                                </a:prstGeom>
                                <a:ln w="9525" cap="flat" cmpd="sng">
                                  <a:solidFill>
                                    <a:srgbClr val="000000"/>
                                  </a:solidFill>
                                  <a:prstDash val="solid"/>
                                  <a:round/>
                                  <a:headEnd type="none" w="med" len="med"/>
                                  <a:tailEnd type="arrow" w="med" len="med"/>
                                </a:ln>
                              </wps:spPr>
                              <wps:bodyPr/>
                            </wps:wsp>
                            <wps:wsp>
                              <wps:cNvPr id="20" name="直接箭头连接符 26"/>
                              <wps:cNvCnPr>
                                <a:stCxn id="17" idx="3"/>
                                <a:endCxn id="27" idx="1"/>
                              </wps:cNvCnPr>
                              <wps:spPr>
                                <a:xfrm>
                                  <a:off x="10861" y="216455"/>
                                  <a:ext cx="412" cy="12"/>
                                </a:xfrm>
                                <a:prstGeom prst="straightConnector1">
                                  <a:avLst/>
                                </a:prstGeom>
                                <a:ln w="9525" cap="flat" cmpd="sng">
                                  <a:solidFill>
                                    <a:srgbClr val="000000"/>
                                  </a:solidFill>
                                  <a:prstDash val="solid"/>
                                  <a:round/>
                                  <a:headEnd type="none" w="med" len="med"/>
                                  <a:tailEnd type="arrow" w="med" len="med"/>
                                </a:ln>
                              </wps:spPr>
                              <wps:bodyPr/>
                            </wps:wsp>
                            <wps:wsp>
                              <wps:cNvPr id="21" name="文本框 81"/>
                              <wps:cNvSpPr txBox="1"/>
                              <wps:spPr>
                                <a:xfrm>
                                  <a:off x="8363" y="217310"/>
                                  <a:ext cx="6329" cy="424"/>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hint="eastAsia" w:eastAsia="宋体"/>
                                        <w:lang w:val="en-US" w:eastAsia="zh-CN"/>
                                      </w:rPr>
                                    </w:pPr>
                                    <w:r>
                                      <w:rPr>
                                        <w:rFonts w:hint="eastAsia"/>
                                        <w:lang w:val="en-US" w:eastAsia="zh-CN"/>
                                      </w:rPr>
                                      <w:t>废水、噪声、固废</w:t>
                                    </w:r>
                                  </w:p>
                                </w:txbxContent>
                              </wps:txbx>
                              <wps:bodyPr vert="horz" wrap="square" anchor="t" anchorCtr="0" upright="1"/>
                            </wps:wsp>
                            <wps:wsp>
                              <wps:cNvPr id="22" name="直线 82"/>
                              <wps:cNvCnPr/>
                              <wps:spPr>
                                <a:xfrm>
                                  <a:off x="9299" y="216826"/>
                                  <a:ext cx="1" cy="499"/>
                                </a:xfrm>
                                <a:prstGeom prst="line">
                                  <a:avLst/>
                                </a:prstGeom>
                                <a:ln w="9525" cap="flat" cmpd="sng">
                                  <a:solidFill>
                                    <a:srgbClr val="000000"/>
                                  </a:solidFill>
                                  <a:prstDash val="solid"/>
                                  <a:headEnd type="none" w="med" len="med"/>
                                  <a:tailEnd type="arrow" w="med" len="med"/>
                                </a:ln>
                              </wps:spPr>
                              <wps:bodyPr upright="1"/>
                            </wps:wsp>
                            <wps:wsp>
                              <wps:cNvPr id="23" name="直线 84"/>
                              <wps:cNvCnPr/>
                              <wps:spPr>
                                <a:xfrm>
                                  <a:off x="10493" y="216800"/>
                                  <a:ext cx="1" cy="532"/>
                                </a:xfrm>
                                <a:prstGeom prst="line">
                                  <a:avLst/>
                                </a:prstGeom>
                                <a:ln w="9525" cap="flat" cmpd="sng">
                                  <a:solidFill>
                                    <a:srgbClr val="000000"/>
                                  </a:solidFill>
                                  <a:prstDash val="solid"/>
                                  <a:headEnd type="none" w="med" len="med"/>
                                  <a:tailEnd type="arrow" w="med" len="med"/>
                                </a:ln>
                              </wps:spPr>
                              <wps:bodyPr upright="1"/>
                            </wps:wsp>
                            <wps:wsp>
                              <wps:cNvPr id="24" name="直线 89"/>
                              <wps:cNvCnPr/>
                              <wps:spPr>
                                <a:xfrm flipH="1">
                                  <a:off x="13133" y="216833"/>
                                  <a:ext cx="15" cy="540"/>
                                </a:xfrm>
                                <a:prstGeom prst="line">
                                  <a:avLst/>
                                </a:prstGeom>
                                <a:ln w="9525" cap="flat" cmpd="sng">
                                  <a:solidFill>
                                    <a:srgbClr val="000000"/>
                                  </a:solidFill>
                                  <a:prstDash val="solid"/>
                                  <a:headEnd type="none" w="med" len="med"/>
                                  <a:tailEnd type="arrow" w="med" len="med"/>
                                </a:ln>
                              </wps:spPr>
                              <wps:bodyPr upright="1"/>
                            </wps:wsp>
                            <wps:wsp>
                              <wps:cNvPr id="25" name="文本框 3"/>
                              <wps:cNvSpPr txBox="1"/>
                              <wps:spPr>
                                <a:xfrm>
                                  <a:off x="12632" y="216273"/>
                                  <a:ext cx="718" cy="412"/>
                                </a:xfrm>
                                <a:prstGeom prst="rect">
                                  <a:avLst/>
                                </a:prstGeom>
                                <a:solidFill>
                                  <a:srgbClr val="FFFFFF"/>
                                </a:solidFill>
                                <a:ln w="6350" cap="flat" cmpd="sng">
                                  <a:solidFill>
                                    <a:srgbClr val="000000"/>
                                  </a:solidFill>
                                  <a:prstDash val="solid"/>
                                  <a:round/>
                                  <a:headEnd type="none" w="med" len="med"/>
                                  <a:tailEnd type="none" w="med" len="med"/>
                                </a:ln>
                              </wps:spPr>
                              <wps:txbx>
                                <w:txbxContent>
                                  <w:p>
                                    <w:pPr>
                                      <w:rPr>
                                        <w:rFonts w:hint="eastAsia" w:eastAsia="宋体"/>
                                        <w:lang w:eastAsia="zh-CN"/>
                                      </w:rPr>
                                    </w:pPr>
                                    <w:r>
                                      <w:rPr>
                                        <w:rFonts w:hint="eastAsia"/>
                                        <w:lang w:eastAsia="zh-CN"/>
                                      </w:rPr>
                                      <w:t>外售</w:t>
                                    </w:r>
                                  </w:p>
                                </w:txbxContent>
                              </wps:txbx>
                              <wps:bodyPr vert="horz" wrap="square" anchor="t" anchorCtr="0" upright="1"/>
                            </wps:wsp>
                            <wps:wsp>
                              <wps:cNvPr id="26" name="直线 163"/>
                              <wps:cNvCnPr/>
                              <wps:spPr>
                                <a:xfrm>
                                  <a:off x="8478" y="216453"/>
                                  <a:ext cx="264" cy="1"/>
                                </a:xfrm>
                                <a:prstGeom prst="line">
                                  <a:avLst/>
                                </a:prstGeom>
                                <a:ln w="9525" cap="flat" cmpd="sng">
                                  <a:solidFill>
                                    <a:srgbClr val="000000"/>
                                  </a:solidFill>
                                  <a:prstDash val="solid"/>
                                  <a:headEnd type="none" w="med" len="med"/>
                                  <a:tailEnd type="arrow" w="med" len="med"/>
                                </a:ln>
                              </wps:spPr>
                              <wps:bodyPr upright="1"/>
                            </wps:wsp>
                            <wps:wsp>
                              <wps:cNvPr id="27" name="文本框 3"/>
                              <wps:cNvSpPr txBox="1"/>
                              <wps:spPr>
                                <a:xfrm>
                                  <a:off x="11273" y="216261"/>
                                  <a:ext cx="814" cy="412"/>
                                </a:xfrm>
                                <a:prstGeom prst="rect">
                                  <a:avLst/>
                                </a:prstGeom>
                                <a:solidFill>
                                  <a:srgbClr val="FFFFFF"/>
                                </a:solidFill>
                                <a:ln w="6350" cap="flat" cmpd="sng">
                                  <a:solidFill>
                                    <a:srgbClr val="000000"/>
                                  </a:solidFill>
                                  <a:prstDash val="solid"/>
                                  <a:round/>
                                  <a:headEnd type="none" w="med" len="med"/>
                                  <a:tailEnd type="none" w="med" len="med"/>
                                </a:ln>
                              </wps:spPr>
                              <wps:txbx>
                                <w:txbxContent>
                                  <w:p>
                                    <w:pPr>
                                      <w:rPr>
                                        <w:rFonts w:hint="eastAsia" w:eastAsia="宋体"/>
                                        <w:lang w:eastAsia="zh-CN"/>
                                      </w:rPr>
                                    </w:pPr>
                                    <w:r>
                                      <w:rPr>
                                        <w:rFonts w:hint="eastAsia" w:eastAsia="宋体"/>
                                        <w:lang w:eastAsia="zh-CN"/>
                                      </w:rPr>
                                      <w:t>采收</w:t>
                                    </w:r>
                                  </w:p>
                                </w:txbxContent>
                              </wps:txbx>
                              <wps:bodyPr vert="horz" wrap="square" anchor="t" anchorCtr="0" upright="1"/>
                            </wps:wsp>
                            <wps:wsp>
                              <wps:cNvPr id="28" name="直接箭头连接符 26"/>
                              <wps:cNvCnPr>
                                <a:stCxn id="27" idx="3"/>
                                <a:endCxn id="18" idx="1"/>
                              </wps:cNvCnPr>
                              <wps:spPr>
                                <a:xfrm flipH="1" flipV="1">
                                  <a:off x="8280" y="-813551"/>
                                  <a:ext cx="3807" cy="1030018"/>
                                </a:xfrm>
                                <a:prstGeom prst="straightConnector1">
                                  <a:avLst/>
                                </a:prstGeom>
                                <a:ln w="9525" cap="flat" cmpd="sng">
                                  <a:solidFill>
                                    <a:srgbClr val="000000"/>
                                  </a:solidFill>
                                  <a:prstDash val="solid"/>
                                  <a:round/>
                                  <a:headEnd type="none" w="med" len="med"/>
                                  <a:tailEnd type="arrow" w="med" len="med"/>
                                </a:ln>
                              </wps:spPr>
                              <wps:bodyPr/>
                            </wps:wsp>
                            <wps:wsp>
                              <wps:cNvPr id="29" name="直接箭头连接符 26"/>
                              <wps:cNvCnPr>
                                <a:stCxn id="18" idx="3"/>
                                <a:endCxn id="25" idx="1"/>
                              </wps:cNvCnPr>
                              <wps:spPr>
                                <a:xfrm flipH="1">
                                  <a:off x="12632" y="-813551"/>
                                  <a:ext cx="6729" cy="1030030"/>
                                </a:xfrm>
                                <a:prstGeom prst="straightConnector1">
                                  <a:avLst/>
                                </a:prstGeom>
                                <a:ln w="9525" cap="flat" cmpd="sng">
                                  <a:solidFill>
                                    <a:srgbClr val="000000"/>
                                  </a:solidFill>
                                  <a:prstDash val="solid"/>
                                  <a:round/>
                                  <a:headEnd type="none" w="med" len="med"/>
                                  <a:tailEnd type="arrow" w="med" len="med"/>
                                </a:ln>
                              </wps:spPr>
                              <wps:bodyPr/>
                            </wps:wsp>
                          </wpg:wgp>
                        </a:graphicData>
                      </a:graphic>
                    </wp:anchor>
                  </w:drawing>
                </mc:Choice>
                <mc:Fallback>
                  <w:pict>
                    <v:group id="组合 6" o:spid="_x0000_s1026" o:spt="203" style="position:absolute;left:0pt;margin-left:-114.4pt;margin-top:24700.95pt;height:51564.25pt;width:580.3pt;z-index:251670528;mso-width-relative:page;mso-height-relative:page;" coordorigin="7755,-813551" coordsize="11606,1031285" o:gfxdata="UEsDBAoAAAAAAIdO4kAAAAAAAAAAAAAAAAAEAAAAZHJzL1BLAwQUAAAACACHTuJAcW25k+AAAAAR&#10;AQAADwAAAGRycy9kb3ducmV2LnhtbE2Py07DMBBF90j8gzVI7FrbeaAmxKlQBawqpLZIiJ2bTJOo&#10;sR3FbtL+PcMKljNzdOfcYn01PZtw9J2zCuRSAENbubqzjYLPw9tiBcwHbWvdO4sKbuhhXd7fFTqv&#10;3Wx3OO1DwyjE+lwraEMYcs591aLRfukGtHQ7udHoQOPY8HrUM4WbnkdCPHGjO0sfWj3gpsXqvL8Y&#10;Be+znl9i+Tptz6fN7fuQfnxtJSr1+CDFM7CA1/AHw68+qUNJTkd3sbVnvYJFFK3IPShIskTIDBhB&#10;WSxpdyQ6jdJYJMDLgv9vUv4AUEsDBBQAAAAIAIdO4kB1Tdm5fgUAAD8kAAAOAAAAZHJzL2Uyb0Rv&#10;Yy54bWztWk1v40QYviPxHyzft/HYseNETVei3S4HBCstcJ/aTmLJ9pgZt0k5I+CEOHEBISEBp4XT&#10;nuCwv2ZbfgbPzNhO4rpuG+h2EY6iZGyP35n3nWee98Pef7xKE+Ms4iJm2dQke5ZpRFnAwjibT81P&#10;Pj5+5JuGKGgW0oRl0dQ8j4T5+ODdd/aX+SSy2YIlYcQNCMnEZJlPzUVR5JPBQASLKKVij+VRhosz&#10;xlNa4JDPByGnS0hPk4FtWd5gyXiYcxZEQuDskb5olhL5bQSy2SwOoiMWnKZRVmipPEpoAZXEIs6F&#10;eaBmO5tFQfHRbCaiwkimJjQt1C8GQftE/g4O9ulkzmm+iINyCvQ2U2jolNI4w6C1qCNaUOOUx1dE&#10;pXHAmWCzYi9g6UAroiwCLYjVsM1Tzk5zpct8spzntdGxUA2r7yw2+PDsGTficGo6MElGU6z45Z9f&#10;vP72a8OTxlnm8wn6POX58/wZL0/M9ZHUdzXjqfyHJsZKmfW8Nmu0KowAJ0eON/YJxAe45rlD33PH&#10;I1ebPlhgfeSdo5HrmgY6PPKJ47qkuvykFEKIZ3laBLEcYvtKwKCawUBOtJ7XMgc2xdpg4p8Z7PmC&#10;5pFaByGNURqMYL7aYBfffXXxw4uLn7401LTl6OgmDWYUq/cYtKvPC5xssVutvQ01x75WvrafPSxt&#10;p61WK00nORfF04ilhmxMTQ68KxjSsw9EgdVC16qLHFWwJA6P4yRRB3x+cphw44xibxyrjxwXt2x1&#10;SzJjiWVzXLmAFBt+ho2GZpoDNCKbq/G27hCbgi31aRMsJ3ZExUJPQEnQegP1WYiZ0MkiouGTLDSK&#10;8xy4zMBHppxMGoWmkUSgL9lSPQsaJ7fpCe2SDErKNdJrIVvF6mQFMbJ5wsJzrBsIEvZcMP45RgQ9&#10;QNXPTinH+DQLcHpqwga6eVhoPjnNeTxf4C612GoEYFBLvX8wYm80wWhL0+wARn/k6a0IMBLSACOx&#10;3FGJRvTCAD0aezTWMKuoERBpotHZEY3EIo6jPIOEoz3W+33NjQhXtF9RcO/R2KPxChrHFRovv395&#10;8c0vl7//9vrnl3+9+lG2X/xq2IrHSqI8zLSDFsXhKlOBEQG1xiGcuEIwnURZWF8CztWlNeXD8WsR&#10;Ut413n7s23aF6GEV6lSIdgjRiB52s6soOJX+5pBlGdw+46TL82svPnah63/Gi1PO2bLd4be7ce27&#10;pU+Sxn9zztdeh87tACtDaRUWtgCsQtFVgNnVpbsBjFi+BxQhmgZnDhFYwyYAbhlKDwnQJzkT/50O&#10;vIfYlUjxwSCG5Wx6VL/OKu6YbfiOV3nUkYPEbAsdngMfq+AxRN7RiY/7SzfunahCJB5a7zQuIq4s&#10;0GcbV0sQ7amvdF8ajfCol3+8MvzNXEMyHAza5QDtMTCm6cm3FTuu6alyf+jSib4kRjooee2aZPfN&#10;u7xdAbSjozMeNOO0QSHbGFBssRFGdWOAWMNxxUKebzVYqASB69zgonoQPCwIUJnaBoHatN0gMGZJ&#10;nL8v6yRy95aVQ+JspHk+Mj5FyVXIImttMmJxhwon12d5PR4eFg9Yp2aYsnPibyMUqbyEPWogYoTC&#10;lI5Sbopi7y9K6Yuib3dRFJHFNjsRxL2lVyrz9G4f5Q9HQFmVRjUQaHsgP5VG9XGKrAK31NXLYvrD&#10;UhJS6H+NkojkoRIQNlLsLSflkxIQw56S2ss2dPJ/f05jg0/qgKmtFtldKqrrQRUXbdQiIfm2tch1&#10;BKZanzZiMd/2UdEC7W09i61iMce3sKUU8VmOZekHRNdHZH0R6e0pIt1UCO8Gn4y4rimEy7Ly3cG3&#10;Gf7XwV4r5rxRVZTCw38L326X22PuNphT70zgvRL03XpxZfNYyVm/93Pw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cHAABbQ29udGVudF9UeXBl&#10;c10ueG1sUEsBAhQACgAAAAAAh07iQAAAAAAAAAAAAAAAAAYAAAAAAAAAAAAQAAAA2QYAAF9yZWxz&#10;L1BLAQIUABQAAAAIAIdO4kCKFGY80QAAAJQBAAALAAAAAAAAAAEAIAAAAP0GAABfcmVscy8ucmVs&#10;c1BLAQIUAAoAAAAAAIdO4kAAAAAAAAAAAAAAAAAEAAAAAAAAAAAAEAAAAAAAAABkcnMvUEsBAhQA&#10;FAAAAAgAh07iQHFtuZPgAAAAEQEAAA8AAAAAAAAAAQAgAAAAIgAAAGRycy9kb3ducmV2LnhtbFBL&#10;AQIUABQAAAAIAIdO4kB1Tdm5fgUAAD8kAAAOAAAAAAAAAAEAIAAAAC8BAABkcnMvZTJvRG9jLnht&#10;bFBLBQYAAAAABgAGAFkBAAAfCQAAAAA=&#10;">
                      <o:lock v:ext="edit" aspectratio="f"/>
                      <v:shape id="文本框 1" o:spid="_x0000_s1026" o:spt="202" type="#_x0000_t202" style="position:absolute;left:7755;top:216098;height:675;width:724;" fillcolor="#FFFFFF" filled="t" stroked="t" coordsize="21600,21600" o:gfxdata="UEsDBAoAAAAAAIdO4kAAAAAAAAAAAAAAAAAEAAAAZHJzL1BLAwQUAAAACACHTuJA7IMhvrUAAADb&#10;AAAADwAAAGRycy9kb3ducmV2LnhtbEVPvQrCMBDeBd8hnOBmUxVFqlFQEMRN7eJ2NGdbbC4liVbf&#10;3giC2318v7favEwjnuR8bVnBOElBEBdW11wqyC/70QKED8gaG8uk4E0eNut+b4WZth2f6HkOpYgh&#10;7DNUUIXQZlL6oiKDPrEtceRu1hkMEbpSaoddDDeNnKTpXBqsOTZU2NKuouJ+fhgFh/k2XCnXRz2d&#10;TG2Xy8LdGq/UcDBOlyACvcJf/HMfdJw/g+8v8QC5/g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7IMhvrUAAADbAAAADwAA&#10;AAAAAAABACAAAAAiAAAAZHJzL2Rvd25yZXYueG1sUEsBAhQAFAAAAAgAh07iQDMvBZ47AAAAOQAA&#10;ABAAAAAAAAAAAQAgAAAABAEAAGRycy9zaGFwZXhtbC54bWxQSwUGAAAAAAYABgBbAQAArgMAAAAA&#10;">
                        <v:fill on="t" focussize="0,0"/>
                        <v:stroke weight="0.5pt" color="#000000" joinstyle="round"/>
                        <v:imagedata o:title=""/>
                        <o:lock v:ext="edit" aspectratio="f"/>
                        <v:textbox>
                          <w:txbxContent>
                            <w:p>
                              <w:pPr>
                                <w:jc w:val="center"/>
                                <w:rPr>
                                  <w:rFonts w:hint="eastAsia"/>
                                  <w:lang w:eastAsia="zh-CN"/>
                                </w:rPr>
                              </w:pPr>
                              <w:r>
                                <w:rPr>
                                  <w:rFonts w:hint="eastAsia"/>
                                  <w:lang w:val="en-US" w:eastAsia="zh-CN"/>
                                </w:rPr>
                                <w:t>土壤整理</w:t>
                              </w:r>
                            </w:p>
                          </w:txbxContent>
                        </v:textbox>
                      </v:shape>
                      <v:shape id="文本框 2" o:spid="_x0000_s1026" o:spt="202" type="#_x0000_t202" style="position:absolute;left:8765;top:216118;height:665;width:1057;" fillcolor="#FFFFFF" filled="t" stroked="t" coordsize="21600,21600" o:gfxdata="UEsDBAoAAAAAAIdO4kAAAAAAAAAAAAAAAAAEAAAAZHJzL1BLAwQUAAAACACHTuJAHFG/ybQAAADb&#10;AAAADwAAAGRycy9kb3ducmV2LnhtbEVPvQrCMBDeBd8hnOBmUxWKVKOgIIib2sXtaM622FxKEq2+&#10;vREEt/v4fm+1eZlWPMn5xrKCaZKCIC6tbrhSUFz2kwUIH5A1tpZJwZs8bNbDwQpzbXs+0fMcKhFD&#10;2OeooA6hy6X0ZU0GfWI74sjdrDMYInSV1A77GG5aOUvTTBpsODbU2NGupvJ+fhgFh2wbrlToo57P&#10;5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cUb/J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jc w:val="center"/>
                                <w:rPr>
                                  <w:rFonts w:hint="eastAsia"/>
                                  <w:sz w:val="21"/>
                                  <w:szCs w:val="21"/>
                                  <w:lang w:eastAsia="zh-CN"/>
                                </w:rPr>
                              </w:pPr>
                              <w:r>
                                <w:rPr>
                                  <w:rFonts w:hint="eastAsia" w:ascii="宋体" w:hAnsi="宋体" w:eastAsia="宋体" w:cs="宋体"/>
                                  <w:sz w:val="21"/>
                                  <w:szCs w:val="21"/>
                                  <w:lang w:val="en-US" w:eastAsia="zh-CN"/>
                                </w:rPr>
                                <w:t>种子/种苗栽种</w:t>
                              </w:r>
                            </w:p>
                          </w:txbxContent>
                        </v:textbox>
                      </v:shape>
                      <v:shape id="文本框 3" o:spid="_x0000_s1026" o:spt="202" type="#_x0000_t202" style="position:absolute;left:10133;top:216129;height:652;width:728;" fillcolor="#FFFFFF" filled="t" stroked="t" coordsize="21600,21600" o:gfxdata="UEsDBAoAAAAAAIdO4kAAAAAAAAAAAAAAAAAEAAAAZHJzL1BLAwQUAAAACACHTuJAcx0aUrUAAADb&#10;AAAADwAAAGRycy9kb3ducmV2LnhtbEVPvQrCMBDeBd8hnOBmUxVUqlFQEMRN7eJ2NGdbbC4liVbf&#10;3giC2318v7favEwjnuR8bVnBOElBEBdW11wqyC/70QKED8gaG8uk4E0eNut+b4WZth2f6HkOpYgh&#10;7DNUUIXQZlL6oiKDPrEtceRu1hkMEbpSaoddDDeNnKTpTBqsOTZU2NKuouJ+fhgFh9k2XCnXRz2d&#10;TG2Xy8LdGq/UcDBOlyACvcJf/HMfdJw/h+8v8QC5/g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cx0aUrUAAADbAAAADwAA&#10;AAAAAAABACAAAAAiAAAAZHJzL2Rvd25yZXYueG1sUEsBAhQAFAAAAAgAh07iQDMvBZ47AAAAOQAA&#10;ABAAAAAAAAAAAQAgAAAABAEAAGRycy9zaGFwZXhtbC54bWxQSwUGAAAAAAYABgBbAQAArgMAAAAA&#10;">
                        <v:fill on="t" focussize="0,0"/>
                        <v:stroke weight="0.5pt" color="#000000" joinstyle="round"/>
                        <v:imagedata o:title=""/>
                        <o:lock v:ext="edit" aspectratio="f"/>
                        <v:textbox>
                          <w:txbxContent>
                            <w:p>
                              <w:pPr>
                                <w:jc w:val="center"/>
                                <w:rPr>
                                  <w:rFonts w:hint="eastAsia" w:eastAsia="宋体"/>
                                  <w:lang w:eastAsia="zh-CN"/>
                                </w:rPr>
                              </w:pPr>
                              <w:r>
                                <w:rPr>
                                  <w:rFonts w:hint="eastAsia" w:eastAsia="宋体"/>
                                  <w:lang w:eastAsia="zh-CN"/>
                                </w:rPr>
                                <w:t>田间管理</w:t>
                              </w:r>
                            </w:p>
                          </w:txbxContent>
                        </v:textbox>
                      </v:shape>
                      <v:shape id="直接箭头连接符 25" o:spid="_x0000_s1026" o:spt="32" type="#_x0000_t32" style="position:absolute;left:9822;top:216451;height:4;width:311;" filled="f" stroked="t" coordsize="21600,21600" o:gfxdata="UEsDBAoAAAAAAIdO4kAAAAAAAAAAAAAAAAAEAAAAZHJzL1BLAwQUAAAACACHTuJAXWEB/LoAAADb&#10;AAAADwAAAGRycy9kb3ducmV2LnhtbEVPzWrCQBC+F3yHZYTe6sZQpUZXD4LQgCJqH2DIjkkwOxuz&#10;Y9S37xYK3ubj+53F6uEa1VMXas8GxqMEFHHhbc2lgZ/T5uMLVBBki41nMvCkAKvl4G2BmfV3PlB/&#10;lFLFEA4ZGqhE2kzrUFTkMIx8Sxy5s+8cSoRdqW2H9xjuGp0myVQ7rDk2VNjSuqLicrw5A2l+ledm&#10;m0u/l8nu6tLtZ94WxrwPx8kclNBDXuJ/97eN82f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YQH8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直接箭头连接符 26" o:spid="_x0000_s1026" o:spt="32" type="#_x0000_t32" style="position:absolute;left:10861;top:216455;height:12;width:412;" filled="f" stroked="t" coordsize="21600,21600" o:gfxdata="UEsDBAoAAAAAAIdO4kAAAAAAAAAAAAAAAAAEAAAAZHJzL1BLAwQUAAAACACHTuJAAjdi3LkAAADb&#10;AAAADwAAAGRycy9kb3ducmV2LnhtbEVPzWrCQBC+F/oOyxR6qxtDKyW6ehCEBixF7QMM2TEJZmdj&#10;dhr17TsHwePH979YXUNnRhpSG9nBdJKBIa6ib7l28HvYvH2CSYLssYtMDm6UYLV8flpg4eOFdzTu&#10;pTYawqlAB41IX1ibqoYCpknsiZU7xiGgKBxq6we8aHjobJ5lMxuwZW1osKd1Q9Vp/xcc5OVZbptt&#10;KeOPfHyfQ759L/vKudeXaTYHI3SVh/ju/vLq0/X6RX+AXf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I3Yty5AAAA2wAA&#10;AA8AAAAAAAAAAQAgAAAAIgAAAGRycy9kb3ducmV2LnhtbFBLAQIUABQAAAAIAIdO4kAzLwWeOwAA&#10;ADkAAAAQAAAAAAAAAAEAIAAAAAgBAABkcnMvc2hhcGV4bWwueG1sUEsFBgAAAAAGAAYAWwEAALID&#10;AAAAAA==&#10;">
                        <v:fill on="f" focussize="0,0"/>
                        <v:stroke color="#000000" joinstyle="round" endarrow="open"/>
                        <v:imagedata o:title=""/>
                        <o:lock v:ext="edit" aspectratio="f"/>
                      </v:shape>
                      <v:shape id="文本框 81" o:spid="_x0000_s1026" o:spt="202" type="#_x0000_t202" style="position:absolute;left:8363;top:217310;height:424;width:6329;" fillcolor="#FFFFFF" filled="t" stroked="t" coordsize="21600,21600" o:gfxdata="UEsDBAoAAAAAAIdO4kAAAAAAAAAAAAAAAAAEAAAAZHJzL1BLAwQUAAAACACHTuJA6XNCHL0AAADb&#10;AAAADwAAAGRycy9kb3ducmV2LnhtbEWPS2/CMBCE70j9D9ZW6g2cRGpBIQ4H+jwhNXDguMSbh4jX&#10;Uewm8O8xElKPo5n5RpNtLqYTIw2utawgXkQgiEurW64VHPaf8xUI55E1dpZJwZUcbPKnWYapthP/&#10;0lj4WgQIuxQVNN73qZSubMigW9ieOHiVHQz6IIda6gGnADedTKLoTRpsOSw02NO2ofJc/BkFu2+3&#10;Oi0/xuNXcbDvu2lZ4WtSKfXyHEdrEJ4u/j/8aP9oBUkM9y/hB8j8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c0IcvQAA&#10;ANsAAAAPAAAAAAAAAAEAIAAAACIAAABkcnMvZG93bnJldi54bWxQSwECFAAUAAAACACHTuJAMy8F&#10;njsAAAA5AAAAEAAAAAAAAAABACAAAAAMAQAAZHJzL3NoYXBleG1sLnhtbFBLBQYAAAAABgAGAFsB&#10;AAC2AwAAAAA=&#10;">
                        <v:fill on="t" focussize="0,0"/>
                        <v:stroke color="#000000" joinstyle="miter" dashstyle="dash"/>
                        <v:imagedata o:title=""/>
                        <o:lock v:ext="edit" aspectratio="f"/>
                        <v:textbox>
                          <w:txbxContent>
                            <w:p>
                              <w:pPr>
                                <w:jc w:val="center"/>
                                <w:rPr>
                                  <w:rFonts w:hint="eastAsia" w:eastAsia="宋体"/>
                                  <w:lang w:val="en-US" w:eastAsia="zh-CN"/>
                                </w:rPr>
                              </w:pPr>
                              <w:r>
                                <w:rPr>
                                  <w:rFonts w:hint="eastAsia"/>
                                  <w:lang w:val="en-US" w:eastAsia="zh-CN"/>
                                </w:rPr>
                                <w:t>废水、噪声、固废</w:t>
                              </w:r>
                            </w:p>
                          </w:txbxContent>
                        </v:textbox>
                      </v:shape>
                      <v:line id="直线 82" o:spid="_x0000_s1026" o:spt="20" style="position:absolute;left:9299;top:216826;height:499;width:1;" filled="f" stroked="t" coordsize="21600,21600" o:gfxdata="UEsDBAoAAAAAAIdO4kAAAAAAAAAAAAAAAAAEAAAAZHJzL1BLAwQUAAAACACHTuJAY308Vb4AAADb&#10;AAAADwAAAGRycy9kb3ducmV2LnhtbEWPQWvCQBSE74L/YXmCF9GNgRaJrh4UwUp7aKJ4fWSf2WD2&#10;bchuTfrvu4VCj8PMfMNsdoNtxJM6XztWsFwkIIhLp2uuFFyK43wFwgdkjY1jUvBNHnbb8WiDmXY9&#10;f9IzD5WIEPYZKjAhtJmUvjRk0S9cSxy9u+sshii7SuoO+wi3jUyT5FVarDkuGGxpb6h85F9WQXXt&#10;3/Tp/Zbfm+uhOL/MjPmwg1LTyTJZgwg0hP/wX/ukFaQp/H6JP0B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308Vb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line>
                      <v:line id="直线 84" o:spid="_x0000_s1026" o:spt="20" style="position:absolute;left:10493;top:216800;height:532;width:1;" filled="f" stroked="t" coordsize="21600,21600" o:gfxdata="UEsDBAoAAAAAAIdO4kAAAAAAAAAAAAAAAAAEAAAAZHJzL1BLAwQUAAAACACHTuJADDGZzr4AAADb&#10;AAAADwAAAGRycy9kb3ducmV2LnhtbEWPQWvCQBSE7wX/w/IEL0U3Ki0ldfWgFFT00KTi9ZF9ZkOz&#10;b0N2a+K/dwWhx2FmvmEWq97W4kqtrxwrmE4SEMSF0xWXCn7yr/EHCB+QNdaOScGNPKyWg5cFptp1&#10;/E3XLJQiQtinqMCE0KRS+sKQRT9xDXH0Lq61GKJsS6lb7CLc1nKWJO/SYsVxwWBDa0PFb/ZnFZSn&#10;bqe3h3N2qU+bfP/2aszR9kqNhtPkE0SgPvyHn+2tVjCbw+NL/AFye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DGZzr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line>
                      <v:line id="直线 89" o:spid="_x0000_s1026" o:spt="20" style="position:absolute;left:13133;top:216833;flip:x;height:540;width:15;" filled="f" stroked="t" coordsize="21600,21600" o:gfxdata="UEsDBAoAAAAAAIdO4kAAAAAAAAAAAAAAAAAEAAAAZHJzL1BLAwQUAAAACACHTuJA2R/q0b0AAADb&#10;AAAADwAAAGRycy9kb3ducmV2LnhtbEWPQWvCQBSE74X+h+UVvEjdKNKW6OpBaBFvXcVen9lnkpp9&#10;G7KvGv99VxA8DjPzDTNf9r5RZ+piHdjAeJSBIi6Cq7k0sNt+vn6AioLssAlMBq4UYbl4fppj7sKF&#10;v+lspVQJwjFHA5VIm2sdi4o8xlFoiZN3DJ1HSbIrtevwkuC+0ZMse9Mea04LFba0qqg42T9v4Gsj&#10;ctjuWhmejnv7+zNc9fbdGjN4GWczUEK9PML39toZmEzh9iX9AL3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H+rR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line>
                      <v:shape id="文本框 3" o:spid="_x0000_s1026" o:spt="202" type="#_x0000_t202" style="position:absolute;left:12632;top:216273;height:412;width:718;" fillcolor="#FFFFFF" filled="t" stroked="t" coordsize="21600,21600" o:gfxdata="UEsDBAoAAAAAAIdO4kAAAAAAAAAAAAAAAAAEAAAAZHJzL1BLAwQUAAAACACHTuJAIu/rA7cAAADb&#10;AAAADwAAAGRycy9kb3ducmV2LnhtbEWPwQrCMBBE74L/EFbwpqkVRapRUBDEm9qLt6VZ22KzKUm0&#10;+vdGEDwOM/OGWW1ephFPcr62rGAyTkAQF1bXXCrIL/vRAoQPyBoby6TgTR42635vhZm2HZ/oeQ6l&#10;iBD2GSqoQmgzKX1RkUE/ti1x9G7WGQxRulJqh12Em0amSTKXBmuOCxW2tKuouJ8fRsFhvg1XyvVR&#10;T9O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i7+sD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rPr>
                                  <w:rFonts w:hint="eastAsia" w:eastAsia="宋体"/>
                                  <w:lang w:eastAsia="zh-CN"/>
                                </w:rPr>
                              </w:pPr>
                              <w:r>
                                <w:rPr>
                                  <w:rFonts w:hint="eastAsia"/>
                                  <w:lang w:eastAsia="zh-CN"/>
                                </w:rPr>
                                <w:t>外售</w:t>
                              </w:r>
                            </w:p>
                          </w:txbxContent>
                        </v:textbox>
                      </v:shape>
                      <v:line id="直线 163" o:spid="_x0000_s1026" o:spt="20" style="position:absolute;left:8478;top:216453;height:1;width:264;" filled="f" stroked="t" coordsize="21600,21600" o:gfxdata="UEsDBAoAAAAAAIdO4kAAAAAAAAAAAAAAAAAEAAAAZHJzL1BLAwQUAAAACACHTuJAHEY6Vr4AAADb&#10;AAAADwAAAGRycy9kb3ducmV2LnhtbEWPQWvCQBSE7wX/w/IEL0U3ERpKdM1BKWhpD40Vr4/sMxvM&#10;vg3ZbZL++26h0OMwM98w22KyrRio941jBekqAUFcOd1wreDz/LJ8BuEDssbWMSn4Jg/FbvawxVy7&#10;kT9oKEMtIoR9jgpMCF0upa8MWfQr1xFH7+Z6iyHKvpa6xzHCbSvXSZJJiw3HBYMd7Q1V9/LLKqgv&#10;40kf367lrb0czq9Pj8a820mpxTxNNiACTeE//Nc+agXrDH6/xB8gd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EY6Vr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line>
                      <v:shape id="文本框 3" o:spid="_x0000_s1026" o:spt="202" type="#_x0000_t202" style="position:absolute;left:11273;top:216261;height:412;width:814;" fillcolor="#FFFFFF" filled="t" stroked="t" coordsize="21600,21600" o:gfxdata="UEsDBAoAAAAAAIdO4kAAAAAAAAAAAAAAAAAEAAAAZHJzL1BLAwQUAAAACACHTuJAvXHQ77cAAADb&#10;AAAADwAAAGRycy9kb3ducmV2LnhtbEWPwQrCMBBE74L/EFbwpqkVVKpRUBDEm9qLt6VZ22KzKUm0&#10;+vdGEDwOM/OGWW1ephFPcr62rGAyTkAQF1bXXCrIL/vRAoQPyBoby6TgTR42635vhZm2HZ/oeQ6l&#10;iBD2GSqoQmgzKX1RkUE/ti1x9G7WGQxRulJqh12Em0amSTKTBmuOCxW2tKuouJ8fRsFhtg1XyvVR&#10;T9Op7XJZuFvjlRoOJskSRKBX+Id/7YNWkM7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9cdDv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rPr>
                                  <w:rFonts w:hint="eastAsia" w:eastAsia="宋体"/>
                                  <w:lang w:eastAsia="zh-CN"/>
                                </w:rPr>
                              </w:pPr>
                              <w:r>
                                <w:rPr>
                                  <w:rFonts w:hint="eastAsia" w:eastAsia="宋体"/>
                                  <w:lang w:eastAsia="zh-CN"/>
                                </w:rPr>
                                <w:t>采收</w:t>
                              </w:r>
                            </w:p>
                          </w:txbxContent>
                        </v:textbox>
                      </v:shape>
                      <v:shape id="直接箭头连接符 26" o:spid="_x0000_s1026" o:spt="32" type="#_x0000_t32" style="position:absolute;left:8280;top:-813551;flip:x y;height:1030018;width:3807;" filled="f" stroked="t" coordsize="21600,21600" o:gfxdata="UEsDBAoAAAAAAIdO4kAAAAAAAAAAAAAAAAAEAAAAZHJzL1BLAwQUAAAACACHTuJA4+TU8bsAAADb&#10;AAAADwAAAGRycy9kb3ducmV2LnhtbEWPy2rDQAxF94H+w6BCds04MS3FzdiLQCGrhKQl7VJ4VNvE&#10;ozEe5fX30aKQpbi6R0fL6hp6c6YxdZEdzGcZGOI6+o4bB99fny/vYJIge+wjk4MbJajKp8kSCx8v&#10;vKPzXhqjEE4FOmhFhsLaVLcUMM3iQKzZXxwDio5jY/2IF4WH3i6y7M0G7FgvtDjQqqX6uD8F1fjd&#10;vh6F0oFtnm9+JF/ROt2cmz7Psw8wQld5LP+3197BQmX1FwWALe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TU8b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直接箭头连接符 26" o:spid="_x0000_s1026" o:spt="32" type="#_x0000_t32" style="position:absolute;left:12632;top:-813551;flip:x;height:1030030;width:6729;" filled="f" stroked="t" coordsize="21600,21600" o:gfxdata="UEsDBAoAAAAAAIdO4kAAAAAAAAAAAAAAAAAEAAAAZHJzL1BLAwQUAAAACACHTuJAIubKXr0AAADb&#10;AAAADwAAAGRycy9kb3ducmV2LnhtbEWPQWsCMRSE7wX/Q3iCt5ootuhq9NBSKNhLVRBvj81zs7p5&#10;2Sapu/77plDocZiZb5jVpneNuFGItWcNk7ECQVx6U3Ol4bB/e5yDiAnZYOOZNNwpwmY9eFhhYXzH&#10;n3TbpUpkCMcCNdiU2kLKWFpyGMe+Jc7e2QeHKctQSROwy3DXyKlSz9JhzXnBYksvlsrr7ttpOH6o&#10;01Pvg72cvmZ2W79Wx4vrtB4NJ2oJIlGf/sN/7XejYbqA3y/5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5spe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group>
                  </w:pict>
                </mc:Fallback>
              </mc:AlternateContent>
            </w:r>
          </w:p>
          <w:p>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图</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-2  运营期工艺流程及产污环节图</w:t>
            </w:r>
          </w:p>
          <w:p>
            <w:pPr>
              <w:keepNext w:val="0"/>
              <w:keepLines w:val="0"/>
              <w:pageBreakBefore w:val="0"/>
              <w:widowControl w:val="0"/>
              <w:kinsoku/>
              <w:wordWrap/>
              <w:overflowPunct/>
              <w:topLinePunct w:val="0"/>
              <w:autoSpaceDE/>
              <w:autoSpaceDN/>
              <w:bidi w:val="0"/>
              <w:adjustRightInd w:val="0"/>
              <w:snapToGrid w:val="0"/>
              <w:spacing w:before="157" w:beforeLines="50" w:line="384" w:lineRule="auto"/>
              <w:ind w:firstLine="482" w:firstLineChars="200"/>
              <w:jc w:val="both"/>
              <w:textAlignment w:val="auto"/>
              <w:outlineLvl w:val="9"/>
              <w:rPr>
                <w:rFonts w:hint="default" w:ascii="Times New Roman" w:hAnsi="Times New Roman" w:eastAsia="宋体" w:cs="Times New Roman"/>
                <w:b/>
                <w:color w:val="auto"/>
                <w:sz w:val="24"/>
                <w:szCs w:val="24"/>
                <w:highlight w:val="none"/>
              </w:rPr>
            </w:pPr>
            <w:r>
              <w:rPr>
                <w:rFonts w:hint="eastAsia" w:ascii="Times New Roman" w:hAnsi="Times New Roman" w:eastAsia="宋体" w:cs="Times New Roman"/>
                <w:b/>
                <w:color w:val="auto"/>
                <w:sz w:val="24"/>
                <w:szCs w:val="24"/>
                <w:highlight w:val="none"/>
                <w:lang w:val="en-US" w:eastAsia="zh-CN"/>
              </w:rPr>
              <w:t>2.1</w:t>
            </w:r>
            <w:r>
              <w:rPr>
                <w:rFonts w:hint="default" w:ascii="Times New Roman" w:hAnsi="Times New Roman" w:eastAsia="宋体" w:cs="Times New Roman"/>
                <w:b/>
                <w:color w:val="auto"/>
                <w:sz w:val="24"/>
                <w:szCs w:val="24"/>
                <w:highlight w:val="none"/>
              </w:rPr>
              <w:t>工艺流程简述</w:t>
            </w:r>
          </w:p>
          <w:p>
            <w:pPr>
              <w:pStyle w:val="4"/>
              <w:keepNext w:val="0"/>
              <w:keepLines w:val="0"/>
              <w:pageBreakBefore w:val="0"/>
              <w:widowControl w:val="0"/>
              <w:kinsoku/>
              <w:wordWrap/>
              <w:overflowPunct/>
              <w:topLinePunct w:val="0"/>
              <w:autoSpaceDE/>
              <w:autoSpaceDN/>
              <w:bidi w:val="0"/>
              <w:snapToGrid/>
              <w:spacing w:after="0" w:line="384" w:lineRule="auto"/>
              <w:ind w:left="0" w:lef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bookmarkStart w:id="3" w:name="_Toc23105"/>
            <w:bookmarkStart w:id="4" w:name="_Toc15815_WPSOffice_Level2"/>
            <w:bookmarkStart w:id="5" w:name="_Toc3019"/>
            <w:r>
              <w:rPr>
                <w:rFonts w:ascii="宋体" w:hAnsi="宋体" w:eastAsia="宋体" w:cs="宋体"/>
                <w:color w:val="auto"/>
                <w:sz w:val="24"/>
                <w:szCs w:val="24"/>
                <w:highlight w:val="none"/>
              </w:rPr>
              <w:t>栽培前</w:t>
            </w:r>
            <w:r>
              <w:rPr>
                <w:rFonts w:hint="eastAsia" w:ascii="宋体" w:hAnsi="宋体" w:eastAsia="宋体" w:cs="宋体"/>
                <w:color w:val="auto"/>
                <w:sz w:val="24"/>
                <w:szCs w:val="24"/>
                <w:highlight w:val="none"/>
                <w:lang w:eastAsia="zh-CN"/>
              </w:rPr>
              <w:t>进行土壤整理，用场地现有土壤，主要进行</w:t>
            </w:r>
            <w:r>
              <w:rPr>
                <w:rFonts w:ascii="宋体" w:hAnsi="宋体" w:eastAsia="宋体" w:cs="宋体"/>
                <w:color w:val="auto"/>
                <w:sz w:val="24"/>
                <w:szCs w:val="24"/>
                <w:highlight w:val="none"/>
              </w:rPr>
              <w:t>清除场地杂草、枯枝等，</w:t>
            </w:r>
            <w:r>
              <w:rPr>
                <w:rFonts w:hint="eastAsia" w:ascii="宋体" w:hAnsi="宋体" w:eastAsia="宋体" w:cs="宋体"/>
                <w:color w:val="auto"/>
                <w:sz w:val="24"/>
                <w:szCs w:val="24"/>
                <w:highlight w:val="none"/>
                <w:lang w:eastAsia="zh-CN"/>
              </w:rPr>
              <w:t>对土壤进行耕翻，</w:t>
            </w:r>
            <w:r>
              <w:rPr>
                <w:rFonts w:ascii="宋体" w:hAnsi="宋体" w:eastAsia="宋体" w:cs="宋体"/>
                <w:color w:val="auto"/>
                <w:sz w:val="24"/>
                <w:szCs w:val="24"/>
                <w:highlight w:val="none"/>
              </w:rPr>
              <w:t>疏松土壤，</w:t>
            </w:r>
            <w:r>
              <w:rPr>
                <w:rFonts w:hint="eastAsia" w:ascii="宋体" w:hAnsi="宋体" w:eastAsia="宋体" w:cs="宋体"/>
                <w:color w:val="auto"/>
                <w:sz w:val="24"/>
                <w:szCs w:val="24"/>
                <w:highlight w:val="none"/>
                <w:lang w:eastAsia="zh-CN"/>
              </w:rPr>
              <w:t>并结合耕翻施加底肥，最后整平作垄，</w:t>
            </w:r>
            <w:r>
              <w:rPr>
                <w:rFonts w:hint="eastAsia" w:ascii="宋体" w:hAnsi="宋体" w:eastAsia="宋体" w:cs="宋体"/>
                <w:color w:val="auto"/>
                <w:sz w:val="24"/>
                <w:szCs w:val="24"/>
                <w:highlight w:val="none"/>
              </w:rPr>
              <w:t>选择一些颗粒完好、饱满有肉的种子</w:t>
            </w:r>
            <w:r>
              <w:rPr>
                <w:rFonts w:hint="eastAsia" w:ascii="宋体" w:hAnsi="宋体" w:eastAsia="宋体" w:cs="宋体"/>
                <w:color w:val="auto"/>
                <w:sz w:val="24"/>
                <w:szCs w:val="24"/>
                <w:highlight w:val="none"/>
                <w:lang w:eastAsia="zh-CN"/>
              </w:rPr>
              <w:t>或者优质种苗，种子进行浸种催芽处理，</w:t>
            </w:r>
            <w:r>
              <w:rPr>
                <w:rFonts w:hint="eastAsia" w:ascii="宋体" w:hAnsi="宋体" w:eastAsia="宋体" w:cs="宋体"/>
                <w:color w:val="auto"/>
                <w:sz w:val="24"/>
                <w:szCs w:val="24"/>
                <w:highlight w:val="none"/>
              </w:rPr>
              <w:t>然后按照合理的密度进行播种</w:t>
            </w:r>
            <w:r>
              <w:rPr>
                <w:rFonts w:hint="eastAsia" w:ascii="宋体" w:hAnsi="宋体" w:eastAsia="宋体" w:cs="宋体"/>
                <w:color w:val="auto"/>
                <w:sz w:val="24"/>
                <w:szCs w:val="24"/>
                <w:highlight w:val="none"/>
                <w:lang w:eastAsia="zh-CN"/>
              </w:rPr>
              <w:t>与移栽</w:t>
            </w:r>
            <w:r>
              <w:rPr>
                <w:rFonts w:hint="eastAsia" w:ascii="宋体" w:hAnsi="宋体" w:eastAsia="宋体" w:cs="宋体"/>
                <w:color w:val="auto"/>
                <w:sz w:val="24"/>
                <w:szCs w:val="24"/>
                <w:highlight w:val="none"/>
              </w:rPr>
              <w:t>。</w:t>
            </w:r>
            <w:r>
              <w:rPr>
                <w:rFonts w:hint="eastAsia" w:ascii="Times New Roman" w:hAnsi="Times New Roman" w:eastAsia="宋体" w:cs="Times New Roman"/>
                <w:color w:val="auto"/>
                <w:sz w:val="24"/>
                <w:szCs w:val="24"/>
                <w:highlight w:val="none"/>
                <w:lang w:val="en-US" w:eastAsia="zh-CN"/>
              </w:rPr>
              <w:t>田间</w:t>
            </w:r>
            <w:r>
              <w:rPr>
                <w:rFonts w:hint="default" w:ascii="Times New Roman" w:hAnsi="Times New Roman" w:eastAsia="宋体" w:cs="Times New Roman"/>
                <w:color w:val="auto"/>
                <w:sz w:val="24"/>
                <w:szCs w:val="24"/>
                <w:highlight w:val="none"/>
                <w:lang w:val="en-US" w:eastAsia="zh-CN"/>
              </w:rPr>
              <w:t>管理</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浇水</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播后及时采用微喷方式浇水，后期喷灌次数和间隔时间墒情而定，</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施肥</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在幼苗期和速生期要结合喷灌施</w:t>
            </w:r>
            <w:r>
              <w:rPr>
                <w:rFonts w:hint="eastAsia" w:ascii="Times New Roman" w:hAnsi="Times New Roman" w:eastAsia="宋体" w:cs="Times New Roman"/>
                <w:color w:val="auto"/>
                <w:sz w:val="24"/>
                <w:szCs w:val="24"/>
                <w:highlight w:val="none"/>
                <w:lang w:val="en-US" w:eastAsia="zh-CN"/>
              </w:rPr>
              <w:t>有机</w:t>
            </w:r>
            <w:r>
              <w:rPr>
                <w:rFonts w:hint="default" w:ascii="Times New Roman" w:hAnsi="Times New Roman" w:eastAsia="宋体" w:cs="Times New Roman"/>
                <w:color w:val="auto"/>
                <w:sz w:val="24"/>
                <w:szCs w:val="24"/>
                <w:highlight w:val="none"/>
                <w:lang w:val="en-US" w:eastAsia="zh-CN"/>
              </w:rPr>
              <w:t>肥。</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除草</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每20天左右人工除草一次，为防止除草时带出幼苗，可利用剪刀等工具除草。</w:t>
            </w:r>
            <w:r>
              <w:rPr>
                <w:rFonts w:hint="eastAsia" w:ascii="Times New Roman" w:hAnsi="Times New Roman" w:eastAsia="宋体" w:cs="Times New Roman"/>
                <w:color w:val="auto"/>
                <w:sz w:val="24"/>
                <w:szCs w:val="24"/>
                <w:highlight w:val="none"/>
                <w:lang w:val="en-US" w:eastAsia="zh-CN"/>
              </w:rPr>
              <w:t>根据市场需求，确定采收时间，</w:t>
            </w:r>
            <w:r>
              <w:rPr>
                <w:rFonts w:hint="default" w:ascii="Times New Roman" w:hAnsi="Times New Roman" w:eastAsia="宋体" w:cs="Times New Roman"/>
                <w:color w:val="auto"/>
                <w:sz w:val="24"/>
                <w:szCs w:val="24"/>
                <w:highlight w:val="none"/>
                <w:lang w:val="en-US" w:eastAsia="zh-CN"/>
              </w:rPr>
              <w:t>适时采收。</w:t>
            </w:r>
            <w:r>
              <w:rPr>
                <w:rFonts w:hint="eastAsia" w:ascii="Times New Roman" w:hAnsi="Times New Roman" w:eastAsia="宋体" w:cs="Times New Roman"/>
                <w:color w:val="auto"/>
                <w:sz w:val="24"/>
                <w:szCs w:val="24"/>
                <w:highlight w:val="none"/>
                <w:lang w:val="en-US" w:eastAsia="zh-CN"/>
              </w:rPr>
              <w:t>对采收后的蔬菜通过人工分拣去除老黄叶、残枝烂叶，处理后的蔬菜放置冷藏柜中保鲜</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最后经包装后外售。</w:t>
            </w:r>
            <w:r>
              <w:rPr>
                <w:rFonts w:hint="eastAsia" w:cs="Times New Roman"/>
                <w:color w:val="auto"/>
                <w:sz w:val="24"/>
                <w:szCs w:val="24"/>
                <w:highlight w:val="none"/>
                <w:lang w:val="en-US" w:eastAsia="zh-CN"/>
              </w:rPr>
              <w:t>观赏及采摘作物的种植过程同主体工程蔬菜及水果种植相似，同时整个工艺流程也会产生生活污水、生活垃圾。噪声等。</w:t>
            </w:r>
          </w:p>
          <w:bookmarkEnd w:id="3"/>
          <w:bookmarkEnd w:id="4"/>
          <w:bookmarkEnd w:id="5"/>
          <w:p>
            <w:pPr>
              <w:keepNext w:val="0"/>
              <w:keepLines w:val="0"/>
              <w:pageBreakBefore w:val="0"/>
              <w:kinsoku/>
              <w:wordWrap/>
              <w:overflowPunct/>
              <w:topLinePunct w:val="0"/>
              <w:autoSpaceDE/>
              <w:autoSpaceDN/>
              <w:bidi w:val="0"/>
              <w:adjustRightInd w:val="0"/>
              <w:snapToGrid w:val="0"/>
              <w:spacing w:line="384" w:lineRule="auto"/>
              <w:ind w:firstLine="482" w:firstLineChars="200"/>
              <w:jc w:val="both"/>
              <w:textAlignment w:val="auto"/>
              <w:outlineLvl w:val="9"/>
              <w:rPr>
                <w:rFonts w:hint="default" w:ascii="Times New Roman" w:hAnsi="Times New Roman" w:eastAsia="宋体" w:cs="Times New Roman"/>
                <w:b/>
                <w:color w:val="auto"/>
                <w:sz w:val="24"/>
                <w:szCs w:val="24"/>
                <w:highlight w:val="none"/>
              </w:rPr>
            </w:pPr>
            <w:r>
              <w:rPr>
                <w:rFonts w:hint="eastAsia" w:ascii="Times New Roman" w:hAnsi="Times New Roman" w:eastAsia="宋体" w:cs="Times New Roman"/>
                <w:b/>
                <w:color w:val="auto"/>
                <w:sz w:val="24"/>
                <w:szCs w:val="24"/>
                <w:highlight w:val="none"/>
                <w:lang w:val="en-US" w:eastAsia="zh-CN"/>
              </w:rPr>
              <w:t>3</w:t>
            </w:r>
            <w:r>
              <w:rPr>
                <w:rFonts w:hint="default" w:ascii="Times New Roman" w:hAnsi="Times New Roman" w:eastAsia="宋体" w:cs="Times New Roman"/>
                <w:b/>
                <w:color w:val="auto"/>
                <w:sz w:val="24"/>
                <w:szCs w:val="24"/>
                <w:highlight w:val="none"/>
              </w:rPr>
              <w:t>主要污染工序及环节</w:t>
            </w:r>
          </w:p>
          <w:p>
            <w:pPr>
              <w:keepNext w:val="0"/>
              <w:keepLines w:val="0"/>
              <w:pageBreakBefore w:val="0"/>
              <w:kinsoku/>
              <w:wordWrap/>
              <w:overflowPunct/>
              <w:topLinePunct w:val="0"/>
              <w:autoSpaceDE/>
              <w:autoSpaceDN/>
              <w:bidi w:val="0"/>
              <w:adjustRightInd w:val="0"/>
              <w:snapToGrid w:val="0"/>
              <w:spacing w:line="384" w:lineRule="auto"/>
              <w:ind w:firstLine="482" w:firstLineChars="200"/>
              <w:jc w:val="both"/>
              <w:textAlignment w:val="auto"/>
              <w:outlineLvl w:val="9"/>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.1 施工期</w:t>
            </w:r>
          </w:p>
          <w:p>
            <w:pPr>
              <w:keepNext w:val="0"/>
              <w:keepLines w:val="0"/>
              <w:pageBreakBefore w:val="0"/>
              <w:widowControl/>
              <w:kinsoku/>
              <w:wordWrap/>
              <w:overflowPunct/>
              <w:topLinePunct w:val="0"/>
              <w:autoSpaceDE/>
              <w:autoSpaceDN/>
              <w:bidi w:val="0"/>
              <w:spacing w:line="384" w:lineRule="auto"/>
              <w:ind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（1）废气：施工过程及设备安装过程产生的施工扬尘。</w:t>
            </w:r>
          </w:p>
          <w:p>
            <w:pPr>
              <w:keepNext w:val="0"/>
              <w:keepLines w:val="0"/>
              <w:pageBreakBefore w:val="0"/>
              <w:widowControl/>
              <w:kinsoku/>
              <w:wordWrap/>
              <w:overflowPunct/>
              <w:topLinePunct w:val="0"/>
              <w:autoSpaceDE/>
              <w:autoSpaceDN/>
              <w:bidi w:val="0"/>
              <w:spacing w:line="384" w:lineRule="auto"/>
              <w:ind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（2）废水：施工废水和施工人员生活污水。</w:t>
            </w:r>
          </w:p>
          <w:p>
            <w:pPr>
              <w:keepNext w:val="0"/>
              <w:keepLines w:val="0"/>
              <w:pageBreakBefore w:val="0"/>
              <w:widowControl/>
              <w:kinsoku/>
              <w:wordWrap/>
              <w:overflowPunct/>
              <w:topLinePunct w:val="0"/>
              <w:autoSpaceDE/>
              <w:autoSpaceDN/>
              <w:bidi w:val="0"/>
              <w:spacing w:line="384" w:lineRule="auto"/>
              <w:ind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（3）噪声：施工机械、车辆噪声。</w:t>
            </w:r>
          </w:p>
          <w:p>
            <w:pPr>
              <w:keepNext w:val="0"/>
              <w:keepLines w:val="0"/>
              <w:pageBreakBefore w:val="0"/>
              <w:widowControl/>
              <w:kinsoku/>
              <w:wordWrap/>
              <w:overflowPunct/>
              <w:topLinePunct w:val="0"/>
              <w:autoSpaceDE/>
              <w:autoSpaceDN/>
              <w:bidi w:val="0"/>
              <w:spacing w:line="384" w:lineRule="auto"/>
              <w:ind w:firstLine="480" w:firstLineChars="200"/>
              <w:jc w:val="both"/>
              <w:textAlignment w:val="auto"/>
              <w:outlineLvl w:val="9"/>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color w:val="auto"/>
                <w:sz w:val="24"/>
                <w:szCs w:val="24"/>
                <w:highlight w:val="none"/>
              </w:rPr>
              <w:t>（4）固废：建筑垃圾和施工人员生活垃圾。</w:t>
            </w:r>
          </w:p>
          <w:p>
            <w:pPr>
              <w:keepNext w:val="0"/>
              <w:keepLines w:val="0"/>
              <w:pageBreakBefore w:val="0"/>
              <w:kinsoku/>
              <w:wordWrap/>
              <w:overflowPunct/>
              <w:topLinePunct w:val="0"/>
              <w:autoSpaceDE/>
              <w:autoSpaceDN/>
              <w:bidi w:val="0"/>
              <w:spacing w:line="384" w:lineRule="auto"/>
              <w:ind w:firstLine="482" w:firstLineChars="200"/>
              <w:jc w:val="both"/>
              <w:textAlignment w:val="auto"/>
              <w:outlineLvl w:val="9"/>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.2 营运期</w:t>
            </w:r>
          </w:p>
          <w:p>
            <w:pPr>
              <w:keepNext w:val="0"/>
              <w:keepLines w:val="0"/>
              <w:pageBreakBefore w:val="0"/>
              <w:kinsoku/>
              <w:wordWrap/>
              <w:overflowPunct/>
              <w:topLinePunct w:val="0"/>
              <w:autoSpaceDE/>
              <w:autoSpaceDN/>
              <w:bidi w:val="0"/>
              <w:adjustRightInd w:val="0"/>
              <w:spacing w:line="384" w:lineRule="auto"/>
              <w:ind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（1）废水：主要为工作人员产生的生活污水；</w:t>
            </w:r>
          </w:p>
          <w:p>
            <w:pPr>
              <w:keepNext w:val="0"/>
              <w:keepLines w:val="0"/>
              <w:pageBreakBefore w:val="0"/>
              <w:kinsoku/>
              <w:wordWrap/>
              <w:overflowPunct/>
              <w:topLinePunct w:val="0"/>
              <w:autoSpaceDE/>
              <w:autoSpaceDN/>
              <w:bidi w:val="0"/>
              <w:spacing w:line="384" w:lineRule="auto"/>
              <w:ind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）噪声：</w:t>
            </w:r>
            <w:r>
              <w:rPr>
                <w:rFonts w:hint="default" w:ascii="Times New Roman" w:hAnsi="Times New Roman" w:eastAsia="宋体" w:cs="Times New Roman"/>
                <w:color w:val="auto"/>
                <w:sz w:val="24"/>
                <w:szCs w:val="24"/>
                <w:highlight w:val="none"/>
                <w:lang w:eastAsia="zh-CN"/>
              </w:rPr>
              <w:t>主要为</w:t>
            </w:r>
            <w:r>
              <w:rPr>
                <w:rFonts w:hint="eastAsia" w:ascii="Times New Roman" w:hAnsi="Times New Roman" w:eastAsia="宋体" w:cs="Times New Roman"/>
                <w:color w:val="auto"/>
                <w:sz w:val="24"/>
                <w:szCs w:val="24"/>
                <w:highlight w:val="none"/>
                <w:lang w:eastAsia="zh-CN"/>
              </w:rPr>
              <w:t>耕地机、播种机等设备</w:t>
            </w:r>
            <w:r>
              <w:rPr>
                <w:rFonts w:hint="default" w:ascii="Times New Roman" w:hAnsi="Times New Roman" w:eastAsia="宋体" w:cs="Times New Roman"/>
                <w:color w:val="auto"/>
                <w:sz w:val="24"/>
                <w:szCs w:val="24"/>
                <w:highlight w:val="none"/>
                <w:lang w:eastAsia="zh-CN"/>
              </w:rPr>
              <w:t>产生噪声</w:t>
            </w:r>
            <w:r>
              <w:rPr>
                <w:rFonts w:hint="default" w:ascii="Times New Roman" w:hAnsi="Times New Roman" w:eastAsia="宋体" w:cs="Times New Roman"/>
                <w:color w:val="auto"/>
                <w:sz w:val="24"/>
                <w:szCs w:val="24"/>
                <w:highlight w:val="none"/>
              </w:rPr>
              <w:t>；</w:t>
            </w:r>
          </w:p>
          <w:p>
            <w:pPr>
              <w:keepNext w:val="0"/>
              <w:keepLines w:val="0"/>
              <w:pageBreakBefore w:val="0"/>
              <w:kinsoku/>
              <w:wordWrap/>
              <w:overflowPunct/>
              <w:topLinePunct w:val="0"/>
              <w:autoSpaceDE/>
              <w:autoSpaceDN/>
              <w:bidi w:val="0"/>
              <w:spacing w:line="384" w:lineRule="auto"/>
              <w:ind w:firstLine="480" w:firstLineChars="200"/>
              <w:jc w:val="both"/>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）固废：主要</w:t>
            </w:r>
            <w:r>
              <w:rPr>
                <w:rFonts w:hint="eastAsia" w:ascii="Times New Roman" w:hAnsi="Times New Roman" w:eastAsia="宋体" w:cs="Times New Roman"/>
                <w:color w:val="auto"/>
                <w:sz w:val="24"/>
                <w:szCs w:val="24"/>
                <w:highlight w:val="none"/>
                <w:lang w:eastAsia="zh-CN"/>
              </w:rPr>
              <w:t>为</w:t>
            </w:r>
            <w:r>
              <w:rPr>
                <w:rFonts w:hint="default" w:ascii="Times New Roman" w:hAnsi="Times New Roman" w:cs="Times New Roman"/>
                <w:color w:val="auto"/>
                <w:sz w:val="24"/>
                <w:highlight w:val="none"/>
              </w:rPr>
              <w:t>生活垃圾</w:t>
            </w:r>
            <w:r>
              <w:rPr>
                <w:rFonts w:hint="eastAsia" w:ascii="Times New Roman" w:hAnsi="Times New Roman" w:cs="Times New Roman"/>
                <w:color w:val="auto"/>
                <w:sz w:val="24"/>
                <w:highlight w:val="none"/>
                <w:lang w:eastAsia="zh-CN"/>
              </w:rPr>
              <w:t>、农膜等废弃塑料、分拣废物</w:t>
            </w:r>
            <w:r>
              <w:rPr>
                <w:rFonts w:hint="eastAsia" w:cs="Times New Roman"/>
                <w:color w:val="auto"/>
                <w:sz w:val="24"/>
                <w:highlight w:val="none"/>
                <w:lang w:eastAsia="zh-CN"/>
              </w:rPr>
              <w:t>、有机肥包装袋</w:t>
            </w:r>
            <w:r>
              <w:rPr>
                <w:rFonts w:hint="default" w:ascii="Times New Roman" w:hAnsi="Times New Roman" w:cs="Times New Roman"/>
                <w:color w:val="auto"/>
                <w:sz w:val="24"/>
                <w:highlight w:val="none"/>
              </w:rPr>
              <w:t>等</w:t>
            </w:r>
            <w:r>
              <w:rPr>
                <w:rFonts w:hint="default" w:ascii="Times New Roman" w:hAnsi="Times New Roman" w:eastAsia="宋体" w:cs="Times New Roman"/>
                <w:color w:val="auto"/>
                <w:sz w:val="24"/>
                <w:szCs w:val="24"/>
                <w:highlight w:val="none"/>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22" w:hRule="atLeast"/>
          <w:jc w:val="center"/>
        </w:trPr>
        <w:tc>
          <w:tcPr>
            <w:tcW w:w="224" w:type="pct"/>
            <w:noWrap w:val="0"/>
            <w:vAlign w:val="center"/>
          </w:tcPr>
          <w:p>
            <w:pPr>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其他</w:t>
            </w:r>
          </w:p>
        </w:tc>
        <w:tc>
          <w:tcPr>
            <w:tcW w:w="4775" w:type="pct"/>
            <w:noWrap w:val="0"/>
            <w:vAlign w:val="center"/>
          </w:tcPr>
          <w:p>
            <w:pPr>
              <w:adjustRightInd w:val="0"/>
              <w:snapToGrid w:val="0"/>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无</w:t>
            </w:r>
          </w:p>
        </w:tc>
      </w:tr>
    </w:tbl>
    <w:p>
      <w:pPr>
        <w:pStyle w:val="21"/>
        <w:jc w:val="center"/>
        <w:outlineLvl w:val="0"/>
        <w:rPr>
          <w:rFonts w:ascii="黑体" w:hAnsi="黑体" w:eastAsia="黑体"/>
          <w:snapToGrid w:val="0"/>
          <w:color w:val="auto"/>
          <w:sz w:val="30"/>
          <w:szCs w:val="30"/>
          <w:highlight w:val="none"/>
        </w:rPr>
      </w:pPr>
      <w:r>
        <w:rPr>
          <w:rFonts w:eastAsia="仿宋_GB2312"/>
          <w:b/>
          <w:bCs/>
          <w:color w:val="auto"/>
          <w:highlight w:val="none"/>
        </w:rPr>
        <w:br w:type="page"/>
      </w:r>
      <w:r>
        <w:rPr>
          <w:rFonts w:hint="eastAsia" w:ascii="黑体" w:hAnsi="黑体" w:eastAsia="黑体"/>
          <w:snapToGrid w:val="0"/>
          <w:color w:val="auto"/>
          <w:sz w:val="30"/>
          <w:szCs w:val="30"/>
          <w:highlight w:val="none"/>
        </w:rPr>
        <w:t>三、生态环境现状、保护目标及评价标准</w:t>
      </w:r>
    </w:p>
    <w:tbl>
      <w:tblPr>
        <w:tblStyle w:val="24"/>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83"/>
        <w:gridCol w:w="813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95" w:hRule="atLeast"/>
          <w:jc w:val="center"/>
        </w:trPr>
        <w:tc>
          <w:tcPr>
            <w:tcW w:w="225" w:type="pct"/>
            <w:noWrap w:val="0"/>
            <w:vAlign w:val="center"/>
          </w:tcPr>
          <w:p>
            <w:pPr>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生态环境现状</w:t>
            </w:r>
          </w:p>
        </w:tc>
        <w:tc>
          <w:tcPr>
            <w:tcW w:w="477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auto"/>
                <w:highlight w:val="none"/>
              </w:rPr>
            </w:pPr>
            <w:r>
              <w:rPr>
                <w:rFonts w:hint="eastAsia"/>
                <w:color w:val="auto"/>
                <w:sz w:val="24"/>
                <w:szCs w:val="24"/>
                <w:highlight w:val="none"/>
                <w:lang w:val="en-US" w:eastAsia="zh-CN"/>
              </w:rPr>
              <w:t>1</w:t>
            </w:r>
            <w:r>
              <w:rPr>
                <w:rFonts w:hint="eastAsia"/>
                <w:color w:val="auto"/>
                <w:sz w:val="24"/>
                <w:szCs w:val="24"/>
                <w:highlight w:val="none"/>
              </w:rPr>
              <w:t>.</w:t>
            </w:r>
            <w:r>
              <w:rPr>
                <w:rFonts w:hint="eastAsia"/>
                <w:color w:val="auto"/>
                <w:sz w:val="24"/>
                <w:szCs w:val="24"/>
                <w:highlight w:val="none"/>
                <w:lang w:eastAsia="zh-CN"/>
              </w:rPr>
              <w:t>生态环境现状</w:t>
            </w:r>
          </w:p>
          <w:p>
            <w:pPr>
              <w:keepNext w:val="0"/>
              <w:keepLines w:val="0"/>
              <w:pageBreakBefore w:val="0"/>
              <w:widowControl w:val="0"/>
              <w:tabs>
                <w:tab w:val="left" w:pos="810"/>
              </w:tabs>
              <w:kinsoku/>
              <w:wordWrap/>
              <w:overflowPunct/>
              <w:topLinePunct w:val="0"/>
              <w:autoSpaceDE/>
              <w:autoSpaceDN/>
              <w:bidi w:val="0"/>
              <w:adjustRightInd/>
              <w:snapToGrid w:val="0"/>
              <w:spacing w:line="360" w:lineRule="auto"/>
              <w:ind w:left="0" w:leftChars="0" w:firstLine="480" w:firstLineChars="200"/>
              <w:textAlignment w:val="auto"/>
              <w:rPr>
                <w:rFonts w:hint="eastAsia"/>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本项目位于</w:t>
            </w:r>
            <w:r>
              <w:rPr>
                <w:rFonts w:hint="eastAsia" w:cs="Times New Roman"/>
                <w:color w:val="auto"/>
                <w:sz w:val="24"/>
                <w:szCs w:val="24"/>
                <w:highlight w:val="none"/>
                <w:lang w:val="en-US" w:eastAsia="zh-CN"/>
              </w:rPr>
              <w:t>鄂尔多斯市伊金霍洛旗阿勒腾席热镇红海子村</w:t>
            </w:r>
            <w:r>
              <w:rPr>
                <w:rFonts w:hint="eastAsia" w:ascii="Times New Roman" w:hAnsi="Times New Roman" w:eastAsia="宋体" w:cs="Times New Roman"/>
                <w:color w:val="auto"/>
                <w:sz w:val="24"/>
                <w:szCs w:val="24"/>
                <w:highlight w:val="none"/>
                <w:lang w:val="en-US" w:eastAsia="zh-CN"/>
              </w:rPr>
              <w:t>，根据《内蒙</w:t>
            </w:r>
            <w:r>
              <w:rPr>
                <w:rFonts w:hint="eastAsia" w:cs="Times New Roman"/>
                <w:color w:val="auto"/>
                <w:sz w:val="24"/>
                <w:szCs w:val="24"/>
                <w:highlight w:val="none"/>
                <w:lang w:val="en-US" w:eastAsia="zh-CN"/>
              </w:rPr>
              <w:t>古</w:t>
            </w:r>
            <w:r>
              <w:rPr>
                <w:rFonts w:hint="eastAsia" w:ascii="Times New Roman" w:hAnsi="Times New Roman" w:eastAsia="宋体" w:cs="Times New Roman"/>
                <w:color w:val="auto"/>
                <w:sz w:val="24"/>
                <w:szCs w:val="24"/>
                <w:highlight w:val="none"/>
                <w:lang w:val="en-US" w:eastAsia="zh-CN"/>
              </w:rPr>
              <w:t>自治区主体功能区规划》，鄂尔多斯市伊金霍洛旗属于国家级重点开发区域。根据《内蒙古自治区生态功能区划》，鄂尔多斯市伊金霍洛旗属鄂尔多斯高原典型草原沙漠化控制生态功能区（III-5-2）。</w:t>
            </w:r>
            <w:r>
              <w:rPr>
                <w:rFonts w:hint="eastAsia"/>
                <w:color w:val="auto"/>
                <w:sz w:val="24"/>
                <w:szCs w:val="24"/>
                <w:highlight w:val="none"/>
                <w:lang w:val="en-US" w:eastAsia="zh-CN"/>
              </w:rPr>
              <w:t>遥感影像图见图3-1。</w:t>
            </w:r>
          </w:p>
          <w:p>
            <w:pPr>
              <w:jc w:val="center"/>
              <w:rPr>
                <w:rFonts w:hint="eastAsia"/>
                <w:color w:val="auto"/>
                <w:sz w:val="24"/>
                <w:szCs w:val="24"/>
                <w:highlight w:val="none"/>
                <w:lang w:val="en-US" w:eastAsia="zh-CN"/>
              </w:rPr>
            </w:pPr>
            <w:r>
              <w:rPr>
                <w:rFonts w:hint="eastAsia"/>
                <w:color w:val="auto"/>
                <w:sz w:val="24"/>
                <w:szCs w:val="24"/>
                <w:highlight w:val="none"/>
                <w:lang w:val="en-US" w:eastAsia="zh-CN"/>
              </w:rPr>
              <w:drawing>
                <wp:anchor distT="0" distB="0" distL="114300" distR="114300" simplePos="0" relativeHeight="251679744" behindDoc="1" locked="0" layoutInCell="1" allowOverlap="1">
                  <wp:simplePos x="0" y="0"/>
                  <wp:positionH relativeFrom="column">
                    <wp:posOffset>-28575</wp:posOffset>
                  </wp:positionH>
                  <wp:positionV relativeFrom="paragraph">
                    <wp:posOffset>64770</wp:posOffset>
                  </wp:positionV>
                  <wp:extent cx="5102225" cy="3607435"/>
                  <wp:effectExtent l="0" t="0" r="3175" b="12065"/>
                  <wp:wrapNone/>
                  <wp:docPr id="51" name="图片 51" descr="遥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遥感"/>
                          <pic:cNvPicPr>
                            <a:picLocks noChangeAspect="1"/>
                          </pic:cNvPicPr>
                        </pic:nvPicPr>
                        <pic:blipFill>
                          <a:blip r:embed="rId14"/>
                          <a:stretch>
                            <a:fillRect/>
                          </a:stretch>
                        </pic:blipFill>
                        <pic:spPr>
                          <a:xfrm>
                            <a:off x="0" y="0"/>
                            <a:ext cx="5102225" cy="3607435"/>
                          </a:xfrm>
                          <a:prstGeom prst="rect">
                            <a:avLst/>
                          </a:prstGeom>
                        </pic:spPr>
                      </pic:pic>
                    </a:graphicData>
                  </a:graphic>
                </wp:anchor>
              </w:drawing>
            </w: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23"/>
              <w:keepNext w:val="0"/>
              <w:keepLines w:val="0"/>
              <w:pageBreakBefore w:val="0"/>
              <w:widowControl/>
              <w:kinsoku/>
              <w:wordWrap/>
              <w:overflowPunct/>
              <w:topLinePunct w:val="0"/>
              <w:autoSpaceDE/>
              <w:autoSpaceDN/>
              <w:bidi w:val="0"/>
              <w:adjustRightInd/>
              <w:snapToGrid w:val="0"/>
              <w:spacing w:before="0" w:after="0" w:line="260" w:lineRule="auto"/>
              <w:ind w:right="0"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SA"/>
              </w:rPr>
            </w:pPr>
          </w:p>
          <w:p>
            <w:pPr>
              <w:pStyle w:val="23"/>
              <w:keepNext w:val="0"/>
              <w:keepLines w:val="0"/>
              <w:pageBreakBefore w:val="0"/>
              <w:widowControl/>
              <w:kinsoku/>
              <w:wordWrap/>
              <w:overflowPunct/>
              <w:topLinePunct w:val="0"/>
              <w:autoSpaceDE/>
              <w:autoSpaceDN/>
              <w:bidi w:val="0"/>
              <w:adjustRightInd/>
              <w:snapToGrid w:val="0"/>
              <w:spacing w:before="0" w:after="0" w:line="260" w:lineRule="auto"/>
              <w:ind w:right="0"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SA"/>
              </w:rPr>
            </w:pPr>
          </w:p>
          <w:p>
            <w:pPr>
              <w:pStyle w:val="23"/>
              <w:keepNext w:val="0"/>
              <w:keepLines w:val="0"/>
              <w:pageBreakBefore w:val="0"/>
              <w:widowControl/>
              <w:kinsoku/>
              <w:wordWrap/>
              <w:overflowPunct/>
              <w:topLinePunct w:val="0"/>
              <w:autoSpaceDE/>
              <w:autoSpaceDN/>
              <w:bidi w:val="0"/>
              <w:adjustRightInd/>
              <w:snapToGrid w:val="0"/>
              <w:spacing w:before="0" w:after="0" w:line="260" w:lineRule="auto"/>
              <w:ind w:right="0"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SA"/>
              </w:rPr>
            </w:pPr>
          </w:p>
          <w:p>
            <w:pPr>
              <w:pStyle w:val="23"/>
              <w:keepNext w:val="0"/>
              <w:keepLines w:val="0"/>
              <w:pageBreakBefore w:val="0"/>
              <w:widowControl/>
              <w:kinsoku/>
              <w:wordWrap/>
              <w:overflowPunct/>
              <w:topLinePunct w:val="0"/>
              <w:autoSpaceDE/>
              <w:autoSpaceDN/>
              <w:bidi w:val="0"/>
              <w:adjustRightInd/>
              <w:snapToGrid w:val="0"/>
              <w:spacing w:before="0" w:after="0" w:line="260" w:lineRule="auto"/>
              <w:ind w:right="0"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SA"/>
              </w:rPr>
            </w:pPr>
          </w:p>
          <w:p>
            <w:pPr>
              <w:pStyle w:val="23"/>
              <w:keepNext w:val="0"/>
              <w:keepLines w:val="0"/>
              <w:pageBreakBefore w:val="0"/>
              <w:widowControl/>
              <w:kinsoku/>
              <w:wordWrap/>
              <w:overflowPunct/>
              <w:topLinePunct w:val="0"/>
              <w:autoSpaceDE/>
              <w:autoSpaceDN/>
              <w:bidi w:val="0"/>
              <w:adjustRightInd/>
              <w:snapToGrid w:val="0"/>
              <w:spacing w:before="0" w:after="0" w:line="260" w:lineRule="auto"/>
              <w:ind w:right="0" w:firstLine="0" w:firstLineChars="0"/>
              <w:jc w:val="center"/>
              <w:textAlignment w:val="auto"/>
              <w:rPr>
                <w:rFonts w:hint="eastAsia"/>
                <w:color w:val="auto"/>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bidi="ar-SA"/>
              </w:rPr>
              <w:t>图3-1 本项目遥感影像图</w:t>
            </w:r>
          </w:p>
          <w:p>
            <w:pPr>
              <w:numPr>
                <w:ilvl w:val="0"/>
                <w:numId w:val="6"/>
              </w:numPr>
              <w:adjustRightInd w:val="0"/>
              <w:snapToGrid w:val="0"/>
              <w:spacing w:line="360" w:lineRule="auto"/>
              <w:ind w:firstLine="480" w:firstLineChars="200"/>
              <w:rPr>
                <w:rFonts w:hint="eastAsia"/>
                <w:color w:val="auto"/>
                <w:sz w:val="24"/>
                <w:szCs w:val="24"/>
                <w:highlight w:val="none"/>
                <w:lang w:val="en-US" w:eastAsia="zh-CN"/>
              </w:rPr>
            </w:pPr>
            <w:r>
              <w:rPr>
                <w:color w:val="auto"/>
                <w:sz w:val="24"/>
                <w:szCs w:val="24"/>
                <w:highlight w:val="none"/>
              </w:rPr>
              <w:t>土地利用现状</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项目位于</w:t>
            </w:r>
            <w:r>
              <w:rPr>
                <w:rFonts w:hint="eastAsia" w:cs="Times New Roman"/>
                <w:color w:val="auto"/>
                <w:sz w:val="24"/>
                <w:szCs w:val="24"/>
                <w:highlight w:val="none"/>
                <w:lang w:val="en-US" w:eastAsia="zh-CN"/>
              </w:rPr>
              <w:t>鄂尔多斯市伊金霍洛旗阿勒腾席热镇红海子村</w:t>
            </w:r>
            <w:r>
              <w:rPr>
                <w:rFonts w:hint="eastAsia"/>
                <w:color w:val="auto"/>
                <w:sz w:val="24"/>
                <w:szCs w:val="24"/>
                <w:highlight w:val="none"/>
                <w:lang w:val="en-US" w:eastAsia="zh-CN"/>
              </w:rPr>
              <w:t>，占地面积</w:t>
            </w:r>
            <w:r>
              <w:rPr>
                <w:rFonts w:hint="eastAsia" w:cs="Times New Roman"/>
                <w:color w:val="auto"/>
                <w:sz w:val="24"/>
                <w:szCs w:val="24"/>
                <w:highlight w:val="none"/>
                <w:lang w:val="en-US" w:eastAsia="zh-CN"/>
              </w:rPr>
              <w:t>141939</w:t>
            </w:r>
            <w:r>
              <w:rPr>
                <w:rFonts w:hint="eastAsia" w:ascii="Times New Roman" w:hAnsi="Times New Roman" w:cs="Times New Roman"/>
                <w:color w:val="auto"/>
                <w:sz w:val="24"/>
                <w:szCs w:val="24"/>
                <w:highlight w:val="none"/>
                <w:lang w:val="en-US" w:eastAsia="zh-CN"/>
              </w:rPr>
              <w:t>m</w:t>
            </w:r>
            <w:r>
              <w:rPr>
                <w:rFonts w:hint="eastAsia" w:ascii="Times New Roman" w:hAnsi="Times New Roman" w:cs="Times New Roman"/>
                <w:color w:val="auto"/>
                <w:sz w:val="24"/>
                <w:szCs w:val="24"/>
                <w:highlight w:val="none"/>
                <w:vertAlign w:val="superscript"/>
                <w:lang w:val="en-US" w:eastAsia="zh-CN"/>
              </w:rPr>
              <w:t>2</w:t>
            </w:r>
            <w:r>
              <w:rPr>
                <w:rFonts w:hint="eastAsia"/>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sz w:val="24"/>
                <w:szCs w:val="24"/>
                <w:highlight w:val="none"/>
                <w:lang w:val="en-US" w:eastAsia="zh-CN"/>
              </w:rPr>
            </w:pPr>
            <w:r>
              <w:rPr>
                <w:rFonts w:hint="eastAsia"/>
                <w:color w:val="auto"/>
                <w:sz w:val="24"/>
                <w:szCs w:val="24"/>
                <w:highlight w:val="none"/>
                <w:lang w:val="en-US" w:eastAsia="zh-CN"/>
              </w:rPr>
              <w:t>查阅《土地勘测定界技术报告书》显示项目区用地土地利用现状为天然牧草地、旱地、乔木林地、灌木林地、其他林地、农村道路、公路用地。</w:t>
            </w:r>
            <w:r>
              <w:rPr>
                <w:rFonts w:hint="default"/>
                <w:color w:val="auto"/>
                <w:sz w:val="24"/>
                <w:szCs w:val="24"/>
                <w:highlight w:val="none"/>
                <w:lang w:val="en-US" w:eastAsia="zh-CN"/>
              </w:rPr>
              <w:t>参照国土部门gb/t21010土地利用分类</w:t>
            </w:r>
            <w:r>
              <w:rPr>
                <w:rFonts w:hint="eastAsia"/>
                <w:color w:val="auto"/>
                <w:sz w:val="24"/>
                <w:szCs w:val="24"/>
                <w:highlight w:val="none"/>
                <w:lang w:val="en-US" w:eastAsia="zh-CN"/>
              </w:rPr>
              <w:t>，</w:t>
            </w:r>
            <w:r>
              <w:rPr>
                <w:rFonts w:hint="default"/>
                <w:color w:val="auto"/>
                <w:sz w:val="24"/>
                <w:szCs w:val="24"/>
                <w:highlight w:val="none"/>
                <w:lang w:val="en-US" w:eastAsia="zh-CN"/>
              </w:rPr>
              <w:t>通过遥感解译对本项目区内的土地利用类型现状分析，</w:t>
            </w:r>
            <w:r>
              <w:rPr>
                <w:color w:val="auto"/>
                <w:sz w:val="24"/>
                <w:szCs w:val="24"/>
                <w:highlight w:val="none"/>
                <w:lang w:val="en-US" w:eastAsia="zh-CN"/>
              </w:rPr>
              <w:t>评价区土地利用现状结果统计见表3-</w:t>
            </w:r>
            <w:r>
              <w:rPr>
                <w:rFonts w:hint="eastAsia"/>
                <w:color w:val="auto"/>
                <w:sz w:val="24"/>
                <w:szCs w:val="24"/>
                <w:highlight w:val="none"/>
                <w:lang w:val="en-US" w:eastAsia="zh-CN"/>
              </w:rPr>
              <w:t>1</w:t>
            </w:r>
            <w:r>
              <w:rPr>
                <w:color w:val="auto"/>
                <w:sz w:val="24"/>
                <w:szCs w:val="24"/>
                <w:highlight w:val="none"/>
                <w:lang w:val="en-US" w:eastAsia="zh-CN"/>
              </w:rPr>
              <w:t>，项目区及评价区土地利用情况见图3-</w:t>
            </w:r>
            <w:r>
              <w:rPr>
                <w:rFonts w:hint="eastAsia"/>
                <w:color w:val="auto"/>
                <w:sz w:val="24"/>
                <w:szCs w:val="24"/>
                <w:highlight w:val="none"/>
                <w:lang w:val="en-US" w:eastAsia="zh-CN"/>
              </w:rPr>
              <w:t>2</w:t>
            </w:r>
            <w:r>
              <w:rPr>
                <w:color w:val="auto"/>
                <w:sz w:val="24"/>
                <w:szCs w:val="24"/>
                <w:highlight w:val="none"/>
                <w:lang w:val="en-US" w:eastAsia="zh-CN"/>
              </w:rPr>
              <w:t>。</w:t>
            </w:r>
          </w:p>
          <w:p>
            <w:pPr>
              <w:pStyle w:val="13"/>
              <w:keepNext w:val="0"/>
              <w:keepLines w:val="0"/>
              <w:pageBreakBefore w:val="0"/>
              <w:widowControl/>
              <w:kinsoku/>
              <w:wordWrap/>
              <w:overflowPunct/>
              <w:topLinePunct w:val="0"/>
              <w:autoSpaceDE/>
              <w:autoSpaceDN/>
              <w:bidi w:val="0"/>
              <w:adjustRightInd/>
              <w:snapToGrid w:val="0"/>
              <w:spacing w:before="157" w:beforeLines="50" w:after="157" w:afterLines="50" w:line="240" w:lineRule="auto"/>
              <w:ind w:right="0"/>
              <w:jc w:val="center"/>
              <w:textAlignment w:val="auto"/>
              <w:rPr>
                <w:color w:val="auto"/>
                <w:sz w:val="24"/>
                <w:szCs w:val="24"/>
                <w:highlight w:val="none"/>
                <w:lang w:val="en-US" w:eastAsia="zh-CN"/>
              </w:rPr>
            </w:pPr>
          </w:p>
          <w:p>
            <w:pPr>
              <w:pStyle w:val="13"/>
              <w:keepNext w:val="0"/>
              <w:keepLines w:val="0"/>
              <w:pageBreakBefore w:val="0"/>
              <w:widowControl/>
              <w:kinsoku/>
              <w:wordWrap/>
              <w:overflowPunct/>
              <w:topLinePunct w:val="0"/>
              <w:autoSpaceDE/>
              <w:autoSpaceDN/>
              <w:bidi w:val="0"/>
              <w:adjustRightInd/>
              <w:snapToGrid w:val="0"/>
              <w:spacing w:before="157" w:beforeLines="50" w:after="157" w:afterLines="50" w:line="240" w:lineRule="auto"/>
              <w:ind w:right="0"/>
              <w:jc w:val="center"/>
              <w:textAlignment w:val="auto"/>
              <w:rPr>
                <w:color w:val="auto"/>
                <w:sz w:val="24"/>
                <w:szCs w:val="24"/>
                <w:highlight w:val="none"/>
                <w:lang w:val="en-US" w:eastAsia="zh-CN"/>
              </w:rPr>
            </w:pPr>
            <w:r>
              <w:rPr>
                <w:color w:val="auto"/>
                <w:sz w:val="24"/>
                <w:szCs w:val="24"/>
                <w:highlight w:val="none"/>
                <w:lang w:val="en-US" w:eastAsia="zh-CN"/>
              </w:rPr>
              <w:t>表3-</w:t>
            </w:r>
            <w:r>
              <w:rPr>
                <w:rFonts w:hint="eastAsia"/>
                <w:color w:val="auto"/>
                <w:sz w:val="24"/>
                <w:szCs w:val="24"/>
                <w:highlight w:val="none"/>
                <w:lang w:val="en-US" w:eastAsia="zh-CN"/>
              </w:rPr>
              <w:t xml:space="preserve">1   </w:t>
            </w:r>
            <w:r>
              <w:rPr>
                <w:color w:val="auto"/>
                <w:sz w:val="24"/>
                <w:szCs w:val="24"/>
                <w:highlight w:val="none"/>
                <w:lang w:val="en-US" w:eastAsia="zh-CN"/>
              </w:rPr>
              <w:t>评价区土地利用现状结果统计</w:t>
            </w:r>
          </w:p>
          <w:tbl>
            <w:tblPr>
              <w:tblStyle w:val="24"/>
              <w:tblW w:w="79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59"/>
              <w:gridCol w:w="1388"/>
              <w:gridCol w:w="786"/>
              <w:gridCol w:w="1443"/>
              <w:gridCol w:w="1109"/>
              <w:gridCol w:w="524"/>
              <w:gridCol w:w="694"/>
              <w:gridCol w:w="8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98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评价范围</w:t>
                  </w:r>
                </w:p>
              </w:tc>
              <w:tc>
                <w:tcPr>
                  <w:tcW w:w="128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项目</w:t>
                  </w:r>
                  <w:r>
                    <w:rPr>
                      <w:rFonts w:hint="eastAsia" w:ascii="Times New Roman" w:hAnsi="Times New Roman" w:cs="Times New Roman"/>
                      <w:i w:val="0"/>
                      <w:iCs w:val="0"/>
                      <w:color w:val="auto"/>
                      <w:kern w:val="0"/>
                      <w:sz w:val="21"/>
                      <w:szCs w:val="21"/>
                      <w:highlight w:val="none"/>
                      <w:u w:val="none"/>
                      <w:lang w:val="en-US" w:eastAsia="zh-CN" w:bidi="ar"/>
                    </w:rPr>
                    <w:t>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一级类型</w:t>
                  </w: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二级类型</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斑块数（个）</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面积（平米）</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占评价区面积的%</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斑块数（个）</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面积（平米）</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占</w:t>
                  </w:r>
                  <w:r>
                    <w:rPr>
                      <w:rFonts w:hint="default" w:ascii="Times New Roman" w:hAnsi="Times New Roman" w:cs="Times New Roman"/>
                      <w:i w:val="0"/>
                      <w:iCs w:val="0"/>
                      <w:color w:val="auto"/>
                      <w:kern w:val="0"/>
                      <w:sz w:val="21"/>
                      <w:szCs w:val="21"/>
                      <w:highlight w:val="none"/>
                      <w:u w:val="none"/>
                      <w:lang w:val="en-US" w:eastAsia="zh-CN" w:bidi="ar"/>
                    </w:rPr>
                    <w:t>项目</w:t>
                  </w:r>
                  <w:r>
                    <w:rPr>
                      <w:rFonts w:hint="default" w:ascii="Times New Roman" w:hAnsi="Times New Roman" w:eastAsia="宋体" w:cs="Times New Roman"/>
                      <w:i w:val="0"/>
                      <w:iCs w:val="0"/>
                      <w:color w:val="auto"/>
                      <w:kern w:val="0"/>
                      <w:sz w:val="21"/>
                      <w:szCs w:val="21"/>
                      <w:highlight w:val="none"/>
                      <w:u w:val="none"/>
                      <w:lang w:val="en-US" w:eastAsia="zh-CN" w:bidi="ar"/>
                    </w:rPr>
                    <w:t>区面积的%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林地</w:t>
                  </w: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乔木林地</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726532.94</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14.96%</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17297.62</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default" w:ascii="Times New Roman" w:hAnsi="Times New Roman" w:eastAsia="宋体" w:cs="Times New Roman"/>
                      <w:i w:val="0"/>
                      <w:iCs w:val="0"/>
                      <w:color w:val="auto"/>
                      <w:sz w:val="21"/>
                      <w:szCs w:val="21"/>
                      <w:u w:val="none"/>
                    </w:rPr>
                  </w:pP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灌木林地</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667335.48</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13.75%</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草地</w:t>
                  </w: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天然草地</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1104676.00</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22.75%</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23637.94</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default" w:ascii="Times New Roman" w:hAnsi="Times New Roman" w:eastAsia="宋体" w:cs="Times New Roman"/>
                      <w:i w:val="0"/>
                      <w:iCs w:val="0"/>
                      <w:color w:val="auto"/>
                      <w:sz w:val="21"/>
                      <w:szCs w:val="21"/>
                      <w:u w:val="none"/>
                    </w:rPr>
                  </w:pP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沼泽草地</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159064.06</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3.28%</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耕地</w:t>
                  </w: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旱地</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476196.23</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9.81%</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1197.88</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水域或水利设施</w:t>
                  </w: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河渠水面</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35524.18</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0.73%</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default" w:ascii="Times New Roman" w:hAnsi="Times New Roman" w:eastAsia="宋体" w:cs="Times New Roman"/>
                      <w:i w:val="0"/>
                      <w:iCs w:val="0"/>
                      <w:color w:val="auto"/>
                      <w:sz w:val="21"/>
                      <w:szCs w:val="21"/>
                      <w:u w:val="none"/>
                    </w:rPr>
                  </w:pP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湖泊水面</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941910.56</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19.40%</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居住地</w:t>
                  </w: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农村宅基地</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32678.58</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0.67%</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工矿用地</w:t>
                  </w: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工业用地</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182266.87</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3.75%</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交通建设用地</w:t>
                  </w: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城镇村道路</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321644.98</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6.63%</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4299.20</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公共管理与服务用地</w:t>
                  </w: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其他服务设施用地</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23206.48</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0.48%</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其他</w:t>
                  </w:r>
                </w:p>
              </w:tc>
              <w:tc>
                <w:tcPr>
                  <w:tcW w:w="8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设施农用地</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9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183932.63</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3.79%</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4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95472.77</w:t>
                  </w:r>
                </w:p>
              </w:tc>
              <w:tc>
                <w:tcPr>
                  <w:tcW w:w="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67.26%</w:t>
                  </w:r>
                </w:p>
              </w:tc>
            </w:tr>
          </w:tbl>
          <w:p>
            <w:pPr>
              <w:pStyle w:val="13"/>
              <w:keepNext w:val="0"/>
              <w:keepLines w:val="0"/>
              <w:pageBreakBefore w:val="0"/>
              <w:widowControl/>
              <w:kinsoku/>
              <w:wordWrap/>
              <w:overflowPunct/>
              <w:topLinePunct w:val="0"/>
              <w:autoSpaceDE/>
              <w:autoSpaceDN/>
              <w:bidi w:val="0"/>
              <w:adjustRightInd/>
              <w:snapToGrid w:val="0"/>
              <w:spacing w:before="157" w:beforeLines="50" w:after="0" w:line="360" w:lineRule="auto"/>
              <w:ind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由土地利用现状统计结果可知，</w:t>
            </w:r>
            <w:r>
              <w:rPr>
                <w:rFonts w:hint="eastAsia" w:ascii="Times New Roman" w:hAnsi="Times New Roman" w:eastAsia="宋体" w:cs="Times New Roman"/>
                <w:color w:val="auto"/>
                <w:sz w:val="24"/>
                <w:szCs w:val="24"/>
                <w:highlight w:val="none"/>
                <w:lang w:val="en-US" w:eastAsia="zh-CN"/>
              </w:rPr>
              <w:t>评价区</w:t>
            </w:r>
            <w:r>
              <w:rPr>
                <w:rFonts w:hint="default" w:ascii="Times New Roman" w:hAnsi="Times New Roman" w:eastAsia="宋体" w:cs="Times New Roman"/>
                <w:color w:val="auto"/>
                <w:sz w:val="24"/>
                <w:szCs w:val="24"/>
                <w:highlight w:val="none"/>
                <w:lang w:val="en-US" w:eastAsia="zh-CN"/>
              </w:rPr>
              <w:t>土地现状利用类型</w:t>
            </w:r>
            <w:r>
              <w:rPr>
                <w:rFonts w:hint="eastAsia" w:ascii="Times New Roman" w:hAnsi="Times New Roman" w:eastAsia="宋体" w:cs="Times New Roman"/>
                <w:color w:val="auto"/>
                <w:sz w:val="24"/>
                <w:szCs w:val="24"/>
                <w:highlight w:val="none"/>
                <w:lang w:val="en-US" w:eastAsia="zh-CN"/>
              </w:rPr>
              <w:t>主要</w:t>
            </w:r>
            <w:r>
              <w:rPr>
                <w:rFonts w:hint="default" w:ascii="Times New Roman" w:hAnsi="Times New Roman" w:eastAsia="宋体" w:cs="Times New Roman"/>
                <w:color w:val="auto"/>
                <w:sz w:val="24"/>
                <w:szCs w:val="24"/>
                <w:highlight w:val="none"/>
                <w:lang w:val="en-US" w:eastAsia="zh-CN"/>
              </w:rPr>
              <w:t>为</w:t>
            </w:r>
            <w:r>
              <w:rPr>
                <w:rFonts w:hint="eastAsia" w:ascii="Times New Roman" w:hAnsi="Times New Roman" w:eastAsia="宋体" w:cs="Times New Roman"/>
                <w:color w:val="auto"/>
                <w:sz w:val="24"/>
                <w:szCs w:val="24"/>
                <w:highlight w:val="none"/>
                <w:lang w:val="en-US" w:eastAsia="zh-CN"/>
              </w:rPr>
              <w:t>天然牧草地、旱地、乔木林地、灌木林地、河渠水面、湖泊水面、农村道路、农村宅基地、工业用地、城镇村道路、其他服务设施用地、设施农用地等</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评价区土地利用类型以</w:t>
            </w:r>
            <w:r>
              <w:rPr>
                <w:rFonts w:hint="eastAsia" w:cs="Times New Roman"/>
                <w:color w:val="auto"/>
                <w:sz w:val="24"/>
                <w:szCs w:val="24"/>
                <w:highlight w:val="none"/>
                <w:lang w:val="en-US" w:eastAsia="zh-CN"/>
              </w:rPr>
              <w:t>天然草地</w:t>
            </w:r>
            <w:r>
              <w:rPr>
                <w:rFonts w:hint="default" w:ascii="Times New Roman" w:hAnsi="Times New Roman" w:eastAsia="宋体" w:cs="Times New Roman"/>
                <w:color w:val="auto"/>
                <w:sz w:val="24"/>
                <w:szCs w:val="24"/>
                <w:highlight w:val="none"/>
                <w:lang w:val="en-US" w:eastAsia="zh-CN"/>
              </w:rPr>
              <w:t>为主，面积为</w:t>
            </w:r>
            <w:r>
              <w:rPr>
                <w:rFonts w:hint="eastAsia" w:ascii="宋体" w:hAnsi="宋体" w:eastAsia="宋体" w:cs="宋体"/>
                <w:i w:val="0"/>
                <w:iCs w:val="0"/>
                <w:color w:val="auto"/>
                <w:kern w:val="0"/>
                <w:sz w:val="24"/>
                <w:szCs w:val="24"/>
                <w:u w:val="none"/>
                <w:lang w:val="en-US" w:eastAsia="zh-CN" w:bidi="ar"/>
              </w:rPr>
              <w:t>1104676.00</w:t>
            </w:r>
            <w:r>
              <w:rPr>
                <w:rFonts w:hint="eastAsia" w:ascii="Times New Roman" w:hAnsi="Times New Roman" w:cs="Times New Roman"/>
                <w:color w:val="auto"/>
                <w:kern w:val="0"/>
                <w:sz w:val="24"/>
                <w:szCs w:val="24"/>
                <w:highlight w:val="none"/>
                <w:lang w:val="en-US" w:eastAsia="zh-CN"/>
              </w:rPr>
              <w:t>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，占</w:t>
            </w:r>
            <w:r>
              <w:rPr>
                <w:rFonts w:hint="default" w:ascii="Times New Roman" w:hAnsi="Times New Roman" w:eastAsia="宋体" w:cs="Times New Roman"/>
                <w:color w:val="auto"/>
                <w:sz w:val="24"/>
                <w:szCs w:val="24"/>
                <w:highlight w:val="none"/>
                <w:lang w:val="en-US" w:eastAsia="zh-CN"/>
              </w:rPr>
              <w:t>评价区面积的</w:t>
            </w:r>
            <w:r>
              <w:rPr>
                <w:rFonts w:hint="eastAsia" w:cs="Times New Roman"/>
                <w:color w:val="auto"/>
                <w:sz w:val="24"/>
                <w:szCs w:val="24"/>
                <w:highlight w:val="none"/>
                <w:lang w:val="en-US" w:eastAsia="zh-CN"/>
              </w:rPr>
              <w:t>22.75</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，其次为</w:t>
            </w:r>
            <w:r>
              <w:rPr>
                <w:rFonts w:hint="eastAsia" w:cs="Times New Roman"/>
                <w:color w:val="auto"/>
                <w:sz w:val="24"/>
                <w:szCs w:val="24"/>
                <w:highlight w:val="none"/>
                <w:lang w:val="en-US" w:eastAsia="zh-CN"/>
              </w:rPr>
              <w:t>乔木林地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面积为</w:t>
            </w:r>
            <w:r>
              <w:rPr>
                <w:rFonts w:hint="eastAsia" w:ascii="宋体" w:hAnsi="宋体" w:eastAsia="宋体" w:cs="宋体"/>
                <w:i w:val="0"/>
                <w:iCs w:val="0"/>
                <w:color w:val="auto"/>
                <w:kern w:val="0"/>
                <w:sz w:val="24"/>
                <w:szCs w:val="24"/>
                <w:u w:val="none"/>
                <w:lang w:val="en-US" w:eastAsia="zh-CN" w:bidi="ar"/>
              </w:rPr>
              <w:t>726532.94</w:t>
            </w:r>
            <w:r>
              <w:rPr>
                <w:rFonts w:hint="eastAsia" w:ascii="Times New Roman" w:hAnsi="Times New Roman" w:cs="Times New Roman"/>
                <w:color w:val="auto"/>
                <w:kern w:val="0"/>
                <w:sz w:val="24"/>
                <w:szCs w:val="24"/>
                <w:highlight w:val="none"/>
                <w:lang w:val="en-US" w:eastAsia="zh-CN"/>
              </w:rPr>
              <w:t>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，占</w:t>
            </w:r>
            <w:r>
              <w:rPr>
                <w:rFonts w:hint="default" w:ascii="Times New Roman" w:hAnsi="Times New Roman" w:eastAsia="宋体" w:cs="Times New Roman"/>
                <w:color w:val="auto"/>
                <w:sz w:val="24"/>
                <w:szCs w:val="24"/>
                <w:highlight w:val="none"/>
                <w:lang w:val="en-US" w:eastAsia="zh-CN"/>
              </w:rPr>
              <w:t>评价区面积的</w:t>
            </w:r>
            <w:r>
              <w:rPr>
                <w:rFonts w:hint="eastAsia" w:cs="Times New Roman"/>
                <w:color w:val="auto"/>
                <w:sz w:val="24"/>
                <w:szCs w:val="24"/>
                <w:highlight w:val="none"/>
                <w:lang w:val="en-US" w:eastAsia="zh-CN"/>
              </w:rPr>
              <w:t>14.96</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评价区</w:t>
            </w:r>
            <w:r>
              <w:rPr>
                <w:rFonts w:hint="eastAsia" w:ascii="宋体" w:hAnsi="宋体" w:eastAsia="宋体" w:cs="宋体"/>
                <w:i w:val="0"/>
                <w:iCs w:val="0"/>
                <w:color w:val="auto"/>
                <w:kern w:val="0"/>
                <w:sz w:val="24"/>
                <w:szCs w:val="24"/>
                <w:u w:val="none"/>
                <w:lang w:val="en-US" w:eastAsia="zh-CN" w:bidi="ar"/>
              </w:rPr>
              <w:t>灌木林地</w:t>
            </w:r>
            <w:r>
              <w:rPr>
                <w:rFonts w:hint="default" w:ascii="Times New Roman" w:hAnsi="Times New Roman" w:eastAsia="宋体" w:cs="Times New Roman"/>
                <w:color w:val="auto"/>
                <w:sz w:val="24"/>
                <w:szCs w:val="24"/>
                <w:highlight w:val="none"/>
                <w:lang w:val="en-US" w:eastAsia="zh-CN"/>
              </w:rPr>
              <w:t>面积为</w:t>
            </w:r>
            <w:r>
              <w:rPr>
                <w:rFonts w:hint="eastAsia" w:ascii="宋体" w:hAnsi="宋体" w:eastAsia="宋体" w:cs="宋体"/>
                <w:i w:val="0"/>
                <w:iCs w:val="0"/>
                <w:color w:val="auto"/>
                <w:kern w:val="0"/>
                <w:sz w:val="24"/>
                <w:szCs w:val="24"/>
                <w:u w:val="none"/>
                <w:lang w:val="en-US" w:eastAsia="zh-CN" w:bidi="ar"/>
              </w:rPr>
              <w:t>667335.48</w:t>
            </w:r>
            <w:r>
              <w:rPr>
                <w:rFonts w:hint="eastAsia" w:ascii="Times New Roman" w:hAnsi="Times New Roman" w:cs="Times New Roman"/>
                <w:color w:val="auto"/>
                <w:kern w:val="0"/>
                <w:sz w:val="24"/>
                <w:szCs w:val="24"/>
                <w:highlight w:val="none"/>
                <w:lang w:val="en-US" w:eastAsia="zh-CN"/>
              </w:rPr>
              <w:t>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，占</w:t>
            </w:r>
            <w:r>
              <w:rPr>
                <w:rFonts w:hint="default" w:ascii="Times New Roman" w:hAnsi="Times New Roman" w:eastAsia="宋体" w:cs="Times New Roman"/>
                <w:color w:val="auto"/>
                <w:sz w:val="24"/>
                <w:szCs w:val="24"/>
                <w:highlight w:val="none"/>
                <w:lang w:val="en-US" w:eastAsia="zh-CN"/>
              </w:rPr>
              <w:t>评价区面积的</w:t>
            </w:r>
            <w:r>
              <w:rPr>
                <w:rFonts w:hint="eastAsia" w:cs="Times New Roman"/>
                <w:color w:val="auto"/>
                <w:sz w:val="24"/>
                <w:szCs w:val="24"/>
                <w:highlight w:val="none"/>
                <w:lang w:val="en-US" w:eastAsia="zh-CN"/>
              </w:rPr>
              <w:t>13.75</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沼泽草地</w:t>
            </w:r>
            <w:r>
              <w:rPr>
                <w:rFonts w:hint="default" w:ascii="Times New Roman" w:hAnsi="Times New Roman" w:eastAsia="宋体" w:cs="Times New Roman"/>
                <w:color w:val="auto"/>
                <w:sz w:val="24"/>
                <w:szCs w:val="24"/>
                <w:highlight w:val="none"/>
                <w:lang w:val="en-US" w:eastAsia="zh-CN"/>
              </w:rPr>
              <w:t>面积为</w:t>
            </w:r>
            <w:r>
              <w:rPr>
                <w:rFonts w:hint="eastAsia" w:ascii="宋体" w:hAnsi="宋体" w:eastAsia="宋体" w:cs="宋体"/>
                <w:i w:val="0"/>
                <w:iCs w:val="0"/>
                <w:color w:val="auto"/>
                <w:kern w:val="0"/>
                <w:sz w:val="24"/>
                <w:szCs w:val="24"/>
                <w:u w:val="none"/>
                <w:lang w:val="en-US" w:eastAsia="zh-CN" w:bidi="ar"/>
              </w:rPr>
              <w:t>159064.06</w:t>
            </w:r>
            <w:r>
              <w:rPr>
                <w:rFonts w:hint="eastAsia" w:ascii="Times New Roman" w:hAnsi="Times New Roman" w:cs="Times New Roman"/>
                <w:color w:val="auto"/>
                <w:kern w:val="0"/>
                <w:sz w:val="24"/>
                <w:szCs w:val="24"/>
                <w:highlight w:val="none"/>
                <w:lang w:val="en-US" w:eastAsia="zh-CN"/>
              </w:rPr>
              <w:t>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，占</w:t>
            </w:r>
            <w:r>
              <w:rPr>
                <w:rFonts w:hint="default" w:ascii="Times New Roman" w:hAnsi="Times New Roman" w:eastAsia="宋体" w:cs="Times New Roman"/>
                <w:color w:val="auto"/>
                <w:sz w:val="24"/>
                <w:szCs w:val="24"/>
                <w:highlight w:val="none"/>
                <w:lang w:val="en-US" w:eastAsia="zh-CN"/>
              </w:rPr>
              <w:t>评价区面积的</w:t>
            </w:r>
            <w:r>
              <w:rPr>
                <w:rFonts w:hint="eastAsia" w:cs="Times New Roman"/>
                <w:color w:val="auto"/>
                <w:sz w:val="24"/>
                <w:szCs w:val="24"/>
                <w:highlight w:val="none"/>
                <w:lang w:val="en-US" w:eastAsia="zh-CN"/>
              </w:rPr>
              <w:t>3.28</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旱地</w:t>
            </w:r>
            <w:r>
              <w:rPr>
                <w:rFonts w:hint="default" w:ascii="Times New Roman" w:hAnsi="Times New Roman" w:eastAsia="宋体" w:cs="Times New Roman"/>
                <w:color w:val="auto"/>
                <w:sz w:val="24"/>
                <w:szCs w:val="24"/>
                <w:highlight w:val="none"/>
                <w:lang w:val="en-US" w:eastAsia="zh-CN"/>
              </w:rPr>
              <w:t>面积为</w:t>
            </w:r>
            <w:r>
              <w:rPr>
                <w:rFonts w:hint="eastAsia" w:ascii="宋体" w:hAnsi="宋体" w:eastAsia="宋体" w:cs="宋体"/>
                <w:i w:val="0"/>
                <w:iCs w:val="0"/>
                <w:color w:val="auto"/>
                <w:kern w:val="0"/>
                <w:sz w:val="24"/>
                <w:szCs w:val="24"/>
                <w:u w:val="none"/>
                <w:lang w:val="en-US" w:eastAsia="zh-CN" w:bidi="ar"/>
              </w:rPr>
              <w:t>476196.23</w:t>
            </w:r>
            <w:r>
              <w:rPr>
                <w:rFonts w:hint="eastAsia" w:ascii="Times New Roman" w:hAnsi="Times New Roman" w:cs="Times New Roman"/>
                <w:color w:val="auto"/>
                <w:kern w:val="0"/>
                <w:sz w:val="24"/>
                <w:szCs w:val="24"/>
                <w:highlight w:val="none"/>
                <w:lang w:val="en-US" w:eastAsia="zh-CN"/>
              </w:rPr>
              <w:t>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，占</w:t>
            </w:r>
            <w:r>
              <w:rPr>
                <w:rFonts w:hint="default" w:ascii="Times New Roman" w:hAnsi="Times New Roman" w:eastAsia="宋体" w:cs="Times New Roman"/>
                <w:color w:val="auto"/>
                <w:sz w:val="24"/>
                <w:szCs w:val="24"/>
                <w:highlight w:val="none"/>
                <w:lang w:val="en-US" w:eastAsia="zh-CN"/>
              </w:rPr>
              <w:t>评价区面积的</w:t>
            </w:r>
            <w:r>
              <w:rPr>
                <w:rFonts w:hint="eastAsia" w:cs="Times New Roman"/>
                <w:color w:val="auto"/>
                <w:sz w:val="24"/>
                <w:szCs w:val="24"/>
                <w:highlight w:val="none"/>
                <w:lang w:val="en-US" w:eastAsia="zh-CN"/>
              </w:rPr>
              <w:t>9.81</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河渠水面</w:t>
            </w:r>
            <w:r>
              <w:rPr>
                <w:rFonts w:hint="default" w:ascii="Times New Roman" w:hAnsi="Times New Roman" w:eastAsia="宋体" w:cs="Times New Roman"/>
                <w:color w:val="auto"/>
                <w:sz w:val="24"/>
                <w:szCs w:val="24"/>
                <w:highlight w:val="none"/>
                <w:lang w:val="en-US" w:eastAsia="zh-CN"/>
              </w:rPr>
              <w:t>面积为</w:t>
            </w:r>
            <w:r>
              <w:rPr>
                <w:rFonts w:hint="eastAsia" w:ascii="宋体" w:hAnsi="宋体" w:eastAsia="宋体" w:cs="宋体"/>
                <w:i w:val="0"/>
                <w:iCs w:val="0"/>
                <w:color w:val="auto"/>
                <w:kern w:val="0"/>
                <w:sz w:val="24"/>
                <w:szCs w:val="24"/>
                <w:u w:val="none"/>
                <w:lang w:val="en-US" w:eastAsia="zh-CN" w:bidi="ar"/>
              </w:rPr>
              <w:t>35524.18</w:t>
            </w:r>
            <w:r>
              <w:rPr>
                <w:rFonts w:hint="eastAsia" w:ascii="Times New Roman" w:hAnsi="Times New Roman" w:cs="Times New Roman"/>
                <w:color w:val="auto"/>
                <w:kern w:val="0"/>
                <w:sz w:val="24"/>
                <w:szCs w:val="24"/>
                <w:highlight w:val="none"/>
                <w:lang w:val="en-US" w:eastAsia="zh-CN"/>
              </w:rPr>
              <w:t>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，占</w:t>
            </w:r>
            <w:r>
              <w:rPr>
                <w:rFonts w:hint="default" w:ascii="Times New Roman" w:hAnsi="Times New Roman" w:eastAsia="宋体" w:cs="Times New Roman"/>
                <w:color w:val="auto"/>
                <w:sz w:val="24"/>
                <w:szCs w:val="24"/>
                <w:highlight w:val="none"/>
                <w:lang w:val="en-US" w:eastAsia="zh-CN"/>
              </w:rPr>
              <w:t>评价区面积的</w:t>
            </w:r>
            <w:r>
              <w:rPr>
                <w:rFonts w:hint="eastAsia" w:cs="Times New Roman"/>
                <w:color w:val="auto"/>
                <w:sz w:val="24"/>
                <w:szCs w:val="24"/>
                <w:highlight w:val="none"/>
                <w:lang w:val="en-US" w:eastAsia="zh-CN"/>
              </w:rPr>
              <w:t>0.73</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湖泊水面</w:t>
            </w:r>
            <w:r>
              <w:rPr>
                <w:rFonts w:hint="default" w:ascii="Times New Roman" w:hAnsi="Times New Roman" w:eastAsia="宋体" w:cs="Times New Roman"/>
                <w:color w:val="auto"/>
                <w:sz w:val="24"/>
                <w:szCs w:val="24"/>
                <w:highlight w:val="none"/>
                <w:lang w:val="en-US" w:eastAsia="zh-CN"/>
              </w:rPr>
              <w:t>面积为</w:t>
            </w:r>
            <w:r>
              <w:rPr>
                <w:rFonts w:hint="eastAsia" w:ascii="宋体" w:hAnsi="宋体" w:eastAsia="宋体" w:cs="宋体"/>
                <w:i w:val="0"/>
                <w:iCs w:val="0"/>
                <w:color w:val="auto"/>
                <w:kern w:val="0"/>
                <w:sz w:val="24"/>
                <w:szCs w:val="24"/>
                <w:u w:val="none"/>
                <w:lang w:val="en-US" w:eastAsia="zh-CN" w:bidi="ar"/>
              </w:rPr>
              <w:t>941910.56</w:t>
            </w:r>
            <w:r>
              <w:rPr>
                <w:rFonts w:hint="eastAsia" w:ascii="Times New Roman" w:hAnsi="Times New Roman" w:cs="Times New Roman"/>
                <w:color w:val="auto"/>
                <w:kern w:val="0"/>
                <w:sz w:val="24"/>
                <w:szCs w:val="24"/>
                <w:highlight w:val="none"/>
                <w:lang w:val="en-US" w:eastAsia="zh-CN"/>
              </w:rPr>
              <w:t>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，占</w:t>
            </w:r>
            <w:r>
              <w:rPr>
                <w:rFonts w:hint="default" w:ascii="Times New Roman" w:hAnsi="Times New Roman" w:eastAsia="宋体" w:cs="Times New Roman"/>
                <w:color w:val="auto"/>
                <w:sz w:val="24"/>
                <w:szCs w:val="24"/>
                <w:highlight w:val="none"/>
                <w:lang w:val="en-US" w:eastAsia="zh-CN"/>
              </w:rPr>
              <w:t>评价区面积的</w:t>
            </w:r>
            <w:r>
              <w:rPr>
                <w:rFonts w:hint="eastAsia" w:cs="Times New Roman"/>
                <w:color w:val="auto"/>
                <w:sz w:val="24"/>
                <w:szCs w:val="24"/>
                <w:highlight w:val="none"/>
                <w:lang w:val="en-US" w:eastAsia="zh-CN"/>
              </w:rPr>
              <w:t>19.40</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农村宅基地</w:t>
            </w:r>
            <w:r>
              <w:rPr>
                <w:rFonts w:hint="default" w:ascii="Times New Roman" w:hAnsi="Times New Roman" w:eastAsia="宋体" w:cs="Times New Roman"/>
                <w:color w:val="auto"/>
                <w:sz w:val="24"/>
                <w:szCs w:val="24"/>
                <w:highlight w:val="none"/>
                <w:lang w:val="en-US" w:eastAsia="zh-CN"/>
              </w:rPr>
              <w:t>面积为</w:t>
            </w:r>
            <w:r>
              <w:rPr>
                <w:rFonts w:hint="eastAsia" w:ascii="宋体" w:hAnsi="宋体" w:eastAsia="宋体" w:cs="宋体"/>
                <w:i w:val="0"/>
                <w:iCs w:val="0"/>
                <w:color w:val="auto"/>
                <w:kern w:val="0"/>
                <w:sz w:val="24"/>
                <w:szCs w:val="24"/>
                <w:u w:val="none"/>
                <w:lang w:val="en-US" w:eastAsia="zh-CN" w:bidi="ar"/>
              </w:rPr>
              <w:t>32678.58</w:t>
            </w:r>
            <w:r>
              <w:rPr>
                <w:rFonts w:hint="eastAsia" w:ascii="Times New Roman" w:hAnsi="Times New Roman" w:cs="Times New Roman"/>
                <w:color w:val="auto"/>
                <w:kern w:val="0"/>
                <w:sz w:val="24"/>
                <w:szCs w:val="24"/>
                <w:highlight w:val="none"/>
                <w:lang w:val="en-US" w:eastAsia="zh-CN"/>
              </w:rPr>
              <w:t>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，占</w:t>
            </w:r>
            <w:r>
              <w:rPr>
                <w:rFonts w:hint="default" w:ascii="Times New Roman" w:hAnsi="Times New Roman" w:eastAsia="宋体" w:cs="Times New Roman"/>
                <w:color w:val="auto"/>
                <w:sz w:val="24"/>
                <w:szCs w:val="24"/>
                <w:highlight w:val="none"/>
                <w:lang w:val="en-US" w:eastAsia="zh-CN"/>
              </w:rPr>
              <w:t>评价区面积的0.</w:t>
            </w:r>
            <w:r>
              <w:rPr>
                <w:rFonts w:hint="eastAsia" w:cs="Times New Roman"/>
                <w:color w:val="auto"/>
                <w:sz w:val="24"/>
                <w:szCs w:val="24"/>
                <w:highlight w:val="none"/>
                <w:lang w:val="en-US" w:eastAsia="zh-CN"/>
              </w:rPr>
              <w:t>67</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工业用地</w:t>
            </w:r>
            <w:r>
              <w:rPr>
                <w:rFonts w:hint="default" w:ascii="Times New Roman" w:hAnsi="Times New Roman" w:eastAsia="宋体" w:cs="Times New Roman"/>
                <w:color w:val="auto"/>
                <w:sz w:val="24"/>
                <w:szCs w:val="24"/>
                <w:highlight w:val="none"/>
                <w:lang w:val="en-US" w:eastAsia="zh-CN"/>
              </w:rPr>
              <w:t>面积为</w:t>
            </w:r>
            <w:r>
              <w:rPr>
                <w:rFonts w:hint="eastAsia" w:ascii="宋体" w:hAnsi="宋体" w:eastAsia="宋体" w:cs="宋体"/>
                <w:i w:val="0"/>
                <w:iCs w:val="0"/>
                <w:color w:val="auto"/>
                <w:kern w:val="0"/>
                <w:sz w:val="24"/>
                <w:szCs w:val="24"/>
                <w:u w:val="none"/>
                <w:lang w:val="en-US" w:eastAsia="zh-CN" w:bidi="ar"/>
              </w:rPr>
              <w:t>182266.87</w:t>
            </w:r>
            <w:r>
              <w:rPr>
                <w:rFonts w:hint="eastAsia" w:ascii="Times New Roman" w:hAnsi="Times New Roman" w:cs="Times New Roman"/>
                <w:color w:val="auto"/>
                <w:kern w:val="0"/>
                <w:sz w:val="24"/>
                <w:szCs w:val="24"/>
                <w:highlight w:val="none"/>
                <w:lang w:val="en-US" w:eastAsia="zh-CN"/>
              </w:rPr>
              <w:t>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，占</w:t>
            </w:r>
            <w:r>
              <w:rPr>
                <w:rFonts w:hint="default" w:ascii="Times New Roman" w:hAnsi="Times New Roman" w:eastAsia="宋体" w:cs="Times New Roman"/>
                <w:color w:val="auto"/>
                <w:sz w:val="24"/>
                <w:szCs w:val="24"/>
                <w:highlight w:val="none"/>
                <w:lang w:val="en-US" w:eastAsia="zh-CN"/>
              </w:rPr>
              <w:t>评价区面积的</w:t>
            </w:r>
            <w:r>
              <w:rPr>
                <w:rFonts w:hint="eastAsia" w:cs="Times New Roman"/>
                <w:color w:val="auto"/>
                <w:sz w:val="24"/>
                <w:szCs w:val="24"/>
                <w:highlight w:val="none"/>
                <w:lang w:val="en-US" w:eastAsia="zh-CN"/>
              </w:rPr>
              <w:t>3.75</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城镇村道路</w:t>
            </w:r>
            <w:r>
              <w:rPr>
                <w:rFonts w:hint="default" w:ascii="Times New Roman" w:hAnsi="Times New Roman" w:eastAsia="宋体" w:cs="Times New Roman"/>
                <w:color w:val="auto"/>
                <w:sz w:val="24"/>
                <w:szCs w:val="24"/>
                <w:highlight w:val="none"/>
                <w:lang w:val="en-US" w:eastAsia="zh-CN"/>
              </w:rPr>
              <w:t>面积为</w:t>
            </w:r>
            <w:r>
              <w:rPr>
                <w:rFonts w:hint="eastAsia" w:ascii="宋体" w:hAnsi="宋体" w:eastAsia="宋体" w:cs="宋体"/>
                <w:i w:val="0"/>
                <w:iCs w:val="0"/>
                <w:color w:val="auto"/>
                <w:kern w:val="0"/>
                <w:sz w:val="24"/>
                <w:szCs w:val="24"/>
                <w:u w:val="none"/>
                <w:lang w:val="en-US" w:eastAsia="zh-CN" w:bidi="ar"/>
              </w:rPr>
              <w:t>321644.98</w:t>
            </w:r>
            <w:r>
              <w:rPr>
                <w:rFonts w:hint="eastAsia" w:ascii="Times New Roman" w:hAnsi="Times New Roman" w:cs="Times New Roman"/>
                <w:color w:val="auto"/>
                <w:kern w:val="0"/>
                <w:sz w:val="24"/>
                <w:szCs w:val="24"/>
                <w:highlight w:val="none"/>
                <w:lang w:val="en-US" w:eastAsia="zh-CN"/>
              </w:rPr>
              <w:t>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，占</w:t>
            </w:r>
            <w:r>
              <w:rPr>
                <w:rFonts w:hint="default" w:ascii="Times New Roman" w:hAnsi="Times New Roman" w:eastAsia="宋体" w:cs="Times New Roman"/>
                <w:color w:val="auto"/>
                <w:sz w:val="24"/>
                <w:szCs w:val="24"/>
                <w:highlight w:val="none"/>
                <w:lang w:val="en-US" w:eastAsia="zh-CN"/>
              </w:rPr>
              <w:t>评价区面积的</w:t>
            </w:r>
            <w:r>
              <w:rPr>
                <w:rFonts w:hint="eastAsia" w:cs="Times New Roman"/>
                <w:color w:val="auto"/>
                <w:sz w:val="24"/>
                <w:szCs w:val="24"/>
                <w:highlight w:val="none"/>
                <w:lang w:val="en-US" w:eastAsia="zh-CN"/>
              </w:rPr>
              <w:t>6.63</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其他服务设施用地</w:t>
            </w:r>
            <w:r>
              <w:rPr>
                <w:rFonts w:hint="default" w:ascii="Times New Roman" w:hAnsi="Times New Roman" w:eastAsia="宋体" w:cs="Times New Roman"/>
                <w:color w:val="auto"/>
                <w:sz w:val="24"/>
                <w:szCs w:val="24"/>
                <w:highlight w:val="none"/>
                <w:lang w:val="en-US" w:eastAsia="zh-CN"/>
              </w:rPr>
              <w:t>面积为</w:t>
            </w:r>
            <w:r>
              <w:rPr>
                <w:rFonts w:hint="eastAsia" w:ascii="宋体" w:hAnsi="宋体" w:eastAsia="宋体" w:cs="宋体"/>
                <w:i w:val="0"/>
                <w:iCs w:val="0"/>
                <w:color w:val="auto"/>
                <w:kern w:val="0"/>
                <w:sz w:val="24"/>
                <w:szCs w:val="24"/>
                <w:u w:val="none"/>
                <w:lang w:val="en-US" w:eastAsia="zh-CN" w:bidi="ar"/>
              </w:rPr>
              <w:t>23206.48</w:t>
            </w:r>
            <w:r>
              <w:rPr>
                <w:rFonts w:hint="eastAsia" w:ascii="Times New Roman" w:hAnsi="Times New Roman" w:cs="Times New Roman"/>
                <w:color w:val="auto"/>
                <w:kern w:val="0"/>
                <w:sz w:val="24"/>
                <w:szCs w:val="24"/>
                <w:highlight w:val="none"/>
                <w:lang w:val="en-US" w:eastAsia="zh-CN"/>
              </w:rPr>
              <w:t>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，占</w:t>
            </w:r>
            <w:r>
              <w:rPr>
                <w:rFonts w:hint="default" w:ascii="Times New Roman" w:hAnsi="Times New Roman" w:eastAsia="宋体" w:cs="Times New Roman"/>
                <w:color w:val="auto"/>
                <w:sz w:val="24"/>
                <w:szCs w:val="24"/>
                <w:highlight w:val="none"/>
                <w:lang w:val="en-US" w:eastAsia="zh-CN"/>
              </w:rPr>
              <w:t>评价区面积的</w:t>
            </w:r>
            <w:r>
              <w:rPr>
                <w:rFonts w:hint="eastAsia" w:cs="Times New Roman"/>
                <w:color w:val="auto"/>
                <w:sz w:val="24"/>
                <w:szCs w:val="24"/>
                <w:highlight w:val="none"/>
                <w:lang w:val="en-US" w:eastAsia="zh-CN"/>
              </w:rPr>
              <w:t>0.48</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设施农用地</w:t>
            </w:r>
            <w:r>
              <w:rPr>
                <w:rFonts w:hint="default" w:ascii="Times New Roman" w:hAnsi="Times New Roman" w:eastAsia="宋体" w:cs="Times New Roman"/>
                <w:color w:val="auto"/>
                <w:sz w:val="24"/>
                <w:szCs w:val="24"/>
                <w:highlight w:val="none"/>
                <w:lang w:val="en-US" w:eastAsia="zh-CN"/>
              </w:rPr>
              <w:t>面积为</w:t>
            </w:r>
            <w:r>
              <w:rPr>
                <w:rFonts w:hint="eastAsia" w:ascii="宋体" w:hAnsi="宋体" w:eastAsia="宋体" w:cs="宋体"/>
                <w:i w:val="0"/>
                <w:iCs w:val="0"/>
                <w:color w:val="auto"/>
                <w:kern w:val="0"/>
                <w:sz w:val="24"/>
                <w:szCs w:val="24"/>
                <w:u w:val="none"/>
                <w:lang w:val="en-US" w:eastAsia="zh-CN" w:bidi="ar"/>
              </w:rPr>
              <w:t>183932.63</w:t>
            </w:r>
            <w:r>
              <w:rPr>
                <w:rFonts w:hint="eastAsia" w:ascii="Times New Roman" w:hAnsi="Times New Roman" w:cs="Times New Roman"/>
                <w:color w:val="auto"/>
                <w:kern w:val="0"/>
                <w:sz w:val="24"/>
                <w:szCs w:val="24"/>
                <w:highlight w:val="none"/>
                <w:lang w:val="en-US" w:eastAsia="zh-CN"/>
              </w:rPr>
              <w:t>m</w:t>
            </w:r>
            <w:r>
              <w:rPr>
                <w:rFonts w:hint="eastAsia" w:ascii="Times New Roman" w:hAnsi="Times New Roman" w:cs="Times New Roman"/>
                <w:color w:val="auto"/>
                <w:kern w:val="0"/>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，占</w:t>
            </w:r>
            <w:r>
              <w:rPr>
                <w:rFonts w:hint="default" w:ascii="Times New Roman" w:hAnsi="Times New Roman" w:eastAsia="宋体" w:cs="Times New Roman"/>
                <w:color w:val="auto"/>
                <w:sz w:val="24"/>
                <w:szCs w:val="24"/>
                <w:highlight w:val="none"/>
                <w:lang w:val="en-US" w:eastAsia="zh-CN"/>
              </w:rPr>
              <w:t>评价区面积的</w:t>
            </w:r>
            <w:r>
              <w:rPr>
                <w:rFonts w:hint="eastAsia" w:cs="Times New Roman"/>
                <w:color w:val="auto"/>
                <w:sz w:val="24"/>
                <w:szCs w:val="24"/>
                <w:highlight w:val="none"/>
                <w:lang w:val="en-US" w:eastAsia="zh-CN"/>
              </w:rPr>
              <w:t>3.79</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w:t>
            </w:r>
          </w:p>
          <w:p>
            <w:pPr>
              <w:pStyle w:val="23"/>
              <w:jc w:val="center"/>
              <w:rPr>
                <w:color w:val="auto"/>
                <w:sz w:val="21"/>
                <w:szCs w:val="21"/>
                <w:highlight w:val="none"/>
                <w:lang w:val="en-US" w:eastAsia="zh-CN"/>
              </w:rPr>
            </w:pPr>
            <w:r>
              <w:rPr>
                <w:rFonts w:hint="default"/>
                <w:color w:val="auto"/>
                <w:highlight w:val="none"/>
                <w:lang w:val="en-US" w:eastAsia="zh-CN"/>
              </w:rPr>
              <w:drawing>
                <wp:anchor distT="0" distB="0" distL="114300" distR="114300" simplePos="0" relativeHeight="251679744" behindDoc="0" locked="0" layoutInCell="1" allowOverlap="1">
                  <wp:simplePos x="0" y="0"/>
                  <wp:positionH relativeFrom="column">
                    <wp:posOffset>-43815</wp:posOffset>
                  </wp:positionH>
                  <wp:positionV relativeFrom="paragraph">
                    <wp:posOffset>36830</wp:posOffset>
                  </wp:positionV>
                  <wp:extent cx="5071110" cy="6565900"/>
                  <wp:effectExtent l="0" t="0" r="15240" b="6350"/>
                  <wp:wrapNone/>
                  <wp:docPr id="7" name="图片 7" descr="土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土地"/>
                          <pic:cNvPicPr>
                            <a:picLocks noChangeAspect="1"/>
                          </pic:cNvPicPr>
                        </pic:nvPicPr>
                        <pic:blipFill>
                          <a:blip r:embed="rId15"/>
                          <a:stretch>
                            <a:fillRect/>
                          </a:stretch>
                        </pic:blipFill>
                        <pic:spPr>
                          <a:xfrm>
                            <a:off x="0" y="0"/>
                            <a:ext cx="5071110" cy="6565900"/>
                          </a:xfrm>
                          <a:prstGeom prst="rect">
                            <a:avLst/>
                          </a:prstGeom>
                        </pic:spPr>
                      </pic:pic>
                    </a:graphicData>
                  </a:graphic>
                </wp:anchor>
              </w:drawing>
            </w:r>
          </w:p>
          <w:p>
            <w:pPr>
              <w:rPr>
                <w:color w:val="auto"/>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rPr>
                <w:color w:val="auto"/>
                <w:sz w:val="21"/>
                <w:szCs w:val="21"/>
                <w:highlight w:val="none"/>
                <w:lang w:val="en-US" w:eastAsia="zh-CN"/>
              </w:rPr>
            </w:pPr>
          </w:p>
          <w:p>
            <w:pPr>
              <w:pStyle w:val="3"/>
              <w:rPr>
                <w:color w:val="auto"/>
                <w:sz w:val="21"/>
                <w:szCs w:val="21"/>
                <w:highlight w:val="none"/>
                <w:lang w:val="en-US" w:eastAsia="zh-CN"/>
              </w:rPr>
            </w:pPr>
          </w:p>
          <w:p>
            <w:pPr>
              <w:pStyle w:val="15"/>
              <w:rPr>
                <w:color w:val="auto"/>
                <w:sz w:val="21"/>
                <w:szCs w:val="21"/>
                <w:highlight w:val="none"/>
                <w:lang w:val="en-US" w:eastAsia="zh-CN"/>
              </w:rPr>
            </w:pPr>
          </w:p>
          <w:p>
            <w:pPr>
              <w:pStyle w:val="13"/>
              <w:rPr>
                <w:color w:val="auto"/>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1"/>
                <w:szCs w:val="21"/>
                <w:highlight w:val="none"/>
                <w:lang w:val="en-US" w:eastAsia="zh-CN"/>
              </w:rPr>
            </w:pPr>
          </w:p>
          <w:p>
            <w:pPr>
              <w:pStyle w:val="23"/>
              <w:jc w:val="center"/>
              <w:rPr>
                <w:color w:val="auto"/>
                <w:sz w:val="24"/>
                <w:szCs w:val="24"/>
                <w:highlight w:val="none"/>
                <w:lang w:val="en-US" w:eastAsia="zh-CN"/>
              </w:rPr>
            </w:pPr>
          </w:p>
          <w:p>
            <w:pPr>
              <w:pStyle w:val="23"/>
              <w:ind w:left="0" w:leftChars="0" w:firstLine="0" w:firstLineChars="0"/>
              <w:jc w:val="center"/>
              <w:rPr>
                <w:color w:val="auto"/>
                <w:sz w:val="24"/>
                <w:szCs w:val="24"/>
                <w:highlight w:val="none"/>
                <w:lang w:val="en-US" w:eastAsia="zh-CN"/>
              </w:rPr>
            </w:pPr>
            <w:r>
              <w:rPr>
                <w:color w:val="auto"/>
                <w:sz w:val="24"/>
                <w:szCs w:val="24"/>
                <w:highlight w:val="none"/>
                <w:lang w:val="en-US" w:eastAsia="zh-CN"/>
              </w:rPr>
              <w:t>图3-</w:t>
            </w:r>
            <w:r>
              <w:rPr>
                <w:rFonts w:hint="eastAsia"/>
                <w:color w:val="auto"/>
                <w:sz w:val="24"/>
                <w:szCs w:val="24"/>
                <w:highlight w:val="none"/>
                <w:lang w:val="en-US" w:eastAsia="zh-CN"/>
              </w:rPr>
              <w:t xml:space="preserve">2  </w:t>
            </w:r>
            <w:r>
              <w:rPr>
                <w:color w:val="auto"/>
                <w:sz w:val="24"/>
                <w:szCs w:val="24"/>
                <w:highlight w:val="none"/>
                <w:lang w:val="en-US" w:eastAsia="zh-CN"/>
              </w:rPr>
              <w:t>项目区及评价区土地利用情况</w:t>
            </w:r>
          </w:p>
          <w:p>
            <w:pPr>
              <w:numPr>
                <w:ilvl w:val="0"/>
                <w:numId w:val="0"/>
              </w:numPr>
              <w:adjustRightInd w:val="0"/>
              <w:snapToGrid w:val="0"/>
              <w:spacing w:line="360" w:lineRule="auto"/>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color w:val="auto"/>
                <w:sz w:val="24"/>
                <w:szCs w:val="24"/>
                <w:highlight w:val="none"/>
              </w:rPr>
              <w:t>植被分布</w:t>
            </w:r>
          </w:p>
          <w:p>
            <w:pPr>
              <w:pStyle w:val="13"/>
              <w:spacing w:before="0" w:after="0" w:line="360" w:lineRule="auto"/>
              <w:ind w:right="0" w:firstLine="480" w:firstLineChars="200"/>
              <w:rPr>
                <w:color w:val="auto"/>
                <w:sz w:val="24"/>
                <w:szCs w:val="24"/>
                <w:highlight w:val="none"/>
                <w:lang w:val="en-US" w:eastAsia="zh-CN"/>
              </w:rPr>
            </w:pPr>
            <w:r>
              <w:rPr>
                <w:rFonts w:hint="eastAsia"/>
                <w:color w:val="auto"/>
                <w:sz w:val="24"/>
                <w:szCs w:val="24"/>
                <w:highlight w:val="none"/>
                <w:lang w:val="en-US" w:eastAsia="zh-CN"/>
              </w:rPr>
              <w:t>参照内蒙古大学李博的内蒙古资源系列之内蒙古植被，</w:t>
            </w:r>
            <w:r>
              <w:rPr>
                <w:color w:val="auto"/>
                <w:sz w:val="24"/>
                <w:szCs w:val="24"/>
                <w:highlight w:val="none"/>
                <w:lang w:val="en-US" w:eastAsia="zh-CN"/>
              </w:rPr>
              <w:t>遥感解译结果对项目区及评价区内植被类型特征进行统计。评价区植被类型现状结果统计见表3-</w:t>
            </w:r>
            <w:r>
              <w:rPr>
                <w:rFonts w:hint="eastAsia"/>
                <w:color w:val="auto"/>
                <w:sz w:val="24"/>
                <w:szCs w:val="24"/>
                <w:highlight w:val="none"/>
                <w:lang w:val="en-US" w:eastAsia="zh-CN"/>
              </w:rPr>
              <w:t>2</w:t>
            </w:r>
            <w:r>
              <w:rPr>
                <w:color w:val="auto"/>
                <w:sz w:val="24"/>
                <w:szCs w:val="24"/>
                <w:highlight w:val="none"/>
                <w:lang w:val="en-US" w:eastAsia="zh-CN"/>
              </w:rPr>
              <w:t>，项目区及评价区植被类型见图3-</w:t>
            </w:r>
            <w:r>
              <w:rPr>
                <w:rFonts w:hint="eastAsia"/>
                <w:color w:val="auto"/>
                <w:sz w:val="24"/>
                <w:szCs w:val="24"/>
                <w:highlight w:val="none"/>
                <w:lang w:val="en-US" w:eastAsia="zh-CN"/>
              </w:rPr>
              <w:t>3</w:t>
            </w:r>
            <w:r>
              <w:rPr>
                <w:color w:val="auto"/>
                <w:sz w:val="24"/>
                <w:szCs w:val="24"/>
                <w:highlight w:val="none"/>
                <w:lang w:val="en-US" w:eastAsia="zh-CN"/>
              </w:rPr>
              <w:t>。</w:t>
            </w:r>
          </w:p>
          <w:p>
            <w:pPr>
              <w:pStyle w:val="13"/>
              <w:keepNext w:val="0"/>
              <w:keepLines w:val="0"/>
              <w:pageBreakBefore w:val="0"/>
              <w:widowControl/>
              <w:kinsoku/>
              <w:wordWrap/>
              <w:overflowPunct/>
              <w:topLinePunct w:val="0"/>
              <w:autoSpaceDE/>
              <w:autoSpaceDN/>
              <w:bidi w:val="0"/>
              <w:adjustRightInd/>
              <w:snapToGrid w:val="0"/>
              <w:spacing w:before="157" w:beforeLines="50" w:after="0" w:line="0" w:lineRule="atLeast"/>
              <w:ind w:right="0"/>
              <w:jc w:val="center"/>
              <w:textAlignment w:val="auto"/>
              <w:rPr>
                <w:rFonts w:hint="default" w:ascii="Times New Roman" w:hAnsi="Times New Roman" w:eastAsia="宋体" w:cs="Times New Roman"/>
                <w:i w:val="0"/>
                <w:iCs w:val="0"/>
                <w:color w:val="auto"/>
                <w:kern w:val="0"/>
                <w:sz w:val="24"/>
                <w:szCs w:val="24"/>
                <w:highlight w:val="none"/>
                <w:u w:val="none"/>
                <w:lang w:val="en-US" w:eastAsia="zh-CN" w:bidi="ar"/>
              </w:rPr>
            </w:pPr>
            <w:r>
              <w:rPr>
                <w:color w:val="auto"/>
                <w:sz w:val="24"/>
                <w:szCs w:val="24"/>
                <w:highlight w:val="none"/>
                <w:lang w:val="en-US" w:eastAsia="zh-CN"/>
              </w:rPr>
              <w:t>表3-</w:t>
            </w:r>
            <w:r>
              <w:rPr>
                <w:rFonts w:hint="eastAsia"/>
                <w:color w:val="auto"/>
                <w:sz w:val="24"/>
                <w:szCs w:val="24"/>
                <w:highlight w:val="none"/>
                <w:lang w:val="en-US" w:eastAsia="zh-CN"/>
              </w:rPr>
              <w:t xml:space="preserve">2   </w:t>
            </w:r>
            <w:r>
              <w:rPr>
                <w:rFonts w:hint="default" w:ascii="Times New Roman" w:hAnsi="Times New Roman" w:eastAsia="宋体" w:cs="Times New Roman"/>
                <w:i w:val="0"/>
                <w:iCs w:val="0"/>
                <w:color w:val="auto"/>
                <w:kern w:val="0"/>
                <w:sz w:val="24"/>
                <w:szCs w:val="24"/>
                <w:highlight w:val="none"/>
                <w:u w:val="none"/>
                <w:lang w:val="en-US" w:eastAsia="zh-CN" w:bidi="ar"/>
              </w:rPr>
              <w:t>评价区植被类型现状结果统计</w:t>
            </w:r>
          </w:p>
          <w:tbl>
            <w:tblPr>
              <w:tblStyle w:val="24"/>
              <w:tblW w:w="79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77"/>
              <w:gridCol w:w="1487"/>
              <w:gridCol w:w="825"/>
              <w:gridCol w:w="825"/>
              <w:gridCol w:w="976"/>
              <w:gridCol w:w="796"/>
              <w:gridCol w:w="797"/>
              <w:gridCol w:w="9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p>
              </w:tc>
              <w:tc>
                <w:tcPr>
                  <w:tcW w:w="2583"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评价范围</w:t>
                  </w:r>
                </w:p>
              </w:tc>
              <w:tc>
                <w:tcPr>
                  <w:tcW w:w="1613"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项目</w:t>
                  </w:r>
                  <w:r>
                    <w:rPr>
                      <w:rFonts w:hint="eastAsia" w:ascii="Times New Roman" w:hAnsi="Times New Roman" w:cs="Times New Roman"/>
                      <w:i w:val="0"/>
                      <w:iCs w:val="0"/>
                      <w:color w:val="auto"/>
                      <w:kern w:val="0"/>
                      <w:sz w:val="21"/>
                      <w:szCs w:val="21"/>
                      <w:highlight w:val="none"/>
                      <w:u w:val="none"/>
                      <w:lang w:val="en-US" w:eastAsia="zh-CN" w:bidi="ar"/>
                    </w:rPr>
                    <w:t>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一级类型</w:t>
                  </w: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二级类型</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斑块数（个）</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面积（平米）</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sz w:val="22"/>
                      <w:szCs w:val="22"/>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占评价区面积的%</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斑块数（个）</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面积（平米）</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占</w:t>
                  </w:r>
                  <w:r>
                    <w:rPr>
                      <w:rFonts w:hint="default" w:ascii="Times New Roman" w:hAnsi="Times New Roman" w:cs="Times New Roman"/>
                      <w:i w:val="0"/>
                      <w:iCs w:val="0"/>
                      <w:color w:val="auto"/>
                      <w:kern w:val="0"/>
                      <w:sz w:val="21"/>
                      <w:szCs w:val="21"/>
                      <w:highlight w:val="none"/>
                      <w:u w:val="none"/>
                      <w:lang w:val="en-US" w:eastAsia="zh-CN" w:bidi="ar"/>
                    </w:rPr>
                    <w:t>项目</w:t>
                  </w:r>
                  <w:r>
                    <w:rPr>
                      <w:rFonts w:hint="default" w:ascii="Times New Roman" w:hAnsi="Times New Roman" w:eastAsia="宋体" w:cs="Times New Roman"/>
                      <w:i w:val="0"/>
                      <w:iCs w:val="0"/>
                      <w:color w:val="auto"/>
                      <w:kern w:val="0"/>
                      <w:sz w:val="21"/>
                      <w:szCs w:val="21"/>
                      <w:highlight w:val="none"/>
                      <w:u w:val="none"/>
                      <w:lang w:val="en-US" w:eastAsia="zh-CN" w:bidi="ar"/>
                    </w:rPr>
                    <w:t>区面积的%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人工林</w:t>
                  </w: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杨树</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55</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566068.26</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11.66%</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14840.95</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0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sz w:val="22"/>
                      <w:szCs w:val="22"/>
                      <w:u w:val="none"/>
                    </w:rPr>
                  </w:pP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樟子松</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160464.68</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3.31%</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2456.67</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其他人工植被</w:t>
                  </w: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旱地</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476196.23</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9.81%</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1197.88</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0.84%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暖温禾草、半灌木草原草地</w:t>
                  </w: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油蒿、锦鸡儿</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667335.48</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13.75%</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sz w:val="22"/>
                      <w:szCs w:val="22"/>
                      <w:u w:val="none"/>
                    </w:rPr>
                  </w:pP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本氏针茅、达乌里胡枝子</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831360.92</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17.12%</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13869.83</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sz w:val="22"/>
                      <w:szCs w:val="22"/>
                      <w:u w:val="none"/>
                    </w:rPr>
                  </w:pP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隐子草、冷蒿</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273315.08</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5.63%</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9768.11</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低湿地盐化植被</w:t>
                  </w: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苔草、禾草杂类</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50324.30</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1.04%</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sz w:val="22"/>
                      <w:szCs w:val="22"/>
                      <w:u w:val="none"/>
                    </w:rPr>
                  </w:pP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芦苇、拂子茅</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108739.77</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2.24%</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其他</w:t>
                  </w: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河渠</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35524.18</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0.73%</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sz w:val="22"/>
                      <w:szCs w:val="22"/>
                      <w:u w:val="none"/>
                    </w:rPr>
                  </w:pP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湖泊</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941910.56</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19.40%</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sz w:val="22"/>
                      <w:szCs w:val="22"/>
                      <w:u w:val="none"/>
                    </w:rPr>
                  </w:pP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居民点</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32678.58</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0.67%</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sz w:val="22"/>
                      <w:szCs w:val="22"/>
                      <w:u w:val="none"/>
                    </w:rPr>
                  </w:pP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工业用地</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182266.87</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3.75%</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sz w:val="22"/>
                      <w:szCs w:val="22"/>
                      <w:u w:val="none"/>
                    </w:rPr>
                  </w:pP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道路</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321644.98</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6.63%</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4299.20</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sz w:val="22"/>
                      <w:szCs w:val="22"/>
                      <w:u w:val="none"/>
                    </w:rPr>
                  </w:pP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其他设施</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23206.48</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0.48%</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0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iCs w:val="0"/>
                      <w:color w:val="auto"/>
                      <w:sz w:val="22"/>
                      <w:szCs w:val="22"/>
                      <w:u w:val="none"/>
                    </w:rPr>
                  </w:pPr>
                </w:p>
              </w:tc>
              <w:tc>
                <w:tcPr>
                  <w:tcW w:w="93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设施农用地</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51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183932.63</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3.79%</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500"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95472.77</w:t>
                  </w:r>
                </w:p>
              </w:tc>
              <w:tc>
                <w:tcPr>
                  <w:tcW w:w="61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67.26%</w:t>
                  </w:r>
                </w:p>
              </w:tc>
            </w:tr>
          </w:tbl>
          <w:p>
            <w:pPr>
              <w:pStyle w:val="13"/>
              <w:keepNext w:val="0"/>
              <w:keepLines w:val="0"/>
              <w:pageBreakBefore w:val="0"/>
              <w:widowControl/>
              <w:kinsoku/>
              <w:wordWrap/>
              <w:overflowPunct/>
              <w:topLinePunct w:val="0"/>
              <w:autoSpaceDE/>
              <w:autoSpaceDN/>
              <w:bidi w:val="0"/>
              <w:adjustRightInd/>
              <w:snapToGrid w:val="0"/>
              <w:spacing w:before="157" w:beforeLines="50" w:after="0" w:line="360" w:lineRule="auto"/>
              <w:ind w:right="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统计结果显示，评价范围内植被类型主要为其他（湖泊）、本氏针茅、达乌里胡枝子。</w:t>
            </w:r>
          </w:p>
          <w:p>
            <w:pPr>
              <w:pStyle w:val="4"/>
              <w:keepNext w:val="0"/>
              <w:keepLines w:val="0"/>
              <w:pageBreakBefore w:val="0"/>
              <w:widowControl w:val="0"/>
              <w:kinsoku/>
              <w:wordWrap/>
              <w:overflowPunct/>
              <w:topLinePunct w:val="0"/>
              <w:autoSpaceDE/>
              <w:autoSpaceDN/>
              <w:bidi w:val="0"/>
              <w:adjustRightInd/>
              <w:snapToGrid/>
              <w:spacing w:after="0" w:line="360" w:lineRule="auto"/>
              <w:ind w:left="0" w:lef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评价区杨树，樟子松，</w:t>
            </w:r>
            <w:r>
              <w:rPr>
                <w:rFonts w:hint="eastAsia" w:ascii="宋体" w:hAnsi="宋体" w:eastAsia="宋体" w:cs="宋体"/>
                <w:i w:val="0"/>
                <w:iCs w:val="0"/>
                <w:color w:val="auto"/>
                <w:kern w:val="0"/>
                <w:sz w:val="24"/>
                <w:szCs w:val="24"/>
                <w:u w:val="none"/>
                <w:lang w:val="en-US" w:eastAsia="zh-CN" w:bidi="ar"/>
              </w:rPr>
              <w:t>旱地</w:t>
            </w:r>
            <w:r>
              <w:rPr>
                <w:rFonts w:hint="eastAsia" w:ascii="宋体" w:hAnsi="宋体" w:eastAsia="宋体" w:cs="宋体"/>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油蒿、锦鸡儿</w:t>
            </w:r>
            <w:r>
              <w:rPr>
                <w:rFonts w:hint="eastAsia" w:ascii="宋体" w:hAnsi="宋体" w:eastAsia="宋体" w:cs="宋体"/>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本氏针茅、达乌里胡枝子</w:t>
            </w:r>
            <w:r>
              <w:rPr>
                <w:rFonts w:hint="eastAsia" w:ascii="宋体" w:hAnsi="宋体" w:eastAsia="宋体" w:cs="宋体"/>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隐子草、冷蒿</w:t>
            </w:r>
            <w:r>
              <w:rPr>
                <w:rFonts w:hint="eastAsia" w:ascii="宋体" w:hAnsi="宋体" w:eastAsia="宋体" w:cs="宋体"/>
                <w:color w:val="auto"/>
                <w:sz w:val="24"/>
                <w:szCs w:val="24"/>
                <w:highlight w:val="none"/>
                <w:lang w:val="en-US" w:eastAsia="zh-CN"/>
              </w:rPr>
              <w:t>，苔草、禾草杂类，芦苇、拂子茅，</w:t>
            </w:r>
            <w:r>
              <w:rPr>
                <w:rFonts w:hint="eastAsia" w:ascii="宋体" w:hAnsi="宋体" w:eastAsia="宋体" w:cs="宋体"/>
                <w:i w:val="0"/>
                <w:iCs w:val="0"/>
                <w:color w:val="auto"/>
                <w:kern w:val="0"/>
                <w:sz w:val="24"/>
                <w:szCs w:val="24"/>
                <w:u w:val="none"/>
                <w:lang w:val="en-US" w:eastAsia="zh-CN" w:bidi="ar"/>
              </w:rPr>
              <w:t>河渠</w:t>
            </w:r>
            <w:r>
              <w:rPr>
                <w:rFonts w:hint="eastAsia" w:ascii="宋体" w:hAnsi="宋体" w:eastAsia="宋体" w:cs="宋体"/>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湖泊</w:t>
            </w:r>
            <w:r>
              <w:rPr>
                <w:rFonts w:hint="eastAsia" w:ascii="宋体" w:hAnsi="宋体" w:eastAsia="宋体" w:cs="宋体"/>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居民点</w:t>
            </w:r>
            <w:r>
              <w:rPr>
                <w:rFonts w:hint="eastAsia" w:ascii="宋体" w:hAnsi="宋体" w:eastAsia="宋体" w:cs="宋体"/>
                <w:color w:val="auto"/>
                <w:sz w:val="24"/>
                <w:szCs w:val="24"/>
                <w:highlight w:val="none"/>
                <w:lang w:val="en-US" w:eastAsia="zh-CN"/>
              </w:rPr>
              <w:t>，</w:t>
            </w:r>
            <w:r>
              <w:rPr>
                <w:rFonts w:hint="eastAsia" w:ascii="宋体" w:hAnsi="宋体" w:eastAsia="宋体" w:cs="宋体"/>
                <w:i w:val="0"/>
                <w:iCs w:val="0"/>
                <w:color w:val="auto"/>
                <w:kern w:val="0"/>
                <w:sz w:val="24"/>
                <w:szCs w:val="24"/>
                <w:u w:val="none"/>
                <w:lang w:val="en-US" w:eastAsia="zh-CN" w:bidi="ar"/>
              </w:rPr>
              <w:t>工业用地，道路，其他设施，设施农用地</w:t>
            </w:r>
            <w:r>
              <w:rPr>
                <w:rFonts w:hint="eastAsia" w:ascii="宋体" w:hAnsi="宋体" w:eastAsia="宋体" w:cs="宋体"/>
                <w:color w:val="auto"/>
                <w:sz w:val="24"/>
                <w:szCs w:val="24"/>
                <w:highlight w:val="none"/>
                <w:lang w:val="en-US" w:eastAsia="zh-CN"/>
              </w:rPr>
              <w:t>；占评价区面积11.66%，3.31%，9.81%，13.75%，17.12%，5.63%，1.04%，2.24%，0.73%，19.40%，0.67%，</w:t>
            </w:r>
            <w:r>
              <w:rPr>
                <w:rFonts w:hint="eastAsia" w:ascii="宋体" w:hAnsi="宋体" w:eastAsia="宋体" w:cs="宋体"/>
                <w:i w:val="0"/>
                <w:iCs w:val="0"/>
                <w:color w:val="auto"/>
                <w:kern w:val="0"/>
                <w:sz w:val="24"/>
                <w:szCs w:val="24"/>
                <w:u w:val="none"/>
                <w:lang w:val="en-US" w:eastAsia="zh-CN" w:bidi="ar"/>
              </w:rPr>
              <w:t>3.75%，6.63%，0.48%，3.79%</w:t>
            </w:r>
            <w:r>
              <w:rPr>
                <w:rFonts w:hint="eastAsia" w:ascii="宋体" w:hAnsi="宋体" w:eastAsia="宋体" w:cs="宋体"/>
                <w:color w:val="auto"/>
                <w:sz w:val="24"/>
                <w:szCs w:val="24"/>
                <w:highlight w:val="none"/>
                <w:lang w:val="en-US" w:eastAsia="zh-CN"/>
              </w:rPr>
              <w:t>。</w:t>
            </w:r>
          </w:p>
          <w:p>
            <w:pPr>
              <w:jc w:val="center"/>
              <w:rPr>
                <w:color w:val="auto"/>
                <w:sz w:val="21"/>
                <w:szCs w:val="21"/>
                <w:highlight w:val="none"/>
                <w:lang w:val="en-US" w:eastAsia="zh-CN"/>
              </w:rPr>
            </w:pPr>
            <w:r>
              <w:rPr>
                <w:rFonts w:hint="eastAsia"/>
                <w:color w:val="auto"/>
                <w:sz w:val="24"/>
                <w:szCs w:val="24"/>
                <w:highlight w:val="none"/>
                <w:lang w:val="en-US" w:eastAsia="zh-CN"/>
              </w:rPr>
              <w:drawing>
                <wp:anchor distT="0" distB="0" distL="114300" distR="114300" simplePos="0" relativeHeight="251680768" behindDoc="0" locked="0" layoutInCell="1" allowOverlap="1">
                  <wp:simplePos x="0" y="0"/>
                  <wp:positionH relativeFrom="column">
                    <wp:posOffset>26670</wp:posOffset>
                  </wp:positionH>
                  <wp:positionV relativeFrom="paragraph">
                    <wp:posOffset>96520</wp:posOffset>
                  </wp:positionV>
                  <wp:extent cx="5005705" cy="7103110"/>
                  <wp:effectExtent l="0" t="0" r="4445" b="2540"/>
                  <wp:wrapNone/>
                  <wp:docPr id="10" name="图片 10" descr="植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植被"/>
                          <pic:cNvPicPr>
                            <a:picLocks noChangeAspect="1"/>
                          </pic:cNvPicPr>
                        </pic:nvPicPr>
                        <pic:blipFill>
                          <a:blip r:embed="rId16"/>
                          <a:stretch>
                            <a:fillRect/>
                          </a:stretch>
                        </pic:blipFill>
                        <pic:spPr>
                          <a:xfrm>
                            <a:off x="0" y="0"/>
                            <a:ext cx="5005705" cy="7103110"/>
                          </a:xfrm>
                          <a:prstGeom prst="rect">
                            <a:avLst/>
                          </a:prstGeom>
                        </pic:spPr>
                      </pic:pic>
                    </a:graphicData>
                  </a:graphic>
                </wp:anchor>
              </w:drawing>
            </w: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jc w:val="center"/>
              <w:rPr>
                <w:color w:val="auto"/>
                <w:sz w:val="21"/>
                <w:szCs w:val="21"/>
                <w:highlight w:val="none"/>
                <w:lang w:val="en-US" w:eastAsia="zh-CN"/>
              </w:rPr>
            </w:pPr>
          </w:p>
          <w:p>
            <w:pPr>
              <w:pStyle w:val="3"/>
              <w:rPr>
                <w:color w:val="auto"/>
                <w:sz w:val="21"/>
                <w:szCs w:val="21"/>
                <w:highlight w:val="none"/>
                <w:lang w:val="en-US" w:eastAsia="zh-CN"/>
              </w:rPr>
            </w:pPr>
          </w:p>
          <w:p>
            <w:pPr>
              <w:pStyle w:val="15"/>
              <w:rPr>
                <w:color w:val="auto"/>
                <w:sz w:val="21"/>
                <w:szCs w:val="21"/>
                <w:highlight w:val="none"/>
                <w:lang w:val="en-US" w:eastAsia="zh-CN"/>
              </w:rPr>
            </w:pPr>
          </w:p>
          <w:p>
            <w:pPr>
              <w:pStyle w:val="13"/>
              <w:rPr>
                <w:color w:val="auto"/>
                <w:sz w:val="21"/>
                <w:szCs w:val="21"/>
                <w:highlight w:val="none"/>
                <w:lang w:val="en-US" w:eastAsia="zh-CN"/>
              </w:rPr>
            </w:pPr>
          </w:p>
          <w:p>
            <w:pPr>
              <w:pStyle w:val="15"/>
              <w:rPr>
                <w:color w:val="auto"/>
                <w:lang w:val="en-US" w:eastAsia="zh-CN"/>
              </w:rPr>
            </w:pPr>
          </w:p>
          <w:p>
            <w:pPr>
              <w:jc w:val="center"/>
              <w:rPr>
                <w:color w:val="auto"/>
                <w:sz w:val="21"/>
                <w:szCs w:val="21"/>
                <w:highlight w:val="none"/>
                <w:lang w:val="en-US" w:eastAsia="zh-CN"/>
              </w:rPr>
            </w:pPr>
          </w:p>
          <w:p>
            <w:pPr>
              <w:jc w:val="center"/>
              <w:rPr>
                <w:color w:val="auto"/>
                <w:sz w:val="24"/>
                <w:szCs w:val="24"/>
                <w:highlight w:val="none"/>
                <w:lang w:val="en-US" w:eastAsia="zh-CN"/>
              </w:rPr>
            </w:pPr>
          </w:p>
          <w:p>
            <w:pPr>
              <w:jc w:val="center"/>
              <w:rPr>
                <w:color w:val="auto"/>
                <w:sz w:val="24"/>
                <w:szCs w:val="24"/>
                <w:highlight w:val="none"/>
                <w:lang w:val="en-US" w:eastAsia="zh-CN"/>
              </w:rPr>
            </w:pPr>
          </w:p>
          <w:p>
            <w:pPr>
              <w:jc w:val="center"/>
              <w:rPr>
                <w:color w:val="auto"/>
                <w:sz w:val="24"/>
                <w:szCs w:val="24"/>
                <w:highlight w:val="none"/>
                <w:lang w:val="en-US" w:eastAsia="zh-CN"/>
              </w:rPr>
            </w:pPr>
          </w:p>
          <w:p>
            <w:pPr>
              <w:jc w:val="center"/>
              <w:rPr>
                <w:color w:val="auto"/>
                <w:sz w:val="24"/>
                <w:szCs w:val="24"/>
                <w:highlight w:val="none"/>
                <w:lang w:val="en-US" w:eastAsia="zh-CN"/>
              </w:rPr>
            </w:pPr>
            <w:r>
              <w:rPr>
                <w:color w:val="auto"/>
                <w:sz w:val="24"/>
                <w:szCs w:val="24"/>
                <w:highlight w:val="none"/>
                <w:lang w:val="en-US" w:eastAsia="zh-CN"/>
              </w:rPr>
              <w:t>图3-</w:t>
            </w:r>
            <w:r>
              <w:rPr>
                <w:rFonts w:hint="eastAsia"/>
                <w:color w:val="auto"/>
                <w:sz w:val="24"/>
                <w:szCs w:val="24"/>
                <w:highlight w:val="none"/>
                <w:lang w:val="en-US" w:eastAsia="zh-CN"/>
              </w:rPr>
              <w:t xml:space="preserve">3 </w:t>
            </w:r>
            <w:r>
              <w:rPr>
                <w:color w:val="auto"/>
                <w:sz w:val="24"/>
                <w:szCs w:val="24"/>
                <w:highlight w:val="none"/>
                <w:lang w:val="en-US" w:eastAsia="zh-CN"/>
              </w:rPr>
              <w:t>项目区及评价区植被类型</w:t>
            </w:r>
          </w:p>
          <w:p>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生态系统类型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本次采用遥感的技术手段，对评价区生态系统进行分类，评价区生态系统类型面积统计见表</w:t>
            </w:r>
            <w:r>
              <w:rPr>
                <w:rFonts w:hint="eastAsia" w:ascii="Times New Roman" w:hAnsi="Times New Roman" w:eastAsia="宋体" w:cs="Times New Roman"/>
                <w:color w:val="auto"/>
                <w:sz w:val="24"/>
                <w:szCs w:val="24"/>
                <w:highlight w:val="none"/>
                <w:lang w:val="en-US" w:eastAsia="zh-CN"/>
              </w:rPr>
              <w:t>3-3，评价区生态系统类型现状分布见图3-4。</w:t>
            </w:r>
          </w:p>
          <w:p>
            <w:pPr>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firstLine="0" w:firstLineChars="0"/>
              <w:jc w:val="center"/>
              <w:textAlignment w:val="auto"/>
              <w:rPr>
                <w:rFonts w:hint="eastAsia"/>
                <w:color w:val="auto"/>
                <w:sz w:val="24"/>
                <w:szCs w:val="24"/>
                <w:highlight w:val="none"/>
                <w:lang w:val="en-US" w:eastAsia="zh-CN"/>
              </w:rPr>
            </w:pPr>
            <w:r>
              <w:rPr>
                <w:rFonts w:hint="eastAsia"/>
                <w:color w:val="auto"/>
                <w:sz w:val="24"/>
                <w:szCs w:val="24"/>
                <w:highlight w:val="none"/>
                <w:lang w:val="en-US" w:eastAsia="zh-CN"/>
              </w:rPr>
              <w:t xml:space="preserve"> </w:t>
            </w:r>
            <w:r>
              <w:rPr>
                <w:color w:val="auto"/>
                <w:sz w:val="24"/>
                <w:szCs w:val="24"/>
                <w:highlight w:val="none"/>
                <w:lang w:val="en-US" w:eastAsia="zh-CN"/>
              </w:rPr>
              <w:t>表3-</w:t>
            </w:r>
            <w:r>
              <w:rPr>
                <w:rFonts w:hint="eastAsia"/>
                <w:color w:val="auto"/>
                <w:sz w:val="24"/>
                <w:szCs w:val="24"/>
                <w:highlight w:val="none"/>
                <w:lang w:val="en-US" w:eastAsia="zh-CN"/>
              </w:rPr>
              <w:t>3   评价区生态系统类型面积统计表</w:t>
            </w:r>
          </w:p>
          <w:tbl>
            <w:tblPr>
              <w:tblStyle w:val="24"/>
              <w:tblW w:w="79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3"/>
              <w:gridCol w:w="1256"/>
              <w:gridCol w:w="919"/>
              <w:gridCol w:w="1200"/>
              <w:gridCol w:w="1200"/>
              <w:gridCol w:w="712"/>
              <w:gridCol w:w="732"/>
              <w:gridCol w:w="9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kern w:val="0"/>
                      <w:sz w:val="22"/>
                      <w:szCs w:val="22"/>
                      <w:u w:val="none"/>
                      <w:lang w:val="en-US" w:eastAsia="zh-CN" w:bidi="ar"/>
                    </w:rPr>
                  </w:pPr>
                </w:p>
              </w:tc>
              <w:tc>
                <w:tcPr>
                  <w:tcW w:w="287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评价范围</w:t>
                  </w:r>
                </w:p>
              </w:tc>
              <w:tc>
                <w:tcPr>
                  <w:tcW w:w="1515"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项目</w:t>
                  </w:r>
                  <w:r>
                    <w:rPr>
                      <w:rFonts w:hint="eastAsia" w:ascii="Times New Roman" w:hAnsi="Times New Roman" w:cs="Times New Roman"/>
                      <w:i w:val="0"/>
                      <w:iCs w:val="0"/>
                      <w:color w:val="auto"/>
                      <w:kern w:val="0"/>
                      <w:sz w:val="21"/>
                      <w:szCs w:val="21"/>
                      <w:highlight w:val="none"/>
                      <w:u w:val="none"/>
                      <w:lang w:val="en-US" w:eastAsia="zh-CN" w:bidi="ar"/>
                    </w:rPr>
                    <w:t>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一级类型</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二级类型</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斑块数（个）</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面积（平米）</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eastAsia" w:ascii="宋体" w:hAnsi="宋体" w:eastAsia="宋体" w:cs="宋体"/>
                      <w:i w:val="0"/>
                      <w:iCs w:val="0"/>
                      <w:color w:val="auto"/>
                      <w:sz w:val="22"/>
                      <w:szCs w:val="22"/>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占评价区面积的%</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斑块数（个）</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面积（平米）</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占</w:t>
                  </w:r>
                  <w:r>
                    <w:rPr>
                      <w:rFonts w:hint="default" w:ascii="Times New Roman" w:hAnsi="Times New Roman" w:cs="Times New Roman"/>
                      <w:i w:val="0"/>
                      <w:iCs w:val="0"/>
                      <w:color w:val="auto"/>
                      <w:kern w:val="0"/>
                      <w:sz w:val="21"/>
                      <w:szCs w:val="21"/>
                      <w:highlight w:val="none"/>
                      <w:u w:val="none"/>
                      <w:lang w:val="en-US" w:eastAsia="zh-CN" w:bidi="ar"/>
                    </w:rPr>
                    <w:t>项目</w:t>
                  </w:r>
                  <w:r>
                    <w:rPr>
                      <w:rFonts w:hint="default" w:ascii="Times New Roman" w:hAnsi="Times New Roman" w:eastAsia="宋体" w:cs="Times New Roman"/>
                      <w:i w:val="0"/>
                      <w:iCs w:val="0"/>
                      <w:color w:val="auto"/>
                      <w:kern w:val="0"/>
                      <w:sz w:val="21"/>
                      <w:szCs w:val="21"/>
                      <w:highlight w:val="none"/>
                      <w:u w:val="none"/>
                      <w:lang w:val="en-US" w:eastAsia="zh-CN" w:bidi="ar"/>
                    </w:rPr>
                    <w:t>区面积的%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1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林地生态系统</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常绿针叶林</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160464.68</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3.31%</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2456.67</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eastAsia" w:ascii="宋体" w:hAnsi="宋体" w:eastAsia="宋体" w:cs="宋体"/>
                      <w:i w:val="0"/>
                      <w:iCs w:val="0"/>
                      <w:color w:val="auto"/>
                      <w:sz w:val="22"/>
                      <w:szCs w:val="22"/>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落叶阔叶林</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55</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566068.26</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11.66%</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14840.95</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eastAsia" w:ascii="宋体" w:hAnsi="宋体" w:eastAsia="宋体" w:cs="宋体"/>
                      <w:i w:val="0"/>
                      <w:iCs w:val="0"/>
                      <w:color w:val="auto"/>
                      <w:sz w:val="22"/>
                      <w:szCs w:val="22"/>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落叶阔叶灌丛</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667335.48</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13.75%</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草地生态系统</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温性草地</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35</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1104676.00</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22.75%</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23637.94</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16.65%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农田生态系统</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旱地</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476196.23</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9.81%</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1197.88</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0.84%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61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湿地生态系统</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河流</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35524.18</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0.73%</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eastAsia" w:ascii="宋体" w:hAnsi="宋体" w:eastAsia="宋体" w:cs="宋体"/>
                      <w:i w:val="0"/>
                      <w:iCs w:val="0"/>
                      <w:color w:val="auto"/>
                      <w:sz w:val="22"/>
                      <w:szCs w:val="22"/>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湖泊</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941910.56</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19.40%</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eastAsia" w:ascii="宋体" w:hAnsi="宋体" w:eastAsia="宋体" w:cs="宋体"/>
                      <w:i w:val="0"/>
                      <w:iCs w:val="0"/>
                      <w:color w:val="auto"/>
                      <w:sz w:val="22"/>
                      <w:szCs w:val="22"/>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草本沼泽</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159064.06</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3.28%</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1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人工表面</w:t>
                  </w: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建设用地</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36</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422084.57</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8.69%</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95472.77</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67.26%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288" w:lineRule="auto"/>
                    <w:jc w:val="center"/>
                    <w:rPr>
                      <w:rFonts w:hint="eastAsia" w:ascii="宋体" w:hAnsi="宋体" w:eastAsia="宋体" w:cs="宋体"/>
                      <w:i w:val="0"/>
                      <w:iCs w:val="0"/>
                      <w:color w:val="auto"/>
                      <w:sz w:val="22"/>
                      <w:szCs w:val="22"/>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交通用地</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321644.98</w:t>
                  </w:r>
                </w:p>
              </w:tc>
              <w:tc>
                <w:tcPr>
                  <w:tcW w:w="7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6.63%</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4299.20</w:t>
                  </w:r>
                </w:p>
              </w:tc>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3.03%</w:t>
                  </w:r>
                </w:p>
              </w:tc>
            </w:tr>
          </w:tbl>
          <w:p>
            <w:pPr>
              <w:keepNext w:val="0"/>
              <w:keepLines w:val="0"/>
              <w:pageBreakBefore w:val="0"/>
              <w:widowControl w:val="0"/>
              <w:kinsoku/>
              <w:wordWrap/>
              <w:overflowPunct/>
              <w:topLinePunct w:val="0"/>
              <w:autoSpaceDE/>
              <w:autoSpaceDN/>
              <w:bidi w:val="0"/>
              <w:adjustRightInd/>
              <w:snapToGrid/>
              <w:spacing w:before="313" w:beforeLines="100"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评价区生态系统类型</w:t>
            </w:r>
            <w:r>
              <w:rPr>
                <w:rFonts w:hint="eastAsia" w:ascii="宋体" w:hAnsi="宋体" w:eastAsia="宋体" w:cs="宋体"/>
                <w:i w:val="0"/>
                <w:iCs w:val="0"/>
                <w:color w:val="auto"/>
                <w:kern w:val="0"/>
                <w:sz w:val="24"/>
                <w:szCs w:val="24"/>
                <w:u w:val="none"/>
                <w:lang w:val="en-US" w:eastAsia="zh-CN" w:bidi="ar"/>
              </w:rPr>
              <w:t>常绿针叶林</w:t>
            </w:r>
            <w:r>
              <w:rPr>
                <w:rFonts w:hint="eastAsia" w:ascii="宋体" w:hAnsi="宋体" w:eastAsia="宋体" w:cs="宋体"/>
                <w:color w:val="auto"/>
                <w:sz w:val="24"/>
                <w:szCs w:val="24"/>
                <w:highlight w:val="none"/>
                <w:lang w:val="en-US" w:eastAsia="zh-CN"/>
              </w:rPr>
              <w:t>占地面积为</w:t>
            </w:r>
            <w:r>
              <w:rPr>
                <w:rFonts w:hint="eastAsia" w:ascii="宋体" w:hAnsi="宋体" w:eastAsia="宋体" w:cs="宋体"/>
                <w:i w:val="0"/>
                <w:iCs w:val="0"/>
                <w:color w:val="auto"/>
                <w:kern w:val="0"/>
                <w:sz w:val="24"/>
                <w:szCs w:val="24"/>
                <w:u w:val="none"/>
                <w:lang w:val="en-US" w:eastAsia="zh-CN" w:bidi="ar"/>
              </w:rPr>
              <w:t>160464.68</w:t>
            </w:r>
            <w:r>
              <w:rPr>
                <w:rFonts w:hint="eastAsia" w:ascii="宋体" w:hAnsi="宋体" w:eastAsia="宋体" w:cs="宋体"/>
                <w:color w:val="auto"/>
                <w:sz w:val="24"/>
                <w:szCs w:val="24"/>
                <w:highlight w:val="none"/>
                <w:lang w:val="en-US" w:eastAsia="zh-CN"/>
              </w:rPr>
              <w:t>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lang w:val="en-US" w:eastAsia="zh-CN"/>
              </w:rPr>
              <w:t>，占评价区面积的3.31%，</w:t>
            </w:r>
            <w:r>
              <w:rPr>
                <w:rFonts w:hint="eastAsia" w:ascii="宋体" w:hAnsi="宋体" w:eastAsia="宋体" w:cs="宋体"/>
                <w:i w:val="0"/>
                <w:iCs w:val="0"/>
                <w:color w:val="auto"/>
                <w:kern w:val="0"/>
                <w:sz w:val="24"/>
                <w:szCs w:val="24"/>
                <w:u w:val="none"/>
                <w:lang w:val="en-US" w:eastAsia="zh-CN" w:bidi="ar"/>
              </w:rPr>
              <w:t>落叶阔叶林</w:t>
            </w:r>
            <w:r>
              <w:rPr>
                <w:rFonts w:hint="eastAsia" w:ascii="宋体" w:hAnsi="宋体" w:eastAsia="宋体" w:cs="宋体"/>
                <w:color w:val="auto"/>
                <w:sz w:val="24"/>
                <w:szCs w:val="24"/>
                <w:highlight w:val="none"/>
                <w:lang w:val="en-US" w:eastAsia="zh-CN"/>
              </w:rPr>
              <w:t>占地面积为</w:t>
            </w:r>
            <w:r>
              <w:rPr>
                <w:rFonts w:hint="eastAsia" w:ascii="宋体" w:hAnsi="宋体" w:eastAsia="宋体" w:cs="宋体"/>
                <w:i w:val="0"/>
                <w:iCs w:val="0"/>
                <w:color w:val="auto"/>
                <w:kern w:val="0"/>
                <w:sz w:val="24"/>
                <w:szCs w:val="24"/>
                <w:u w:val="none"/>
                <w:lang w:val="en-US" w:eastAsia="zh-CN" w:bidi="ar"/>
              </w:rPr>
              <w:t>566068.26</w:t>
            </w:r>
            <w:r>
              <w:rPr>
                <w:rFonts w:hint="eastAsia" w:ascii="宋体" w:hAnsi="宋体" w:eastAsia="宋体" w:cs="宋体"/>
                <w:color w:val="auto"/>
                <w:sz w:val="24"/>
                <w:szCs w:val="24"/>
                <w:highlight w:val="none"/>
                <w:lang w:val="en-US" w:eastAsia="zh-CN"/>
              </w:rPr>
              <w:t>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lang w:val="en-US" w:eastAsia="zh-CN"/>
              </w:rPr>
              <w:t>，占评价区面积的11.66%，落叶阔叶灌丛占地面积为</w:t>
            </w:r>
            <w:r>
              <w:rPr>
                <w:rFonts w:hint="eastAsia" w:ascii="宋体" w:hAnsi="宋体" w:eastAsia="宋体" w:cs="宋体"/>
                <w:i w:val="0"/>
                <w:iCs w:val="0"/>
                <w:color w:val="auto"/>
                <w:kern w:val="0"/>
                <w:sz w:val="24"/>
                <w:szCs w:val="24"/>
                <w:u w:val="none"/>
                <w:lang w:val="en-US" w:eastAsia="zh-CN" w:bidi="ar"/>
              </w:rPr>
              <w:t>667335.48</w:t>
            </w:r>
            <w:r>
              <w:rPr>
                <w:rFonts w:hint="eastAsia" w:ascii="宋体" w:hAnsi="宋体" w:eastAsia="宋体" w:cs="宋体"/>
                <w:color w:val="auto"/>
                <w:sz w:val="24"/>
                <w:szCs w:val="24"/>
                <w:highlight w:val="none"/>
                <w:lang w:val="en-US" w:eastAsia="zh-CN"/>
              </w:rPr>
              <w:t>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lang w:val="en-US" w:eastAsia="zh-CN"/>
              </w:rPr>
              <w:t>，占评价区面积的13.756%，温性草地占地面积为</w:t>
            </w:r>
            <w:r>
              <w:rPr>
                <w:rFonts w:hint="eastAsia" w:ascii="宋体" w:hAnsi="宋体" w:eastAsia="宋体" w:cs="宋体"/>
                <w:i w:val="0"/>
                <w:iCs w:val="0"/>
                <w:color w:val="auto"/>
                <w:kern w:val="0"/>
                <w:sz w:val="24"/>
                <w:szCs w:val="24"/>
                <w:u w:val="none"/>
                <w:lang w:val="en-US" w:eastAsia="zh-CN" w:bidi="ar"/>
              </w:rPr>
              <w:t>1104676.00</w:t>
            </w:r>
            <w:r>
              <w:rPr>
                <w:rFonts w:hint="eastAsia" w:ascii="宋体" w:hAnsi="宋体" w:eastAsia="宋体" w:cs="宋体"/>
                <w:color w:val="auto"/>
                <w:sz w:val="24"/>
                <w:szCs w:val="24"/>
                <w:highlight w:val="none"/>
                <w:lang w:val="en-US" w:eastAsia="zh-CN"/>
              </w:rPr>
              <w:t>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lang w:val="en-US" w:eastAsia="zh-CN"/>
              </w:rPr>
              <w:t>，占评价区面积的22.75%，旱地面积为</w:t>
            </w:r>
            <w:r>
              <w:rPr>
                <w:rFonts w:hint="eastAsia" w:ascii="宋体" w:hAnsi="宋体" w:eastAsia="宋体" w:cs="宋体"/>
                <w:i w:val="0"/>
                <w:iCs w:val="0"/>
                <w:color w:val="auto"/>
                <w:kern w:val="0"/>
                <w:sz w:val="24"/>
                <w:szCs w:val="24"/>
                <w:u w:val="none"/>
                <w:lang w:val="en-US" w:eastAsia="zh-CN" w:bidi="ar"/>
              </w:rPr>
              <w:t>476196.23</w:t>
            </w:r>
            <w:r>
              <w:rPr>
                <w:rFonts w:hint="eastAsia" w:ascii="宋体" w:hAnsi="宋体" w:eastAsia="宋体" w:cs="宋体"/>
                <w:color w:val="auto"/>
                <w:sz w:val="24"/>
                <w:szCs w:val="24"/>
                <w:highlight w:val="none"/>
                <w:lang w:val="en-US" w:eastAsia="zh-CN"/>
              </w:rPr>
              <w:t>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lang w:val="en-US" w:eastAsia="zh-CN"/>
              </w:rPr>
              <w:t>，占评价区面积的9.81%，河流占地面积为</w:t>
            </w:r>
            <w:r>
              <w:rPr>
                <w:rFonts w:hint="eastAsia" w:ascii="宋体" w:hAnsi="宋体" w:eastAsia="宋体" w:cs="宋体"/>
                <w:i w:val="0"/>
                <w:iCs w:val="0"/>
                <w:color w:val="auto"/>
                <w:kern w:val="0"/>
                <w:sz w:val="24"/>
                <w:szCs w:val="24"/>
                <w:u w:val="none"/>
                <w:lang w:val="en-US" w:eastAsia="zh-CN" w:bidi="ar"/>
              </w:rPr>
              <w:t>35524.18</w:t>
            </w:r>
            <w:r>
              <w:rPr>
                <w:rFonts w:hint="eastAsia" w:ascii="宋体" w:hAnsi="宋体" w:eastAsia="宋体" w:cs="宋体"/>
                <w:color w:val="auto"/>
                <w:sz w:val="24"/>
                <w:szCs w:val="24"/>
                <w:highlight w:val="none"/>
                <w:lang w:val="en-US" w:eastAsia="zh-CN"/>
              </w:rPr>
              <w:t>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lang w:val="en-US" w:eastAsia="zh-CN"/>
              </w:rPr>
              <w:t>，占评价区面积的0.73%，湖泊占地面积为</w:t>
            </w:r>
            <w:r>
              <w:rPr>
                <w:rFonts w:hint="eastAsia" w:ascii="宋体" w:hAnsi="宋体" w:eastAsia="宋体" w:cs="宋体"/>
                <w:i w:val="0"/>
                <w:iCs w:val="0"/>
                <w:color w:val="auto"/>
                <w:kern w:val="0"/>
                <w:sz w:val="24"/>
                <w:szCs w:val="24"/>
                <w:u w:val="none"/>
                <w:lang w:val="en-US" w:eastAsia="zh-CN" w:bidi="ar"/>
              </w:rPr>
              <w:t>941910.56</w:t>
            </w:r>
            <w:r>
              <w:rPr>
                <w:rFonts w:hint="eastAsia" w:ascii="宋体" w:hAnsi="宋体" w:eastAsia="宋体" w:cs="宋体"/>
                <w:color w:val="auto"/>
                <w:sz w:val="24"/>
                <w:szCs w:val="24"/>
                <w:highlight w:val="none"/>
                <w:lang w:val="en-US" w:eastAsia="zh-CN"/>
              </w:rPr>
              <w:t>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lang w:val="en-US" w:eastAsia="zh-CN"/>
              </w:rPr>
              <w:t>，占评价区面积的19.40%，</w:t>
            </w:r>
            <w:r>
              <w:rPr>
                <w:rFonts w:hint="eastAsia" w:ascii="宋体" w:hAnsi="宋体" w:eastAsia="宋体" w:cs="宋体"/>
                <w:i w:val="0"/>
                <w:iCs w:val="0"/>
                <w:color w:val="auto"/>
                <w:kern w:val="0"/>
                <w:sz w:val="24"/>
                <w:szCs w:val="24"/>
                <w:u w:val="none"/>
                <w:lang w:val="en-US" w:eastAsia="zh-CN" w:bidi="ar"/>
              </w:rPr>
              <w:t>草本沼泽</w:t>
            </w:r>
            <w:r>
              <w:rPr>
                <w:rFonts w:hint="eastAsia" w:ascii="宋体" w:hAnsi="宋体" w:eastAsia="宋体" w:cs="宋体"/>
                <w:color w:val="auto"/>
                <w:sz w:val="24"/>
                <w:szCs w:val="24"/>
                <w:highlight w:val="none"/>
                <w:lang w:val="en-US" w:eastAsia="zh-CN"/>
              </w:rPr>
              <w:t>占地面积为</w:t>
            </w:r>
            <w:r>
              <w:rPr>
                <w:rFonts w:hint="eastAsia" w:ascii="宋体" w:hAnsi="宋体" w:eastAsia="宋体" w:cs="宋体"/>
                <w:i w:val="0"/>
                <w:iCs w:val="0"/>
                <w:color w:val="auto"/>
                <w:kern w:val="0"/>
                <w:sz w:val="24"/>
                <w:szCs w:val="24"/>
                <w:u w:val="none"/>
                <w:lang w:val="en-US" w:eastAsia="zh-CN" w:bidi="ar"/>
              </w:rPr>
              <w:t>159064.06</w:t>
            </w:r>
            <w:r>
              <w:rPr>
                <w:rFonts w:hint="eastAsia" w:ascii="宋体" w:hAnsi="宋体" w:eastAsia="宋体" w:cs="宋体"/>
                <w:color w:val="auto"/>
                <w:sz w:val="24"/>
                <w:szCs w:val="24"/>
                <w:highlight w:val="none"/>
                <w:lang w:val="en-US" w:eastAsia="zh-CN"/>
              </w:rPr>
              <w:t>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lang w:val="en-US" w:eastAsia="zh-CN"/>
              </w:rPr>
              <w:t>，占评价区面积的3.28%，</w:t>
            </w:r>
            <w:r>
              <w:rPr>
                <w:rFonts w:hint="eastAsia" w:ascii="宋体" w:hAnsi="宋体" w:eastAsia="宋体" w:cs="宋体"/>
                <w:i w:val="0"/>
                <w:iCs w:val="0"/>
                <w:color w:val="auto"/>
                <w:kern w:val="0"/>
                <w:sz w:val="24"/>
                <w:szCs w:val="24"/>
                <w:u w:val="none"/>
                <w:lang w:val="en-US" w:eastAsia="zh-CN" w:bidi="ar"/>
              </w:rPr>
              <w:t>建设用地</w:t>
            </w:r>
            <w:r>
              <w:rPr>
                <w:rFonts w:hint="eastAsia" w:ascii="宋体" w:hAnsi="宋体" w:eastAsia="宋体" w:cs="宋体"/>
                <w:color w:val="auto"/>
                <w:sz w:val="24"/>
                <w:szCs w:val="24"/>
                <w:highlight w:val="none"/>
                <w:lang w:val="en-US" w:eastAsia="zh-CN"/>
              </w:rPr>
              <w:t>占地面积为</w:t>
            </w:r>
            <w:r>
              <w:rPr>
                <w:rFonts w:hint="eastAsia" w:ascii="宋体" w:hAnsi="宋体" w:eastAsia="宋体" w:cs="宋体"/>
                <w:i w:val="0"/>
                <w:iCs w:val="0"/>
                <w:color w:val="auto"/>
                <w:kern w:val="0"/>
                <w:sz w:val="24"/>
                <w:szCs w:val="24"/>
                <w:u w:val="none"/>
                <w:lang w:val="en-US" w:eastAsia="zh-CN" w:bidi="ar"/>
              </w:rPr>
              <w:t>422084.57</w:t>
            </w:r>
            <w:r>
              <w:rPr>
                <w:rFonts w:hint="eastAsia" w:ascii="宋体" w:hAnsi="宋体" w:eastAsia="宋体" w:cs="宋体"/>
                <w:color w:val="auto"/>
                <w:sz w:val="24"/>
                <w:szCs w:val="24"/>
                <w:highlight w:val="none"/>
                <w:lang w:val="en-US" w:eastAsia="zh-CN"/>
              </w:rPr>
              <w:t>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lang w:val="en-US" w:eastAsia="zh-CN"/>
              </w:rPr>
              <w:t>，占评价区面积的8.69%，</w:t>
            </w:r>
            <w:r>
              <w:rPr>
                <w:rFonts w:hint="eastAsia" w:ascii="宋体" w:hAnsi="宋体" w:eastAsia="宋体" w:cs="宋体"/>
                <w:i w:val="0"/>
                <w:iCs w:val="0"/>
                <w:color w:val="auto"/>
                <w:kern w:val="0"/>
                <w:sz w:val="24"/>
                <w:szCs w:val="24"/>
                <w:u w:val="none"/>
                <w:lang w:val="en-US" w:eastAsia="zh-CN" w:bidi="ar"/>
              </w:rPr>
              <w:t>交通用地</w:t>
            </w:r>
            <w:r>
              <w:rPr>
                <w:rFonts w:hint="eastAsia" w:ascii="宋体" w:hAnsi="宋体" w:eastAsia="宋体" w:cs="宋体"/>
                <w:color w:val="auto"/>
                <w:sz w:val="24"/>
                <w:szCs w:val="24"/>
                <w:highlight w:val="none"/>
                <w:lang w:val="en-US" w:eastAsia="zh-CN"/>
              </w:rPr>
              <w:t>占地面积为</w:t>
            </w:r>
            <w:r>
              <w:rPr>
                <w:rFonts w:hint="eastAsia" w:ascii="宋体" w:hAnsi="宋体" w:eastAsia="宋体" w:cs="宋体"/>
                <w:i w:val="0"/>
                <w:iCs w:val="0"/>
                <w:color w:val="auto"/>
                <w:kern w:val="0"/>
                <w:sz w:val="24"/>
                <w:szCs w:val="24"/>
                <w:u w:val="none"/>
                <w:lang w:val="en-US" w:eastAsia="zh-CN" w:bidi="ar"/>
              </w:rPr>
              <w:t>321644.98</w:t>
            </w:r>
            <w:r>
              <w:rPr>
                <w:rFonts w:hint="eastAsia" w:ascii="宋体" w:hAnsi="宋体" w:eastAsia="宋体" w:cs="宋体"/>
                <w:color w:val="auto"/>
                <w:sz w:val="24"/>
                <w:szCs w:val="24"/>
                <w:highlight w:val="none"/>
                <w:lang w:val="en-US" w:eastAsia="zh-CN"/>
              </w:rPr>
              <w:t>m</w:t>
            </w:r>
            <w:r>
              <w:rPr>
                <w:rFonts w:hint="eastAsia" w:ascii="宋体" w:hAnsi="宋体" w:eastAsia="宋体" w:cs="宋体"/>
                <w:color w:val="auto"/>
                <w:sz w:val="24"/>
                <w:szCs w:val="24"/>
                <w:highlight w:val="none"/>
                <w:vertAlign w:val="superscript"/>
                <w:lang w:val="en-US" w:eastAsia="zh-CN"/>
              </w:rPr>
              <w:t>2</w:t>
            </w:r>
            <w:r>
              <w:rPr>
                <w:rFonts w:hint="eastAsia" w:ascii="宋体" w:hAnsi="宋体" w:eastAsia="宋体" w:cs="宋体"/>
                <w:color w:val="auto"/>
                <w:sz w:val="24"/>
                <w:szCs w:val="24"/>
                <w:highlight w:val="none"/>
                <w:lang w:val="en-US" w:eastAsia="zh-CN"/>
              </w:rPr>
              <w:t>，占评价区面积的6.63%。</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olor w:val="auto"/>
                <w:sz w:val="24"/>
                <w:szCs w:val="24"/>
                <w:highlight w:val="none"/>
                <w:lang w:val="en-US" w:eastAsia="zh-CN"/>
              </w:rPr>
            </w:pPr>
            <w:r>
              <w:rPr>
                <w:rFonts w:hint="eastAsia" w:ascii="Times New Roman" w:hAnsi="Times New Roman" w:eastAsia="宋体" w:cs="Times New Roman"/>
                <w:b w:val="0"/>
                <w:bCs/>
                <w:color w:val="auto"/>
                <w:szCs w:val="21"/>
                <w:highlight w:val="none"/>
                <w:lang w:eastAsia="zh-CN"/>
              </w:rPr>
              <w:drawing>
                <wp:anchor distT="0" distB="0" distL="114300" distR="114300" simplePos="0" relativeHeight="251681792" behindDoc="0" locked="0" layoutInCell="1" allowOverlap="1">
                  <wp:simplePos x="0" y="0"/>
                  <wp:positionH relativeFrom="column">
                    <wp:posOffset>-38100</wp:posOffset>
                  </wp:positionH>
                  <wp:positionV relativeFrom="paragraph">
                    <wp:posOffset>187325</wp:posOffset>
                  </wp:positionV>
                  <wp:extent cx="4989195" cy="6925945"/>
                  <wp:effectExtent l="0" t="0" r="1905" b="8255"/>
                  <wp:wrapNone/>
                  <wp:docPr id="13" name="图片 13" descr="生态系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生态系统"/>
                          <pic:cNvPicPr>
                            <a:picLocks noChangeAspect="1"/>
                          </pic:cNvPicPr>
                        </pic:nvPicPr>
                        <pic:blipFill>
                          <a:blip r:embed="rId17"/>
                          <a:stretch>
                            <a:fillRect/>
                          </a:stretch>
                        </pic:blipFill>
                        <pic:spPr>
                          <a:xfrm>
                            <a:off x="0" y="0"/>
                            <a:ext cx="4989195" cy="692594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color w:val="auto"/>
                <w:sz w:val="24"/>
                <w:szCs w:val="24"/>
                <w:highlight w:val="none"/>
                <w:lang w:val="en-US" w:eastAsia="zh-CN"/>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Cs w:val="21"/>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eastAsia="宋体" w:cs="Times New Roman"/>
                <w:b w:val="0"/>
                <w:bCs/>
                <w:color w:val="auto"/>
                <w:sz w:val="24"/>
                <w:szCs w:val="24"/>
                <w:highlight w:val="none"/>
              </w:rPr>
            </w:pP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hint="eastAsia"/>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rPr>
              <w:t>图</w:t>
            </w:r>
            <w:r>
              <w:rPr>
                <w:rFonts w:hint="default" w:ascii="Times New Roman" w:hAnsi="Times New Roman" w:eastAsia="宋体" w:cs="Times New Roman"/>
                <w:b w:val="0"/>
                <w:bCs/>
                <w:color w:val="auto"/>
                <w:sz w:val="24"/>
                <w:szCs w:val="24"/>
                <w:highlight w:val="none"/>
                <w:lang w:val="en-US" w:eastAsia="zh-CN"/>
              </w:rPr>
              <w:t xml:space="preserve">3-4 </w:t>
            </w:r>
            <w:r>
              <w:rPr>
                <w:rFonts w:hint="eastAsia" w:cs="Times New Roman"/>
                <w:b w:val="0"/>
                <w:bCs/>
                <w:color w:val="auto"/>
                <w:sz w:val="24"/>
                <w:szCs w:val="24"/>
                <w:highlight w:val="none"/>
                <w:lang w:val="en-US" w:eastAsia="zh-CN"/>
              </w:rPr>
              <w:t xml:space="preserve"> </w:t>
            </w:r>
            <w:r>
              <w:rPr>
                <w:rFonts w:hint="default" w:ascii="Times New Roman" w:hAnsi="Times New Roman" w:eastAsia="宋体" w:cs="Times New Roman"/>
                <w:b w:val="0"/>
                <w:bCs/>
                <w:color w:val="auto"/>
                <w:sz w:val="24"/>
                <w:szCs w:val="24"/>
                <w:highlight w:val="none"/>
              </w:rPr>
              <w:t>评价区生态系统类型现状分布图</w:t>
            </w:r>
          </w:p>
          <w:p>
            <w:pPr>
              <w:keepNext w:val="0"/>
              <w:keepLines w:val="0"/>
              <w:pageBreakBefore w:val="0"/>
              <w:widowControl w:val="0"/>
              <w:kinsoku/>
              <w:wordWrap/>
              <w:overflowPunct/>
              <w:topLinePunct w:val="0"/>
              <w:autoSpaceDE/>
              <w:autoSpaceDN/>
              <w:bidi w:val="0"/>
              <w:adjustRightInd/>
              <w:snapToGrid/>
              <w:spacing w:before="157" w:beforeLines="50" w:line="384" w:lineRule="auto"/>
              <w:ind w:firstLine="480" w:firstLineChars="200"/>
              <w:jc w:val="left"/>
              <w:textAlignment w:val="auto"/>
              <w:rPr>
                <w:rFonts w:hint="eastAsia"/>
                <w:color w:val="auto"/>
                <w:sz w:val="24"/>
                <w:szCs w:val="24"/>
                <w:highlight w:val="none"/>
                <w:lang w:val="en-US" w:eastAsia="zh-CN"/>
              </w:rPr>
            </w:pPr>
            <w:r>
              <w:rPr>
                <w:rFonts w:hint="eastAsia"/>
                <w:color w:val="auto"/>
                <w:sz w:val="24"/>
                <w:szCs w:val="24"/>
                <w:highlight w:val="none"/>
                <w:lang w:val="en-US" w:eastAsia="zh-CN"/>
              </w:rPr>
              <w:t>（4）项目影响区动物类型</w:t>
            </w:r>
          </w:p>
          <w:p>
            <w:pPr>
              <w:keepNext w:val="0"/>
              <w:keepLines w:val="0"/>
              <w:pageBreakBefore w:val="0"/>
              <w:widowControl w:val="0"/>
              <w:kinsoku/>
              <w:wordWrap/>
              <w:overflowPunct/>
              <w:topLinePunct w:val="0"/>
              <w:autoSpaceDE/>
              <w:autoSpaceDN/>
              <w:bidi w:val="0"/>
              <w:adjustRightInd/>
              <w:snapToGrid/>
              <w:spacing w:line="384" w:lineRule="auto"/>
              <w:ind w:firstLine="480" w:firstLineChars="200"/>
              <w:textAlignment w:val="auto"/>
              <w:rPr>
                <w:rFonts w:hint="eastAsia"/>
                <w:color w:val="auto"/>
                <w:highlight w:val="none"/>
                <w:lang w:val="en-US" w:eastAsia="zh-CN"/>
              </w:rPr>
            </w:pPr>
            <w:r>
              <w:rPr>
                <w:rFonts w:hint="default" w:ascii="Times New Roman" w:hAnsi="Times New Roman" w:eastAsia="宋体" w:cs="Times New Roman"/>
                <w:color w:val="auto"/>
                <w:kern w:val="0"/>
                <w:sz w:val="24"/>
                <w:szCs w:val="24"/>
                <w:highlight w:val="none"/>
                <w:lang w:val="en-US" w:eastAsia="zh-CN" w:bidi="ar-SA"/>
              </w:rPr>
              <w:t>项目区内</w:t>
            </w:r>
            <w:r>
              <w:rPr>
                <w:rFonts w:hint="eastAsia" w:ascii="Times New Roman" w:hAnsi="Times New Roman" w:eastAsia="宋体" w:cs="Times New Roman"/>
                <w:color w:val="auto"/>
                <w:kern w:val="0"/>
                <w:sz w:val="24"/>
                <w:szCs w:val="24"/>
                <w:highlight w:val="none"/>
                <w:lang w:val="en-US" w:eastAsia="zh-CN" w:bidi="ar-SA"/>
              </w:rPr>
              <w:t>无大型野生动物出现，</w:t>
            </w:r>
            <w:r>
              <w:rPr>
                <w:rFonts w:hint="default" w:ascii="Times New Roman" w:hAnsi="Times New Roman" w:eastAsia="宋体" w:cs="Times New Roman"/>
                <w:color w:val="auto"/>
                <w:kern w:val="0"/>
                <w:sz w:val="24"/>
                <w:szCs w:val="24"/>
                <w:highlight w:val="none"/>
                <w:lang w:val="en-US" w:eastAsia="zh-CN" w:bidi="ar-SA"/>
              </w:rPr>
              <w:t>未发现受国家保护的珍稀、濒危动植物等物种，也不涉及自然保护区、风景名胜区、水源保护区等生态敏感区</w:t>
            </w:r>
            <w:r>
              <w:rPr>
                <w:rFonts w:hint="eastAsia" w:ascii="Times New Roman" w:hAnsi="Times New Roman" w:eastAsia="宋体" w:cs="Times New Roman"/>
                <w:color w:val="auto"/>
                <w:kern w:val="0"/>
                <w:sz w:val="24"/>
                <w:szCs w:val="24"/>
                <w:highlight w:val="none"/>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textAlignment w:val="auto"/>
              <w:rPr>
                <w:rFonts w:hint="eastAsia"/>
                <w:color w:val="auto"/>
                <w:sz w:val="24"/>
                <w:szCs w:val="24"/>
                <w:highlight w:val="none"/>
              </w:rPr>
            </w:pPr>
            <w:r>
              <w:rPr>
                <w:rFonts w:hint="eastAsia"/>
                <w:color w:val="auto"/>
                <w:sz w:val="24"/>
                <w:szCs w:val="24"/>
                <w:highlight w:val="none"/>
                <w:lang w:val="en-US" w:eastAsia="zh-CN"/>
              </w:rPr>
              <w:t>2.</w:t>
            </w:r>
            <w:r>
              <w:rPr>
                <w:rFonts w:hint="eastAsia"/>
                <w:color w:val="auto"/>
                <w:sz w:val="24"/>
                <w:szCs w:val="24"/>
                <w:highlight w:val="none"/>
              </w:rPr>
              <w:t>环境空气</w:t>
            </w:r>
          </w:p>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left"/>
              <w:textAlignment w:val="auto"/>
              <w:rPr>
                <w:color w:val="auto"/>
                <w:sz w:val="24"/>
                <w:szCs w:val="24"/>
                <w:highlight w:val="none"/>
              </w:rPr>
            </w:pPr>
            <w:r>
              <w:rPr>
                <w:rFonts w:hint="eastAsia"/>
                <w:color w:val="auto"/>
                <w:sz w:val="24"/>
                <w:szCs w:val="24"/>
                <w:highlight w:val="none"/>
              </w:rPr>
              <w:t>根据内蒙古自治区生态环境厅网站发布的2022年《内蒙古自治区生态环境状况公报》统计数据，鄂尔多斯市2022年</w:t>
            </w:r>
            <w:r>
              <w:rPr>
                <w:rFonts w:hint="eastAsia"/>
                <w:color w:val="auto"/>
                <w:sz w:val="24"/>
                <w:highlight w:val="none"/>
              </w:rPr>
              <w:t>2</w:t>
            </w:r>
            <w:r>
              <w:rPr>
                <w:rFonts w:hint="eastAsia"/>
                <w:color w:val="auto"/>
                <w:sz w:val="24"/>
                <w:highlight w:val="none"/>
                <w:lang w:val="en-US" w:eastAsia="zh-CN"/>
              </w:rPr>
              <w:t>0</w:t>
            </w:r>
            <w:r>
              <w:rPr>
                <w:rFonts w:hint="eastAsia"/>
                <w:color w:val="auto"/>
                <w:sz w:val="24"/>
                <w:highlight w:val="none"/>
                <w:lang w:eastAsia="zh-CN"/>
              </w:rPr>
              <w:t>μ</w:t>
            </w:r>
            <w:r>
              <w:rPr>
                <w:rFonts w:hint="eastAsia"/>
                <w:color w:val="auto"/>
                <w:sz w:val="24"/>
                <w:highlight w:val="none"/>
              </w:rPr>
              <w:t>g/m</w:t>
            </w:r>
            <w:r>
              <w:rPr>
                <w:rFonts w:hint="eastAsia"/>
                <w:color w:val="auto"/>
                <w:sz w:val="24"/>
                <w:highlight w:val="none"/>
                <w:vertAlign w:val="superscript"/>
              </w:rPr>
              <w:t>3</w:t>
            </w:r>
            <w:r>
              <w:rPr>
                <w:rFonts w:hint="eastAsia"/>
                <w:color w:val="auto"/>
                <w:sz w:val="24"/>
                <w:highlight w:val="none"/>
              </w:rPr>
              <w:t>、5</w:t>
            </w:r>
            <w:r>
              <w:rPr>
                <w:rFonts w:hint="eastAsia"/>
                <w:color w:val="auto"/>
                <w:sz w:val="24"/>
                <w:highlight w:val="none"/>
                <w:lang w:val="en-US" w:eastAsia="zh-CN"/>
              </w:rPr>
              <w:t>1</w:t>
            </w:r>
            <w:r>
              <w:rPr>
                <w:rFonts w:hint="eastAsia"/>
                <w:color w:val="auto"/>
                <w:sz w:val="24"/>
                <w:highlight w:val="none"/>
                <w:lang w:eastAsia="zh-CN"/>
              </w:rPr>
              <w:t>μ</w:t>
            </w:r>
            <w:r>
              <w:rPr>
                <w:rFonts w:hint="eastAsia"/>
                <w:color w:val="auto"/>
                <w:sz w:val="24"/>
                <w:highlight w:val="none"/>
              </w:rPr>
              <w:t>g/m</w:t>
            </w:r>
            <w:r>
              <w:rPr>
                <w:rFonts w:hint="eastAsia"/>
                <w:color w:val="auto"/>
                <w:sz w:val="24"/>
                <w:highlight w:val="none"/>
                <w:vertAlign w:val="superscript"/>
              </w:rPr>
              <w:t>3</w:t>
            </w:r>
            <w:r>
              <w:rPr>
                <w:rFonts w:hint="eastAsia"/>
                <w:color w:val="auto"/>
                <w:sz w:val="24"/>
                <w:highlight w:val="none"/>
              </w:rPr>
              <w:t>、1</w:t>
            </w:r>
            <w:r>
              <w:rPr>
                <w:rFonts w:hint="eastAsia"/>
                <w:color w:val="auto"/>
                <w:sz w:val="24"/>
                <w:highlight w:val="none"/>
                <w:lang w:val="en-US" w:eastAsia="zh-CN"/>
              </w:rPr>
              <w:t>0</w:t>
            </w:r>
            <w:r>
              <w:rPr>
                <w:rFonts w:hint="eastAsia"/>
                <w:color w:val="auto"/>
                <w:sz w:val="24"/>
                <w:highlight w:val="none"/>
                <w:lang w:eastAsia="zh-CN"/>
              </w:rPr>
              <w:t>μ</w:t>
            </w:r>
            <w:r>
              <w:rPr>
                <w:rFonts w:hint="eastAsia"/>
                <w:color w:val="auto"/>
                <w:sz w:val="24"/>
                <w:highlight w:val="none"/>
              </w:rPr>
              <w:t>g/m</w:t>
            </w:r>
            <w:r>
              <w:rPr>
                <w:rFonts w:hint="eastAsia"/>
                <w:color w:val="auto"/>
                <w:sz w:val="24"/>
                <w:highlight w:val="none"/>
                <w:vertAlign w:val="superscript"/>
              </w:rPr>
              <w:t>3</w:t>
            </w:r>
            <w:r>
              <w:rPr>
                <w:rFonts w:hint="eastAsia"/>
                <w:color w:val="auto"/>
                <w:sz w:val="24"/>
                <w:highlight w:val="none"/>
              </w:rPr>
              <w:t>、2</w:t>
            </w:r>
            <w:r>
              <w:rPr>
                <w:rFonts w:hint="eastAsia"/>
                <w:color w:val="auto"/>
                <w:sz w:val="24"/>
                <w:highlight w:val="none"/>
                <w:lang w:val="en-US" w:eastAsia="zh-CN"/>
              </w:rPr>
              <w:t>3</w:t>
            </w:r>
            <w:r>
              <w:rPr>
                <w:rFonts w:hint="eastAsia"/>
                <w:color w:val="auto"/>
                <w:sz w:val="24"/>
                <w:highlight w:val="none"/>
                <w:lang w:eastAsia="zh-CN"/>
              </w:rPr>
              <w:t>μ</w:t>
            </w:r>
            <w:r>
              <w:rPr>
                <w:rFonts w:hint="eastAsia"/>
                <w:color w:val="auto"/>
                <w:sz w:val="24"/>
                <w:highlight w:val="none"/>
              </w:rPr>
              <w:t>g/m</w:t>
            </w:r>
            <w:r>
              <w:rPr>
                <w:rFonts w:hint="eastAsia"/>
                <w:color w:val="auto"/>
                <w:sz w:val="24"/>
                <w:highlight w:val="none"/>
                <w:vertAlign w:val="superscript"/>
              </w:rPr>
              <w:t>3</w:t>
            </w:r>
            <w:r>
              <w:rPr>
                <w:rFonts w:hint="eastAsia"/>
                <w:color w:val="auto"/>
                <w:sz w:val="24"/>
                <w:highlight w:val="none"/>
              </w:rPr>
              <w:t>；CO，24小时平均第95百分数浓度为0.9mg/m</w:t>
            </w:r>
            <w:r>
              <w:rPr>
                <w:rFonts w:hint="eastAsia"/>
                <w:color w:val="auto"/>
                <w:sz w:val="24"/>
                <w:highlight w:val="none"/>
                <w:vertAlign w:val="superscript"/>
              </w:rPr>
              <w:t>3</w:t>
            </w:r>
            <w:r>
              <w:rPr>
                <w:rFonts w:hint="eastAsia"/>
                <w:color w:val="auto"/>
                <w:sz w:val="24"/>
                <w:highlight w:val="none"/>
              </w:rPr>
              <w:t>，O</w:t>
            </w:r>
            <w:r>
              <w:rPr>
                <w:rFonts w:hint="eastAsia"/>
                <w:color w:val="auto"/>
                <w:sz w:val="24"/>
                <w:highlight w:val="none"/>
                <w:vertAlign w:val="subscript"/>
              </w:rPr>
              <w:t>3</w:t>
            </w:r>
            <w:r>
              <w:rPr>
                <w:rFonts w:hint="eastAsia"/>
                <w:color w:val="auto"/>
                <w:sz w:val="24"/>
                <w:highlight w:val="none"/>
              </w:rPr>
              <w:t>日最大平均值第90百分位数浓度为</w:t>
            </w:r>
            <w:r>
              <w:rPr>
                <w:rFonts w:hint="eastAsia"/>
                <w:color w:val="auto"/>
                <w:sz w:val="24"/>
                <w:highlight w:val="none"/>
                <w:lang w:val="en-US" w:eastAsia="zh-CN"/>
              </w:rPr>
              <w:t>148</w:t>
            </w:r>
            <w:r>
              <w:rPr>
                <w:rFonts w:hint="eastAsia"/>
                <w:color w:val="auto"/>
                <w:sz w:val="24"/>
                <w:highlight w:val="none"/>
              </w:rPr>
              <w:t>ug/m</w:t>
            </w:r>
            <w:r>
              <w:rPr>
                <w:rFonts w:hint="eastAsia"/>
                <w:color w:val="auto"/>
                <w:sz w:val="24"/>
                <w:highlight w:val="none"/>
                <w:vertAlign w:val="superscript"/>
              </w:rPr>
              <w:t>3</w:t>
            </w:r>
            <w:r>
              <w:rPr>
                <w:rFonts w:hint="eastAsia"/>
                <w:color w:val="auto"/>
                <w:highlight w:val="none"/>
                <w:lang w:eastAsia="zh-CN"/>
              </w:rPr>
              <w:t>。</w:t>
            </w:r>
            <w:r>
              <w:rPr>
                <w:rFonts w:hint="eastAsia"/>
                <w:color w:val="auto"/>
                <w:sz w:val="24"/>
                <w:highlight w:val="none"/>
              </w:rPr>
              <w:t>各污染物平均浓度均低于《环境空气质量标准》（GB3095-2012）及其修改单二级标准。</w:t>
            </w:r>
            <w:r>
              <w:rPr>
                <w:rFonts w:hint="eastAsia"/>
                <w:color w:val="auto"/>
                <w:sz w:val="24"/>
                <w:szCs w:val="24"/>
                <w:highlight w:val="none"/>
              </w:rPr>
              <w:t>因此，鄂尔多斯市环境空气质量属于达标区。</w:t>
            </w:r>
            <w:r>
              <w:rPr>
                <w:color w:val="auto"/>
                <w:sz w:val="24"/>
                <w:szCs w:val="24"/>
                <w:highlight w:val="none"/>
              </w:rPr>
              <w:t>区域空气质量现状评价见表3-</w:t>
            </w:r>
            <w:r>
              <w:rPr>
                <w:rFonts w:hint="eastAsia"/>
                <w:color w:val="auto"/>
                <w:sz w:val="24"/>
                <w:szCs w:val="24"/>
                <w:highlight w:val="none"/>
                <w:lang w:val="en-US" w:eastAsia="zh-CN"/>
              </w:rPr>
              <w:t>4</w:t>
            </w:r>
            <w:r>
              <w:rPr>
                <w:color w:val="auto"/>
                <w:sz w:val="24"/>
                <w:szCs w:val="24"/>
                <w:highlight w:val="none"/>
              </w:rPr>
              <w:t>。</w:t>
            </w:r>
          </w:p>
          <w:p>
            <w:pPr>
              <w:keepNext w:val="0"/>
              <w:keepLines w:val="0"/>
              <w:pageBreakBefore w:val="0"/>
              <w:widowControl w:val="0"/>
              <w:kinsoku/>
              <w:wordWrap/>
              <w:overflowPunct/>
              <w:topLinePunct w:val="0"/>
              <w:autoSpaceDE/>
              <w:autoSpaceDN/>
              <w:bidi w:val="0"/>
              <w:adjustRightInd w:val="0"/>
              <w:snapToGrid w:val="0"/>
              <w:spacing w:line="384" w:lineRule="auto"/>
              <w:jc w:val="center"/>
              <w:textAlignment w:val="auto"/>
              <w:rPr>
                <w:color w:val="auto"/>
                <w:sz w:val="24"/>
                <w:szCs w:val="24"/>
                <w:highlight w:val="none"/>
              </w:rPr>
            </w:pPr>
            <w:r>
              <w:rPr>
                <w:color w:val="auto"/>
                <w:sz w:val="24"/>
                <w:szCs w:val="24"/>
                <w:highlight w:val="none"/>
              </w:rPr>
              <w:t>表3-</w:t>
            </w:r>
            <w:r>
              <w:rPr>
                <w:rFonts w:hint="eastAsia"/>
                <w:color w:val="auto"/>
                <w:sz w:val="24"/>
                <w:szCs w:val="24"/>
                <w:highlight w:val="none"/>
                <w:lang w:val="en-US" w:eastAsia="zh-CN"/>
              </w:rPr>
              <w:t xml:space="preserve">4  </w:t>
            </w:r>
            <w:r>
              <w:rPr>
                <w:color w:val="auto"/>
                <w:sz w:val="24"/>
                <w:szCs w:val="24"/>
                <w:highlight w:val="none"/>
              </w:rPr>
              <w:t>区域空气质量现状评价表</w:t>
            </w:r>
          </w:p>
          <w:tbl>
            <w:tblPr>
              <w:tblStyle w:val="24"/>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57" w:type="dxa"/>
                <w:bottom w:w="0" w:type="dxa"/>
                <w:right w:w="57" w:type="dxa"/>
              </w:tblCellMar>
            </w:tblPr>
            <w:tblGrid>
              <w:gridCol w:w="902"/>
              <w:gridCol w:w="2253"/>
              <w:gridCol w:w="1228"/>
              <w:gridCol w:w="1294"/>
              <w:gridCol w:w="1223"/>
              <w:gridCol w:w="99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污染物</w:t>
                  </w:r>
                </w:p>
              </w:tc>
              <w:tc>
                <w:tcPr>
                  <w:tcW w:w="1426"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年评价指标</w:t>
                  </w:r>
                </w:p>
              </w:tc>
              <w:tc>
                <w:tcPr>
                  <w:tcW w:w="777"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现状浓度</w:t>
                  </w:r>
                </w:p>
                <w:p>
                  <w:pPr>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（μg/m</w:t>
                  </w:r>
                  <w:r>
                    <w:rPr>
                      <w:rFonts w:ascii="Times New Roman" w:hAnsi="Times New Roman" w:cs="Times New Roman"/>
                      <w:color w:val="auto"/>
                      <w:sz w:val="21"/>
                      <w:szCs w:val="21"/>
                      <w:highlight w:val="none"/>
                      <w:vertAlign w:val="superscript"/>
                    </w:rPr>
                    <w:t>3</w:t>
                  </w:r>
                  <w:r>
                    <w:rPr>
                      <w:rFonts w:ascii="Times New Roman" w:hAnsi="Times New Roman" w:cs="Times New Roman"/>
                      <w:color w:val="auto"/>
                      <w:sz w:val="21"/>
                      <w:szCs w:val="21"/>
                      <w:highlight w:val="none"/>
                    </w:rPr>
                    <w:t>）</w:t>
                  </w:r>
                </w:p>
              </w:tc>
              <w:tc>
                <w:tcPr>
                  <w:tcW w:w="819"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标准值</w:t>
                  </w:r>
                </w:p>
                <w:p>
                  <w:pPr>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（μg/m</w:t>
                  </w:r>
                  <w:r>
                    <w:rPr>
                      <w:rFonts w:ascii="Times New Roman" w:hAnsi="Times New Roman" w:cs="Times New Roman"/>
                      <w:color w:val="auto"/>
                      <w:sz w:val="21"/>
                      <w:szCs w:val="21"/>
                      <w:highlight w:val="none"/>
                      <w:vertAlign w:val="superscript"/>
                    </w:rPr>
                    <w:t>3</w:t>
                  </w:r>
                  <w:r>
                    <w:rPr>
                      <w:rFonts w:ascii="Times New Roman" w:hAnsi="Times New Roman" w:cs="Times New Roman"/>
                      <w:color w:val="auto"/>
                      <w:sz w:val="21"/>
                      <w:szCs w:val="21"/>
                      <w:highlight w:val="none"/>
                    </w:rPr>
                    <w:t>）</w:t>
                  </w:r>
                </w:p>
              </w:tc>
              <w:tc>
                <w:tcPr>
                  <w:tcW w:w="774"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占标率/%</w:t>
                  </w:r>
                </w:p>
              </w:tc>
              <w:tc>
                <w:tcPr>
                  <w:tcW w:w="63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SO</w:t>
                  </w:r>
                  <w:r>
                    <w:rPr>
                      <w:rFonts w:ascii="Times New Roman" w:hAnsi="Times New Roman" w:cs="Times New Roman"/>
                      <w:color w:val="auto"/>
                      <w:sz w:val="21"/>
                      <w:szCs w:val="21"/>
                      <w:highlight w:val="none"/>
                      <w:vertAlign w:val="subscript"/>
                    </w:rPr>
                    <w:t>2</w:t>
                  </w:r>
                </w:p>
              </w:tc>
              <w:tc>
                <w:tcPr>
                  <w:tcW w:w="1426"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年平均质量浓度</w:t>
                  </w:r>
                </w:p>
              </w:tc>
              <w:tc>
                <w:tcPr>
                  <w:tcW w:w="777"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1</w:t>
                  </w:r>
                  <w:r>
                    <w:rPr>
                      <w:rFonts w:ascii="Times New Roman" w:hAnsi="Times New Roman" w:cs="Times New Roman"/>
                      <w:color w:val="auto"/>
                      <w:sz w:val="21"/>
                      <w:szCs w:val="21"/>
                      <w:highlight w:val="none"/>
                      <w:lang w:eastAsia="zh-CN"/>
                    </w:rPr>
                    <w:t>0</w:t>
                  </w:r>
                </w:p>
              </w:tc>
              <w:tc>
                <w:tcPr>
                  <w:tcW w:w="819"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60</w:t>
                  </w:r>
                </w:p>
              </w:tc>
              <w:tc>
                <w:tcPr>
                  <w:tcW w:w="774"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16.67</w:t>
                  </w:r>
                </w:p>
              </w:tc>
              <w:tc>
                <w:tcPr>
                  <w:tcW w:w="63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NO</w:t>
                  </w:r>
                  <w:r>
                    <w:rPr>
                      <w:rFonts w:ascii="Times New Roman" w:hAnsi="Times New Roman" w:cs="Times New Roman"/>
                      <w:color w:val="auto"/>
                      <w:sz w:val="21"/>
                      <w:szCs w:val="21"/>
                      <w:highlight w:val="none"/>
                      <w:vertAlign w:val="subscript"/>
                    </w:rPr>
                    <w:t>2</w:t>
                  </w:r>
                </w:p>
              </w:tc>
              <w:tc>
                <w:tcPr>
                  <w:tcW w:w="1426"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年平均质量浓度</w:t>
                  </w:r>
                </w:p>
              </w:tc>
              <w:tc>
                <w:tcPr>
                  <w:tcW w:w="777"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2</w:t>
                  </w:r>
                  <w:r>
                    <w:rPr>
                      <w:rFonts w:ascii="Times New Roman" w:hAnsi="Times New Roman" w:cs="Times New Roman"/>
                      <w:color w:val="auto"/>
                      <w:sz w:val="21"/>
                      <w:szCs w:val="21"/>
                      <w:highlight w:val="none"/>
                      <w:lang w:eastAsia="zh-CN"/>
                    </w:rPr>
                    <w:t>3</w:t>
                  </w:r>
                </w:p>
              </w:tc>
              <w:tc>
                <w:tcPr>
                  <w:tcW w:w="819"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40</w:t>
                  </w:r>
                </w:p>
              </w:tc>
              <w:tc>
                <w:tcPr>
                  <w:tcW w:w="774"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57.50</w:t>
                  </w:r>
                </w:p>
              </w:tc>
              <w:tc>
                <w:tcPr>
                  <w:tcW w:w="63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PM</w:t>
                  </w:r>
                  <w:r>
                    <w:rPr>
                      <w:rFonts w:ascii="Times New Roman" w:hAnsi="Times New Roman" w:cs="Times New Roman"/>
                      <w:color w:val="auto"/>
                      <w:sz w:val="21"/>
                      <w:szCs w:val="21"/>
                      <w:highlight w:val="none"/>
                      <w:vertAlign w:val="subscript"/>
                    </w:rPr>
                    <w:t>10</w:t>
                  </w:r>
                </w:p>
              </w:tc>
              <w:tc>
                <w:tcPr>
                  <w:tcW w:w="1426"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年平均质量浓度</w:t>
                  </w:r>
                </w:p>
              </w:tc>
              <w:tc>
                <w:tcPr>
                  <w:tcW w:w="777"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5</w:t>
                  </w:r>
                  <w:r>
                    <w:rPr>
                      <w:rFonts w:ascii="Times New Roman" w:hAnsi="Times New Roman" w:cs="Times New Roman"/>
                      <w:color w:val="auto"/>
                      <w:sz w:val="21"/>
                      <w:szCs w:val="21"/>
                      <w:highlight w:val="none"/>
                      <w:lang w:eastAsia="zh-CN"/>
                    </w:rPr>
                    <w:t>1</w:t>
                  </w:r>
                </w:p>
              </w:tc>
              <w:tc>
                <w:tcPr>
                  <w:tcW w:w="819"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70</w:t>
                  </w:r>
                </w:p>
              </w:tc>
              <w:tc>
                <w:tcPr>
                  <w:tcW w:w="774"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72.86</w:t>
                  </w:r>
                </w:p>
              </w:tc>
              <w:tc>
                <w:tcPr>
                  <w:tcW w:w="63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PM</w:t>
                  </w:r>
                  <w:r>
                    <w:rPr>
                      <w:rFonts w:ascii="Times New Roman" w:hAnsi="Times New Roman" w:cs="Times New Roman"/>
                      <w:color w:val="auto"/>
                      <w:sz w:val="21"/>
                      <w:szCs w:val="21"/>
                      <w:highlight w:val="none"/>
                      <w:vertAlign w:val="subscript"/>
                    </w:rPr>
                    <w:t>2.5</w:t>
                  </w:r>
                </w:p>
              </w:tc>
              <w:tc>
                <w:tcPr>
                  <w:tcW w:w="1426"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年平均质量浓度</w:t>
                  </w:r>
                </w:p>
              </w:tc>
              <w:tc>
                <w:tcPr>
                  <w:tcW w:w="777"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20</w:t>
                  </w:r>
                </w:p>
              </w:tc>
              <w:tc>
                <w:tcPr>
                  <w:tcW w:w="819"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35</w:t>
                  </w:r>
                </w:p>
              </w:tc>
              <w:tc>
                <w:tcPr>
                  <w:tcW w:w="774"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57.14</w:t>
                  </w:r>
                </w:p>
              </w:tc>
              <w:tc>
                <w:tcPr>
                  <w:tcW w:w="63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O</w:t>
                  </w:r>
                  <w:r>
                    <w:rPr>
                      <w:rFonts w:ascii="Times New Roman" w:hAnsi="Times New Roman" w:cs="Times New Roman"/>
                      <w:color w:val="auto"/>
                      <w:sz w:val="21"/>
                      <w:szCs w:val="21"/>
                      <w:highlight w:val="none"/>
                      <w:vertAlign w:val="subscript"/>
                    </w:rPr>
                    <w:t>3</w:t>
                  </w:r>
                </w:p>
              </w:tc>
              <w:tc>
                <w:tcPr>
                  <w:tcW w:w="1426" w:type="pct"/>
                  <w:tcBorders>
                    <w:tl2br w:val="nil"/>
                    <w:tr2bl w:val="nil"/>
                  </w:tcBorders>
                  <w:noWrap w:val="0"/>
                  <w:vAlign w:val="center"/>
                </w:tcPr>
                <w:p>
                  <w:pPr>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8小时平均质量浓度</w:t>
                  </w:r>
                </w:p>
              </w:tc>
              <w:tc>
                <w:tcPr>
                  <w:tcW w:w="777"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1</w:t>
                  </w:r>
                  <w:r>
                    <w:rPr>
                      <w:rFonts w:ascii="Times New Roman" w:hAnsi="Times New Roman" w:cs="Times New Roman"/>
                      <w:color w:val="auto"/>
                      <w:sz w:val="21"/>
                      <w:szCs w:val="21"/>
                      <w:highlight w:val="none"/>
                      <w:lang w:eastAsia="zh-CN"/>
                    </w:rPr>
                    <w:t>48</w:t>
                  </w:r>
                </w:p>
              </w:tc>
              <w:tc>
                <w:tcPr>
                  <w:tcW w:w="819"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160</w:t>
                  </w:r>
                </w:p>
              </w:tc>
              <w:tc>
                <w:tcPr>
                  <w:tcW w:w="774"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92.50</w:t>
                  </w:r>
                </w:p>
              </w:tc>
              <w:tc>
                <w:tcPr>
                  <w:tcW w:w="63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83" w:hRule="atLeast"/>
                <w:jc w:val="center"/>
              </w:trPr>
              <w:tc>
                <w:tcPr>
                  <w:tcW w:w="57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CO</w:t>
                  </w:r>
                </w:p>
              </w:tc>
              <w:tc>
                <w:tcPr>
                  <w:tcW w:w="1426"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第95百分位数日平均</w:t>
                  </w:r>
                </w:p>
              </w:tc>
              <w:tc>
                <w:tcPr>
                  <w:tcW w:w="777"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0.9mg/m</w:t>
                  </w:r>
                  <w:r>
                    <w:rPr>
                      <w:rFonts w:ascii="Times New Roman" w:hAnsi="Times New Roman" w:cs="Times New Roman"/>
                      <w:color w:val="auto"/>
                      <w:sz w:val="21"/>
                      <w:szCs w:val="21"/>
                      <w:highlight w:val="none"/>
                      <w:vertAlign w:val="superscript"/>
                    </w:rPr>
                    <w:t>3</w:t>
                  </w:r>
                </w:p>
              </w:tc>
              <w:tc>
                <w:tcPr>
                  <w:tcW w:w="819"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4mg/m</w:t>
                  </w:r>
                  <w:r>
                    <w:rPr>
                      <w:rFonts w:ascii="Times New Roman" w:hAnsi="Times New Roman" w:cs="Times New Roman"/>
                      <w:color w:val="auto"/>
                      <w:sz w:val="21"/>
                      <w:szCs w:val="21"/>
                      <w:highlight w:val="none"/>
                      <w:vertAlign w:val="superscript"/>
                    </w:rPr>
                    <w:t>3</w:t>
                  </w:r>
                </w:p>
              </w:tc>
              <w:tc>
                <w:tcPr>
                  <w:tcW w:w="774"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22.50</w:t>
                  </w:r>
                </w:p>
              </w:tc>
              <w:tc>
                <w:tcPr>
                  <w:tcW w:w="631" w:type="pct"/>
                  <w:tcBorders>
                    <w:tl2br w:val="nil"/>
                    <w:tr2bl w:val="nil"/>
                  </w:tcBorders>
                  <w:noWrap w:val="0"/>
                  <w:vAlign w:val="center"/>
                </w:tcPr>
                <w:p>
                  <w:pPr>
                    <w:widowControl/>
                    <w:adjustRightInd w:val="0"/>
                    <w:snapToGrid w:val="0"/>
                    <w:spacing w:line="360" w:lineRule="auto"/>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达标</w:t>
                  </w:r>
                </w:p>
              </w:tc>
            </w:tr>
          </w:tbl>
          <w:p>
            <w:pPr>
              <w:pStyle w:val="4"/>
              <w:keepNext w:val="0"/>
              <w:keepLines w:val="0"/>
              <w:pageBreakBefore w:val="0"/>
              <w:widowControl w:val="0"/>
              <w:numPr>
                <w:ilvl w:val="0"/>
                <w:numId w:val="7"/>
              </w:numPr>
              <w:kinsoku/>
              <w:wordWrap/>
              <w:overflowPunct/>
              <w:topLinePunct w:val="0"/>
              <w:autoSpaceDE/>
              <w:autoSpaceDN/>
              <w:bidi w:val="0"/>
              <w:adjustRightInd/>
              <w:snapToGrid/>
              <w:spacing w:before="157" w:beforeLines="50" w:after="0" w:line="384" w:lineRule="auto"/>
              <w:ind w:left="0" w:leftChars="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声环境质量现状</w:t>
            </w:r>
          </w:p>
          <w:p>
            <w:pPr>
              <w:pStyle w:val="23"/>
              <w:keepNext w:val="0"/>
              <w:keepLines w:val="0"/>
              <w:pageBreakBefore w:val="0"/>
              <w:widowControl/>
              <w:kinsoku/>
              <w:wordWrap/>
              <w:overflowPunct/>
              <w:topLinePunct w:val="0"/>
              <w:autoSpaceDE/>
              <w:autoSpaceDN/>
              <w:bidi w:val="0"/>
              <w:adjustRightInd/>
              <w:snapToGrid w:val="0"/>
              <w:spacing w:before="0" w:after="0" w:line="384" w:lineRule="auto"/>
              <w:ind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本项目位于</w:t>
            </w:r>
            <w:r>
              <w:rPr>
                <w:rFonts w:hint="eastAsia" w:cs="Times New Roman"/>
                <w:color w:val="auto"/>
                <w:sz w:val="24"/>
                <w:szCs w:val="24"/>
                <w:highlight w:val="none"/>
                <w:lang w:val="en-US" w:eastAsia="zh-CN"/>
              </w:rPr>
              <w:t>鄂尔多斯市伊金霍洛旗阿勒腾席热镇红海子村</w:t>
            </w:r>
            <w:r>
              <w:rPr>
                <w:rFonts w:hint="default" w:ascii="Times New Roman" w:hAnsi="Times New Roman" w:eastAsia="宋体" w:cs="Times New Roman"/>
                <w:color w:val="auto"/>
                <w:sz w:val="24"/>
                <w:szCs w:val="24"/>
                <w:highlight w:val="none"/>
                <w:lang w:val="en-US" w:eastAsia="zh-CN"/>
              </w:rPr>
              <w:t>，厂址周围50m范围内无学校、疗养院、医院及风景名胜区等声环境敏感目标，故不进行声环境质量现状监测。</w:t>
            </w:r>
          </w:p>
          <w:p>
            <w:pPr>
              <w:pStyle w:val="23"/>
              <w:keepNext w:val="0"/>
              <w:keepLines w:val="0"/>
              <w:pageBreakBefore w:val="0"/>
              <w:kinsoku/>
              <w:wordWrap/>
              <w:overflowPunct/>
              <w:topLinePunct w:val="0"/>
              <w:autoSpaceDE/>
              <w:autoSpaceDN/>
              <w:bidi w:val="0"/>
              <w:adjustRightInd/>
              <w:spacing w:before="0" w:after="0" w:line="384" w:lineRule="auto"/>
              <w:ind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4</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地下水环境</w:t>
            </w:r>
          </w:p>
          <w:p>
            <w:pPr>
              <w:pStyle w:val="23"/>
              <w:keepNext w:val="0"/>
              <w:keepLines w:val="0"/>
              <w:pageBreakBefore w:val="0"/>
              <w:kinsoku/>
              <w:wordWrap/>
              <w:overflowPunct/>
              <w:topLinePunct w:val="0"/>
              <w:autoSpaceDE/>
              <w:autoSpaceDN/>
              <w:bidi w:val="0"/>
              <w:adjustRightInd/>
              <w:spacing w:before="0" w:after="0" w:line="384" w:lineRule="auto"/>
              <w:ind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olor w:val="auto"/>
                <w:sz w:val="24"/>
                <w:szCs w:val="24"/>
                <w:lang w:val="en-US" w:eastAsia="zh-CN"/>
              </w:rPr>
              <w:t>根据《建设项目环境影响报告表编制技术指南》（生态影响类）（试行），本项目无地下水环境污染途径的，本评价可无需开展地下水环境现状监测调查</w:t>
            </w:r>
            <w:r>
              <w:rPr>
                <w:rFonts w:hint="eastAsia" w:ascii="Times New Roman" w:hAnsi="Times New Roman" w:eastAsia="宋体" w:cs="Times New Roman"/>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土壤环境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highlight w:val="none"/>
              </w:rPr>
            </w:pPr>
            <w:r>
              <w:rPr>
                <w:rFonts w:hint="eastAsia"/>
                <w:color w:val="auto"/>
                <w:sz w:val="24"/>
                <w:szCs w:val="24"/>
                <w:highlight w:val="none"/>
              </w:rPr>
              <w:t>为了解项目区土壤环境质量现状，本次评价在厂区内布置1处监测点，委托内蒙古皓天环境检测有限责任公司于202</w:t>
            </w:r>
            <w:r>
              <w:rPr>
                <w:rFonts w:hint="eastAsia"/>
                <w:color w:val="auto"/>
                <w:sz w:val="24"/>
                <w:szCs w:val="24"/>
                <w:highlight w:val="none"/>
                <w:lang w:val="en-US" w:eastAsia="zh-CN"/>
              </w:rPr>
              <w:t>4</w:t>
            </w:r>
            <w:r>
              <w:rPr>
                <w:rFonts w:hint="eastAsia"/>
                <w:color w:val="auto"/>
                <w:sz w:val="24"/>
                <w:szCs w:val="24"/>
                <w:highlight w:val="none"/>
              </w:rPr>
              <w:t>年</w:t>
            </w:r>
            <w:r>
              <w:rPr>
                <w:rFonts w:hint="eastAsia"/>
                <w:color w:val="auto"/>
                <w:sz w:val="24"/>
                <w:szCs w:val="24"/>
                <w:highlight w:val="none"/>
                <w:lang w:val="en-US" w:eastAsia="zh-CN"/>
              </w:rPr>
              <w:t>1</w:t>
            </w:r>
            <w:r>
              <w:rPr>
                <w:rFonts w:hint="eastAsia"/>
                <w:color w:val="auto"/>
                <w:sz w:val="24"/>
                <w:szCs w:val="24"/>
                <w:highlight w:val="none"/>
              </w:rPr>
              <w:t>月</w:t>
            </w:r>
            <w:r>
              <w:rPr>
                <w:rFonts w:hint="eastAsia"/>
                <w:color w:val="auto"/>
                <w:sz w:val="24"/>
                <w:szCs w:val="24"/>
                <w:highlight w:val="none"/>
                <w:lang w:val="en-US" w:eastAsia="zh-CN"/>
              </w:rPr>
              <w:t>5</w:t>
            </w:r>
            <w:r>
              <w:rPr>
                <w:rFonts w:hint="eastAsia"/>
                <w:color w:val="auto"/>
                <w:sz w:val="24"/>
                <w:szCs w:val="24"/>
                <w:highlight w:val="none"/>
              </w:rPr>
              <w:t>日</w:t>
            </w:r>
            <w:r>
              <w:rPr>
                <w:rFonts w:hint="eastAsia"/>
                <w:color w:val="auto"/>
                <w:sz w:val="24"/>
                <w:szCs w:val="24"/>
                <w:highlight w:val="none"/>
                <w:lang w:eastAsia="zh-CN"/>
              </w:rPr>
              <w:t>至</w:t>
            </w:r>
            <w:r>
              <w:rPr>
                <w:rFonts w:hint="eastAsia"/>
                <w:color w:val="auto"/>
                <w:sz w:val="24"/>
                <w:szCs w:val="24"/>
                <w:highlight w:val="none"/>
              </w:rPr>
              <w:t>202</w:t>
            </w:r>
            <w:r>
              <w:rPr>
                <w:rFonts w:hint="eastAsia"/>
                <w:color w:val="auto"/>
                <w:sz w:val="24"/>
                <w:szCs w:val="24"/>
                <w:highlight w:val="none"/>
                <w:lang w:val="en-US" w:eastAsia="zh-CN"/>
              </w:rPr>
              <w:t>4</w:t>
            </w:r>
            <w:r>
              <w:rPr>
                <w:rFonts w:hint="eastAsia"/>
                <w:color w:val="auto"/>
                <w:sz w:val="24"/>
                <w:szCs w:val="24"/>
                <w:highlight w:val="none"/>
              </w:rPr>
              <w:t>年</w:t>
            </w:r>
            <w:r>
              <w:rPr>
                <w:rFonts w:hint="eastAsia"/>
                <w:color w:val="auto"/>
                <w:sz w:val="24"/>
                <w:szCs w:val="24"/>
                <w:highlight w:val="none"/>
                <w:lang w:val="en-US" w:eastAsia="zh-CN"/>
              </w:rPr>
              <w:t>1</w:t>
            </w:r>
            <w:r>
              <w:rPr>
                <w:rFonts w:hint="eastAsia"/>
                <w:color w:val="auto"/>
                <w:sz w:val="24"/>
                <w:szCs w:val="24"/>
                <w:highlight w:val="none"/>
              </w:rPr>
              <w:t>月</w:t>
            </w:r>
            <w:r>
              <w:rPr>
                <w:rFonts w:hint="eastAsia"/>
                <w:color w:val="auto"/>
                <w:sz w:val="24"/>
                <w:szCs w:val="24"/>
                <w:highlight w:val="none"/>
                <w:lang w:val="en-US" w:eastAsia="zh-CN"/>
              </w:rPr>
              <w:t>15</w:t>
            </w:r>
            <w:r>
              <w:rPr>
                <w:rFonts w:hint="eastAsia"/>
                <w:color w:val="auto"/>
                <w:sz w:val="24"/>
                <w:szCs w:val="24"/>
                <w:highlight w:val="none"/>
              </w:rPr>
              <w:t>日</w:t>
            </w:r>
            <w:r>
              <w:rPr>
                <w:rFonts w:hint="eastAsia"/>
                <w:color w:val="auto"/>
                <w:sz w:val="24"/>
                <w:szCs w:val="24"/>
                <w:highlight w:val="none"/>
                <w:lang w:eastAsia="zh-CN"/>
              </w:rPr>
              <w:t>对</w:t>
            </w:r>
            <w:r>
              <w:rPr>
                <w:rFonts w:hint="eastAsia"/>
                <w:color w:val="auto"/>
                <w:sz w:val="24"/>
                <w:szCs w:val="24"/>
                <w:highlight w:val="none"/>
              </w:rPr>
              <w:t>其土壤环境质量进行取样</w:t>
            </w:r>
            <w:r>
              <w:rPr>
                <w:rFonts w:hint="eastAsia"/>
                <w:color w:val="auto"/>
                <w:sz w:val="24"/>
                <w:szCs w:val="24"/>
                <w:highlight w:val="none"/>
                <w:lang w:eastAsia="zh-CN"/>
              </w:rPr>
              <w:t>及检</w:t>
            </w:r>
            <w:r>
              <w:rPr>
                <w:color w:val="auto"/>
                <w:sz w:val="24"/>
                <w:szCs w:val="24"/>
                <w:highlight w:val="none"/>
              </w:rPr>
              <w:t>测。</w:t>
            </w:r>
            <w:r>
              <w:rPr>
                <w:rFonts w:hint="eastAsia"/>
                <w:color w:val="auto"/>
                <w:sz w:val="24"/>
                <w:szCs w:val="24"/>
                <w:highlight w:val="none"/>
              </w:rPr>
              <w:t>检测结果见表3-</w:t>
            </w:r>
            <w:r>
              <w:rPr>
                <w:rFonts w:hint="eastAsia"/>
                <w:color w:val="auto"/>
                <w:sz w:val="24"/>
                <w:szCs w:val="24"/>
                <w:highlight w:val="none"/>
                <w:lang w:val="en-US" w:eastAsia="zh-CN"/>
              </w:rPr>
              <w:t>5</w:t>
            </w:r>
            <w:r>
              <w:rPr>
                <w:color w:val="auto"/>
                <w:sz w:val="24"/>
                <w:szCs w:val="24"/>
                <w:highlight w:val="none"/>
              </w:rPr>
              <w:t>。</w:t>
            </w:r>
          </w:p>
          <w:p>
            <w:pPr>
              <w:ind w:firstLine="420" w:firstLineChars="200"/>
              <w:jc w:val="center"/>
              <w:rPr>
                <w:color w:val="auto"/>
                <w:highlight w:val="none"/>
              </w:rPr>
            </w:pPr>
            <w:r>
              <w:rPr>
                <w:color w:val="auto"/>
                <w:highlight w:val="none"/>
              </w:rPr>
              <w:t>表3-</w:t>
            </w:r>
            <w:r>
              <w:rPr>
                <w:rFonts w:hint="eastAsia"/>
                <w:color w:val="auto"/>
                <w:highlight w:val="none"/>
                <w:lang w:val="en-US" w:eastAsia="zh-CN"/>
              </w:rPr>
              <w:t xml:space="preserve">5  </w:t>
            </w:r>
            <w:r>
              <w:rPr>
                <w:color w:val="auto"/>
                <w:highlight w:val="none"/>
              </w:rPr>
              <w:t>土壤环境质量现状监测结果一览表</w:t>
            </w:r>
          </w:p>
          <w:tbl>
            <w:tblPr>
              <w:tblStyle w:val="24"/>
              <w:tblW w:w="76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6"/>
              <w:gridCol w:w="4161"/>
              <w:gridCol w:w="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2516" w:type="dxa"/>
                  <w:vMerge w:val="restart"/>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color w:val="auto"/>
                      <w:sz w:val="21"/>
                      <w:szCs w:val="21"/>
                      <w:highlight w:val="none"/>
                    </w:rPr>
                  </w:pPr>
                </w:p>
                <w:p>
                  <w:pPr>
                    <w:keepNext w:val="0"/>
                    <w:keepLines w:val="0"/>
                    <w:pageBreakBefore w:val="0"/>
                    <w:widowControl/>
                    <w:kinsoku/>
                    <w:wordWrap/>
                    <w:overflowPunct/>
                    <w:topLinePunct w:val="0"/>
                    <w:autoSpaceDE/>
                    <w:autoSpaceDN/>
                    <w:bidi w:val="0"/>
                    <w:adjustRightInd/>
                    <w:snapToGrid w:val="0"/>
                    <w:spacing w:line="360" w:lineRule="auto"/>
                    <w:jc w:val="center"/>
                    <w:textAlignment w:val="auto"/>
                    <mc:AlternateContent>
                      <mc:Choice Requires="wpsCustomData">
                        <wpsCustomData:diagonalParaType/>
                      </mc:Choice>
                    </mc:AlternateContent>
                    <w:rPr>
                      <w:rFonts w:hint="eastAsia" w:ascii="宋体" w:hAnsi="宋体" w:eastAsia="宋体" w:cs="宋体"/>
                      <w:color w:val="auto"/>
                      <w:kern w:val="2"/>
                      <w:sz w:val="21"/>
                      <w:szCs w:val="21"/>
                      <w:highlight w:val="none"/>
                      <w:lang w:val="en-US" w:eastAsia="zh-CN" w:bidi="ar-SA"/>
                    </w:rPr>
                  </w:pPr>
                  <w:r>
                    <w:rPr>
                      <w:rFonts w:hint="eastAsia"/>
                      <w:color w:val="auto"/>
                      <w:sz w:val="21"/>
                      <w:szCs w:val="21"/>
                      <w:highlight w:val="none"/>
                    </w:rPr>
                    <w:t>分析项目</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color w:val="auto"/>
                      <w:sz w:val="21"/>
                      <w:szCs w:val="21"/>
                      <w:highlight w:val="none"/>
                      <w:lang w:val="en-US" w:eastAsia="zh-CN"/>
                    </w:rPr>
                    <w:t>点位</w:t>
                  </w:r>
                </w:p>
              </w:tc>
              <w:tc>
                <w:tcPr>
                  <w:tcW w:w="4161" w:type="dxa"/>
                  <w:noWrap w:val="0"/>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rPr>
                    <w:t>测定结果</w:t>
                  </w:r>
                </w:p>
              </w:tc>
              <w:tc>
                <w:tcPr>
                  <w:tcW w:w="958"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color w:val="auto"/>
                      <w:sz w:val="21"/>
                      <w:szCs w:val="21"/>
                      <w:highlight w:val="none"/>
                    </w:rPr>
                    <w:t>标准值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2516"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none"/>
                      <w:lang w:val="en-US" w:eastAsia="zh-CN" w:bidi="ar-SA"/>
                    </w:rPr>
                  </w:pPr>
                </w:p>
              </w:tc>
              <w:tc>
                <w:tcPr>
                  <w:tcW w:w="4161" w:type="dxa"/>
                  <w:noWrap w:val="0"/>
                  <w:vAlign w:val="center"/>
                </w:tcPr>
                <w:p>
                  <w:pPr>
                    <w:keepNext w:val="0"/>
                    <w:keepLines w:val="0"/>
                    <w:pageBreakBefore w:val="0"/>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厂区内 表层样</w:t>
                  </w:r>
                </w:p>
              </w:tc>
              <w:tc>
                <w:tcPr>
                  <w:tcW w:w="958"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2516" w:type="dxa"/>
                  <w:noWrap w:val="0"/>
                  <w:vAlign w:val="center"/>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rPr>
                    <w:t>砷</w:t>
                  </w:r>
                </w:p>
              </w:tc>
              <w:tc>
                <w:tcPr>
                  <w:tcW w:w="4161"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lang w:val="en-US" w:eastAsia="zh-CN" w:bidi="ar-SA"/>
                    </w:rPr>
                    <w:t>9.98</w:t>
                  </w:r>
                </w:p>
              </w:tc>
              <w:tc>
                <w:tcPr>
                  <w:tcW w:w="958"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2516" w:type="dxa"/>
                  <w:noWrap w:val="0"/>
                  <w:vAlign w:val="center"/>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rPr>
                    <w:t>镉</w:t>
                  </w:r>
                </w:p>
              </w:tc>
              <w:tc>
                <w:tcPr>
                  <w:tcW w:w="4161"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lang w:val="en-US" w:eastAsia="zh-CN" w:bidi="ar-SA"/>
                    </w:rPr>
                    <w:t>0.15</w:t>
                  </w:r>
                </w:p>
              </w:tc>
              <w:tc>
                <w:tcPr>
                  <w:tcW w:w="958"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2516" w:type="dxa"/>
                  <w:noWrap w:val="0"/>
                  <w:vAlign w:val="center"/>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rPr>
                    <w:t>铜</w:t>
                  </w:r>
                </w:p>
              </w:tc>
              <w:tc>
                <w:tcPr>
                  <w:tcW w:w="4161"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lang w:val="en-US" w:eastAsia="zh-CN" w:bidi="ar-SA"/>
                    </w:rPr>
                    <w:t>38</w:t>
                  </w:r>
                </w:p>
              </w:tc>
              <w:tc>
                <w:tcPr>
                  <w:tcW w:w="958"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2516" w:type="dxa"/>
                  <w:noWrap w:val="0"/>
                  <w:vAlign w:val="center"/>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rPr>
                    <w:t>铅</w:t>
                  </w:r>
                </w:p>
              </w:tc>
              <w:tc>
                <w:tcPr>
                  <w:tcW w:w="4161"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lang w:val="en-US" w:eastAsia="zh-CN" w:bidi="ar-SA"/>
                    </w:rPr>
                    <w:t>3.0</w:t>
                  </w:r>
                </w:p>
              </w:tc>
              <w:tc>
                <w:tcPr>
                  <w:tcW w:w="958"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2516" w:type="dxa"/>
                  <w:noWrap w:val="0"/>
                  <w:vAlign w:val="center"/>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rPr>
                    <w:t>汞</w:t>
                  </w:r>
                </w:p>
              </w:tc>
              <w:tc>
                <w:tcPr>
                  <w:tcW w:w="4161"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lang w:val="en-US" w:eastAsia="zh-CN" w:bidi="ar-SA"/>
                    </w:rPr>
                    <w:t>0.15</w:t>
                  </w:r>
                </w:p>
              </w:tc>
              <w:tc>
                <w:tcPr>
                  <w:tcW w:w="958"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2516" w:type="dxa"/>
                  <w:noWrap w:val="0"/>
                  <w:vAlign w:val="center"/>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rPr>
                    <w:t>镍</w:t>
                  </w:r>
                </w:p>
              </w:tc>
              <w:tc>
                <w:tcPr>
                  <w:tcW w:w="4161"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lang w:val="en-US" w:eastAsia="zh-CN" w:bidi="ar-SA"/>
                    </w:rPr>
                    <w:t>39</w:t>
                  </w:r>
                </w:p>
              </w:tc>
              <w:tc>
                <w:tcPr>
                  <w:tcW w:w="958"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lang w:val="en-US" w:eastAsia="zh-CN" w:bidi="ar-SA"/>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2516" w:type="dxa"/>
                  <w:noWrap w:val="0"/>
                  <w:vAlign w:val="center"/>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lang w:eastAsia="zh-CN"/>
                    </w:rPr>
                    <w:t>铬</w:t>
                  </w:r>
                </w:p>
              </w:tc>
              <w:tc>
                <w:tcPr>
                  <w:tcW w:w="4161"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lang w:val="en-US" w:eastAsia="zh-CN" w:bidi="ar-SA"/>
                    </w:rPr>
                    <w:t>35</w:t>
                  </w:r>
                </w:p>
              </w:tc>
              <w:tc>
                <w:tcPr>
                  <w:tcW w:w="958"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lang w:val="en-US" w:eastAsia="zh-CN"/>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2516" w:type="dxa"/>
                  <w:noWrap w:val="0"/>
                  <w:vAlign w:val="center"/>
                </w:tcPr>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lang w:eastAsia="zh-CN"/>
                    </w:rPr>
                    <w:t>锌</w:t>
                  </w:r>
                </w:p>
              </w:tc>
              <w:tc>
                <w:tcPr>
                  <w:tcW w:w="4161"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lang w:val="en-US" w:eastAsia="zh-CN" w:bidi="ar-SA"/>
                    </w:rPr>
                    <w:t>35</w:t>
                  </w:r>
                </w:p>
              </w:tc>
              <w:tc>
                <w:tcPr>
                  <w:tcW w:w="958" w:type="dxa"/>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lang w:val="en-US"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7635" w:type="dxa"/>
                  <w:gridSpan w:val="3"/>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标准参考《土壤环境质量 农用地土壤污染风险管控标准》（GB15618-2018）中的二级标准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6" w:hRule="atLeast"/>
                <w:jc w:val="center"/>
              </w:trPr>
              <w:tc>
                <w:tcPr>
                  <w:tcW w:w="7635" w:type="dxa"/>
                  <w:gridSpan w:val="3"/>
                  <w:noWrap w:val="0"/>
                  <w:vAlign w:val="center"/>
                </w:tcPr>
                <w:p>
                  <w:pPr>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项目为分包项目，由于我公司</w:t>
                  </w:r>
                  <w:r>
                    <w:rPr>
                      <w:rFonts w:hint="eastAsia" w:ascii="宋体" w:hAnsi="宋体" w:eastAsia="宋体" w:cs="宋体"/>
                      <w:color w:val="auto"/>
                      <w:sz w:val="21"/>
                      <w:szCs w:val="21"/>
                      <w:highlight w:val="none"/>
                      <w:lang w:eastAsia="zh-CN"/>
                    </w:rPr>
                    <w:t>暂无土壤</w:t>
                  </w:r>
                  <w:r>
                    <w:rPr>
                      <w:rFonts w:hint="eastAsia" w:ascii="宋体" w:hAnsi="宋体" w:eastAsia="宋体" w:cs="宋体"/>
                      <w:color w:val="auto"/>
                      <w:sz w:val="21"/>
                      <w:szCs w:val="21"/>
                      <w:highlight w:val="none"/>
                    </w:rPr>
                    <w:t>氧化还原电位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饱和导水率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土壤容重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孔隙度</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资质</w:t>
                  </w:r>
                  <w:r>
                    <w:rPr>
                      <w:rFonts w:hint="eastAsia" w:ascii="宋体" w:hAnsi="宋体" w:eastAsia="宋体" w:cs="宋体"/>
                      <w:color w:val="auto"/>
                      <w:sz w:val="21"/>
                      <w:szCs w:val="21"/>
                      <w:highlight w:val="none"/>
                      <w:lang w:val="en-US" w:eastAsia="zh-CN"/>
                    </w:rPr>
                    <w:t>认定技术能力，我公司委托益铭检测技术服务（青岛）有限公司（191512340276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2"/>
                      <w:sz w:val="21"/>
                      <w:szCs w:val="21"/>
                      <w:highlight w:val="none"/>
                      <w:lang w:val="en-US" w:eastAsia="zh-CN" w:bidi="ar-SA"/>
                    </w:rPr>
                    <w:t>进行检测，</w:t>
                  </w:r>
                  <w:r>
                    <w:rPr>
                      <w:rFonts w:hint="eastAsia" w:ascii="宋体" w:hAnsi="宋体" w:eastAsia="宋体" w:cs="宋体"/>
                      <w:color w:val="auto"/>
                      <w:sz w:val="21"/>
                      <w:szCs w:val="21"/>
                      <w:highlight w:val="none"/>
                    </w:rPr>
                    <w:t>并出具</w:t>
                  </w:r>
                  <w:r>
                    <w:rPr>
                      <w:rFonts w:hint="eastAsia" w:ascii="宋体" w:hAnsi="宋体" w:eastAsia="宋体" w:cs="宋体"/>
                      <w:color w:val="auto"/>
                      <w:sz w:val="21"/>
                      <w:szCs w:val="21"/>
                      <w:highlight w:val="none"/>
                      <w:lang w:eastAsia="zh-CN"/>
                    </w:rPr>
                    <w:t>检</w:t>
                  </w:r>
                  <w:r>
                    <w:rPr>
                      <w:rFonts w:hint="eastAsia" w:ascii="宋体" w:hAnsi="宋体" w:eastAsia="宋体" w:cs="宋体"/>
                      <w:color w:val="auto"/>
                      <w:sz w:val="21"/>
                      <w:szCs w:val="21"/>
                      <w:highlight w:val="none"/>
                    </w:rPr>
                    <w:t>测报告</w:t>
                  </w:r>
                  <w:r>
                    <w:rPr>
                      <w:rFonts w:hint="eastAsia" w:ascii="宋体" w:hAnsi="宋体" w:eastAsia="宋体" w:cs="宋体"/>
                      <w:color w:val="auto"/>
                      <w:sz w:val="21"/>
                      <w:szCs w:val="21"/>
                      <w:highlight w:val="none"/>
                      <w:lang w:eastAsia="zh-CN"/>
                    </w:rPr>
                    <w:t>。</w:t>
                  </w:r>
                </w:p>
              </w:tc>
            </w:tr>
          </w:tbl>
          <w:p>
            <w:pPr>
              <w:keepNext w:val="0"/>
              <w:keepLines w:val="0"/>
              <w:pageBreakBefore w:val="0"/>
              <w:widowControl w:val="0"/>
              <w:kinsoku/>
              <w:wordWrap/>
              <w:overflowPunct/>
              <w:topLinePunct w:val="0"/>
              <w:autoSpaceDE/>
              <w:autoSpaceDN/>
              <w:bidi w:val="0"/>
              <w:adjustRightInd/>
              <w:snapToGrid/>
              <w:spacing w:before="157" w:beforeLines="50" w:line="360" w:lineRule="auto"/>
              <w:ind w:firstLine="420" w:firstLineChars="200"/>
              <w:textAlignment w:val="auto"/>
              <w:rPr>
                <w:color w:val="auto"/>
                <w:highlight w:val="none"/>
              </w:rPr>
            </w:pPr>
            <w:r>
              <w:rPr>
                <w:rFonts w:hint="eastAsia"/>
                <w:color w:val="auto"/>
                <w:highlight w:val="none"/>
              </w:rPr>
              <w:t>土壤理化性质指标见表3-8。</w:t>
            </w:r>
          </w:p>
          <w:p>
            <w:pPr>
              <w:jc w:val="center"/>
              <w:rPr>
                <w:color w:val="auto"/>
                <w:highlight w:val="none"/>
              </w:rPr>
            </w:pPr>
            <w:r>
              <w:rPr>
                <w:rFonts w:hint="eastAsia"/>
                <w:color w:val="auto"/>
                <w:highlight w:val="none"/>
              </w:rPr>
              <w:t xml:space="preserve">表3-8  </w:t>
            </w:r>
            <w:r>
              <w:rPr>
                <w:color w:val="auto"/>
                <w:highlight w:val="none"/>
              </w:rPr>
              <w:t>土壤理化性质指标</w:t>
            </w:r>
          </w:p>
          <w:tbl>
            <w:tblPr>
              <w:tblStyle w:val="24"/>
              <w:tblW w:w="7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3"/>
              <w:gridCol w:w="3046"/>
              <w:gridCol w:w="1823"/>
              <w:gridCol w:w="613"/>
              <w:gridCol w:w="1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2506" w:type="pct"/>
                  <w:gridSpan w:val="2"/>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点号</w:t>
                  </w:r>
                </w:p>
              </w:tc>
              <w:tc>
                <w:tcPr>
                  <w:tcW w:w="1151" w:type="pct"/>
                  <w:noWrap w:val="0"/>
                  <w:vAlign w:val="center"/>
                </w:tcPr>
                <w:p>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23X039TR-01-01</w:t>
                  </w:r>
                </w:p>
              </w:tc>
              <w:tc>
                <w:tcPr>
                  <w:tcW w:w="387" w:type="pct"/>
                  <w:noWrap w:val="0"/>
                  <w:vAlign w:val="center"/>
                </w:tcPr>
                <w:p>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时间</w:t>
                  </w:r>
                </w:p>
              </w:tc>
              <w:tc>
                <w:tcPr>
                  <w:tcW w:w="954" w:type="pct"/>
                  <w:noWrap w:val="0"/>
                  <w:vAlign w:val="center"/>
                </w:tcPr>
                <w:p>
                  <w:pPr>
                    <w:spacing w:line="36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202</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.2</w:t>
                  </w:r>
                  <w:r>
                    <w:rPr>
                      <w:rFonts w:hint="default" w:ascii="Times New Roman" w:hAnsi="Times New Roman" w:eastAsia="宋体" w:cs="Times New Roman"/>
                      <w:color w:val="auto"/>
                      <w:sz w:val="21"/>
                      <w:szCs w:val="21"/>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2506" w:type="pct"/>
                  <w:gridSpan w:val="2"/>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经度</w:t>
                  </w:r>
                </w:p>
              </w:tc>
              <w:tc>
                <w:tcPr>
                  <w:tcW w:w="1151" w:type="pct"/>
                  <w:noWrap w:val="0"/>
                  <w:vAlign w:val="center"/>
                </w:tcPr>
                <w:p>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r>
                    <w:rPr>
                      <w:rFonts w:hint="default" w:ascii="Times New Roman" w:hAnsi="Times New Roman" w:eastAsia="宋体"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51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15.70356</w:t>
                  </w:r>
                  <w:r>
                    <w:rPr>
                      <w:rFonts w:hint="default" w:ascii="Times New Roman" w:hAnsi="Times New Roman" w:eastAsia="宋体" w:cs="Times New Roman"/>
                      <w:color w:val="auto"/>
                      <w:sz w:val="21"/>
                      <w:szCs w:val="21"/>
                      <w:highlight w:val="none"/>
                    </w:rPr>
                    <w:t>″</w:t>
                  </w:r>
                </w:p>
              </w:tc>
              <w:tc>
                <w:tcPr>
                  <w:tcW w:w="387" w:type="pct"/>
                  <w:noWrap w:val="0"/>
                  <w:vAlign w:val="center"/>
                </w:tcPr>
                <w:p>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纬度</w:t>
                  </w:r>
                </w:p>
              </w:tc>
              <w:tc>
                <w:tcPr>
                  <w:tcW w:w="954" w:type="pct"/>
                  <w:noWrap w:val="0"/>
                  <w:vAlign w:val="center"/>
                </w:tcPr>
                <w:p>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39</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32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16.25031</w:t>
                  </w:r>
                  <w:r>
                    <w:rPr>
                      <w:rFonts w:hint="default" w:ascii="Times New Roman" w:hAnsi="Times New Roman" w:eastAsia="宋体"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2506" w:type="pct"/>
                  <w:gridSpan w:val="2"/>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层次</w:t>
                  </w:r>
                </w:p>
              </w:tc>
              <w:tc>
                <w:tcPr>
                  <w:tcW w:w="2493" w:type="pct"/>
                  <w:gridSpan w:val="3"/>
                  <w:noWrap w:val="0"/>
                  <w:vAlign w:val="center"/>
                </w:tcPr>
                <w:p>
                  <w:pPr>
                    <w:widowControl/>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0.</w:t>
                  </w: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583" w:type="pct"/>
                  <w:vMerge w:val="restart"/>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实验室测定</w:t>
                  </w:r>
                </w:p>
              </w:tc>
              <w:tc>
                <w:tcPr>
                  <w:tcW w:w="1923" w:type="pct"/>
                  <w:noWrap w:val="0"/>
                  <w:vAlign w:val="center"/>
                </w:tcPr>
                <w:p>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pH</w:t>
                  </w:r>
                </w:p>
              </w:tc>
              <w:tc>
                <w:tcPr>
                  <w:tcW w:w="2493" w:type="pct"/>
                  <w:gridSpan w:val="3"/>
                  <w:noWrap w:val="0"/>
                  <w:vAlign w:val="center"/>
                </w:tcPr>
                <w:p>
                  <w:pPr>
                    <w:pStyle w:val="4"/>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0" w:firstLineChars="0"/>
                    <w:jc w:val="center"/>
                    <w:textAlignment w:val="auto"/>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lang w:val="en-US" w:eastAsia="zh-CN" w:bidi="ar-SA"/>
                    </w:rPr>
                    <w:t>8.08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jc w:val="center"/>
              </w:trPr>
              <w:tc>
                <w:tcPr>
                  <w:tcW w:w="583" w:type="pct"/>
                  <w:vMerge w:val="continue"/>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p>
              </w:tc>
              <w:tc>
                <w:tcPr>
                  <w:tcW w:w="1923" w:type="pct"/>
                  <w:noWrap w:val="0"/>
                  <w:vAlign w:val="center"/>
                </w:tcPr>
                <w:p>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阳离子交换量（cmol(+)/Kg）</w:t>
                  </w:r>
                </w:p>
              </w:tc>
              <w:tc>
                <w:tcPr>
                  <w:tcW w:w="2493" w:type="pct"/>
                  <w:gridSpan w:val="3"/>
                  <w:noWrap w:val="0"/>
                  <w:vAlign w:val="center"/>
                </w:tcPr>
                <w:p>
                  <w:pPr>
                    <w:pStyle w:val="41"/>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eastAsia" w:ascii="宋体" w:hAnsi="宋体" w:eastAsia="宋体" w:cs="宋体"/>
                      <w:color w:val="auto"/>
                      <w:kern w:val="0"/>
                      <w:sz w:val="21"/>
                      <w:szCs w:val="21"/>
                      <w:lang w:val="en-US" w:eastAsia="zh-CN" w:bidi="ar-SA"/>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jc w:val="center"/>
              </w:trPr>
              <w:tc>
                <w:tcPr>
                  <w:tcW w:w="583" w:type="pct"/>
                  <w:vMerge w:val="continue"/>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p>
              </w:tc>
              <w:tc>
                <w:tcPr>
                  <w:tcW w:w="1923" w:type="pct"/>
                  <w:noWrap w:val="0"/>
                  <w:vAlign w:val="center"/>
                </w:tcPr>
                <w:p>
                  <w:pPr>
                    <w:pStyle w:val="41"/>
                    <w:spacing w:before="24" w:after="24"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氧化还原电位（mV）</w:t>
                  </w:r>
                </w:p>
              </w:tc>
              <w:tc>
                <w:tcPr>
                  <w:tcW w:w="2493" w:type="pct"/>
                  <w:gridSpan w:val="3"/>
                  <w:noWrap w:val="0"/>
                  <w:vAlign w:val="center"/>
                </w:tcPr>
                <w:p>
                  <w:pPr>
                    <w:pStyle w:val="41"/>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lang w:val="en-US" w:eastAsia="zh-CN" w:bidi="ar-SA"/>
                    </w:rPr>
                    <w:t>424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jc w:val="center"/>
              </w:trPr>
              <w:tc>
                <w:tcPr>
                  <w:tcW w:w="583" w:type="pct"/>
                  <w:vMerge w:val="continue"/>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p>
              </w:tc>
              <w:tc>
                <w:tcPr>
                  <w:tcW w:w="1923" w:type="pct"/>
                  <w:noWrap w:val="0"/>
                  <w:vAlign w:val="center"/>
                </w:tcPr>
                <w:p>
                  <w:pPr>
                    <w:pStyle w:val="41"/>
                    <w:adjustRightInd/>
                    <w:snapToGrid/>
                    <w:spacing w:before="24" w:after="24"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饱和导水率（渗滤率）（mm/min）</w:t>
                  </w:r>
                </w:p>
              </w:tc>
              <w:tc>
                <w:tcPr>
                  <w:tcW w:w="2493" w:type="pct"/>
                  <w:gridSpan w:val="3"/>
                  <w:noWrap w:val="0"/>
                  <w:vAlign w:val="center"/>
                </w:tcPr>
                <w:p>
                  <w:pPr>
                    <w:pStyle w:val="41"/>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lang w:val="en-US" w:eastAsia="zh-CN" w:bidi="ar-SA"/>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jc w:val="center"/>
              </w:trPr>
              <w:tc>
                <w:tcPr>
                  <w:tcW w:w="583" w:type="pct"/>
                  <w:vMerge w:val="continue"/>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p>
              </w:tc>
              <w:tc>
                <w:tcPr>
                  <w:tcW w:w="1923" w:type="pct"/>
                  <w:noWrap w:val="0"/>
                  <w:vAlign w:val="center"/>
                </w:tcPr>
                <w:p>
                  <w:pPr>
                    <w:pStyle w:val="41"/>
                    <w:spacing w:before="24" w:after="24"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土壤容重（g/cm3）</w:t>
                  </w:r>
                </w:p>
              </w:tc>
              <w:tc>
                <w:tcPr>
                  <w:tcW w:w="2493" w:type="pct"/>
                  <w:gridSpan w:val="3"/>
                  <w:noWrap w:val="0"/>
                  <w:vAlign w:val="center"/>
                </w:tcPr>
                <w:p>
                  <w:pPr>
                    <w:pStyle w:val="41"/>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lang w:val="en-US" w:eastAsia="zh-CN" w:bidi="ar-SA"/>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jc w:val="center"/>
              </w:trPr>
              <w:tc>
                <w:tcPr>
                  <w:tcW w:w="583" w:type="pct"/>
                  <w:vMerge w:val="continue"/>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p>
              </w:tc>
              <w:tc>
                <w:tcPr>
                  <w:tcW w:w="1923" w:type="pct"/>
                  <w:noWrap w:val="0"/>
                  <w:vAlign w:val="center"/>
                </w:tcPr>
                <w:p>
                  <w:pPr>
                    <w:pStyle w:val="41"/>
                    <w:spacing w:before="24" w:after="24" w:line="36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孔隙度（%）</w:t>
                  </w:r>
                </w:p>
              </w:tc>
              <w:tc>
                <w:tcPr>
                  <w:tcW w:w="2493" w:type="pct"/>
                  <w:gridSpan w:val="3"/>
                  <w:noWrap w:val="0"/>
                  <w:vAlign w:val="center"/>
                </w:tcPr>
                <w:p>
                  <w:pPr>
                    <w:pStyle w:val="41"/>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lang w:val="en-US" w:eastAsia="zh-CN" w:bidi="ar-SA"/>
                    </w:rPr>
                    <w:t>51.2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583" w:type="pct"/>
                  <w:vMerge w:val="restart"/>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现场记录</w:t>
                  </w:r>
                </w:p>
              </w:tc>
              <w:tc>
                <w:tcPr>
                  <w:tcW w:w="1923" w:type="pct"/>
                  <w:noWrap w:val="0"/>
                  <w:vAlign w:val="center"/>
                </w:tcPr>
                <w:p>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颜色</w:t>
                  </w:r>
                </w:p>
              </w:tc>
              <w:tc>
                <w:tcPr>
                  <w:tcW w:w="2493" w:type="pct"/>
                  <w:gridSpan w:val="3"/>
                  <w:noWrap w:val="0"/>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1"/>
                      <w:szCs w:val="21"/>
                      <w:highlight w:val="none"/>
                    </w:rPr>
                  </w:pPr>
                  <w:r>
                    <w:rPr>
                      <w:rFonts w:hint="eastAsia"/>
                      <w:color w:val="auto"/>
                      <w:kern w:val="2"/>
                      <w:sz w:val="21"/>
                      <w:szCs w:val="21"/>
                      <w:lang w:val="en-US" w:eastAsia="zh-CN" w:bidi="ar-SA"/>
                    </w:rPr>
                    <w:t>黄棕色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583" w:type="pct"/>
                  <w:vMerge w:val="continue"/>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p>
              </w:tc>
              <w:tc>
                <w:tcPr>
                  <w:tcW w:w="1923" w:type="pct"/>
                  <w:noWrap w:val="0"/>
                  <w:vAlign w:val="center"/>
                </w:tcPr>
                <w:p>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结构</w:t>
                  </w:r>
                </w:p>
              </w:tc>
              <w:tc>
                <w:tcPr>
                  <w:tcW w:w="2493" w:type="pct"/>
                  <w:gridSpan w:val="3"/>
                  <w:noWrap w:val="0"/>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color w:val="auto"/>
                      <w:kern w:val="0"/>
                      <w:sz w:val="21"/>
                      <w:szCs w:val="21"/>
                      <w:lang w:val="en-US" w:eastAsia="zh-CN"/>
                    </w:rPr>
                    <w:t>粒状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583" w:type="pct"/>
                  <w:vMerge w:val="continue"/>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p>
              </w:tc>
              <w:tc>
                <w:tcPr>
                  <w:tcW w:w="1923" w:type="pct"/>
                  <w:noWrap w:val="0"/>
                  <w:vAlign w:val="center"/>
                </w:tcPr>
                <w:p>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质地</w:t>
                  </w:r>
                </w:p>
              </w:tc>
              <w:tc>
                <w:tcPr>
                  <w:tcW w:w="2493" w:type="pct"/>
                  <w:gridSpan w:val="3"/>
                  <w:noWrap w:val="0"/>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color w:val="auto"/>
                      <w:kern w:val="0"/>
                      <w:sz w:val="21"/>
                      <w:szCs w:val="21"/>
                      <w:lang w:val="en-US" w:eastAsia="zh-CN"/>
                    </w:rPr>
                    <w:t>砂壤土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583" w:type="pct"/>
                  <w:vMerge w:val="continue"/>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p>
              </w:tc>
              <w:tc>
                <w:tcPr>
                  <w:tcW w:w="1923" w:type="pct"/>
                  <w:noWrap w:val="0"/>
                  <w:vAlign w:val="center"/>
                </w:tcPr>
                <w:p>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其他异物</w:t>
                  </w:r>
                </w:p>
              </w:tc>
              <w:tc>
                <w:tcPr>
                  <w:tcW w:w="2493" w:type="pct"/>
                  <w:gridSpan w:val="3"/>
                  <w:noWrap w:val="0"/>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宋体" w:hAnsi="宋体" w:eastAsia="宋体" w:cs="宋体"/>
                      <w:color w:val="auto"/>
                      <w:kern w:val="0"/>
                      <w:sz w:val="21"/>
                      <w:szCs w:val="21"/>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9" w:hRule="atLeast"/>
                <w:jc w:val="center"/>
              </w:trPr>
              <w:tc>
                <w:tcPr>
                  <w:tcW w:w="583" w:type="pct"/>
                  <w:vMerge w:val="continue"/>
                  <w:noWrap w:val="0"/>
                  <w:vAlign w:val="center"/>
                </w:tcPr>
                <w:p>
                  <w:pPr>
                    <w:tabs>
                      <w:tab w:val="left" w:pos="2352"/>
                    </w:tabs>
                    <w:spacing w:line="360" w:lineRule="auto"/>
                    <w:jc w:val="center"/>
                    <w:rPr>
                      <w:rFonts w:hint="default" w:ascii="Times New Roman" w:hAnsi="Times New Roman" w:eastAsia="宋体" w:cs="Times New Roman"/>
                      <w:color w:val="auto"/>
                      <w:sz w:val="21"/>
                      <w:szCs w:val="21"/>
                      <w:highlight w:val="none"/>
                    </w:rPr>
                  </w:pPr>
                </w:p>
              </w:tc>
              <w:tc>
                <w:tcPr>
                  <w:tcW w:w="1923" w:type="pct"/>
                  <w:noWrap w:val="0"/>
                  <w:vAlign w:val="center"/>
                </w:tcPr>
                <w:p>
                  <w:pPr>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砂砾含量</w:t>
                  </w:r>
                </w:p>
              </w:tc>
              <w:tc>
                <w:tcPr>
                  <w:tcW w:w="2493" w:type="pct"/>
                  <w:gridSpan w:val="3"/>
                  <w:noWrap w:val="0"/>
                  <w:vAlign w:val="center"/>
                </w:tcPr>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35</w:t>
                  </w:r>
                </w:p>
              </w:tc>
            </w:tr>
          </w:tbl>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both"/>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lang w:val="en-US" w:eastAsia="zh-CN"/>
              </w:rPr>
              <w:t>由检测结果可知，项目拟建地土壤环境质量占地范围内各项监测因子均满足《土壤环境质量农用地土壤污染风险管控标准（试行）》（</w:t>
            </w:r>
            <w:r>
              <w:rPr>
                <w:rFonts w:hint="default" w:ascii="宋体" w:hAnsi="宋体" w:cs="宋体"/>
                <w:color w:val="auto"/>
                <w:kern w:val="0"/>
                <w:sz w:val="24"/>
                <w:szCs w:val="24"/>
                <w:highlight w:val="none"/>
                <w:lang w:val="en-US" w:eastAsia="zh-CN"/>
              </w:rPr>
              <w:t>GB15618-2018</w:t>
            </w:r>
            <w:r>
              <w:rPr>
                <w:rFonts w:hint="eastAsia" w:ascii="宋体" w:hAnsi="宋体" w:cs="宋体"/>
                <w:color w:val="auto"/>
                <w:kern w:val="0"/>
                <w:sz w:val="24"/>
                <w:szCs w:val="24"/>
                <w:highlight w:val="none"/>
                <w:lang w:val="en-US" w:eastAsia="zh-CN"/>
              </w:rPr>
              <w:t>）农用地土壤污染风险筛选值标准要求。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宋体" w:hAnsi="宋体" w:cs="宋体"/>
                <w:color w:val="auto"/>
                <w:kern w:val="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5" w:type="pct"/>
            <w:noWrap w:val="0"/>
            <w:vAlign w:val="center"/>
          </w:tcPr>
          <w:p>
            <w:pPr>
              <w:adjustRightInd w:val="0"/>
              <w:snapToGrid w:val="0"/>
              <w:jc w:val="center"/>
              <w:rPr>
                <w:rFonts w:ascii="宋体" w:hAnsi="宋体" w:cs="宋体"/>
                <w:color w:val="auto"/>
                <w:kern w:val="0"/>
                <w:sz w:val="24"/>
                <w:szCs w:val="24"/>
                <w:highlight w:val="none"/>
              </w:rPr>
            </w:pPr>
            <w:r>
              <w:rPr>
                <w:rFonts w:hint="eastAsia" w:ascii="宋体" w:hAnsi="宋体"/>
                <w:bCs/>
                <w:color w:val="auto"/>
                <w:sz w:val="24"/>
                <w:szCs w:val="24"/>
                <w:highlight w:val="none"/>
              </w:rPr>
              <w:t>与项目有关的原有环境污染和生态破坏问题</w:t>
            </w:r>
          </w:p>
        </w:tc>
        <w:tc>
          <w:tcPr>
            <w:tcW w:w="4774" w:type="pc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lang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77" w:hRule="atLeast"/>
          <w:jc w:val="center"/>
        </w:trPr>
        <w:tc>
          <w:tcPr>
            <w:tcW w:w="225" w:type="pct"/>
            <w:noWrap w:val="0"/>
            <w:vAlign w:val="center"/>
          </w:tcPr>
          <w:p>
            <w:pPr>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生态环境保护目标</w:t>
            </w:r>
          </w:p>
        </w:tc>
        <w:tc>
          <w:tcPr>
            <w:tcW w:w="4774" w:type="pct"/>
            <w:noWrap w:val="0"/>
            <w:vAlign w:val="top"/>
          </w:tcPr>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both"/>
              <w:textAlignment w:val="auto"/>
              <w:rPr>
                <w:rFonts w:hint="default"/>
                <w:color w:val="auto"/>
                <w:sz w:val="24"/>
                <w:szCs w:val="24"/>
                <w:highlight w:val="none"/>
              </w:rPr>
            </w:pPr>
            <w:r>
              <w:rPr>
                <w:rFonts w:hint="default"/>
                <w:color w:val="auto"/>
                <w:sz w:val="24"/>
                <w:szCs w:val="24"/>
                <w:highlight w:val="none"/>
                <w:lang w:eastAsia="zh-CN"/>
              </w:rPr>
              <w:t>本项目位于内蒙古自治区</w:t>
            </w:r>
            <w:r>
              <w:rPr>
                <w:rFonts w:hint="eastAsia" w:cs="Times New Roman"/>
                <w:color w:val="auto"/>
                <w:sz w:val="24"/>
                <w:szCs w:val="24"/>
                <w:highlight w:val="none"/>
                <w:lang w:val="en-US" w:eastAsia="zh-CN"/>
              </w:rPr>
              <w:t>鄂尔多斯市伊金霍洛旗阿勒腾席热镇红海子村</w:t>
            </w:r>
            <w:r>
              <w:rPr>
                <w:rFonts w:hint="default"/>
                <w:color w:val="auto"/>
                <w:sz w:val="24"/>
                <w:szCs w:val="24"/>
                <w:highlight w:val="none"/>
                <w:lang w:eastAsia="zh-CN"/>
              </w:rPr>
              <w:t>，</w:t>
            </w:r>
            <w:r>
              <w:rPr>
                <w:rFonts w:hint="default"/>
                <w:color w:val="auto"/>
                <w:sz w:val="24"/>
                <w:szCs w:val="24"/>
                <w:highlight w:val="none"/>
              </w:rPr>
              <w:t>项目所在区域内没有自然保护区、饮用水源保护区和</w:t>
            </w:r>
            <w:r>
              <w:rPr>
                <w:rFonts w:hint="default"/>
                <w:color w:val="auto"/>
                <w:sz w:val="24"/>
                <w:szCs w:val="24"/>
                <w:highlight w:val="none"/>
                <w:lang w:eastAsia="zh-CN"/>
              </w:rPr>
              <w:t>风景名胜区等重点保护目标</w:t>
            </w:r>
            <w:r>
              <w:rPr>
                <w:rFonts w:hint="default"/>
                <w:color w:val="auto"/>
                <w:sz w:val="24"/>
                <w:szCs w:val="24"/>
                <w:highlight w:val="none"/>
              </w:rPr>
              <w:t>。本项目环境保护目标见表3-</w:t>
            </w:r>
            <w:r>
              <w:rPr>
                <w:rFonts w:hint="eastAsia"/>
                <w:color w:val="auto"/>
                <w:sz w:val="24"/>
                <w:szCs w:val="24"/>
                <w:highlight w:val="none"/>
                <w:lang w:val="en-US" w:eastAsia="zh-CN"/>
              </w:rPr>
              <w:t>3</w:t>
            </w:r>
            <w:r>
              <w:rPr>
                <w:rFonts w:hint="default"/>
                <w:color w:val="auto"/>
                <w:sz w:val="24"/>
                <w:szCs w:val="24"/>
                <w:highlight w:val="none"/>
              </w:rPr>
              <w:t>。</w:t>
            </w:r>
          </w:p>
          <w:p>
            <w:pPr>
              <w:pStyle w:val="4"/>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color w:val="auto"/>
                <w:sz w:val="21"/>
                <w:szCs w:val="21"/>
                <w:highlight w:val="none"/>
              </w:rPr>
            </w:pPr>
            <w:r>
              <w:rPr>
                <w:color w:val="auto"/>
                <w:sz w:val="21"/>
                <w:szCs w:val="21"/>
                <w:highlight w:val="none"/>
              </w:rPr>
              <w:t>表</w:t>
            </w:r>
            <w:r>
              <w:rPr>
                <w:rFonts w:hint="eastAsia"/>
                <w:color w:val="auto"/>
                <w:sz w:val="21"/>
                <w:szCs w:val="21"/>
                <w:highlight w:val="none"/>
              </w:rPr>
              <w:t>3-</w:t>
            </w:r>
            <w:r>
              <w:rPr>
                <w:rFonts w:hint="eastAsia"/>
                <w:color w:val="auto"/>
                <w:sz w:val="21"/>
                <w:szCs w:val="21"/>
                <w:highlight w:val="none"/>
                <w:lang w:val="en-US" w:eastAsia="zh-CN"/>
              </w:rPr>
              <w:t>3</w:t>
            </w:r>
            <w:r>
              <w:rPr>
                <w:color w:val="auto"/>
                <w:sz w:val="21"/>
                <w:szCs w:val="21"/>
                <w:highlight w:val="none"/>
              </w:rPr>
              <w:t xml:space="preserve">  环境保护目标一览表</w:t>
            </w:r>
          </w:p>
          <w:tbl>
            <w:tblPr>
              <w:tblStyle w:val="24"/>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31"/>
              <w:gridCol w:w="1647"/>
              <w:gridCol w:w="976"/>
              <w:gridCol w:w="968"/>
              <w:gridCol w:w="831"/>
              <w:gridCol w:w="2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631" w:type="dxa"/>
                  <w:noWrap w:val="0"/>
                  <w:vAlign w:val="center"/>
                </w:tcPr>
                <w:p>
                  <w:pPr>
                    <w:spacing w:line="360" w:lineRule="auto"/>
                    <w:jc w:val="center"/>
                    <w:rPr>
                      <w:color w:val="auto"/>
                      <w:sz w:val="21"/>
                      <w:szCs w:val="21"/>
                      <w:highlight w:val="none"/>
                    </w:rPr>
                  </w:pPr>
                  <w:r>
                    <w:rPr>
                      <w:color w:val="auto"/>
                      <w:sz w:val="21"/>
                      <w:szCs w:val="21"/>
                      <w:highlight w:val="none"/>
                    </w:rPr>
                    <w:t>环境要素</w:t>
                  </w:r>
                </w:p>
              </w:tc>
              <w:tc>
                <w:tcPr>
                  <w:tcW w:w="1647" w:type="dxa"/>
                  <w:noWrap w:val="0"/>
                  <w:vAlign w:val="center"/>
                </w:tcPr>
                <w:p>
                  <w:pPr>
                    <w:spacing w:line="360" w:lineRule="auto"/>
                    <w:jc w:val="center"/>
                    <w:rPr>
                      <w:color w:val="auto"/>
                      <w:sz w:val="21"/>
                      <w:szCs w:val="21"/>
                      <w:highlight w:val="none"/>
                    </w:rPr>
                  </w:pPr>
                  <w:r>
                    <w:rPr>
                      <w:color w:val="auto"/>
                      <w:sz w:val="21"/>
                      <w:szCs w:val="21"/>
                      <w:highlight w:val="none"/>
                    </w:rPr>
                    <w:t>保护目标名称</w:t>
                  </w:r>
                </w:p>
              </w:tc>
              <w:tc>
                <w:tcPr>
                  <w:tcW w:w="976" w:type="dxa"/>
                  <w:noWrap w:val="0"/>
                  <w:vAlign w:val="center"/>
                </w:tcPr>
                <w:p>
                  <w:pPr>
                    <w:spacing w:line="360" w:lineRule="auto"/>
                    <w:jc w:val="center"/>
                    <w:rPr>
                      <w:color w:val="auto"/>
                      <w:sz w:val="21"/>
                      <w:szCs w:val="21"/>
                      <w:highlight w:val="none"/>
                    </w:rPr>
                  </w:pPr>
                  <w:r>
                    <w:rPr>
                      <w:color w:val="auto"/>
                      <w:sz w:val="21"/>
                      <w:szCs w:val="21"/>
                      <w:highlight w:val="none"/>
                    </w:rPr>
                    <w:t>与项目相对位置</w:t>
                  </w:r>
                </w:p>
              </w:tc>
              <w:tc>
                <w:tcPr>
                  <w:tcW w:w="968" w:type="dxa"/>
                  <w:noWrap w:val="0"/>
                  <w:vAlign w:val="center"/>
                </w:tcPr>
                <w:p>
                  <w:pPr>
                    <w:spacing w:line="360" w:lineRule="auto"/>
                    <w:jc w:val="center"/>
                    <w:rPr>
                      <w:color w:val="auto"/>
                      <w:sz w:val="21"/>
                      <w:szCs w:val="21"/>
                      <w:highlight w:val="none"/>
                    </w:rPr>
                  </w:pPr>
                  <w:r>
                    <w:rPr>
                      <w:color w:val="auto"/>
                      <w:sz w:val="21"/>
                      <w:szCs w:val="21"/>
                      <w:highlight w:val="none"/>
                    </w:rPr>
                    <w:t>距厂界距离（m）</w:t>
                  </w:r>
                </w:p>
              </w:tc>
              <w:tc>
                <w:tcPr>
                  <w:tcW w:w="831" w:type="dxa"/>
                  <w:noWrap w:val="0"/>
                  <w:vAlign w:val="center"/>
                </w:tcPr>
                <w:p>
                  <w:pPr>
                    <w:spacing w:line="360" w:lineRule="auto"/>
                    <w:jc w:val="center"/>
                    <w:rPr>
                      <w:color w:val="auto"/>
                      <w:sz w:val="21"/>
                      <w:szCs w:val="21"/>
                      <w:highlight w:val="none"/>
                    </w:rPr>
                  </w:pPr>
                  <w:r>
                    <w:rPr>
                      <w:color w:val="auto"/>
                      <w:sz w:val="21"/>
                      <w:szCs w:val="21"/>
                      <w:highlight w:val="none"/>
                    </w:rPr>
                    <w:t>人数</w:t>
                  </w:r>
                </w:p>
              </w:tc>
              <w:tc>
                <w:tcPr>
                  <w:tcW w:w="2905" w:type="dxa"/>
                  <w:noWrap w:val="0"/>
                  <w:vAlign w:val="center"/>
                </w:tcPr>
                <w:p>
                  <w:pPr>
                    <w:spacing w:line="360" w:lineRule="auto"/>
                    <w:jc w:val="center"/>
                    <w:rPr>
                      <w:color w:val="auto"/>
                      <w:sz w:val="21"/>
                      <w:szCs w:val="21"/>
                      <w:highlight w:val="none"/>
                    </w:rPr>
                  </w:pPr>
                  <w:r>
                    <w:rPr>
                      <w:rFonts w:hint="default"/>
                      <w:color w:val="auto"/>
                      <w:sz w:val="21"/>
                      <w:szCs w:val="21"/>
                      <w:highlight w:val="none"/>
                    </w:rPr>
                    <w:t>保护级别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3" w:hRule="atLeast"/>
                <w:jc w:val="center"/>
              </w:trPr>
              <w:tc>
                <w:tcPr>
                  <w:tcW w:w="631" w:type="dxa"/>
                  <w:noWrap w:val="0"/>
                  <w:vAlign w:val="center"/>
                </w:tcPr>
                <w:p>
                  <w:pPr>
                    <w:spacing w:line="360" w:lineRule="auto"/>
                    <w:jc w:val="center"/>
                    <w:rPr>
                      <w:color w:val="auto"/>
                      <w:sz w:val="21"/>
                      <w:szCs w:val="21"/>
                      <w:highlight w:val="none"/>
                    </w:rPr>
                  </w:pPr>
                  <w:r>
                    <w:rPr>
                      <w:color w:val="auto"/>
                      <w:sz w:val="21"/>
                      <w:szCs w:val="21"/>
                      <w:highlight w:val="none"/>
                    </w:rPr>
                    <w:t>大气环境</w:t>
                  </w:r>
                </w:p>
              </w:tc>
              <w:tc>
                <w:tcPr>
                  <w:tcW w:w="4422" w:type="dxa"/>
                  <w:gridSpan w:val="4"/>
                  <w:noWrap w:val="0"/>
                  <w:vAlign w:val="center"/>
                </w:tcPr>
                <w:p>
                  <w:pPr>
                    <w:spacing w:line="360" w:lineRule="auto"/>
                    <w:jc w:val="both"/>
                    <w:rPr>
                      <w:rFonts w:hint="default"/>
                      <w:color w:val="auto"/>
                      <w:sz w:val="21"/>
                      <w:szCs w:val="21"/>
                      <w:highlight w:val="none"/>
                      <w:lang w:val="en-US" w:eastAsia="zh-CN"/>
                    </w:rPr>
                  </w:pPr>
                  <w:r>
                    <w:rPr>
                      <w:rFonts w:hint="default"/>
                      <w:color w:val="auto"/>
                      <w:sz w:val="21"/>
                      <w:szCs w:val="21"/>
                      <w:highlight w:val="none"/>
                      <w:lang w:val="en-US" w:eastAsia="zh-CN"/>
                    </w:rPr>
                    <w:t>厂界外500m范围内无自然保护区、风景名胜区、居住区、文化区和农村地区中人群较集中的区域；</w:t>
                  </w:r>
                </w:p>
              </w:tc>
              <w:tc>
                <w:tcPr>
                  <w:tcW w:w="2905" w:type="dxa"/>
                  <w:noWrap w:val="0"/>
                  <w:vAlign w:val="center"/>
                </w:tcPr>
                <w:p>
                  <w:pPr>
                    <w:spacing w:line="360" w:lineRule="auto"/>
                    <w:jc w:val="center"/>
                    <w:rPr>
                      <w:color w:val="auto"/>
                      <w:sz w:val="21"/>
                      <w:szCs w:val="21"/>
                      <w:highlight w:val="none"/>
                    </w:rPr>
                  </w:pPr>
                  <w:r>
                    <w:rPr>
                      <w:color w:val="auto"/>
                      <w:sz w:val="21"/>
                      <w:szCs w:val="21"/>
                      <w:highlight w:val="none"/>
                    </w:rPr>
                    <w:t>《环境空气质量标准》（GB3095</w:t>
                  </w:r>
                  <w:r>
                    <w:rPr>
                      <w:rFonts w:hint="eastAsia"/>
                      <w:color w:val="auto"/>
                      <w:sz w:val="21"/>
                      <w:szCs w:val="21"/>
                      <w:highlight w:val="none"/>
                    </w:rPr>
                    <w:t>-</w:t>
                  </w:r>
                  <w:r>
                    <w:rPr>
                      <w:color w:val="auto"/>
                      <w:sz w:val="21"/>
                      <w:szCs w:val="21"/>
                      <w:highlight w:val="none"/>
                    </w:rPr>
                    <w:t>2012）及修改单中二级标准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 w:hRule="atLeast"/>
                <w:jc w:val="center"/>
              </w:trPr>
              <w:tc>
                <w:tcPr>
                  <w:tcW w:w="631" w:type="dxa"/>
                  <w:noWrap w:val="0"/>
                  <w:vAlign w:val="center"/>
                </w:tcPr>
                <w:p>
                  <w:pPr>
                    <w:spacing w:line="360" w:lineRule="auto"/>
                    <w:jc w:val="center"/>
                    <w:rPr>
                      <w:rFonts w:hint="eastAsia"/>
                      <w:color w:val="auto"/>
                      <w:sz w:val="21"/>
                      <w:szCs w:val="21"/>
                      <w:highlight w:val="none"/>
                      <w:lang w:eastAsia="zh-CN"/>
                    </w:rPr>
                  </w:pPr>
                  <w:r>
                    <w:rPr>
                      <w:rFonts w:hint="eastAsia"/>
                      <w:color w:val="auto"/>
                      <w:sz w:val="21"/>
                      <w:szCs w:val="21"/>
                      <w:highlight w:val="none"/>
                      <w:lang w:eastAsia="zh-CN"/>
                    </w:rPr>
                    <w:t>地表水环境</w:t>
                  </w:r>
                </w:p>
              </w:tc>
              <w:tc>
                <w:tcPr>
                  <w:tcW w:w="4422" w:type="dxa"/>
                  <w:gridSpan w:val="4"/>
                  <w:noWrap w:val="0"/>
                  <w:vAlign w:val="center"/>
                </w:tcPr>
                <w:p>
                  <w:pPr>
                    <w:spacing w:line="360" w:lineRule="auto"/>
                    <w:jc w:val="center"/>
                    <w:rPr>
                      <w:rFonts w:hint="default"/>
                      <w:color w:val="auto"/>
                      <w:sz w:val="21"/>
                      <w:szCs w:val="21"/>
                      <w:highlight w:val="none"/>
                      <w:lang w:val="en-US" w:eastAsia="zh-CN"/>
                    </w:rPr>
                  </w:pPr>
                  <w:r>
                    <w:rPr>
                      <w:rFonts w:hint="eastAsia" w:eastAsia="宋体" w:cs="Times New Roman"/>
                      <w:color w:val="auto"/>
                      <w:sz w:val="21"/>
                      <w:szCs w:val="21"/>
                      <w:highlight w:val="none"/>
                      <w:lang w:val="en-US" w:eastAsia="zh-CN"/>
                    </w:rPr>
                    <w:t>距离本项目</w:t>
                  </w:r>
                  <w:r>
                    <w:rPr>
                      <w:rFonts w:hint="eastAsia" w:cs="Times New Roman"/>
                      <w:color w:val="auto"/>
                      <w:sz w:val="21"/>
                      <w:szCs w:val="21"/>
                      <w:highlight w:val="none"/>
                      <w:lang w:val="en-US" w:eastAsia="zh-CN"/>
                    </w:rPr>
                    <w:t>450</w:t>
                  </w:r>
                  <w:r>
                    <w:rPr>
                      <w:rFonts w:hint="eastAsia" w:eastAsia="宋体" w:cs="Times New Roman"/>
                      <w:color w:val="auto"/>
                      <w:sz w:val="21"/>
                      <w:szCs w:val="21"/>
                      <w:highlight w:val="none"/>
                      <w:lang w:val="en-US" w:eastAsia="zh-CN"/>
                    </w:rPr>
                    <w:t>m处的</w:t>
                  </w:r>
                  <w:r>
                    <w:rPr>
                      <w:rFonts w:hint="eastAsia" w:cs="Times New Roman"/>
                      <w:color w:val="auto"/>
                      <w:sz w:val="21"/>
                      <w:szCs w:val="21"/>
                      <w:highlight w:val="none"/>
                      <w:lang w:val="en-US" w:eastAsia="zh-CN"/>
                    </w:rPr>
                    <w:t>西红海子</w:t>
                  </w:r>
                </w:p>
              </w:tc>
              <w:tc>
                <w:tcPr>
                  <w:tcW w:w="2905" w:type="dxa"/>
                  <w:noWrap w:val="0"/>
                  <w:vAlign w:val="center"/>
                </w:tcPr>
                <w:p>
                  <w:pPr>
                    <w:spacing w:line="360" w:lineRule="auto"/>
                    <w:jc w:val="center"/>
                    <w:rPr>
                      <w:color w:val="auto"/>
                      <w:sz w:val="21"/>
                      <w:szCs w:val="21"/>
                      <w:highlight w:val="none"/>
                    </w:rPr>
                  </w:pPr>
                  <w:r>
                    <w:rPr>
                      <w:rFonts w:hint="default" w:ascii="Times New Roman" w:hAnsi="Times New Roman" w:eastAsia="宋体" w:cs="Times New Roman"/>
                      <w:color w:val="auto"/>
                      <w:sz w:val="21"/>
                      <w:szCs w:val="21"/>
                    </w:rPr>
                    <w:t>《地表水环境质量标准》（GB 3838-20</w:t>
                  </w:r>
                  <w:r>
                    <w:rPr>
                      <w:rFonts w:hint="eastAsia" w:cs="Times New Roman"/>
                      <w:color w:val="auto"/>
                      <w:spacing w:val="-1"/>
                      <w:sz w:val="21"/>
                      <w:szCs w:val="21"/>
                      <w:lang w:val="en-US" w:eastAsia="zh-CN"/>
                    </w:rPr>
                    <w:t>0</w:t>
                  </w:r>
                  <w:r>
                    <w:rPr>
                      <w:rFonts w:hint="default" w:ascii="Times New Roman" w:hAnsi="Times New Roman" w:eastAsia="宋体" w:cs="Times New Roman"/>
                      <w:color w:val="auto"/>
                      <w:spacing w:val="-1"/>
                      <w:sz w:val="21"/>
                      <w:szCs w:val="21"/>
                    </w:rPr>
                    <w:t>2）</w:t>
                  </w:r>
                  <w:r>
                    <w:rPr>
                      <w:rFonts w:ascii="Times New Roman" w:hAnsi="Times New Roman" w:eastAsia="Times New Roman" w:cs="Times New Roman"/>
                      <w:color w:val="auto"/>
                      <w:sz w:val="23"/>
                      <w:szCs w:val="23"/>
                    </w:rPr>
                    <w:t>Ⅲ</w:t>
                  </w:r>
                  <w:r>
                    <w:rPr>
                      <w:rFonts w:hint="default" w:ascii="Times New Roman" w:hAnsi="Times New Roman" w:eastAsia="宋体" w:cs="Times New Roman"/>
                      <w:color w:val="auto"/>
                      <w:spacing w:val="-1"/>
                      <w:sz w:val="21"/>
                      <w:szCs w:val="21"/>
                    </w:rPr>
                    <w:t>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02" w:hRule="atLeast"/>
                <w:jc w:val="center"/>
              </w:trPr>
              <w:tc>
                <w:tcPr>
                  <w:tcW w:w="631" w:type="dxa"/>
                  <w:noWrap w:val="0"/>
                  <w:vAlign w:val="center"/>
                </w:tcPr>
                <w:p>
                  <w:pPr>
                    <w:spacing w:line="360" w:lineRule="auto"/>
                    <w:jc w:val="center"/>
                    <w:rPr>
                      <w:rFonts w:hint="eastAsia"/>
                      <w:color w:val="auto"/>
                      <w:sz w:val="21"/>
                      <w:szCs w:val="21"/>
                      <w:highlight w:val="none"/>
                      <w:lang w:val="en-US" w:eastAsia="zh-CN"/>
                    </w:rPr>
                  </w:pPr>
                  <w:r>
                    <w:rPr>
                      <w:rFonts w:hint="eastAsia"/>
                      <w:color w:val="auto"/>
                      <w:sz w:val="21"/>
                      <w:szCs w:val="21"/>
                      <w:highlight w:val="none"/>
                      <w:lang w:eastAsia="zh-CN"/>
                    </w:rPr>
                    <w:t>声环境</w:t>
                  </w:r>
                </w:p>
              </w:tc>
              <w:tc>
                <w:tcPr>
                  <w:tcW w:w="4422" w:type="dxa"/>
                  <w:gridSpan w:val="4"/>
                  <w:noWrap w:val="0"/>
                  <w:vAlign w:val="center"/>
                </w:tcPr>
                <w:p>
                  <w:pPr>
                    <w:spacing w:line="360" w:lineRule="auto"/>
                    <w:jc w:val="both"/>
                    <w:rPr>
                      <w:rFonts w:hint="eastAsia"/>
                      <w:color w:val="auto"/>
                      <w:sz w:val="21"/>
                      <w:szCs w:val="21"/>
                      <w:highlight w:val="none"/>
                      <w:lang w:val="en-US" w:eastAsia="zh-CN"/>
                    </w:rPr>
                  </w:pPr>
                  <w:r>
                    <w:rPr>
                      <w:rFonts w:hint="eastAsia"/>
                      <w:color w:val="auto"/>
                      <w:sz w:val="21"/>
                      <w:szCs w:val="21"/>
                      <w:highlight w:val="none"/>
                      <w:lang w:val="en-US" w:eastAsia="zh-CN"/>
                    </w:rPr>
                    <w:t>项目周边50m范围内无居民区、医院、学校、机关、科研单位、住宅等需要保持安静的建筑物</w:t>
                  </w:r>
                </w:p>
              </w:tc>
              <w:tc>
                <w:tcPr>
                  <w:tcW w:w="2905" w:type="dxa"/>
                  <w:noWrap w:val="0"/>
                  <w:vAlign w:val="center"/>
                </w:tcPr>
                <w:p>
                  <w:pPr>
                    <w:spacing w:line="360" w:lineRule="auto"/>
                    <w:jc w:val="center"/>
                    <w:rPr>
                      <w:rFonts w:hint="eastAsia"/>
                      <w:color w:val="auto"/>
                      <w:sz w:val="21"/>
                      <w:szCs w:val="21"/>
                      <w:highlight w:val="none"/>
                      <w:lang w:val="en-US" w:eastAsia="zh-CN"/>
                    </w:rPr>
                  </w:pPr>
                  <w:r>
                    <w:rPr>
                      <w:rFonts w:hint="default" w:ascii="Times New Roman" w:hAnsi="Times New Roman" w:eastAsia="宋体" w:cs="Times New Roman"/>
                      <w:color w:val="auto"/>
                      <w:sz w:val="21"/>
                      <w:szCs w:val="21"/>
                      <w:highlight w:val="none"/>
                    </w:rPr>
                    <w:t>《声环境质量标准》（GB</w:t>
                  </w:r>
                  <w:r>
                    <w:rPr>
                      <w:rFonts w:hint="default" w:ascii="Times New Roman" w:hAnsi="Times New Roman" w:eastAsia="宋体" w:cs="Times New Roman"/>
                      <w:color w:val="auto"/>
                      <w:sz w:val="21"/>
                      <w:szCs w:val="21"/>
                      <w:highlight w:val="none"/>
                      <w:lang w:val="en-US" w:eastAsia="zh-CN"/>
                    </w:rPr>
                    <w:t>3096-2008</w:t>
                  </w:r>
                  <w:r>
                    <w:rPr>
                      <w:rFonts w:hint="default"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3类标准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8" w:hRule="atLeast"/>
                <w:jc w:val="center"/>
              </w:trPr>
              <w:tc>
                <w:tcPr>
                  <w:tcW w:w="631" w:type="dxa"/>
                  <w:noWrap w:val="0"/>
                  <w:vAlign w:val="center"/>
                </w:tcPr>
                <w:p>
                  <w:pPr>
                    <w:spacing w:line="360" w:lineRule="auto"/>
                    <w:jc w:val="center"/>
                    <w:rPr>
                      <w:color w:val="auto"/>
                      <w:sz w:val="21"/>
                      <w:szCs w:val="21"/>
                      <w:highlight w:val="none"/>
                    </w:rPr>
                  </w:pPr>
                  <w:r>
                    <w:rPr>
                      <w:rFonts w:hint="eastAsia"/>
                      <w:color w:val="auto"/>
                      <w:sz w:val="21"/>
                      <w:szCs w:val="21"/>
                      <w:highlight w:val="none"/>
                    </w:rPr>
                    <w:t>生态环境</w:t>
                  </w:r>
                </w:p>
              </w:tc>
              <w:tc>
                <w:tcPr>
                  <w:tcW w:w="4422" w:type="dxa"/>
                  <w:gridSpan w:val="4"/>
                  <w:noWrap w:val="0"/>
                  <w:vAlign w:val="center"/>
                </w:tcPr>
                <w:p>
                  <w:pPr>
                    <w:spacing w:line="360" w:lineRule="auto"/>
                    <w:jc w:val="both"/>
                    <w:rPr>
                      <w:rFonts w:hint="eastAsia" w:eastAsia="宋体"/>
                      <w:color w:val="auto"/>
                      <w:sz w:val="21"/>
                      <w:szCs w:val="21"/>
                      <w:highlight w:val="none"/>
                      <w:lang w:eastAsia="zh-CN"/>
                    </w:rPr>
                  </w:pPr>
                  <w:r>
                    <w:rPr>
                      <w:rFonts w:hint="eastAsia"/>
                      <w:color w:val="auto"/>
                      <w:sz w:val="21"/>
                      <w:szCs w:val="21"/>
                      <w:highlight w:val="none"/>
                      <w:lang w:eastAsia="zh-CN"/>
                    </w:rPr>
                    <w:t>项目区内及项目区外</w:t>
                  </w:r>
                  <w:r>
                    <w:rPr>
                      <w:rFonts w:hint="eastAsia"/>
                      <w:color w:val="auto"/>
                      <w:sz w:val="21"/>
                      <w:szCs w:val="21"/>
                      <w:highlight w:val="none"/>
                      <w:lang w:val="en-US" w:eastAsia="zh-CN"/>
                    </w:rPr>
                    <w:t>500m范围内区域</w:t>
                  </w:r>
                  <w:r>
                    <w:rPr>
                      <w:rFonts w:hint="eastAsia"/>
                      <w:color w:val="auto"/>
                      <w:sz w:val="21"/>
                      <w:szCs w:val="21"/>
                      <w:highlight w:val="none"/>
                    </w:rPr>
                    <w:t>植被、水土</w:t>
                  </w:r>
                  <w:r>
                    <w:rPr>
                      <w:rFonts w:hint="eastAsia"/>
                      <w:color w:val="auto"/>
                      <w:sz w:val="21"/>
                      <w:szCs w:val="21"/>
                      <w:highlight w:val="none"/>
                      <w:lang w:eastAsia="zh-CN"/>
                    </w:rPr>
                    <w:t>保持现状作为保护目标；</w:t>
                  </w:r>
                  <w:r>
                    <w:rPr>
                      <w:rFonts w:hint="eastAsia"/>
                      <w:color w:val="auto"/>
                      <w:sz w:val="21"/>
                      <w:szCs w:val="21"/>
                      <w:highlight w:val="none"/>
                      <w:lang w:val="en-US" w:eastAsia="zh-CN"/>
                    </w:rPr>
                    <w:t>项目</w:t>
                  </w:r>
                  <w:r>
                    <w:rPr>
                      <w:rFonts w:hint="default"/>
                      <w:color w:val="auto"/>
                      <w:sz w:val="21"/>
                      <w:szCs w:val="21"/>
                      <w:highlight w:val="none"/>
                      <w:lang w:val="en-US" w:eastAsia="zh-CN"/>
                    </w:rPr>
                    <w:t>区邻近交</w:t>
                  </w:r>
                  <w:r>
                    <w:rPr>
                      <w:rFonts w:hint="default"/>
                      <w:color w:val="auto"/>
                      <w:sz w:val="21"/>
                      <w:szCs w:val="21"/>
                      <w:highlight w:val="none"/>
                      <w:lang w:eastAsia="zh-CN"/>
                    </w:rPr>
                    <w:t>通道路，交通条件较好，且不在生态红线范围内，用地范围无集中式饮用水水源保护区、</w:t>
                  </w:r>
                  <w:r>
                    <w:rPr>
                      <w:rFonts w:hint="default"/>
                      <w:color w:val="auto"/>
                      <w:sz w:val="21"/>
                      <w:szCs w:val="21"/>
                      <w:highlight w:val="none"/>
                      <w:lang w:val="en-US" w:eastAsia="zh-CN"/>
                    </w:rPr>
                    <w:t>自然保护区、风景名胜区、</w:t>
                  </w:r>
                  <w:r>
                    <w:rPr>
                      <w:rFonts w:hint="default"/>
                      <w:color w:val="auto"/>
                      <w:sz w:val="21"/>
                      <w:szCs w:val="21"/>
                      <w:highlight w:val="none"/>
                      <w:lang w:eastAsia="zh-CN"/>
                    </w:rPr>
                    <w:t>文物古迹</w:t>
                  </w:r>
                  <w:r>
                    <w:rPr>
                      <w:rFonts w:hint="eastAsia"/>
                      <w:color w:val="auto"/>
                      <w:sz w:val="21"/>
                      <w:szCs w:val="21"/>
                      <w:highlight w:val="none"/>
                      <w:lang w:eastAsia="zh-CN"/>
                    </w:rPr>
                    <w:t>、基本农田、基本草原</w:t>
                  </w:r>
                  <w:r>
                    <w:rPr>
                      <w:rFonts w:hint="default"/>
                      <w:color w:val="auto"/>
                      <w:sz w:val="21"/>
                      <w:szCs w:val="21"/>
                      <w:highlight w:val="none"/>
                      <w:lang w:eastAsia="zh-CN"/>
                    </w:rPr>
                    <w:t>等敏感</w:t>
                  </w:r>
                  <w:r>
                    <w:rPr>
                      <w:rFonts w:hint="eastAsia"/>
                      <w:color w:val="auto"/>
                      <w:sz w:val="21"/>
                      <w:szCs w:val="21"/>
                      <w:highlight w:val="none"/>
                      <w:lang w:eastAsia="zh-CN"/>
                    </w:rPr>
                    <w:t>区域。项目用地范围内不涉及</w:t>
                  </w:r>
                  <w:r>
                    <w:rPr>
                      <w:rFonts w:hint="eastAsia" w:ascii="微软雅黑" w:hAnsi="微软雅黑" w:eastAsia="微软雅黑" w:cs="微软雅黑"/>
                      <w:color w:val="auto"/>
                      <w:sz w:val="21"/>
                      <w:szCs w:val="21"/>
                      <w:highlight w:val="none"/>
                      <w:lang w:eastAsia="zh-CN"/>
                    </w:rPr>
                    <w:t>Ⅰ</w:t>
                  </w:r>
                  <w:r>
                    <w:rPr>
                      <w:rFonts w:hint="eastAsia"/>
                      <w:color w:val="auto"/>
                      <w:sz w:val="21"/>
                      <w:szCs w:val="21"/>
                      <w:highlight w:val="none"/>
                      <w:lang w:eastAsia="zh-CN"/>
                    </w:rPr>
                    <w:t>级保护林地，涉及</w:t>
                  </w:r>
                  <w:r>
                    <w:rPr>
                      <w:rFonts w:hint="eastAsia" w:ascii="微软雅黑" w:hAnsi="微软雅黑" w:eastAsia="微软雅黑" w:cs="微软雅黑"/>
                      <w:color w:val="auto"/>
                      <w:sz w:val="21"/>
                      <w:szCs w:val="21"/>
                      <w:highlight w:val="none"/>
                      <w:lang w:eastAsia="zh-CN"/>
                    </w:rPr>
                    <w:t>Ⅱ</w:t>
                  </w:r>
                  <w:r>
                    <w:rPr>
                      <w:rFonts w:hint="eastAsia"/>
                      <w:color w:val="auto"/>
                      <w:sz w:val="21"/>
                      <w:szCs w:val="21"/>
                      <w:highlight w:val="none"/>
                      <w:lang w:eastAsia="zh-CN"/>
                    </w:rPr>
                    <w:t>、</w:t>
                  </w:r>
                  <w:r>
                    <w:rPr>
                      <w:rFonts w:hint="eastAsia" w:ascii="微软雅黑" w:hAnsi="微软雅黑" w:eastAsia="微软雅黑" w:cs="微软雅黑"/>
                      <w:color w:val="auto"/>
                      <w:sz w:val="21"/>
                      <w:szCs w:val="21"/>
                      <w:highlight w:val="none"/>
                      <w:lang w:eastAsia="zh-CN"/>
                    </w:rPr>
                    <w:t>Ⅲ</w:t>
                  </w:r>
                  <w:r>
                    <w:rPr>
                      <w:rFonts w:hint="eastAsia"/>
                      <w:color w:val="auto"/>
                      <w:sz w:val="21"/>
                      <w:szCs w:val="21"/>
                      <w:highlight w:val="none"/>
                      <w:lang w:eastAsia="zh-CN"/>
                    </w:rPr>
                    <w:t>、</w:t>
                  </w:r>
                  <w:r>
                    <w:rPr>
                      <w:rFonts w:hint="eastAsia" w:ascii="微软雅黑" w:hAnsi="微软雅黑" w:eastAsia="微软雅黑" w:cs="微软雅黑"/>
                      <w:color w:val="auto"/>
                      <w:sz w:val="21"/>
                      <w:szCs w:val="21"/>
                      <w:highlight w:val="none"/>
                      <w:lang w:eastAsia="zh-CN"/>
                    </w:rPr>
                    <w:t>Ⅳ</w:t>
                  </w:r>
                  <w:r>
                    <w:rPr>
                      <w:rFonts w:hint="eastAsia"/>
                      <w:color w:val="auto"/>
                      <w:sz w:val="21"/>
                      <w:szCs w:val="21"/>
                      <w:highlight w:val="none"/>
                      <w:lang w:eastAsia="zh-CN"/>
                    </w:rPr>
                    <w:t>级保护林地。</w:t>
                  </w:r>
                </w:p>
              </w:tc>
              <w:tc>
                <w:tcPr>
                  <w:tcW w:w="2905" w:type="dxa"/>
                  <w:noWrap w:val="0"/>
                  <w:vAlign w:val="center"/>
                </w:tcPr>
                <w:p>
                  <w:pPr>
                    <w:spacing w:line="360" w:lineRule="auto"/>
                    <w:jc w:val="center"/>
                    <w:rPr>
                      <w:rFonts w:hint="eastAsia"/>
                      <w:color w:val="auto"/>
                      <w:sz w:val="21"/>
                      <w:szCs w:val="21"/>
                      <w:highlight w:val="none"/>
                      <w:lang w:eastAsia="zh-CN"/>
                    </w:rPr>
                  </w:pPr>
                  <w:r>
                    <w:rPr>
                      <w:rFonts w:hint="eastAsia"/>
                      <w:color w:val="auto"/>
                      <w:sz w:val="21"/>
                      <w:szCs w:val="21"/>
                      <w:highlight w:val="none"/>
                      <w:lang w:eastAsia="zh-CN"/>
                    </w:rPr>
                    <w:t>不因项目的实施而使区域内植被覆盖率降低、水土流失加剧</w:t>
                  </w:r>
                </w:p>
              </w:tc>
            </w:tr>
          </w:tbl>
          <w:p>
            <w:pPr>
              <w:pStyle w:val="4"/>
              <w:ind w:left="0" w:leftChars="0" w:firstLine="0" w:firstLineChars="0"/>
              <w:jc w:val="both"/>
              <w:rPr>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225" w:type="pct"/>
            <w:noWrap w:val="0"/>
            <w:vAlign w:val="center"/>
          </w:tcPr>
          <w:p>
            <w:pPr>
              <w:adjustRightInd w:val="0"/>
              <w:snapToGrid w:val="0"/>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评价</w:t>
            </w:r>
          </w:p>
          <w:p>
            <w:pPr>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标准</w:t>
            </w:r>
          </w:p>
        </w:tc>
        <w:tc>
          <w:tcPr>
            <w:tcW w:w="4774" w:type="pct"/>
            <w:noWrap w:val="0"/>
            <w:vAlign w:val="center"/>
          </w:tcPr>
          <w:p>
            <w:pPr>
              <w:pStyle w:val="5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b/>
                <w:bCs/>
                <w:color w:val="auto"/>
                <w:sz w:val="24"/>
                <w:szCs w:val="24"/>
                <w:highlight w:val="none"/>
                <w:lang w:eastAsia="zh-CN"/>
              </w:rPr>
              <w:t>一、</w:t>
            </w:r>
            <w:r>
              <w:rPr>
                <w:rFonts w:hint="default" w:ascii="Times New Roman" w:hAnsi="Times New Roman" w:eastAsia="宋体" w:cs="Times New Roman"/>
                <w:b/>
                <w:bCs/>
                <w:color w:val="auto"/>
                <w:sz w:val="24"/>
                <w:szCs w:val="24"/>
                <w:highlight w:val="none"/>
              </w:rPr>
              <w:t>环境质量标准</w:t>
            </w:r>
          </w:p>
          <w:p>
            <w:pPr>
              <w:spacing w:line="360" w:lineRule="auto"/>
              <w:ind w:firstLine="480" w:firstLineChars="200"/>
              <w:rPr>
                <w:color w:val="auto"/>
                <w:highlight w:val="none"/>
              </w:rPr>
            </w:pPr>
            <w:r>
              <w:rPr>
                <w:b w:val="0"/>
                <w:bCs/>
                <w:color w:val="auto"/>
                <w:sz w:val="24"/>
                <w:highlight w:val="none"/>
              </w:rPr>
              <w:t>1</w:t>
            </w:r>
            <w:r>
              <w:rPr>
                <w:rFonts w:hint="eastAsia"/>
                <w:b w:val="0"/>
                <w:bCs/>
                <w:color w:val="auto"/>
                <w:sz w:val="24"/>
                <w:highlight w:val="none"/>
              </w:rPr>
              <w:t>、</w:t>
            </w:r>
            <w:r>
              <w:rPr>
                <w:rFonts w:hint="eastAsia" w:ascii="宋体" w:hAnsi="宋体" w:eastAsia="宋体" w:cs="宋体"/>
                <w:color w:val="auto"/>
                <w:kern w:val="0"/>
                <w:sz w:val="24"/>
                <w:szCs w:val="24"/>
                <w:highlight w:val="none"/>
                <w:lang w:val="en-US" w:eastAsia="zh-CN" w:bidi="ar"/>
              </w:rPr>
              <w:t>环境空气质量执行《环境空气质量标准》（</w:t>
            </w:r>
            <w:r>
              <w:rPr>
                <w:rFonts w:hint="default" w:ascii="Times New Roman" w:hAnsi="Times New Roman" w:eastAsia="宋体" w:cs="Times New Roman"/>
                <w:color w:val="auto"/>
                <w:kern w:val="0"/>
                <w:sz w:val="24"/>
                <w:szCs w:val="24"/>
                <w:highlight w:val="none"/>
                <w:lang w:val="en-US" w:eastAsia="zh-CN" w:bidi="ar"/>
              </w:rPr>
              <w:t>GB3095-2012</w:t>
            </w:r>
            <w:r>
              <w:rPr>
                <w:rFonts w:hint="eastAsia" w:ascii="宋体" w:hAnsi="宋体" w:eastAsia="宋体" w:cs="宋体"/>
                <w:color w:val="auto"/>
                <w:kern w:val="0"/>
                <w:sz w:val="24"/>
                <w:szCs w:val="24"/>
                <w:highlight w:val="none"/>
                <w:lang w:val="en-US" w:eastAsia="zh-CN" w:bidi="ar"/>
              </w:rPr>
              <w:t>）及其修改单二级标准。</w:t>
            </w:r>
          </w:p>
          <w:p>
            <w:pPr>
              <w:numPr>
                <w:ilvl w:val="0"/>
                <w:numId w:val="0"/>
              </w:num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val="en-US" w:eastAsia="zh-CN"/>
              </w:rPr>
              <w:t>运营期项目</w:t>
            </w:r>
            <w:r>
              <w:rPr>
                <w:rFonts w:hint="eastAsia" w:ascii="Times New Roman" w:hAnsi="Times New Roman" w:eastAsia="宋体" w:cs="Times New Roman"/>
                <w:b w:val="0"/>
                <w:bCs/>
                <w:color w:val="auto"/>
                <w:sz w:val="24"/>
                <w:szCs w:val="24"/>
                <w:highlight w:val="none"/>
                <w:lang w:val="en-US" w:eastAsia="zh-CN"/>
              </w:rPr>
              <w:t>声环境执行标准</w:t>
            </w:r>
            <w:r>
              <w:rPr>
                <w:rFonts w:hint="eastAsia" w:ascii="Times New Roman" w:hAnsi="Times New Roman" w:eastAsia="宋体" w:cs="Times New Roman"/>
                <w:color w:val="auto"/>
                <w:sz w:val="24"/>
                <w:szCs w:val="24"/>
                <w:highlight w:val="none"/>
                <w:lang w:val="en-US" w:eastAsia="zh-CN"/>
              </w:rPr>
              <w:t>执行《声环境质量标准》（GB3096-2008）中</w:t>
            </w:r>
            <w:r>
              <w:rPr>
                <w:rFonts w:hint="eastAsia"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val="en-US" w:eastAsia="zh-CN"/>
              </w:rPr>
              <w:t>类</w:t>
            </w:r>
            <w:r>
              <w:rPr>
                <w:rFonts w:hint="eastAsia" w:cs="Times New Roman"/>
                <w:color w:val="auto"/>
                <w:sz w:val="24"/>
                <w:szCs w:val="24"/>
                <w:highlight w:val="none"/>
                <w:lang w:val="en-US" w:eastAsia="zh-CN"/>
              </w:rPr>
              <w:t>、4a类</w:t>
            </w:r>
            <w:r>
              <w:rPr>
                <w:rFonts w:hint="eastAsia" w:ascii="Times New Roman" w:hAnsi="Times New Roman" w:eastAsia="宋体" w:cs="Times New Roman"/>
                <w:color w:val="auto"/>
                <w:sz w:val="24"/>
                <w:szCs w:val="24"/>
                <w:highlight w:val="none"/>
                <w:lang w:val="en-US" w:eastAsia="zh-CN"/>
              </w:rPr>
              <w:t>标准限值（由于项目区北侧距离世纪大道40m，执行</w:t>
            </w:r>
            <w:r>
              <w:rPr>
                <w:rFonts w:hint="eastAsia" w:cs="Times New Roman"/>
                <w:color w:val="auto"/>
                <w:sz w:val="24"/>
                <w:szCs w:val="24"/>
                <w:highlight w:val="none"/>
                <w:lang w:val="en-US" w:eastAsia="zh-CN"/>
              </w:rPr>
              <w:t>4a类：</w:t>
            </w:r>
            <w:r>
              <w:rPr>
                <w:b w:val="0"/>
                <w:bCs w:val="0"/>
                <w:color w:val="auto"/>
                <w:sz w:val="24"/>
                <w:szCs w:val="24"/>
                <w:highlight w:val="none"/>
              </w:rPr>
              <w:t>昼间</w:t>
            </w:r>
            <w:r>
              <w:rPr>
                <w:rFonts w:hint="eastAsia"/>
                <w:b w:val="0"/>
                <w:bCs w:val="0"/>
                <w:color w:val="auto"/>
                <w:sz w:val="24"/>
                <w:szCs w:val="24"/>
                <w:highlight w:val="none"/>
                <w:lang w:val="en-US" w:eastAsia="zh-CN"/>
              </w:rPr>
              <w:t>70</w:t>
            </w:r>
            <w:r>
              <w:rPr>
                <w:b w:val="0"/>
                <w:bCs w:val="0"/>
                <w:color w:val="auto"/>
                <w:sz w:val="24"/>
                <w:szCs w:val="24"/>
                <w:highlight w:val="none"/>
              </w:rPr>
              <w:t>dB（A）</w:t>
            </w:r>
            <w:r>
              <w:rPr>
                <w:rFonts w:hint="eastAsia"/>
                <w:b w:val="0"/>
                <w:bCs w:val="0"/>
                <w:color w:val="auto"/>
                <w:sz w:val="24"/>
                <w:szCs w:val="24"/>
                <w:highlight w:val="none"/>
                <w:lang w:eastAsia="zh-CN"/>
              </w:rPr>
              <w:t>、</w:t>
            </w:r>
            <w:r>
              <w:rPr>
                <w:b w:val="0"/>
                <w:bCs w:val="0"/>
                <w:color w:val="auto"/>
                <w:sz w:val="24"/>
                <w:szCs w:val="24"/>
                <w:highlight w:val="none"/>
              </w:rPr>
              <w:t>夜间</w:t>
            </w:r>
            <w:r>
              <w:rPr>
                <w:rFonts w:hint="eastAsia" w:eastAsia="宋体"/>
                <w:b w:val="0"/>
                <w:bCs w:val="0"/>
                <w:color w:val="auto"/>
                <w:sz w:val="24"/>
                <w:szCs w:val="24"/>
                <w:highlight w:val="none"/>
                <w:lang w:val="en-US" w:eastAsia="zh-CN"/>
              </w:rPr>
              <w:t>5</w:t>
            </w:r>
            <w:r>
              <w:rPr>
                <w:rFonts w:hint="eastAsia"/>
                <w:b w:val="0"/>
                <w:bCs w:val="0"/>
                <w:color w:val="auto"/>
                <w:sz w:val="24"/>
                <w:szCs w:val="24"/>
                <w:highlight w:val="none"/>
                <w:lang w:val="en-US" w:eastAsia="zh-CN"/>
              </w:rPr>
              <w:t>5</w:t>
            </w:r>
            <w:r>
              <w:rPr>
                <w:b w:val="0"/>
                <w:bCs w:val="0"/>
                <w:color w:val="auto"/>
                <w:sz w:val="24"/>
                <w:szCs w:val="24"/>
                <w:highlight w:val="none"/>
              </w:rPr>
              <w:t>dB（A</w:t>
            </w:r>
            <w:r>
              <w:rPr>
                <w:rFonts w:hint="eastAsia" w:ascii="Times New Roman" w:hAnsi="Times New Roman" w:eastAsia="宋体" w:cs="Times New Roman"/>
                <w:color w:val="auto"/>
                <w:sz w:val="24"/>
                <w:szCs w:val="24"/>
                <w:highlight w:val="none"/>
                <w:lang w:val="en-US" w:eastAsia="zh-CN"/>
              </w:rPr>
              <w:t>）；其他执行2类：昼间</w:t>
            </w:r>
            <w:r>
              <w:rPr>
                <w:rFonts w:hint="eastAsia" w:eastAsia="宋体"/>
                <w:b w:val="0"/>
                <w:bCs w:val="0"/>
                <w:color w:val="auto"/>
                <w:sz w:val="24"/>
                <w:szCs w:val="24"/>
                <w:highlight w:val="none"/>
                <w:lang w:val="en-US" w:eastAsia="zh-CN"/>
              </w:rPr>
              <w:t>6</w:t>
            </w:r>
            <w:r>
              <w:rPr>
                <w:rFonts w:hint="eastAsia"/>
                <w:b w:val="0"/>
                <w:bCs w:val="0"/>
                <w:color w:val="auto"/>
                <w:sz w:val="24"/>
                <w:szCs w:val="24"/>
                <w:highlight w:val="none"/>
                <w:lang w:val="en-US" w:eastAsia="zh-CN"/>
              </w:rPr>
              <w:t>0</w:t>
            </w:r>
            <w:r>
              <w:rPr>
                <w:b w:val="0"/>
                <w:bCs w:val="0"/>
                <w:color w:val="auto"/>
                <w:sz w:val="24"/>
                <w:szCs w:val="24"/>
                <w:highlight w:val="none"/>
              </w:rPr>
              <w:t>dB（A）</w:t>
            </w:r>
            <w:r>
              <w:rPr>
                <w:rFonts w:hint="eastAsia"/>
                <w:b w:val="0"/>
                <w:bCs w:val="0"/>
                <w:color w:val="auto"/>
                <w:sz w:val="24"/>
                <w:szCs w:val="24"/>
                <w:highlight w:val="none"/>
                <w:lang w:eastAsia="zh-CN"/>
              </w:rPr>
              <w:t>、</w:t>
            </w:r>
            <w:r>
              <w:rPr>
                <w:b w:val="0"/>
                <w:bCs w:val="0"/>
                <w:color w:val="auto"/>
                <w:sz w:val="24"/>
                <w:szCs w:val="24"/>
                <w:highlight w:val="none"/>
              </w:rPr>
              <w:t>夜间</w:t>
            </w:r>
            <w:r>
              <w:rPr>
                <w:rFonts w:hint="eastAsia" w:eastAsia="宋体"/>
                <w:b w:val="0"/>
                <w:bCs w:val="0"/>
                <w:color w:val="auto"/>
                <w:sz w:val="24"/>
                <w:szCs w:val="24"/>
                <w:highlight w:val="none"/>
                <w:lang w:val="en-US" w:eastAsia="zh-CN"/>
              </w:rPr>
              <w:t>5</w:t>
            </w:r>
            <w:r>
              <w:rPr>
                <w:rFonts w:hint="eastAsia"/>
                <w:b w:val="0"/>
                <w:bCs w:val="0"/>
                <w:color w:val="auto"/>
                <w:sz w:val="24"/>
                <w:szCs w:val="24"/>
                <w:highlight w:val="none"/>
                <w:lang w:val="en-US" w:eastAsia="zh-CN"/>
              </w:rPr>
              <w:t>0</w:t>
            </w:r>
            <w:r>
              <w:rPr>
                <w:b w:val="0"/>
                <w:bCs w:val="0"/>
                <w:color w:val="auto"/>
                <w:sz w:val="24"/>
                <w:szCs w:val="24"/>
                <w:highlight w:val="none"/>
              </w:rPr>
              <w:t>dB（A）</w:t>
            </w:r>
            <w:r>
              <w:rPr>
                <w:rFonts w:hint="eastAsia" w:ascii="Times New Roman" w:hAnsi="Times New Roman" w:eastAsia="宋体" w:cs="Times New Roman"/>
                <w:color w:val="auto"/>
                <w:sz w:val="24"/>
                <w:szCs w:val="24"/>
                <w:highlight w:val="none"/>
                <w:lang w:val="en-US" w:eastAsia="zh-CN"/>
              </w:rPr>
              <w:t>）。</w:t>
            </w:r>
          </w:p>
          <w:p>
            <w:pPr>
              <w:numPr>
                <w:ilvl w:val="0"/>
                <w:numId w:val="0"/>
              </w:numPr>
              <w:spacing w:line="360" w:lineRule="auto"/>
              <w:ind w:firstLine="480" w:firstLineChars="200"/>
              <w:rPr>
                <w:rFonts w:hint="eastAsia"/>
                <w:b/>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3、土壤环境执行《土壤环境质量农用地土壤污染风险管控标准（试行）》（</w:t>
            </w:r>
            <w:r>
              <w:rPr>
                <w:rFonts w:hint="default" w:ascii="Times New Roman" w:hAnsi="Times New Roman" w:eastAsia="宋体" w:cs="Times New Roman"/>
                <w:b w:val="0"/>
                <w:bCs/>
                <w:color w:val="auto"/>
                <w:sz w:val="24"/>
                <w:szCs w:val="24"/>
                <w:highlight w:val="none"/>
                <w:lang w:val="en-US" w:eastAsia="zh-CN"/>
              </w:rPr>
              <w:t>GB15618-2018</w:t>
            </w:r>
            <w:r>
              <w:rPr>
                <w:rFonts w:hint="eastAsia" w:ascii="Times New Roman" w:hAnsi="Times New Roman" w:eastAsia="宋体" w:cs="Times New Roman"/>
                <w:b w:val="0"/>
                <w:bCs/>
                <w:color w:val="auto"/>
                <w:sz w:val="24"/>
                <w:szCs w:val="24"/>
                <w:highlight w:val="none"/>
                <w:lang w:val="en-US" w:eastAsia="zh-CN"/>
              </w:rPr>
              <w:t>）农用地土壤污染风险筛选值标准要求。</w:t>
            </w:r>
          </w:p>
          <w:p>
            <w:pPr>
              <w:pStyle w:val="5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二、污染物排放标准</w:t>
            </w:r>
          </w:p>
          <w:p>
            <w:pPr>
              <w:tabs>
                <w:tab w:val="left" w:pos="0"/>
              </w:tabs>
              <w:spacing w:line="360" w:lineRule="auto"/>
              <w:ind w:firstLine="480" w:firstLineChars="200"/>
              <w:rPr>
                <w:rFonts w:hint="default" w:ascii="Times New Roman" w:hAnsi="Times New Roman" w:eastAsia="宋体" w:cs="Times New Roman"/>
                <w:color w:val="auto"/>
                <w:sz w:val="24"/>
                <w:szCs w:val="24"/>
                <w:highlight w:val="none"/>
              </w:rPr>
            </w:pPr>
            <w:r>
              <w:rPr>
                <w:rFonts w:hint="eastAsia"/>
                <w:color w:val="auto"/>
                <w:sz w:val="24"/>
                <w:szCs w:val="24"/>
                <w:highlight w:val="none"/>
                <w:lang w:val="en-US" w:eastAsia="zh-CN"/>
              </w:rPr>
              <w:t>1、</w:t>
            </w:r>
            <w:r>
              <w:rPr>
                <w:rFonts w:hint="default" w:ascii="Times New Roman" w:hAnsi="Times New Roman" w:eastAsia="宋体" w:cs="Times New Roman"/>
                <w:color w:val="auto"/>
                <w:sz w:val="24"/>
                <w:szCs w:val="24"/>
                <w:highlight w:val="none"/>
              </w:rPr>
              <w:t>施工期扬尘执行《大气污染物综合排放标准》（GB16297－1996）表2中颗粒物无组织排放浓度限值，具体见表3-</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w:t>
            </w:r>
          </w:p>
          <w:p>
            <w:pPr>
              <w:pStyle w:val="5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color w:val="auto"/>
                <w:sz w:val="24"/>
                <w:szCs w:val="24"/>
                <w:highlight w:val="none"/>
              </w:rPr>
            </w:pPr>
            <w:r>
              <w:rPr>
                <w:rFonts w:hint="default"/>
                <w:b w:val="0"/>
                <w:bCs/>
                <w:color w:val="auto"/>
                <w:sz w:val="24"/>
                <w:szCs w:val="24"/>
                <w:highlight w:val="none"/>
              </w:rPr>
              <w:t>表3-</w:t>
            </w:r>
            <w:r>
              <w:rPr>
                <w:rFonts w:hint="eastAsia"/>
                <w:b w:val="0"/>
                <w:bCs/>
                <w:color w:val="auto"/>
                <w:sz w:val="24"/>
                <w:szCs w:val="24"/>
                <w:highlight w:val="none"/>
                <w:lang w:val="en-US" w:eastAsia="zh-CN"/>
              </w:rPr>
              <w:t>6</w:t>
            </w:r>
            <w:r>
              <w:rPr>
                <w:rFonts w:hint="default"/>
                <w:b w:val="0"/>
                <w:bCs/>
                <w:color w:val="auto"/>
                <w:sz w:val="24"/>
                <w:szCs w:val="24"/>
                <w:highlight w:val="none"/>
              </w:rPr>
              <w:t xml:space="preserve">  </w:t>
            </w:r>
            <w:r>
              <w:rPr>
                <w:rFonts w:hint="eastAsia"/>
                <w:b w:val="0"/>
                <w:bCs/>
                <w:color w:val="auto"/>
                <w:sz w:val="24"/>
                <w:szCs w:val="24"/>
                <w:highlight w:val="none"/>
                <w:lang w:val="en-US" w:eastAsia="zh-CN"/>
              </w:rPr>
              <w:t xml:space="preserve"> </w:t>
            </w:r>
            <w:r>
              <w:rPr>
                <w:rFonts w:hint="default"/>
                <w:b w:val="0"/>
                <w:bCs/>
                <w:color w:val="auto"/>
                <w:sz w:val="24"/>
                <w:szCs w:val="24"/>
                <w:highlight w:val="none"/>
              </w:rPr>
              <w:t>大气污染物综合排放标准</w:t>
            </w:r>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28"/>
              <w:gridCol w:w="588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420" w:hRule="atLeast"/>
                <w:jc w:val="center"/>
              </w:trPr>
              <w:tc>
                <w:tcPr>
                  <w:tcW w:w="1282" w:type="pct"/>
                  <w:noWrap w:val="0"/>
                  <w:vAlign w:val="center"/>
                </w:tcPr>
                <w:p>
                  <w:pPr>
                    <w:tabs>
                      <w:tab w:val="left" w:pos="0"/>
                    </w:tabs>
                    <w:spacing w:line="360" w:lineRule="auto"/>
                    <w:jc w:val="center"/>
                    <w:rPr>
                      <w:rFonts w:hint="default"/>
                      <w:color w:val="auto"/>
                      <w:highlight w:val="none"/>
                    </w:rPr>
                  </w:pPr>
                  <w:r>
                    <w:rPr>
                      <w:rFonts w:hint="default"/>
                      <w:color w:val="auto"/>
                      <w:highlight w:val="none"/>
                    </w:rPr>
                    <w:t>污染物</w:t>
                  </w:r>
                </w:p>
              </w:tc>
              <w:tc>
                <w:tcPr>
                  <w:tcW w:w="3717" w:type="pct"/>
                  <w:noWrap w:val="0"/>
                  <w:vAlign w:val="center"/>
                </w:tcPr>
                <w:p>
                  <w:pPr>
                    <w:tabs>
                      <w:tab w:val="left" w:pos="0"/>
                    </w:tabs>
                    <w:spacing w:line="360" w:lineRule="auto"/>
                    <w:jc w:val="center"/>
                    <w:rPr>
                      <w:rFonts w:hint="default"/>
                      <w:color w:val="auto"/>
                      <w:highlight w:val="none"/>
                    </w:rPr>
                  </w:pPr>
                  <w:r>
                    <w:rPr>
                      <w:rFonts w:hint="default"/>
                      <w:color w:val="auto"/>
                      <w:highlight w:val="none"/>
                    </w:rPr>
                    <w:t>无组织排放监控浓度限值点（mg/m3）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282" w:type="pct"/>
                  <w:noWrap w:val="0"/>
                  <w:vAlign w:val="center"/>
                </w:tcPr>
                <w:p>
                  <w:pPr>
                    <w:tabs>
                      <w:tab w:val="left" w:pos="0"/>
                    </w:tabs>
                    <w:spacing w:line="360" w:lineRule="auto"/>
                    <w:jc w:val="center"/>
                    <w:rPr>
                      <w:rFonts w:hint="default"/>
                      <w:color w:val="auto"/>
                      <w:highlight w:val="none"/>
                    </w:rPr>
                  </w:pPr>
                  <w:r>
                    <w:rPr>
                      <w:rFonts w:hint="default"/>
                      <w:color w:val="auto"/>
                      <w:highlight w:val="none"/>
                    </w:rPr>
                    <w:t>颗粒物</w:t>
                  </w:r>
                </w:p>
              </w:tc>
              <w:tc>
                <w:tcPr>
                  <w:tcW w:w="3717" w:type="pct"/>
                  <w:noWrap w:val="0"/>
                  <w:vAlign w:val="center"/>
                </w:tcPr>
                <w:p>
                  <w:pPr>
                    <w:tabs>
                      <w:tab w:val="left" w:pos="0"/>
                    </w:tabs>
                    <w:spacing w:line="360" w:lineRule="auto"/>
                    <w:jc w:val="center"/>
                    <w:rPr>
                      <w:rFonts w:hint="default"/>
                      <w:color w:val="auto"/>
                      <w:highlight w:val="none"/>
                    </w:rPr>
                  </w:pPr>
                  <w:r>
                    <w:rPr>
                      <w:rFonts w:hint="default"/>
                      <w:color w:val="auto"/>
                      <w:highlight w:val="none"/>
                    </w:rPr>
                    <w:t>周界外浓度最高点1.0</w:t>
                  </w:r>
                </w:p>
              </w:tc>
            </w:tr>
          </w:tbl>
          <w:p>
            <w:pPr>
              <w:tabs>
                <w:tab w:val="left" w:pos="0"/>
              </w:tabs>
              <w:spacing w:line="360" w:lineRule="auto"/>
              <w:ind w:firstLine="480" w:firstLineChars="200"/>
              <w:rPr>
                <w:rFonts w:hint="default"/>
                <w:color w:val="auto"/>
                <w:sz w:val="24"/>
                <w:szCs w:val="24"/>
                <w:highlight w:val="none"/>
              </w:rPr>
            </w:pPr>
            <w:r>
              <w:rPr>
                <w:rFonts w:hint="eastAsia"/>
                <w:color w:val="auto"/>
                <w:sz w:val="24"/>
                <w:szCs w:val="24"/>
                <w:highlight w:val="none"/>
                <w:lang w:val="en-US" w:eastAsia="zh-CN"/>
              </w:rPr>
              <w:t>2、</w:t>
            </w:r>
            <w:r>
              <w:rPr>
                <w:rFonts w:hint="default"/>
                <w:color w:val="auto"/>
                <w:sz w:val="24"/>
                <w:szCs w:val="24"/>
                <w:highlight w:val="none"/>
              </w:rPr>
              <w:t>施工噪声执行《建筑施工场界环境噪声排放标准》(GB12523-2011)中的标准限值，运营期</w:t>
            </w:r>
            <w:r>
              <w:rPr>
                <w:rFonts w:hint="eastAsia"/>
                <w:color w:val="auto"/>
                <w:sz w:val="24"/>
                <w:szCs w:val="24"/>
                <w:highlight w:val="none"/>
                <w:lang w:eastAsia="zh-CN"/>
              </w:rPr>
              <w:t>噪声排放</w:t>
            </w:r>
            <w:r>
              <w:rPr>
                <w:rFonts w:hint="default"/>
                <w:color w:val="auto"/>
                <w:sz w:val="24"/>
                <w:szCs w:val="24"/>
                <w:highlight w:val="none"/>
              </w:rPr>
              <w:t>执行《工业企业厂界环境噪声排放标准》(GB12348-2008)</w:t>
            </w:r>
            <w:r>
              <w:rPr>
                <w:rFonts w:hint="eastAsia"/>
                <w:color w:val="auto"/>
                <w:sz w:val="24"/>
                <w:szCs w:val="24"/>
                <w:highlight w:val="none"/>
                <w:lang w:val="en-US" w:eastAsia="zh-CN"/>
              </w:rPr>
              <w:t>2</w:t>
            </w:r>
            <w:r>
              <w:rPr>
                <w:rFonts w:hint="default"/>
                <w:color w:val="auto"/>
                <w:sz w:val="24"/>
                <w:szCs w:val="24"/>
                <w:highlight w:val="none"/>
              </w:rPr>
              <w:t>类</w:t>
            </w:r>
            <w:r>
              <w:rPr>
                <w:rFonts w:hint="eastAsia"/>
                <w:color w:val="auto"/>
                <w:sz w:val="24"/>
                <w:szCs w:val="24"/>
                <w:highlight w:val="none"/>
                <w:lang w:eastAsia="zh-CN"/>
              </w:rPr>
              <w:t>、</w:t>
            </w:r>
            <w:r>
              <w:rPr>
                <w:rFonts w:hint="eastAsia"/>
                <w:color w:val="auto"/>
                <w:sz w:val="24"/>
                <w:szCs w:val="24"/>
                <w:highlight w:val="none"/>
                <w:lang w:val="en-US" w:eastAsia="zh-CN"/>
              </w:rPr>
              <w:t>4类</w:t>
            </w:r>
            <w:r>
              <w:rPr>
                <w:rFonts w:hint="default"/>
                <w:color w:val="auto"/>
                <w:sz w:val="24"/>
                <w:szCs w:val="24"/>
                <w:highlight w:val="none"/>
              </w:rPr>
              <w:t>标准</w:t>
            </w:r>
            <w:r>
              <w:rPr>
                <w:rFonts w:hint="eastAsia"/>
                <w:color w:val="auto"/>
                <w:sz w:val="24"/>
                <w:szCs w:val="24"/>
                <w:highlight w:val="none"/>
                <w:lang w:eastAsia="zh-CN"/>
              </w:rPr>
              <w:t>限值</w:t>
            </w:r>
            <w:r>
              <w:rPr>
                <w:rFonts w:hint="default"/>
                <w:color w:val="auto"/>
                <w:sz w:val="24"/>
                <w:szCs w:val="24"/>
                <w:highlight w:val="none"/>
              </w:rPr>
              <w:t>。具体</w:t>
            </w:r>
            <w:r>
              <w:rPr>
                <w:rFonts w:hint="eastAsia"/>
                <w:color w:val="auto"/>
                <w:sz w:val="24"/>
                <w:szCs w:val="24"/>
                <w:highlight w:val="none"/>
                <w:lang w:eastAsia="zh-CN"/>
              </w:rPr>
              <w:t>见</w:t>
            </w:r>
            <w:r>
              <w:rPr>
                <w:rFonts w:hint="default"/>
                <w:color w:val="auto"/>
                <w:sz w:val="24"/>
                <w:szCs w:val="24"/>
                <w:highlight w:val="none"/>
              </w:rPr>
              <w:t>表3-</w:t>
            </w:r>
            <w:r>
              <w:rPr>
                <w:rFonts w:hint="eastAsia"/>
                <w:color w:val="auto"/>
                <w:sz w:val="24"/>
                <w:szCs w:val="24"/>
                <w:highlight w:val="none"/>
                <w:lang w:val="en-US" w:eastAsia="zh-CN"/>
              </w:rPr>
              <w:t>7</w:t>
            </w:r>
            <w:r>
              <w:rPr>
                <w:rFonts w:hint="default"/>
                <w:color w:val="auto"/>
                <w:sz w:val="24"/>
                <w:szCs w:val="24"/>
                <w:highlight w:val="none"/>
              </w:rPr>
              <w:t>。</w:t>
            </w:r>
          </w:p>
          <w:p>
            <w:pPr>
              <w:pStyle w:val="5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b w:val="0"/>
                <w:bCs/>
                <w:color w:val="auto"/>
                <w:sz w:val="24"/>
                <w:szCs w:val="24"/>
                <w:highlight w:val="none"/>
              </w:rPr>
            </w:pPr>
            <w:r>
              <w:rPr>
                <w:rFonts w:hint="default"/>
                <w:b w:val="0"/>
                <w:bCs/>
                <w:color w:val="auto"/>
                <w:sz w:val="24"/>
                <w:szCs w:val="24"/>
                <w:highlight w:val="none"/>
              </w:rPr>
              <w:t>表3-</w:t>
            </w:r>
            <w:r>
              <w:rPr>
                <w:rFonts w:hint="eastAsia"/>
                <w:b w:val="0"/>
                <w:bCs/>
                <w:color w:val="auto"/>
                <w:sz w:val="24"/>
                <w:szCs w:val="24"/>
                <w:highlight w:val="none"/>
                <w:lang w:val="en-US" w:eastAsia="zh-CN"/>
              </w:rPr>
              <w:t>7</w:t>
            </w:r>
            <w:r>
              <w:rPr>
                <w:rFonts w:hint="default"/>
                <w:b w:val="0"/>
                <w:bCs/>
                <w:color w:val="auto"/>
                <w:sz w:val="24"/>
                <w:szCs w:val="24"/>
                <w:highlight w:val="none"/>
              </w:rPr>
              <w:t xml:space="preserve">  噪声排放标准一览表（单位：dB(A)）</w:t>
            </w:r>
          </w:p>
          <w:tbl>
            <w:tblPr>
              <w:tblStyle w:val="24"/>
              <w:tblW w:w="4881" w:type="pct"/>
              <w:tblInd w:w="-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69"/>
              <w:gridCol w:w="1670"/>
              <w:gridCol w:w="2305"/>
              <w:gridCol w:w="2079"/>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2" w:hRule="atLeast"/>
              </w:trPr>
              <w:tc>
                <w:tcPr>
                  <w:tcW w:w="2162" w:type="pct"/>
                  <w:gridSpan w:val="2"/>
                  <w:vMerge w:val="restart"/>
                  <w:noWrap w:val="0"/>
                  <w:vAlign w:val="center"/>
                </w:tcPr>
                <w:p>
                  <w:pPr>
                    <w:tabs>
                      <w:tab w:val="left" w:pos="0"/>
                    </w:tabs>
                    <w:spacing w:line="360" w:lineRule="auto"/>
                    <w:jc w:val="center"/>
                    <w:rPr>
                      <w:rFonts w:hint="eastAsia" w:eastAsia="宋体"/>
                      <w:color w:val="auto"/>
                      <w:highlight w:val="none"/>
                      <w:lang w:eastAsia="zh-CN"/>
                    </w:rPr>
                  </w:pPr>
                  <w:r>
                    <w:rPr>
                      <w:rFonts w:hint="eastAsia"/>
                      <w:color w:val="auto"/>
                      <w:highlight w:val="none"/>
                      <w:lang w:eastAsia="zh-CN"/>
                    </w:rPr>
                    <w:t>时期</w:t>
                  </w:r>
                </w:p>
              </w:tc>
              <w:tc>
                <w:tcPr>
                  <w:tcW w:w="2837" w:type="pct"/>
                  <w:gridSpan w:val="2"/>
                  <w:noWrap w:val="0"/>
                  <w:vAlign w:val="center"/>
                </w:tcPr>
                <w:p>
                  <w:pPr>
                    <w:tabs>
                      <w:tab w:val="left" w:pos="0"/>
                    </w:tabs>
                    <w:spacing w:line="360" w:lineRule="auto"/>
                    <w:jc w:val="center"/>
                    <w:rPr>
                      <w:rFonts w:hint="default"/>
                      <w:color w:val="auto"/>
                      <w:kern w:val="2"/>
                      <w:sz w:val="21"/>
                      <w:szCs w:val="24"/>
                      <w:highlight w:val="none"/>
                      <w:lang w:val="en-US" w:eastAsia="zh-CN" w:bidi="ar-SA"/>
                    </w:rPr>
                  </w:pPr>
                  <w:r>
                    <w:rPr>
                      <w:rFonts w:hint="eastAsia" w:ascii="宋体" w:hAnsi="宋体" w:cs="宋体"/>
                      <w:color w:val="auto"/>
                      <w:kern w:val="0"/>
                      <w:szCs w:val="21"/>
                      <w:highlight w:val="none"/>
                      <w:lang w:bidi="ar"/>
                    </w:rPr>
                    <w:t xml:space="preserve">噪声限值 </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2162" w:type="pct"/>
                  <w:gridSpan w:val="2"/>
                  <w:vMerge w:val="continue"/>
                  <w:noWrap w:val="0"/>
                  <w:vAlign w:val="center"/>
                </w:tcPr>
                <w:p>
                  <w:pPr>
                    <w:tabs>
                      <w:tab w:val="left" w:pos="0"/>
                    </w:tabs>
                    <w:spacing w:line="360" w:lineRule="auto"/>
                    <w:jc w:val="center"/>
                    <w:rPr>
                      <w:color w:val="auto"/>
                      <w:highlight w:val="none"/>
                    </w:rPr>
                  </w:pPr>
                </w:p>
              </w:tc>
              <w:tc>
                <w:tcPr>
                  <w:tcW w:w="1492" w:type="pct"/>
                  <w:noWrap w:val="0"/>
                  <w:vAlign w:val="center"/>
                </w:tcPr>
                <w:p>
                  <w:pPr>
                    <w:tabs>
                      <w:tab w:val="left" w:pos="0"/>
                    </w:tabs>
                    <w:spacing w:line="360" w:lineRule="auto"/>
                    <w:jc w:val="center"/>
                    <w:rPr>
                      <w:rFonts w:hint="default"/>
                      <w:color w:val="auto"/>
                      <w:highlight w:val="none"/>
                    </w:rPr>
                  </w:pPr>
                  <w:r>
                    <w:rPr>
                      <w:rFonts w:hint="default"/>
                      <w:color w:val="auto"/>
                      <w:highlight w:val="none"/>
                    </w:rPr>
                    <w:t>昼间</w:t>
                  </w:r>
                </w:p>
              </w:tc>
              <w:tc>
                <w:tcPr>
                  <w:tcW w:w="1345" w:type="pct"/>
                  <w:noWrap w:val="0"/>
                  <w:vAlign w:val="center"/>
                </w:tcPr>
                <w:p>
                  <w:pPr>
                    <w:tabs>
                      <w:tab w:val="left" w:pos="0"/>
                    </w:tabs>
                    <w:spacing w:line="360" w:lineRule="auto"/>
                    <w:jc w:val="center"/>
                    <w:rPr>
                      <w:rFonts w:hint="default"/>
                      <w:color w:val="auto"/>
                      <w:highlight w:val="none"/>
                    </w:rPr>
                  </w:pPr>
                  <w:r>
                    <w:rPr>
                      <w:rFonts w:hint="default"/>
                      <w:color w:val="auto"/>
                      <w:highlight w:val="none"/>
                    </w:rPr>
                    <w:t>夜间</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8" w:hRule="atLeast"/>
              </w:trPr>
              <w:tc>
                <w:tcPr>
                  <w:tcW w:w="2162" w:type="pct"/>
                  <w:gridSpan w:val="2"/>
                  <w:noWrap w:val="0"/>
                  <w:vAlign w:val="center"/>
                </w:tcPr>
                <w:p>
                  <w:pPr>
                    <w:tabs>
                      <w:tab w:val="left" w:pos="0"/>
                    </w:tabs>
                    <w:spacing w:line="360" w:lineRule="auto"/>
                    <w:jc w:val="center"/>
                    <w:rPr>
                      <w:rFonts w:hint="eastAsia" w:eastAsia="宋体"/>
                      <w:color w:val="auto"/>
                      <w:highlight w:val="none"/>
                      <w:lang w:eastAsia="zh-CN"/>
                    </w:rPr>
                  </w:pPr>
                  <w:r>
                    <w:rPr>
                      <w:rFonts w:hint="eastAsia"/>
                      <w:color w:val="auto"/>
                      <w:highlight w:val="none"/>
                      <w:lang w:eastAsia="zh-CN"/>
                    </w:rPr>
                    <w:t>施工期</w:t>
                  </w:r>
                </w:p>
              </w:tc>
              <w:tc>
                <w:tcPr>
                  <w:tcW w:w="1492" w:type="pct"/>
                  <w:noWrap w:val="0"/>
                  <w:vAlign w:val="center"/>
                </w:tcPr>
                <w:p>
                  <w:pPr>
                    <w:tabs>
                      <w:tab w:val="left" w:pos="0"/>
                    </w:tabs>
                    <w:spacing w:line="360" w:lineRule="auto"/>
                    <w:jc w:val="center"/>
                    <w:rPr>
                      <w:rFonts w:hint="default"/>
                      <w:color w:val="auto"/>
                      <w:kern w:val="2"/>
                      <w:sz w:val="21"/>
                      <w:szCs w:val="24"/>
                      <w:highlight w:val="none"/>
                      <w:lang w:val="en-US" w:eastAsia="zh-CN" w:bidi="ar-SA"/>
                    </w:rPr>
                  </w:pPr>
                  <w:r>
                    <w:rPr>
                      <w:rFonts w:hint="default"/>
                      <w:color w:val="auto"/>
                      <w:highlight w:val="none"/>
                    </w:rPr>
                    <w:t>70</w:t>
                  </w:r>
                </w:p>
              </w:tc>
              <w:tc>
                <w:tcPr>
                  <w:tcW w:w="1345" w:type="pct"/>
                  <w:noWrap w:val="0"/>
                  <w:vAlign w:val="center"/>
                </w:tcPr>
                <w:p>
                  <w:pPr>
                    <w:tabs>
                      <w:tab w:val="left" w:pos="0"/>
                    </w:tabs>
                    <w:spacing w:line="360" w:lineRule="auto"/>
                    <w:jc w:val="center"/>
                    <w:rPr>
                      <w:rFonts w:hint="default"/>
                      <w:color w:val="auto"/>
                      <w:kern w:val="2"/>
                      <w:sz w:val="21"/>
                      <w:szCs w:val="24"/>
                      <w:highlight w:val="none"/>
                      <w:lang w:val="en-US" w:eastAsia="zh-CN" w:bidi="ar-SA"/>
                    </w:rPr>
                  </w:pPr>
                  <w:r>
                    <w:rPr>
                      <w:rFonts w:hint="default"/>
                      <w:color w:val="auto"/>
                      <w:highlight w:val="none"/>
                    </w:rPr>
                    <w:t>55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7" w:hRule="atLeast"/>
              </w:trPr>
              <w:tc>
                <w:tcPr>
                  <w:tcW w:w="1081" w:type="pct"/>
                  <w:vMerge w:val="restart"/>
                  <w:noWrap w:val="0"/>
                  <w:vAlign w:val="center"/>
                </w:tcPr>
                <w:p>
                  <w:pPr>
                    <w:tabs>
                      <w:tab w:val="left" w:pos="0"/>
                    </w:tabs>
                    <w:spacing w:line="360" w:lineRule="auto"/>
                    <w:jc w:val="center"/>
                    <w:rPr>
                      <w:rFonts w:hint="eastAsia" w:eastAsia="宋体"/>
                      <w:color w:val="auto"/>
                      <w:highlight w:val="none"/>
                      <w:lang w:eastAsia="zh-CN"/>
                    </w:rPr>
                  </w:pPr>
                  <w:r>
                    <w:rPr>
                      <w:rFonts w:hint="eastAsia"/>
                      <w:color w:val="auto"/>
                      <w:highlight w:val="none"/>
                      <w:lang w:eastAsia="zh-CN"/>
                    </w:rPr>
                    <w:t>运营期</w:t>
                  </w:r>
                </w:p>
              </w:tc>
              <w:tc>
                <w:tcPr>
                  <w:tcW w:w="1081" w:type="pct"/>
                  <w:noWrap w:val="0"/>
                  <w:vAlign w:val="center"/>
                </w:tcPr>
                <w:p>
                  <w:pPr>
                    <w:keepNext w:val="0"/>
                    <w:keepLines w:val="0"/>
                    <w:pageBreakBefore w:val="0"/>
                    <w:widowControl/>
                    <w:kinsoku/>
                    <w:wordWrap/>
                    <w:overflowPunct/>
                    <w:topLinePunct w:val="0"/>
                    <w:autoSpaceDE/>
                    <w:autoSpaceDN/>
                    <w:bidi w:val="0"/>
                    <w:adjustRightInd/>
                    <w:snapToGrid w:val="0"/>
                    <w:spacing w:line="360" w:lineRule="auto"/>
                    <w:ind w:right="0" w:rightChars="0"/>
                    <w:jc w:val="center"/>
                    <w:textAlignment w:val="auto"/>
                    <w:rPr>
                      <w:rFonts w:ascii="Times New Roman" w:hAnsi="Times New Roman" w:eastAsia="宋体" w:cs="Times New Roman"/>
                      <w:color w:val="auto"/>
                      <w:kern w:val="0"/>
                      <w:szCs w:val="21"/>
                      <w:highlight w:val="none"/>
                    </w:rPr>
                  </w:pPr>
                  <w:r>
                    <w:rPr>
                      <w:rFonts w:hint="eastAsia" w:cs="Times New Roman"/>
                      <w:color w:val="auto"/>
                      <w:kern w:val="0"/>
                      <w:szCs w:val="21"/>
                      <w:highlight w:val="none"/>
                      <w:lang w:val="en-US" w:eastAsia="zh-CN"/>
                    </w:rPr>
                    <w:t>2</w:t>
                  </w:r>
                  <w:r>
                    <w:rPr>
                      <w:rFonts w:hint="eastAsia" w:ascii="Times New Roman" w:hAnsi="Times New Roman" w:eastAsia="宋体" w:cs="Times New Roman"/>
                      <w:color w:val="auto"/>
                      <w:kern w:val="0"/>
                      <w:szCs w:val="21"/>
                      <w:highlight w:val="none"/>
                    </w:rPr>
                    <w:t>类</w:t>
                  </w:r>
                </w:p>
              </w:tc>
              <w:tc>
                <w:tcPr>
                  <w:tcW w:w="1492" w:type="pct"/>
                  <w:noWrap w:val="0"/>
                  <w:vAlign w:val="center"/>
                </w:tcPr>
                <w:p>
                  <w:pPr>
                    <w:keepNext w:val="0"/>
                    <w:keepLines w:val="0"/>
                    <w:pageBreakBefore w:val="0"/>
                    <w:widowControl/>
                    <w:kinsoku/>
                    <w:wordWrap/>
                    <w:overflowPunct/>
                    <w:topLinePunct w:val="0"/>
                    <w:autoSpaceDE/>
                    <w:autoSpaceDN/>
                    <w:bidi w:val="0"/>
                    <w:adjustRightInd/>
                    <w:snapToGrid w:val="0"/>
                    <w:spacing w:line="360" w:lineRule="auto"/>
                    <w:ind w:right="0" w:rightChars="0"/>
                    <w:jc w:val="center"/>
                    <w:textAlignment w:val="auto"/>
                    <w:rPr>
                      <w:rFonts w:hint="default" w:eastAsia="宋体"/>
                      <w:color w:val="auto"/>
                      <w:highlight w:val="none"/>
                      <w:lang w:val="en-US" w:eastAsia="zh-CN"/>
                    </w:rPr>
                  </w:pPr>
                  <w:r>
                    <w:rPr>
                      <w:rFonts w:hint="eastAsia"/>
                      <w:color w:val="auto"/>
                      <w:kern w:val="0"/>
                      <w:szCs w:val="21"/>
                      <w:highlight w:val="none"/>
                      <w:lang w:val="en-US" w:eastAsia="zh-CN"/>
                    </w:rPr>
                    <w:t>60</w:t>
                  </w:r>
                </w:p>
              </w:tc>
              <w:tc>
                <w:tcPr>
                  <w:tcW w:w="1345" w:type="pct"/>
                  <w:noWrap w:val="0"/>
                  <w:vAlign w:val="center"/>
                </w:tcPr>
                <w:p>
                  <w:pPr>
                    <w:keepNext w:val="0"/>
                    <w:keepLines w:val="0"/>
                    <w:pageBreakBefore w:val="0"/>
                    <w:widowControl/>
                    <w:kinsoku/>
                    <w:wordWrap/>
                    <w:overflowPunct/>
                    <w:topLinePunct w:val="0"/>
                    <w:autoSpaceDE/>
                    <w:autoSpaceDN/>
                    <w:bidi w:val="0"/>
                    <w:adjustRightInd/>
                    <w:snapToGrid w:val="0"/>
                    <w:spacing w:line="360" w:lineRule="auto"/>
                    <w:ind w:right="0" w:rightChars="0"/>
                    <w:jc w:val="center"/>
                    <w:textAlignment w:val="auto"/>
                    <w:rPr>
                      <w:rFonts w:hint="default" w:eastAsia="宋体"/>
                      <w:color w:val="auto"/>
                      <w:highlight w:val="none"/>
                      <w:lang w:val="en-US" w:eastAsia="zh-CN"/>
                    </w:rPr>
                  </w:pPr>
                  <w:r>
                    <w:rPr>
                      <w:rFonts w:hint="eastAsia"/>
                      <w:color w:val="auto"/>
                      <w:kern w:val="0"/>
                      <w:szCs w:val="21"/>
                      <w:highlight w:val="none"/>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7" w:hRule="atLeast"/>
              </w:trPr>
              <w:tc>
                <w:tcPr>
                  <w:tcW w:w="1081" w:type="pct"/>
                  <w:vMerge w:val="continue"/>
                  <w:noWrap w:val="0"/>
                  <w:vAlign w:val="center"/>
                </w:tcPr>
                <w:p>
                  <w:pPr>
                    <w:tabs>
                      <w:tab w:val="left" w:pos="0"/>
                    </w:tabs>
                    <w:spacing w:line="360" w:lineRule="auto"/>
                    <w:jc w:val="center"/>
                    <w:rPr>
                      <w:rFonts w:hint="eastAsia"/>
                      <w:color w:val="auto"/>
                      <w:highlight w:val="none"/>
                      <w:lang w:eastAsia="zh-CN"/>
                    </w:rPr>
                  </w:pPr>
                </w:p>
              </w:tc>
              <w:tc>
                <w:tcPr>
                  <w:tcW w:w="1081" w:type="pct"/>
                  <w:noWrap w:val="0"/>
                  <w:vAlign w:val="center"/>
                </w:tcPr>
                <w:p>
                  <w:pPr>
                    <w:keepNext w:val="0"/>
                    <w:keepLines w:val="0"/>
                    <w:pageBreakBefore w:val="0"/>
                    <w:widowControl/>
                    <w:kinsoku/>
                    <w:wordWrap/>
                    <w:overflowPunct/>
                    <w:topLinePunct w:val="0"/>
                    <w:autoSpaceDE/>
                    <w:autoSpaceDN/>
                    <w:bidi w:val="0"/>
                    <w:adjustRightInd/>
                    <w:snapToGrid w:val="0"/>
                    <w:spacing w:line="360" w:lineRule="auto"/>
                    <w:ind w:right="0" w:rightChars="0"/>
                    <w:jc w:val="center"/>
                    <w:textAlignment w:val="auto"/>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4类</w:t>
                  </w:r>
                </w:p>
              </w:tc>
              <w:tc>
                <w:tcPr>
                  <w:tcW w:w="1492" w:type="pct"/>
                  <w:noWrap w:val="0"/>
                  <w:vAlign w:val="center"/>
                </w:tcPr>
                <w:p>
                  <w:pPr>
                    <w:keepNext w:val="0"/>
                    <w:keepLines w:val="0"/>
                    <w:pageBreakBefore w:val="0"/>
                    <w:widowControl/>
                    <w:kinsoku/>
                    <w:wordWrap/>
                    <w:overflowPunct/>
                    <w:topLinePunct w:val="0"/>
                    <w:autoSpaceDE/>
                    <w:autoSpaceDN/>
                    <w:bidi w:val="0"/>
                    <w:adjustRightInd/>
                    <w:snapToGrid w:val="0"/>
                    <w:spacing w:line="360" w:lineRule="auto"/>
                    <w:ind w:right="0" w:rightChars="0"/>
                    <w:jc w:val="center"/>
                    <w:textAlignment w:val="auto"/>
                    <w:rPr>
                      <w:rFonts w:hint="default"/>
                      <w:color w:val="auto"/>
                      <w:kern w:val="0"/>
                      <w:szCs w:val="21"/>
                      <w:highlight w:val="none"/>
                      <w:lang w:val="en-US" w:eastAsia="zh-CN"/>
                    </w:rPr>
                  </w:pPr>
                  <w:r>
                    <w:rPr>
                      <w:rFonts w:hint="eastAsia"/>
                      <w:color w:val="auto"/>
                      <w:kern w:val="0"/>
                      <w:szCs w:val="21"/>
                      <w:highlight w:val="none"/>
                      <w:lang w:val="en-US" w:eastAsia="zh-CN"/>
                    </w:rPr>
                    <w:t>70</w:t>
                  </w:r>
                </w:p>
              </w:tc>
              <w:tc>
                <w:tcPr>
                  <w:tcW w:w="1345" w:type="pct"/>
                  <w:noWrap w:val="0"/>
                  <w:vAlign w:val="center"/>
                </w:tcPr>
                <w:p>
                  <w:pPr>
                    <w:keepNext w:val="0"/>
                    <w:keepLines w:val="0"/>
                    <w:pageBreakBefore w:val="0"/>
                    <w:widowControl/>
                    <w:kinsoku/>
                    <w:wordWrap/>
                    <w:overflowPunct/>
                    <w:topLinePunct w:val="0"/>
                    <w:autoSpaceDE/>
                    <w:autoSpaceDN/>
                    <w:bidi w:val="0"/>
                    <w:adjustRightInd/>
                    <w:snapToGrid w:val="0"/>
                    <w:spacing w:line="360" w:lineRule="auto"/>
                    <w:ind w:right="0" w:rightChars="0"/>
                    <w:jc w:val="center"/>
                    <w:textAlignment w:val="auto"/>
                    <w:rPr>
                      <w:rFonts w:hint="default"/>
                      <w:color w:val="auto"/>
                      <w:kern w:val="0"/>
                      <w:szCs w:val="21"/>
                      <w:highlight w:val="none"/>
                      <w:lang w:val="en-US" w:eastAsia="zh-CN"/>
                    </w:rPr>
                  </w:pPr>
                  <w:r>
                    <w:rPr>
                      <w:rFonts w:hint="eastAsia"/>
                      <w:color w:val="auto"/>
                      <w:kern w:val="0"/>
                      <w:szCs w:val="21"/>
                      <w:highlight w:val="none"/>
                      <w:lang w:val="en-US" w:eastAsia="zh-CN"/>
                    </w:rPr>
                    <w:t>55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77" w:hRule="atLeast"/>
              </w:trPr>
              <w:tc>
                <w:tcPr>
                  <w:tcW w:w="5000" w:type="pct"/>
                  <w:gridSpan w:val="4"/>
                  <w:noWrap w:val="0"/>
                  <w:vAlign w:val="center"/>
                </w:tcPr>
                <w:p>
                  <w:pPr>
                    <w:pStyle w:val="12"/>
                    <w:spacing w:line="360" w:lineRule="auto"/>
                    <w:jc w:val="center"/>
                    <w:rPr>
                      <w:rFonts w:hint="eastAsia"/>
                      <w:color w:val="auto"/>
                      <w:lang w:val="en-US" w:eastAsia="zh-CN"/>
                    </w:rPr>
                  </w:pPr>
                  <w:r>
                    <w:rPr>
                      <w:rFonts w:hint="eastAsia"/>
                      <w:color w:val="auto"/>
                      <w:lang w:eastAsia="zh-CN"/>
                    </w:rPr>
                    <w:t>由于项目区北侧距离世纪大道</w:t>
                  </w:r>
                  <w:r>
                    <w:rPr>
                      <w:rFonts w:hint="eastAsia"/>
                      <w:color w:val="auto"/>
                      <w:lang w:val="en-US" w:eastAsia="zh-CN"/>
                    </w:rPr>
                    <w:t>40m，距离较近执行4类标准限值；</w:t>
                  </w:r>
                </w:p>
                <w:p>
                  <w:pPr>
                    <w:pStyle w:val="12"/>
                    <w:spacing w:line="360" w:lineRule="auto"/>
                    <w:jc w:val="center"/>
                    <w:rPr>
                      <w:rFonts w:hint="eastAsia"/>
                      <w:color w:val="auto"/>
                      <w:kern w:val="0"/>
                      <w:szCs w:val="21"/>
                      <w:highlight w:val="none"/>
                      <w:lang w:val="en-US" w:eastAsia="zh-CN"/>
                    </w:rPr>
                  </w:pPr>
                  <w:r>
                    <w:rPr>
                      <w:rFonts w:hint="eastAsia"/>
                      <w:color w:val="auto"/>
                      <w:lang w:val="en-US" w:eastAsia="zh-CN"/>
                    </w:rPr>
                    <w:t>其他执行2类标准限值</w:t>
                  </w:r>
                </w:p>
              </w:tc>
            </w:tr>
          </w:tbl>
          <w:p>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480" w:firstLineChars="200"/>
              <w:textAlignment w:val="auto"/>
              <w:rPr>
                <w:rFonts w:hint="default"/>
                <w:color w:val="auto"/>
                <w:sz w:val="24"/>
                <w:szCs w:val="24"/>
                <w:highlight w:val="none"/>
                <w:lang w:val="en-US" w:eastAsia="zh-CN"/>
              </w:rPr>
            </w:pPr>
            <w:r>
              <w:rPr>
                <w:rFonts w:hint="default"/>
                <w:color w:val="auto"/>
                <w:sz w:val="24"/>
                <w:szCs w:val="24"/>
                <w:highlight w:val="none"/>
                <w:lang w:val="en-US" w:eastAsia="zh-CN"/>
              </w:rPr>
              <w:t>固废执行《一般工业固体废物贮存和填埋污染控制标准》（GB 18599-2020）。</w:t>
            </w:r>
          </w:p>
          <w:p>
            <w:pPr>
              <w:keepNext w:val="0"/>
              <w:keepLines w:val="0"/>
              <w:pageBreakBefore w:val="0"/>
              <w:widowControl w:val="0"/>
              <w:numPr>
                <w:ilvl w:val="0"/>
                <w:numId w:val="8"/>
              </w:numPr>
              <w:kinsoku/>
              <w:wordWrap/>
              <w:overflowPunct/>
              <w:topLinePunct w:val="0"/>
              <w:autoSpaceDE/>
              <w:autoSpaceDN/>
              <w:bidi w:val="0"/>
              <w:adjustRightInd w:val="0"/>
              <w:snapToGrid w:val="0"/>
              <w:spacing w:line="360" w:lineRule="auto"/>
              <w:ind w:firstLine="480" w:firstLineChars="200"/>
              <w:textAlignment w:val="auto"/>
              <w:rPr>
                <w:rFonts w:hint="default"/>
                <w:color w:val="auto"/>
                <w:sz w:val="24"/>
                <w:szCs w:val="24"/>
                <w:highlight w:val="none"/>
                <w:lang w:val="en-US" w:eastAsia="zh-CN"/>
              </w:rPr>
            </w:pPr>
            <w:r>
              <w:rPr>
                <w:rFonts w:hint="default"/>
                <w:color w:val="auto"/>
                <w:sz w:val="24"/>
                <w:szCs w:val="24"/>
                <w:highlight w:val="none"/>
                <w:lang w:val="en-US" w:eastAsia="zh-CN"/>
              </w:rPr>
              <w:t>废水排放标准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eastAsia="zh-CN"/>
              </w:rPr>
              <w:t>生活污水经</w:t>
            </w:r>
            <w:r>
              <w:rPr>
                <w:rFonts w:hint="eastAsia" w:ascii="Times New Roman" w:hAnsi="Times New Roman" w:eastAsia="宋体" w:cs="Times New Roman"/>
                <w:color w:val="auto"/>
                <w:sz w:val="24"/>
                <w:szCs w:val="24"/>
                <w:highlight w:val="none"/>
                <w:lang w:val="en-US" w:eastAsia="zh-CN"/>
              </w:rPr>
              <w:t>化粪池收集达到</w:t>
            </w:r>
            <w:r>
              <w:rPr>
                <w:rFonts w:hint="default"/>
                <w:color w:val="auto"/>
                <w:sz w:val="24"/>
                <w:szCs w:val="24"/>
                <w:highlight w:val="none"/>
                <w:lang w:val="en-US" w:eastAsia="zh-CN"/>
              </w:rPr>
              <w:t>《污水综合排放标准》（GB8798-1996）表4中三级标准</w:t>
            </w:r>
            <w:r>
              <w:rPr>
                <w:rFonts w:hint="eastAsia"/>
                <w:color w:val="auto"/>
                <w:sz w:val="24"/>
                <w:szCs w:val="24"/>
                <w:highlight w:val="none"/>
                <w:lang w:val="en-US" w:eastAsia="zh-CN"/>
              </w:rPr>
              <w:t>，排入市政污水管网后进入阿镇污水处理厂</w:t>
            </w:r>
            <w:r>
              <w:rPr>
                <w:rFonts w:hint="default"/>
                <w:color w:val="auto"/>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225" w:type="pct"/>
            <w:noWrap w:val="0"/>
            <w:vAlign w:val="center"/>
          </w:tcPr>
          <w:p>
            <w:pPr>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其他</w:t>
            </w:r>
          </w:p>
        </w:tc>
        <w:tc>
          <w:tcPr>
            <w:tcW w:w="4774" w:type="pct"/>
            <w:noWrap w:val="0"/>
            <w:vAlign w:val="center"/>
          </w:tcPr>
          <w:p>
            <w:pPr>
              <w:adjustRightInd w:val="0"/>
              <w:snapToGrid w:val="0"/>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eastAsia="zh-CN"/>
              </w:rPr>
              <w:t>无</w:t>
            </w:r>
          </w:p>
        </w:tc>
      </w:tr>
    </w:tbl>
    <w:p>
      <w:pPr>
        <w:pStyle w:val="21"/>
        <w:keepNext w:val="0"/>
        <w:keepLines w:val="0"/>
        <w:pageBreakBefore w:val="0"/>
        <w:widowControl/>
        <w:kinsoku/>
        <w:wordWrap/>
        <w:overflowPunct/>
        <w:topLinePunct w:val="0"/>
        <w:autoSpaceDE/>
        <w:autoSpaceDN/>
        <w:bidi w:val="0"/>
        <w:adjustRightInd w:val="0"/>
        <w:snapToGrid w:val="0"/>
        <w:spacing w:before="0" w:beforeAutospacing="0" w:after="0" w:afterAutospacing="0" w:line="15" w:lineRule="auto"/>
        <w:jc w:val="center"/>
        <w:textAlignment w:val="auto"/>
        <w:outlineLvl w:val="9"/>
        <w:rPr>
          <w:rFonts w:ascii="黑体" w:hAnsi="黑体" w:eastAsia="黑体"/>
          <w:snapToGrid w:val="0"/>
          <w:color w:val="auto"/>
          <w:kern w:val="2"/>
          <w:sz w:val="36"/>
          <w:szCs w:val="36"/>
          <w:highlight w:val="none"/>
        </w:rPr>
      </w:pPr>
    </w:p>
    <w:p>
      <w:pPr>
        <w:pStyle w:val="21"/>
        <w:jc w:val="center"/>
        <w:outlineLvl w:val="0"/>
        <w:rPr>
          <w:rFonts w:ascii="黑体" w:hAnsi="黑体" w:eastAsia="黑体"/>
          <w:snapToGrid w:val="0"/>
          <w:color w:val="auto"/>
          <w:sz w:val="30"/>
          <w:szCs w:val="30"/>
          <w:highlight w:val="none"/>
        </w:rPr>
      </w:pPr>
      <w:r>
        <w:rPr>
          <w:rFonts w:ascii="黑体" w:hAnsi="黑体" w:eastAsia="黑体"/>
          <w:snapToGrid w:val="0"/>
          <w:color w:val="auto"/>
          <w:kern w:val="2"/>
          <w:sz w:val="36"/>
          <w:szCs w:val="36"/>
          <w:highlight w:val="none"/>
        </w:rPr>
        <w:br w:type="page"/>
      </w:r>
      <w:r>
        <w:rPr>
          <w:rFonts w:hint="eastAsia" w:ascii="黑体" w:hAnsi="黑体" w:eastAsia="黑体"/>
          <w:snapToGrid w:val="0"/>
          <w:color w:val="auto"/>
          <w:sz w:val="30"/>
          <w:szCs w:val="30"/>
          <w:highlight w:val="none"/>
        </w:rPr>
        <w:t>四、生态环境影响分析</w:t>
      </w:r>
    </w:p>
    <w:tbl>
      <w:tblPr>
        <w:tblStyle w:val="24"/>
        <w:tblW w:w="924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9"/>
        <w:gridCol w:w="836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61" w:hRule="atLeast"/>
          <w:jc w:val="center"/>
        </w:trPr>
        <w:tc>
          <w:tcPr>
            <w:tcW w:w="879" w:type="dxa"/>
            <w:noWrap w:val="0"/>
            <w:tcMar>
              <w:left w:w="28" w:type="dxa"/>
              <w:right w:w="28" w:type="dxa"/>
            </w:tcMar>
            <w:vAlign w:val="center"/>
          </w:tcPr>
          <w:p>
            <w:pPr>
              <w:pStyle w:val="21"/>
              <w:adjustRightInd w:val="0"/>
              <w:snapToGrid w:val="0"/>
              <w:spacing w:before="0" w:beforeAutospacing="0" w:after="0" w:afterAutospacing="0"/>
              <w:jc w:val="center"/>
              <w:rPr>
                <w:rFonts w:cs="宋体"/>
                <w:bCs/>
                <w:color w:val="auto"/>
                <w:kern w:val="2"/>
                <w:sz w:val="24"/>
                <w:szCs w:val="24"/>
                <w:highlight w:val="none"/>
              </w:rPr>
            </w:pPr>
            <w:bookmarkStart w:id="6" w:name="_Hlk49796138"/>
            <w:r>
              <w:rPr>
                <w:rFonts w:hint="eastAsia" w:cs="宋体"/>
                <w:bCs/>
                <w:color w:val="auto"/>
                <w:spacing w:val="10"/>
                <w:kern w:val="2"/>
                <w:sz w:val="24"/>
                <w:szCs w:val="24"/>
                <w:highlight w:val="none"/>
              </w:rPr>
              <w:t>施工期生态环境影响分析</w:t>
            </w:r>
            <w:bookmarkEnd w:id="6"/>
          </w:p>
        </w:tc>
        <w:tc>
          <w:tcPr>
            <w:tcW w:w="8363" w:type="dxa"/>
            <w:noWrap w:val="0"/>
            <w:vAlign w:val="top"/>
          </w:tcPr>
          <w:p>
            <w:pPr>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w:t>
            </w:r>
            <w:r>
              <w:rPr>
                <w:rFonts w:hint="eastAsia"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rPr>
              <w:t>生态环境影响分析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val="en-US" w:eastAsia="zh-CN"/>
              </w:rPr>
              <w:t>本项目</w:t>
            </w:r>
            <w:r>
              <w:rPr>
                <w:rFonts w:hint="default" w:ascii="Times New Roman" w:hAnsi="Times New Roman" w:cs="Times New Roman"/>
                <w:color w:val="auto"/>
                <w:sz w:val="24"/>
                <w:szCs w:val="24"/>
                <w:highlight w:val="none"/>
                <w:lang w:val="en-US" w:eastAsia="zh-CN"/>
              </w:rPr>
              <w:t>对动植物资源的影响分析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从植物种类来看，</w:t>
            </w:r>
            <w:r>
              <w:rPr>
                <w:rFonts w:hint="eastAsia" w:ascii="Times New Roman" w:hAnsi="Times New Roman" w:cs="Times New Roman"/>
                <w:color w:val="auto"/>
                <w:sz w:val="24"/>
                <w:szCs w:val="24"/>
                <w:highlight w:val="none"/>
                <w:lang w:val="en-US" w:eastAsia="zh-CN"/>
              </w:rPr>
              <w:t>项目区现状多为</w:t>
            </w:r>
            <w:r>
              <w:rPr>
                <w:rFonts w:hint="eastAsia" w:cs="Times New Roman"/>
                <w:color w:val="auto"/>
                <w:sz w:val="24"/>
                <w:szCs w:val="24"/>
                <w:highlight w:val="none"/>
                <w:lang w:val="en-US" w:eastAsia="zh-CN"/>
              </w:rPr>
              <w:t>少量</w:t>
            </w:r>
            <w:r>
              <w:rPr>
                <w:rFonts w:hint="eastAsia" w:ascii="Times New Roman" w:hAnsi="Times New Roman" w:cs="Times New Roman"/>
                <w:color w:val="auto"/>
                <w:sz w:val="24"/>
                <w:szCs w:val="24"/>
                <w:highlight w:val="none"/>
                <w:lang w:val="en-US" w:eastAsia="zh-CN"/>
              </w:rPr>
              <w:t>杨树，樟子松，本氏针茅、达乌里胡枝子，道路，设施农用地</w:t>
            </w:r>
            <w:r>
              <w:rPr>
                <w:rFonts w:hint="default" w:ascii="Times New Roman" w:hAnsi="Times New Roman" w:cs="Times New Roman"/>
                <w:color w:val="auto"/>
                <w:sz w:val="24"/>
                <w:szCs w:val="24"/>
                <w:highlight w:val="none"/>
                <w:lang w:val="en-US" w:eastAsia="zh-CN"/>
              </w:rPr>
              <w:t>。施工期间划定施工范围，在保证施工顺利的前提下，严格限制施工人员及施工机械的活动范围，尽可能缩小施工作业带宽度。加强施工人员的教育，规范施工人员的行为，爱护花草树木，严禁砍伐、破坏施工区以外的植物和植被。</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对动物的影响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本项目在施工期的作业和机械噪声，</w:t>
            </w:r>
            <w:r>
              <w:rPr>
                <w:rFonts w:ascii="宋体" w:hAnsi="宋体" w:eastAsia="宋体" w:cs="宋体"/>
                <w:color w:val="auto"/>
                <w:sz w:val="24"/>
                <w:szCs w:val="24"/>
                <w:highlight w:val="none"/>
              </w:rPr>
              <w:t>将项目周围一定范围内野生动物的活动和栖息产生一定影响；</w:t>
            </w:r>
            <w:r>
              <w:rPr>
                <w:rFonts w:hint="eastAsia" w:ascii="宋体" w:hAnsi="宋体" w:eastAsia="宋体" w:cs="宋体"/>
                <w:color w:val="auto"/>
                <w:sz w:val="24"/>
                <w:szCs w:val="24"/>
                <w:highlight w:val="none"/>
                <w:lang w:eastAsia="zh-CN"/>
              </w:rPr>
              <w:t>项目区</w:t>
            </w:r>
            <w:r>
              <w:rPr>
                <w:rFonts w:hint="eastAsia" w:ascii="宋体" w:hAnsi="宋体" w:eastAsia="宋体" w:cs="宋体"/>
                <w:color w:val="auto"/>
                <w:sz w:val="24"/>
                <w:szCs w:val="24"/>
                <w:highlight w:val="none"/>
                <w:lang w:val="en-US" w:eastAsia="zh-CN"/>
              </w:rPr>
              <w:t>未见大型野生动物出没，偶有鸟类出现</w:t>
            </w:r>
            <w:r>
              <w:rPr>
                <w:rFonts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val="en-US" w:eastAsia="zh-CN"/>
              </w:rPr>
              <w:t>项目的建设会破坏其周围区域野生动物部分觅食地、栖息场所和活动区域，本项目的作业和机械噪声和人员活动等，将惊吓和驱赶施工区及周围一定范围内的野生动物，影响野生动物的活动和栖息，由于项目区没有固定或必经的动物</w:t>
            </w:r>
            <w:r>
              <w:rPr>
                <w:rFonts w:hint="eastAsia" w:cs="Times New Roman"/>
                <w:color w:val="auto"/>
                <w:sz w:val="24"/>
                <w:szCs w:val="24"/>
                <w:highlight w:val="none"/>
                <w:lang w:val="en-US" w:eastAsia="zh-CN"/>
              </w:rPr>
              <w:t>迁徙</w:t>
            </w:r>
            <w:r>
              <w:rPr>
                <w:rFonts w:hint="default" w:ascii="Times New Roman" w:hAnsi="Times New Roman" w:cs="Times New Roman"/>
                <w:color w:val="auto"/>
                <w:sz w:val="24"/>
                <w:szCs w:val="24"/>
                <w:highlight w:val="none"/>
                <w:lang w:val="en-US" w:eastAsia="zh-CN"/>
              </w:rPr>
              <w:t>通道，不存在阻隔这些野生动物的</w:t>
            </w:r>
            <w:r>
              <w:rPr>
                <w:rFonts w:hint="eastAsia" w:cs="Times New Roman"/>
                <w:color w:val="auto"/>
                <w:sz w:val="24"/>
                <w:szCs w:val="24"/>
                <w:highlight w:val="none"/>
                <w:lang w:val="en-US" w:eastAsia="zh-CN"/>
              </w:rPr>
              <w:t>迁徙</w:t>
            </w:r>
            <w:r>
              <w:rPr>
                <w:rFonts w:hint="default" w:ascii="Times New Roman" w:hAnsi="Times New Roman" w:cs="Times New Roman"/>
                <w:color w:val="auto"/>
                <w:sz w:val="24"/>
                <w:szCs w:val="24"/>
                <w:highlight w:val="none"/>
                <w:lang w:val="en-US" w:eastAsia="zh-CN"/>
              </w:rPr>
              <w:t>通道，不会对野生动物产生较大的影响。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评价要求在施工期进行自然保护宣传教育与管理工作，在施工前告知施工人员对动物保护的重要性和必要性，在施工时严禁施工人员对周围林、灌木进行滥砍滥伐，破坏动物的栖息环境，镇区居民和工作人员的噪声也会对动物产生影响，杜绝人为因素对当地动物的干扰破坏。通过采取上述措施，可减少施工过程对周边动物的影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因此，项目施工期不会使评价区野生动物物种数发生变化，其种群数量也不会发生明显变化</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本项目</w:t>
            </w:r>
            <w:r>
              <w:rPr>
                <w:rFonts w:hint="default" w:ascii="Times New Roman" w:hAnsi="Times New Roman" w:cs="Times New Roman"/>
                <w:color w:val="auto"/>
                <w:sz w:val="24"/>
                <w:szCs w:val="24"/>
                <w:highlight w:val="none"/>
                <w:lang w:val="en-US" w:eastAsia="zh-CN"/>
              </w:rPr>
              <w:t>对土地资源的影响分析</w:t>
            </w:r>
          </w:p>
          <w:p>
            <w:pPr>
              <w:pStyle w:val="4"/>
              <w:keepNext w:val="0"/>
              <w:keepLines w:val="0"/>
              <w:pageBreakBefore w:val="0"/>
              <w:kinsoku/>
              <w:wordWrap/>
              <w:overflowPunct/>
              <w:topLinePunct w:val="0"/>
              <w:autoSpaceDE/>
              <w:autoSpaceDN/>
              <w:bidi w:val="0"/>
              <w:spacing w:after="0" w:line="360" w:lineRule="auto"/>
              <w:ind w:left="0" w:leftChars="0" w:firstLine="480" w:firstLineChars="200"/>
              <w:textAlignment w:val="auto"/>
              <w:rPr>
                <w:rFonts w:hint="eastAsia"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w:t>
            </w:r>
            <w:r>
              <w:rPr>
                <w:rFonts w:hint="eastAsia" w:ascii="Times New Roman" w:hAnsi="Times New Roman" w:cs="Times New Roman"/>
                <w:color w:val="auto"/>
                <w:sz w:val="24"/>
                <w:szCs w:val="24"/>
                <w:highlight w:val="none"/>
                <w:lang w:val="en-US" w:eastAsia="zh-CN"/>
              </w:rPr>
              <w:t>占地</w:t>
            </w:r>
            <w:r>
              <w:rPr>
                <w:rFonts w:hint="default" w:ascii="Times New Roman" w:hAnsi="Times New Roman" w:cs="Times New Roman"/>
                <w:color w:val="auto"/>
                <w:sz w:val="24"/>
                <w:szCs w:val="24"/>
                <w:highlight w:val="none"/>
                <w:lang w:val="en-US" w:eastAsia="zh-CN"/>
              </w:rPr>
              <w:t>面积为</w:t>
            </w:r>
            <w:r>
              <w:rPr>
                <w:rFonts w:hint="eastAsia" w:cs="Times New Roman"/>
                <w:color w:val="auto"/>
                <w:sz w:val="24"/>
                <w:szCs w:val="24"/>
                <w:highlight w:val="none"/>
                <w:lang w:val="en-US" w:eastAsia="zh-CN"/>
              </w:rPr>
              <w:t>141939</w:t>
            </w:r>
            <w:r>
              <w:rPr>
                <w:rFonts w:hint="eastAsia" w:ascii="Times New Roman" w:hAnsi="Times New Roman" w:cs="Times New Roman"/>
                <w:color w:val="auto"/>
                <w:sz w:val="24"/>
                <w:szCs w:val="24"/>
                <w:highlight w:val="none"/>
                <w:lang w:val="en-US" w:eastAsia="zh-CN"/>
              </w:rPr>
              <w:t>m</w:t>
            </w:r>
            <w:r>
              <w:rPr>
                <w:rFonts w:hint="eastAsia" w:ascii="Times New Roman" w:hAnsi="Times New Roman" w:cs="Times New Roman"/>
                <w:color w:val="auto"/>
                <w:sz w:val="24"/>
                <w:szCs w:val="24"/>
                <w:highlight w:val="none"/>
                <w:vertAlign w:val="superscript"/>
                <w:lang w:val="en-US" w:eastAsia="zh-CN"/>
              </w:rPr>
              <w:t>2</w:t>
            </w:r>
            <w:r>
              <w:rPr>
                <w:rFonts w:hint="eastAsia"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土地利用类型</w:t>
            </w:r>
            <w:r>
              <w:rPr>
                <w:rFonts w:hint="eastAsia" w:ascii="Times New Roman" w:hAnsi="Times New Roman" w:eastAsia="宋体" w:cs="Times New Roman"/>
                <w:color w:val="auto"/>
                <w:sz w:val="24"/>
                <w:szCs w:val="24"/>
                <w:highlight w:val="none"/>
                <w:lang w:val="en-US" w:eastAsia="zh-CN"/>
              </w:rPr>
              <w:t>以</w:t>
            </w:r>
            <w:r>
              <w:rPr>
                <w:rFonts w:hint="eastAsia" w:cs="Times New Roman"/>
                <w:color w:val="auto"/>
                <w:sz w:val="24"/>
                <w:szCs w:val="24"/>
                <w:highlight w:val="none"/>
                <w:lang w:val="en-US" w:eastAsia="zh-CN"/>
              </w:rPr>
              <w:t>设施农用</w:t>
            </w:r>
            <w:r>
              <w:rPr>
                <w:rFonts w:hint="eastAsia" w:ascii="Times New Roman" w:hAnsi="Times New Roman" w:eastAsia="宋体" w:cs="Times New Roman"/>
                <w:color w:val="auto"/>
                <w:sz w:val="24"/>
                <w:szCs w:val="24"/>
                <w:highlight w:val="none"/>
                <w:lang w:val="en-US" w:eastAsia="zh-CN"/>
              </w:rPr>
              <w:t>地为主</w:t>
            </w:r>
            <w:r>
              <w:rPr>
                <w:rFonts w:hint="eastAsia" w:ascii="Times New Roman" w:hAnsi="Times New Roman" w:cs="Times New Roman"/>
                <w:color w:val="auto"/>
                <w:sz w:val="24"/>
                <w:szCs w:val="24"/>
                <w:highlight w:val="none"/>
                <w:lang w:val="en-US" w:eastAsia="zh-CN"/>
              </w:rPr>
              <w:t>；工程主要建设</w:t>
            </w:r>
            <w:r>
              <w:rPr>
                <w:rFonts w:hint="eastAsia" w:cs="Times New Roman"/>
                <w:color w:val="auto"/>
                <w:sz w:val="24"/>
                <w:szCs w:val="24"/>
                <w:highlight w:val="none"/>
                <w:lang w:val="en-US" w:eastAsia="zh-CN"/>
              </w:rPr>
              <w:t>内容</w:t>
            </w:r>
            <w:r>
              <w:rPr>
                <w:rFonts w:hint="eastAsia"/>
                <w:color w:val="auto"/>
                <w:sz w:val="24"/>
                <w:szCs w:val="24"/>
                <w:highlight w:val="none"/>
                <w:lang w:val="en-GB" w:eastAsia="zh-CN"/>
              </w:rPr>
              <w:t>包含有物联网控制中心、农文旅产品展销区、栽培模式展示馆、蔬菜文化创意馆、南果北种馆、荷兰模式展示馆</w:t>
            </w:r>
            <w:r>
              <w:rPr>
                <w:rFonts w:hint="eastAsia"/>
                <w:color w:val="auto"/>
                <w:sz w:val="24"/>
                <w:szCs w:val="24"/>
                <w:highlight w:val="none"/>
                <w:lang w:val="en-US" w:eastAsia="zh-CN"/>
              </w:rPr>
              <w:t>1</w:t>
            </w:r>
            <w:r>
              <w:rPr>
                <w:rFonts w:hint="eastAsia"/>
                <w:color w:val="auto"/>
                <w:sz w:val="24"/>
                <w:szCs w:val="24"/>
                <w:highlight w:val="none"/>
                <w:lang w:val="en-GB" w:eastAsia="zh-CN"/>
              </w:rPr>
              <w:t>、荷兰模式展示馆</w:t>
            </w:r>
            <w:r>
              <w:rPr>
                <w:rFonts w:hint="eastAsia"/>
                <w:color w:val="auto"/>
                <w:sz w:val="24"/>
                <w:szCs w:val="24"/>
                <w:highlight w:val="none"/>
                <w:lang w:val="en-US" w:eastAsia="zh-CN"/>
              </w:rPr>
              <w:t>2、</w:t>
            </w:r>
            <w:r>
              <w:rPr>
                <w:rFonts w:hint="eastAsia"/>
                <w:color w:val="auto"/>
                <w:sz w:val="24"/>
                <w:szCs w:val="24"/>
                <w:highlight w:val="none"/>
                <w:lang w:val="en-GB" w:eastAsia="zh-CN"/>
              </w:rPr>
              <w:t>扶正本草</w:t>
            </w:r>
            <w:r>
              <w:rPr>
                <w:rFonts w:hint="eastAsia"/>
                <w:color w:val="auto"/>
                <w:sz w:val="24"/>
                <w:szCs w:val="24"/>
                <w:highlight w:val="none"/>
                <w:lang w:val="en-US" w:eastAsia="zh-CN"/>
              </w:rPr>
              <w:t>馆</w:t>
            </w:r>
            <w:r>
              <w:rPr>
                <w:rFonts w:hint="eastAsia"/>
                <w:color w:val="auto"/>
                <w:sz w:val="24"/>
                <w:szCs w:val="24"/>
                <w:highlight w:val="none"/>
                <w:lang w:val="en-GB" w:eastAsia="zh-CN"/>
              </w:rPr>
              <w:t>、花开盛世馆，草原果蔬艺术馆、热带植物风情馆、生态研学馆、高科技农业科普展厅、互动研学体验区、停车场</w:t>
            </w:r>
            <w:r>
              <w:rPr>
                <w:rFonts w:hint="eastAsia"/>
                <w:color w:val="auto"/>
                <w:sz w:val="24"/>
                <w:szCs w:val="24"/>
                <w:highlight w:val="none"/>
                <w:lang w:val="en-GB"/>
              </w:rPr>
              <w:t>。</w:t>
            </w:r>
            <w:r>
              <w:rPr>
                <w:rFonts w:hint="default" w:ascii="Times New Roman" w:hAnsi="Times New Roman" w:cs="Times New Roman"/>
                <w:color w:val="auto"/>
                <w:sz w:val="24"/>
                <w:szCs w:val="24"/>
                <w:highlight w:val="none"/>
                <w:lang w:val="en-US" w:eastAsia="zh-CN"/>
              </w:rPr>
              <w:t>施工期厂区内土方尽量做到填挖平衡，用于地基回填、厂区平整和大棚种植用土等。</w:t>
            </w:r>
            <w:r>
              <w:rPr>
                <w:rFonts w:hint="eastAsia"/>
                <w:color w:val="auto"/>
                <w:sz w:val="24"/>
                <w:szCs w:val="24"/>
                <w:highlight w:val="none"/>
                <w:lang w:eastAsia="zh-CN"/>
              </w:rPr>
              <w:t>工程压占将造成陆域植被的破坏，但植被损失量较小，对陆生生态环境影响较小。且这些影响均是局部小范围的</w:t>
            </w:r>
            <w:r>
              <w:rPr>
                <w:rFonts w:hint="eastAsia" w:ascii="Times New Roman" w:hAnsi="Times New Roman" w:cs="Times New Roman"/>
                <w:color w:val="auto"/>
                <w:sz w:val="24"/>
                <w:szCs w:val="24"/>
                <w:highlight w:val="none"/>
                <w:lang w:val="en-US" w:eastAsia="zh-CN"/>
              </w:rPr>
              <w:t>。</w:t>
            </w:r>
          </w:p>
          <w:p>
            <w:pPr>
              <w:pStyle w:val="5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（4）水土流失的影响分析</w:t>
            </w:r>
          </w:p>
          <w:p>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本工程水土流失期主要发生在施工期。</w:t>
            </w:r>
            <w:r>
              <w:rPr>
                <w:rFonts w:hint="default" w:ascii="Times New Roman" w:hAnsi="Times New Roman" w:cs="Times New Roman"/>
                <w:color w:val="auto"/>
                <w:sz w:val="24"/>
                <w:szCs w:val="24"/>
                <w:highlight w:val="none"/>
                <w:lang w:val="en-US" w:eastAsia="zh-CN"/>
              </w:rPr>
              <w:t>本项目施工期主要为大棚以及其他</w:t>
            </w:r>
            <w:r>
              <w:rPr>
                <w:rFonts w:hint="eastAsia" w:ascii="Times New Roman" w:hAnsi="Times New Roman" w:cs="Times New Roman"/>
                <w:color w:val="auto"/>
                <w:sz w:val="24"/>
                <w:szCs w:val="24"/>
                <w:highlight w:val="none"/>
                <w:lang w:val="en-US" w:eastAsia="zh-CN"/>
              </w:rPr>
              <w:t>附属房屋</w:t>
            </w:r>
            <w:r>
              <w:rPr>
                <w:rFonts w:hint="default" w:ascii="Times New Roman" w:hAnsi="Times New Roman" w:cs="Times New Roman"/>
                <w:color w:val="auto"/>
                <w:sz w:val="24"/>
                <w:szCs w:val="24"/>
                <w:highlight w:val="none"/>
                <w:lang w:val="en-US" w:eastAsia="zh-CN"/>
              </w:rPr>
              <w:t>的建设，会造成地面裸露，较易形成水土流失，直接破坏、干扰表土和地表植被，</w:t>
            </w:r>
            <w:r>
              <w:rPr>
                <w:rFonts w:hint="default" w:ascii="Times New Roman" w:hAnsi="Times New Roman" w:eastAsia="宋体" w:cs="Times New Roman"/>
                <w:color w:val="auto"/>
                <w:sz w:val="24"/>
                <w:szCs w:val="24"/>
                <w:highlight w:val="none"/>
              </w:rPr>
              <w:t>土方开挖使裸露面表层结构疏松，植被覆盖度降低，区域内土壤抗侵蚀能力降低，水土流失加剧。</w:t>
            </w:r>
            <w:r>
              <w:rPr>
                <w:rFonts w:hint="default" w:ascii="Times New Roman" w:hAnsi="Times New Roman" w:cs="Times New Roman"/>
                <w:color w:val="auto"/>
                <w:sz w:val="24"/>
                <w:szCs w:val="24"/>
                <w:highlight w:val="none"/>
                <w:lang w:val="en-US" w:eastAsia="zh-CN"/>
              </w:rPr>
              <w:t>项目施工期间开挖和扰动地表，致使地表裸露、植被稀疏、土体松散，土壤抗蚀能力降低，在大风季节产生大量以风力侵蚀为主的水土流失，在雨季产生以水力侵蚀为主的水土流失。本项目为生态农业项目，在施工</w:t>
            </w:r>
            <w:r>
              <w:rPr>
                <w:rFonts w:hint="eastAsia" w:ascii="Times New Roman" w:hAnsi="Times New Roman" w:cs="Times New Roman"/>
                <w:color w:val="auto"/>
                <w:sz w:val="24"/>
                <w:szCs w:val="24"/>
                <w:highlight w:val="none"/>
                <w:lang w:val="en-US" w:eastAsia="zh-CN"/>
              </w:rPr>
              <w:t>时</w:t>
            </w:r>
            <w:r>
              <w:rPr>
                <w:rFonts w:hint="default" w:ascii="Times New Roman" w:hAnsi="Times New Roman" w:cs="Times New Roman"/>
                <w:color w:val="auto"/>
                <w:sz w:val="24"/>
                <w:szCs w:val="24"/>
                <w:highlight w:val="none"/>
                <w:lang w:val="en-US" w:eastAsia="zh-CN"/>
              </w:rPr>
              <w:t>，对农田进行平整等操作，会对项目区内土壤产生扰动，</w:t>
            </w:r>
            <w:r>
              <w:rPr>
                <w:rFonts w:hint="eastAsia" w:ascii="Times New Roman" w:hAnsi="Times New Roman" w:cs="Times New Roman"/>
                <w:color w:val="auto"/>
                <w:sz w:val="24"/>
                <w:szCs w:val="24"/>
                <w:highlight w:val="none"/>
                <w:lang w:val="en-US" w:eastAsia="zh-CN"/>
              </w:rPr>
              <w:t>建设附属房屋等工程中</w:t>
            </w:r>
            <w:r>
              <w:rPr>
                <w:rFonts w:hint="default" w:ascii="Times New Roman" w:hAnsi="Times New Roman" w:cs="Times New Roman"/>
                <w:color w:val="auto"/>
                <w:sz w:val="24"/>
                <w:szCs w:val="24"/>
                <w:highlight w:val="none"/>
                <w:lang w:val="en-US" w:eastAsia="zh-CN"/>
              </w:rPr>
              <w:t>在挖土、填土时极易产生水土流失。因此，本项目建设初期造成的水土流失会对厂址及周边产生一定的影响。</w:t>
            </w:r>
          </w:p>
          <w:p>
            <w:pPr>
              <w:pStyle w:val="23"/>
              <w:keepNext w:val="0"/>
              <w:keepLines w:val="0"/>
              <w:pageBreakBefore w:val="0"/>
              <w:kinsoku/>
              <w:wordWrap/>
              <w:overflowPunct/>
              <w:topLinePunct w:val="0"/>
              <w:autoSpaceDE/>
              <w:autoSpaceDN/>
              <w:bidi w:val="0"/>
              <w:adjustRightInd/>
              <w:spacing w:before="0" w:after="0" w:line="360" w:lineRule="auto"/>
              <w:ind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szCs w:val="24"/>
                <w:highlight w:val="none"/>
                <w:lang w:val="en-US" w:eastAsia="zh-CN"/>
              </w:rPr>
              <w:t>针对施工期可能造成的水土流失，本评价要求合理选择施工季节，避免在大风多雨季节进行施工，挖方需采取围挡及苫布苫盖等措施，</w:t>
            </w:r>
            <w:r>
              <w:rPr>
                <w:rFonts w:hint="eastAsia" w:ascii="Times New Roman" w:hAnsi="Times New Roman" w:cs="Times New Roman"/>
                <w:color w:val="auto"/>
                <w:sz w:val="24"/>
                <w:szCs w:val="24"/>
                <w:highlight w:val="none"/>
                <w:lang w:val="en-US" w:eastAsia="zh-CN"/>
              </w:rPr>
              <w:t>及时回填</w:t>
            </w:r>
            <w:r>
              <w:rPr>
                <w:rFonts w:hint="default" w:ascii="Times New Roman" w:hAnsi="Times New Roman" w:cs="Times New Roman"/>
                <w:color w:val="auto"/>
                <w:sz w:val="24"/>
                <w:szCs w:val="24"/>
                <w:highlight w:val="none"/>
                <w:lang w:val="en-US" w:eastAsia="zh-CN"/>
              </w:rPr>
              <w:t>减少裸露的地表，减轻施工过程对环境的影响。</w:t>
            </w:r>
          </w:p>
          <w:p>
            <w:pPr>
              <w:adjustRightInd w:val="0"/>
              <w:snapToGrid w:val="0"/>
              <w:spacing w:line="360" w:lineRule="auto"/>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lang w:val="en-US" w:eastAsia="zh-CN"/>
              </w:rPr>
              <w:t>2.</w:t>
            </w:r>
            <w:r>
              <w:rPr>
                <w:rFonts w:hint="default" w:ascii="Times New Roman" w:hAnsi="Times New Roman" w:cs="Times New Roman"/>
                <w:b/>
                <w:bCs/>
                <w:color w:val="auto"/>
                <w:sz w:val="24"/>
                <w:highlight w:val="none"/>
              </w:rPr>
              <w:t>大气环境影响分析</w:t>
            </w:r>
          </w:p>
          <w:p>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本项目施工过程中，表土清理、土方平整等工程均会产生较大的扬尘，各类机械车辆的往来及砂石料、建筑材料堆放也会产生扬尘，</w:t>
            </w:r>
            <w:r>
              <w:rPr>
                <w:rFonts w:hint="default" w:ascii="Times New Roman" w:hAnsi="Times New Roman" w:cs="Times New Roman"/>
                <w:bCs/>
                <w:color w:val="auto"/>
                <w:sz w:val="24"/>
                <w:highlight w:val="none"/>
              </w:rPr>
              <w:t>施工机械、车辆运行时会排放燃油尾气</w:t>
            </w:r>
            <w:r>
              <w:rPr>
                <w:rFonts w:hint="default" w:ascii="Times New Roman" w:hAnsi="Times New Roman" w:cs="Times New Roman"/>
                <w:color w:val="auto"/>
                <w:sz w:val="24"/>
                <w:highlight w:val="none"/>
              </w:rPr>
              <w:t>。主要体现以下方面：</w:t>
            </w:r>
          </w:p>
          <w:p>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（1）清表及土方</w:t>
            </w:r>
            <w:r>
              <w:rPr>
                <w:rFonts w:hint="eastAsia" w:ascii="Times New Roman" w:hAnsi="Times New Roman" w:cs="Times New Roman"/>
                <w:color w:val="auto"/>
                <w:sz w:val="24"/>
                <w:highlight w:val="none"/>
                <w:lang w:eastAsia="zh-CN"/>
              </w:rPr>
              <w:t>平整</w:t>
            </w:r>
            <w:r>
              <w:rPr>
                <w:rFonts w:hint="default" w:ascii="Times New Roman" w:hAnsi="Times New Roman" w:cs="Times New Roman"/>
                <w:color w:val="auto"/>
                <w:sz w:val="24"/>
                <w:highlight w:val="none"/>
              </w:rPr>
              <w:t xml:space="preserve">产生的扬尘及建筑材料堆放产生的扬尘；在气候干燥且有风的情况下，会产生扬尘，如不采取有效措施，会对周围环境造成污染，在采取苫盖，拦挡及洒水抑尘后，施工扬尘基本不会对周围产生影响。 </w:t>
            </w:r>
          </w:p>
          <w:p>
            <w:pPr>
              <w:spacing w:line="360" w:lineRule="auto"/>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2）各种建筑材料（水泥、沙子、石子）及大型机械在车辆往来运输过程中产生的道路扬尘。道路扬尘量的大小与车速、车型、车流量、风速、道路表面积尘量等诸多因素有关。建设单位每天对施工道路进行洒水抑尘，加强对运输车辆的管理，如限载、限速。运输车辆遮盖苫布，散装物料堆场覆盖篷布。在采取保护措施后，施工期对周边环境空气的影响将降至最低</w:t>
            </w:r>
            <w:r>
              <w:rPr>
                <w:rFonts w:hint="eastAsia" w:ascii="Times New Roman" w:hAnsi="Times New Roman" w:cs="Times New Roman"/>
                <w:color w:val="auto"/>
                <w:sz w:val="24"/>
                <w:highlight w:val="none"/>
                <w:lang w:eastAsia="zh-CN"/>
              </w:rPr>
              <w:t>。</w:t>
            </w:r>
          </w:p>
          <w:p>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（3）施工机械、车辆运行时排放的燃油尾气。</w:t>
            </w:r>
            <w:r>
              <w:rPr>
                <w:rFonts w:hint="default" w:ascii="Times New Roman" w:hAnsi="Times New Roman" w:eastAsia="宋体" w:cs="Times New Roman"/>
                <w:color w:val="auto"/>
                <w:sz w:val="24"/>
                <w:highlight w:val="none"/>
              </w:rPr>
              <w:t>尾气中含有SO</w:t>
            </w:r>
            <w:r>
              <w:rPr>
                <w:rFonts w:hint="default" w:ascii="Times New Roman" w:hAnsi="Times New Roman" w:eastAsia="宋体" w:cs="Times New Roman"/>
                <w:color w:val="auto"/>
                <w:sz w:val="24"/>
                <w:highlight w:val="none"/>
                <w:vertAlign w:val="subscript"/>
              </w:rPr>
              <w:t>2</w:t>
            </w:r>
            <w:r>
              <w:rPr>
                <w:rFonts w:hint="default" w:ascii="Times New Roman" w:hAnsi="Times New Roman" w:eastAsia="宋体" w:cs="Times New Roman"/>
                <w:color w:val="auto"/>
                <w:sz w:val="24"/>
                <w:highlight w:val="none"/>
              </w:rPr>
              <w:t>、NOx、CO以及</w:t>
            </w:r>
            <w:r>
              <w:rPr>
                <w:rFonts w:hint="eastAsia" w:cs="Times New Roman"/>
                <w:color w:val="auto"/>
                <w:sz w:val="24"/>
                <w:highlight w:val="none"/>
                <w:lang w:eastAsia="zh-CN"/>
              </w:rPr>
              <w:t>烃类</w:t>
            </w:r>
            <w:r>
              <w:rPr>
                <w:rFonts w:hint="default" w:ascii="Times New Roman" w:hAnsi="Times New Roman" w:eastAsia="宋体" w:cs="Times New Roman"/>
                <w:color w:val="auto"/>
                <w:sz w:val="24"/>
                <w:highlight w:val="none"/>
              </w:rPr>
              <w:t>等污染物，其产生量较小，属间断性、分散性排放，加之本项目施工场地开阔，扩散条件良好，尾气对大气环境的影响较小。施工单位均选用专业作业车辆，选用优质燃油，加强设备和运输车辆的检修和维护，以进一步减小施工过程对周围空气环境的影响。</w:t>
            </w:r>
          </w:p>
          <w:p>
            <w:pPr>
              <w:spacing w:line="360" w:lineRule="auto"/>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lang w:val="en-US" w:eastAsia="zh-CN"/>
              </w:rPr>
              <w:t>3.</w:t>
            </w:r>
            <w:r>
              <w:rPr>
                <w:rFonts w:hint="default" w:ascii="Times New Roman" w:hAnsi="Times New Roman" w:cs="Times New Roman"/>
                <w:b/>
                <w:bCs/>
                <w:color w:val="auto"/>
                <w:sz w:val="24"/>
                <w:highlight w:val="none"/>
              </w:rPr>
              <w:t>水环境影响分析</w:t>
            </w:r>
          </w:p>
          <w:p>
            <w:pPr>
              <w:adjustRightInd w:val="0"/>
              <w:spacing w:line="360" w:lineRule="auto"/>
              <w:ind w:firstLine="480" w:firstLineChars="200"/>
              <w:textAlignment w:val="baseline"/>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rPr>
              <w:t>本项目施工过程的主要废水为施工人员生活污水和施工废水。施工期将产生一定量的生活污水和施工废水，施工废水主要为施工机械冲洗废水，经类比调查，施工机械冲洗污水悬浮物浓度200mg/L～3000mg/L，石油类浓度10mg/L～50mg/L，施工废水进入工地设置的临时沉淀池，将施工废水沉淀后用于施工场地及道路洒水抑尘，循环使用不外排</w:t>
            </w:r>
            <w:r>
              <w:rPr>
                <w:rFonts w:hint="eastAsia" w:ascii="Times New Roman" w:hAnsi="Times New Roman" w:cs="Times New Roman"/>
                <w:color w:val="auto"/>
                <w:sz w:val="24"/>
                <w:highlight w:val="none"/>
                <w:lang w:eastAsia="zh-CN"/>
              </w:rPr>
              <w:t>，</w:t>
            </w:r>
            <w:r>
              <w:rPr>
                <w:rFonts w:ascii="宋体" w:hAnsi="宋体" w:eastAsia="宋体" w:cs="宋体"/>
                <w:color w:val="auto"/>
                <w:sz w:val="24"/>
                <w:szCs w:val="24"/>
                <w:highlight w:val="none"/>
              </w:rPr>
              <w:t>对环境影响较小。</w:t>
            </w:r>
          </w:p>
          <w:p>
            <w:pPr>
              <w:adjustRightInd w:val="0"/>
              <w:spacing w:line="360" w:lineRule="auto"/>
              <w:ind w:firstLine="480" w:firstLineChars="200"/>
              <w:textAlignment w:val="baseline"/>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施工期的生活污水主要污染物是COD</w:t>
            </w:r>
            <w:r>
              <w:rPr>
                <w:rFonts w:hint="default" w:ascii="Times New Roman" w:hAnsi="Times New Roman" w:cs="Times New Roman"/>
                <w:color w:val="auto"/>
                <w:sz w:val="24"/>
                <w:highlight w:val="none"/>
                <w:vertAlign w:val="subscript"/>
              </w:rPr>
              <w:t>Cr</w:t>
            </w:r>
            <w:r>
              <w:rPr>
                <w:rFonts w:hint="default" w:ascii="Times New Roman" w:hAnsi="Times New Roman" w:cs="Times New Roman"/>
                <w:color w:val="auto"/>
                <w:sz w:val="24"/>
                <w:highlight w:val="none"/>
              </w:rPr>
              <w:t>、BOD</w:t>
            </w:r>
            <w:r>
              <w:rPr>
                <w:rFonts w:hint="default" w:ascii="Times New Roman" w:hAnsi="Times New Roman" w:cs="Times New Roman"/>
                <w:color w:val="auto"/>
                <w:sz w:val="24"/>
                <w:highlight w:val="none"/>
                <w:vertAlign w:val="subscript"/>
              </w:rPr>
              <w:t>5</w:t>
            </w:r>
            <w:r>
              <w:rPr>
                <w:rFonts w:hint="default" w:ascii="Times New Roman" w:hAnsi="Times New Roman" w:cs="Times New Roman"/>
                <w:color w:val="auto"/>
                <w:sz w:val="24"/>
                <w:highlight w:val="none"/>
              </w:rPr>
              <w:t>和SS类等。施工人数约为</w:t>
            </w:r>
            <w:r>
              <w:rPr>
                <w:rFonts w:hint="eastAsia" w:ascii="Times New Roman" w:hAnsi="Times New Roman" w:cs="Times New Roman"/>
                <w:color w:val="auto"/>
                <w:sz w:val="24"/>
                <w:highlight w:val="none"/>
                <w:lang w:val="en-US" w:eastAsia="zh-CN"/>
              </w:rPr>
              <w:t>20</w:t>
            </w:r>
            <w:r>
              <w:rPr>
                <w:rFonts w:hint="default" w:ascii="Times New Roman" w:hAnsi="Times New Roman" w:cs="Times New Roman"/>
                <w:color w:val="auto"/>
                <w:sz w:val="24"/>
                <w:highlight w:val="none"/>
              </w:rPr>
              <w:t>人/天，施工人员每天生活用水以60L/人·天计，生活污水排放量按用水量的80%计，施工期为</w:t>
            </w:r>
            <w:r>
              <w:rPr>
                <w:rFonts w:hint="eastAsia" w:ascii="Times New Roman" w:hAnsi="Times New Roman" w:cs="Times New Roman"/>
                <w:color w:val="auto"/>
                <w:sz w:val="24"/>
                <w:highlight w:val="none"/>
                <w:lang w:val="en-US" w:eastAsia="zh-CN"/>
              </w:rPr>
              <w:t>24</w:t>
            </w:r>
            <w:r>
              <w:rPr>
                <w:rFonts w:hint="default" w:ascii="Times New Roman" w:hAnsi="Times New Roman" w:cs="Times New Roman"/>
                <w:color w:val="auto"/>
                <w:sz w:val="24"/>
                <w:highlight w:val="none"/>
              </w:rPr>
              <w:t>个月，按</w:t>
            </w:r>
            <w:r>
              <w:rPr>
                <w:rFonts w:hint="eastAsia" w:ascii="Times New Roman" w:hAnsi="Times New Roman" w:cs="Times New Roman"/>
                <w:color w:val="auto"/>
                <w:sz w:val="24"/>
                <w:highlight w:val="none"/>
                <w:lang w:val="en-US" w:eastAsia="zh-CN"/>
              </w:rPr>
              <w:t>720</w:t>
            </w:r>
            <w:r>
              <w:rPr>
                <w:rFonts w:hint="default" w:ascii="Times New Roman" w:hAnsi="Times New Roman" w:cs="Times New Roman"/>
                <w:color w:val="auto"/>
                <w:sz w:val="24"/>
                <w:highlight w:val="none"/>
              </w:rPr>
              <w:t>天计，则生活污水的排放量为</w:t>
            </w:r>
            <w:r>
              <w:rPr>
                <w:rFonts w:hint="eastAsia" w:ascii="Times New Roman" w:hAnsi="Times New Roman" w:cs="Times New Roman"/>
                <w:color w:val="auto"/>
                <w:sz w:val="24"/>
                <w:highlight w:val="none"/>
                <w:lang w:val="en-US" w:eastAsia="zh-CN"/>
              </w:rPr>
              <w:t>1.2</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eastAsia" w:ascii="Times New Roman" w:hAnsi="Times New Roman" w:cs="Times New Roman"/>
                <w:color w:val="auto"/>
                <w:sz w:val="24"/>
                <w:highlight w:val="none"/>
                <w:lang w:eastAsia="zh-CN"/>
              </w:rPr>
              <w:t>施工期</w:t>
            </w:r>
            <w:r>
              <w:rPr>
                <w:rFonts w:hint="default" w:ascii="Times New Roman" w:hAnsi="Times New Roman" w:cs="Times New Roman"/>
                <w:color w:val="auto"/>
                <w:sz w:val="24"/>
                <w:highlight w:val="none"/>
              </w:rPr>
              <w:t>共排放生活污水</w:t>
            </w:r>
            <w:r>
              <w:rPr>
                <w:rFonts w:hint="eastAsia" w:ascii="Times New Roman" w:hAnsi="Times New Roman" w:cs="Times New Roman"/>
                <w:color w:val="auto"/>
                <w:sz w:val="24"/>
                <w:highlight w:val="none"/>
                <w:lang w:val="en-US" w:eastAsia="zh-CN"/>
              </w:rPr>
              <w:t>854</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施工人员如厕依托</w:t>
            </w:r>
            <w:r>
              <w:rPr>
                <w:rFonts w:hint="eastAsia" w:ascii="Times New Roman" w:hAnsi="Times New Roman" w:cs="Times New Roman"/>
                <w:color w:val="auto"/>
                <w:sz w:val="24"/>
                <w:highlight w:val="none"/>
                <w:lang w:eastAsia="zh-CN"/>
              </w:rPr>
              <w:t>周边卫生间或使用临时化粪池，</w:t>
            </w:r>
            <w:r>
              <w:rPr>
                <w:rFonts w:ascii="宋体" w:hAnsi="宋体" w:eastAsia="宋体" w:cs="宋体"/>
                <w:color w:val="auto"/>
                <w:sz w:val="24"/>
                <w:szCs w:val="24"/>
                <w:highlight w:val="none"/>
              </w:rPr>
              <w:t>对环境影响较小。</w:t>
            </w:r>
          </w:p>
          <w:p>
            <w:pPr>
              <w:spacing w:line="360" w:lineRule="auto"/>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4</w:t>
            </w:r>
            <w:r>
              <w:rPr>
                <w:rFonts w:hint="eastAsia"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rPr>
              <w:t>声环境影响分析</w:t>
            </w:r>
          </w:p>
          <w:p>
            <w:pPr>
              <w:spacing w:line="360" w:lineRule="auto"/>
              <w:ind w:firstLine="482"/>
              <w:textAlignment w:val="baseline"/>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施工过程中作业机械较多，噪声源主要是土建施工机械设备运行时产生的噪声和运输车辆产生的噪声。其特点是间歇或阵发性的，并具备流动性，噪声级较高，在75dB～95dB之间，平均噪声级在85dB左右。在未采取降噪措施的情况下，对周围环境影响较大。</w:t>
            </w:r>
            <w:r>
              <w:rPr>
                <w:rFonts w:ascii="宋体" w:hAnsi="宋体" w:eastAsia="宋体" w:cs="宋体"/>
                <w:color w:val="auto"/>
                <w:sz w:val="24"/>
                <w:szCs w:val="24"/>
                <w:highlight w:val="none"/>
              </w:rPr>
              <w:t>通过加强对施工单位的管理，做到文明施工；合理规划施工时段、运输车辆经过居民点时减速慢行并禁止夜间鸣笛，在采取了施工噪声防治措施后，噪声对环境影响较小。</w:t>
            </w:r>
          </w:p>
          <w:p>
            <w:pPr>
              <w:spacing w:line="360" w:lineRule="auto"/>
              <w:rPr>
                <w:rFonts w:hint="default" w:ascii="Times New Roman" w:hAnsi="Times New Roman" w:cs="Times New Roman"/>
                <w:b/>
                <w:bCs/>
                <w:color w:val="auto"/>
                <w:sz w:val="24"/>
                <w:highlight w:val="none"/>
              </w:rPr>
            </w:pPr>
            <w:r>
              <w:rPr>
                <w:rFonts w:hint="eastAsia" w:ascii="Times New Roman" w:hAnsi="Times New Roman" w:cs="Times New Roman"/>
                <w:b/>
                <w:bCs/>
                <w:color w:val="auto"/>
                <w:sz w:val="24"/>
                <w:highlight w:val="none"/>
                <w:lang w:val="en-US" w:eastAsia="zh-CN"/>
              </w:rPr>
              <w:t>5.</w:t>
            </w:r>
            <w:r>
              <w:rPr>
                <w:rFonts w:hint="default" w:ascii="Times New Roman" w:hAnsi="Times New Roman" w:cs="Times New Roman"/>
                <w:b/>
                <w:bCs/>
                <w:color w:val="auto"/>
                <w:sz w:val="24"/>
                <w:highlight w:val="none"/>
              </w:rPr>
              <w:t>固体废物环境影响分析</w:t>
            </w:r>
          </w:p>
          <w:p>
            <w:pPr>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本项目施工期固体废物主要为建筑施工过程产生的少量建筑垃圾</w:t>
            </w:r>
            <w:r>
              <w:rPr>
                <w:rFonts w:hint="eastAsia"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施工人员生活垃圾等。</w:t>
            </w:r>
          </w:p>
          <w:p>
            <w:pPr>
              <w:pStyle w:val="23"/>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rFonts w:hint="default" w:ascii="Times New Roman" w:hAnsi="Times New Roman" w:eastAsia="宋体" w:cs="Times New Roman"/>
                <w:color w:val="auto"/>
                <w:kern w:val="2"/>
                <w:sz w:val="24"/>
                <w:szCs w:val="24"/>
                <w:highlight w:val="none"/>
                <w:lang w:val="en-US" w:eastAsia="zh-CN" w:bidi="ar"/>
              </w:rPr>
            </w:pPr>
            <w:r>
              <w:rPr>
                <w:rFonts w:hint="default" w:ascii="Times New Roman" w:hAnsi="Times New Roman" w:eastAsia="宋体" w:cs="Times New Roman"/>
                <w:color w:val="auto"/>
                <w:kern w:val="2"/>
                <w:sz w:val="24"/>
                <w:szCs w:val="24"/>
                <w:highlight w:val="none"/>
                <w:lang w:val="en-US" w:eastAsia="zh-CN" w:bidi="ar"/>
              </w:rPr>
              <w:t>施工过程中产生的建筑垃圾如处理不当，会占用场地、产生扬尘、破坏地表植被</w:t>
            </w:r>
            <w:r>
              <w:rPr>
                <w:rFonts w:hint="eastAsia" w:ascii="Times New Roman" w:hAnsi="Times New Roman" w:eastAsia="宋体"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建筑垃圾尽量回用于项目建设，不能回用的定期运至政府指定建筑垃圾填埋场处理。施工期土方用于地基回填、厂区平整和温室大棚种植土，无弃土外运，表土集中堆放，采用密目网苫盖等临时防护措施。施工人员产生的生活垃圾若不及时清运，随意堆放会</w:t>
            </w:r>
            <w:r>
              <w:rPr>
                <w:rFonts w:hint="eastAsia" w:cs="Times New Roman"/>
                <w:color w:val="auto"/>
                <w:kern w:val="2"/>
                <w:sz w:val="24"/>
                <w:szCs w:val="24"/>
                <w:highlight w:val="none"/>
                <w:lang w:val="en-US" w:eastAsia="zh-CN" w:bidi="ar"/>
              </w:rPr>
              <w:t>产生</w:t>
            </w:r>
            <w:r>
              <w:rPr>
                <w:rFonts w:hint="default" w:ascii="Times New Roman" w:hAnsi="Times New Roman" w:eastAsia="宋体" w:cs="Times New Roman"/>
                <w:color w:val="auto"/>
                <w:kern w:val="2"/>
                <w:sz w:val="24"/>
                <w:szCs w:val="24"/>
                <w:highlight w:val="none"/>
                <w:lang w:val="en-US" w:eastAsia="zh-CN" w:bidi="ar"/>
              </w:rPr>
              <w:t>苍蝇，产生恶臭，影响施工人员和周边卫生环境，</w:t>
            </w:r>
            <w:r>
              <w:rPr>
                <w:rFonts w:hint="default" w:ascii="Times New Roman" w:hAnsi="Times New Roman" w:cs="Times New Roman"/>
                <w:color w:val="auto"/>
                <w:sz w:val="24"/>
                <w:highlight w:val="none"/>
                <w:lang w:eastAsia="zh-CN" w:bidi="ar"/>
              </w:rPr>
              <w:t>项</w:t>
            </w:r>
            <w:r>
              <w:rPr>
                <w:rFonts w:hint="default" w:ascii="Times New Roman" w:hAnsi="Times New Roman" w:cs="Times New Roman"/>
                <w:color w:val="auto"/>
                <w:sz w:val="24"/>
                <w:highlight w:val="none"/>
                <w:lang w:bidi="ar"/>
              </w:rPr>
              <w:t>目施工期施工人员按</w:t>
            </w:r>
            <w:r>
              <w:rPr>
                <w:rFonts w:hint="eastAsia" w:cs="Times New Roman"/>
                <w:color w:val="auto"/>
                <w:sz w:val="24"/>
                <w:highlight w:val="none"/>
                <w:lang w:val="en-US" w:eastAsia="zh-CN" w:bidi="ar"/>
              </w:rPr>
              <w:t>4</w:t>
            </w:r>
            <w:r>
              <w:rPr>
                <w:rFonts w:hint="eastAsia" w:ascii="Times New Roman" w:hAnsi="Times New Roman" w:cs="Times New Roman"/>
                <w:color w:val="auto"/>
                <w:sz w:val="24"/>
                <w:highlight w:val="none"/>
                <w:lang w:val="en-US" w:eastAsia="zh-CN" w:bidi="ar"/>
              </w:rPr>
              <w:t>0</w:t>
            </w:r>
            <w:r>
              <w:rPr>
                <w:rFonts w:hint="default" w:ascii="Times New Roman" w:hAnsi="Times New Roman" w:cs="Times New Roman"/>
                <w:color w:val="auto"/>
                <w:sz w:val="24"/>
                <w:highlight w:val="none"/>
                <w:lang w:bidi="ar"/>
              </w:rPr>
              <w:t>人计，生活垃圾产生量</w:t>
            </w:r>
            <w:r>
              <w:rPr>
                <w:rFonts w:hint="eastAsia" w:ascii="Times New Roman" w:hAnsi="Times New Roman" w:cs="Times New Roman"/>
                <w:color w:val="auto"/>
                <w:sz w:val="24"/>
                <w:highlight w:val="none"/>
                <w:lang w:val="en-US" w:eastAsia="zh-CN"/>
              </w:rPr>
              <w:t>0.5</w:t>
            </w:r>
            <w:r>
              <w:rPr>
                <w:rFonts w:hint="default" w:ascii="Times New Roman" w:hAnsi="Times New Roman" w:cs="Times New Roman"/>
                <w:color w:val="auto"/>
                <w:sz w:val="24"/>
                <w:highlight w:val="none"/>
              </w:rPr>
              <w:t>kg/人·d</w:t>
            </w:r>
            <w:r>
              <w:rPr>
                <w:rFonts w:hint="default" w:ascii="Times New Roman" w:hAnsi="Times New Roman" w:cs="Times New Roman"/>
                <w:color w:val="auto"/>
                <w:sz w:val="24"/>
                <w:highlight w:val="none"/>
                <w:lang w:bidi="ar"/>
              </w:rPr>
              <w:t>，施工期</w:t>
            </w:r>
            <w:r>
              <w:rPr>
                <w:rFonts w:hint="eastAsia" w:cs="Times New Roman"/>
                <w:color w:val="auto"/>
                <w:sz w:val="24"/>
                <w:highlight w:val="none"/>
                <w:lang w:val="en-US" w:eastAsia="zh-CN" w:bidi="ar"/>
              </w:rPr>
              <w:t>18</w:t>
            </w:r>
            <w:r>
              <w:rPr>
                <w:rFonts w:hint="default" w:ascii="Times New Roman" w:hAnsi="Times New Roman" w:cs="Times New Roman"/>
                <w:color w:val="auto"/>
                <w:sz w:val="24"/>
                <w:highlight w:val="none"/>
                <w:lang w:bidi="ar"/>
              </w:rPr>
              <w:t>个月，则生活垃圾产生量为</w:t>
            </w:r>
            <w:r>
              <w:rPr>
                <w:rFonts w:hint="eastAsia" w:cs="Times New Roman"/>
                <w:color w:val="auto"/>
                <w:sz w:val="24"/>
                <w:highlight w:val="none"/>
                <w:lang w:val="en-US" w:eastAsia="zh-CN" w:bidi="ar"/>
              </w:rPr>
              <w:t>10.8</w:t>
            </w:r>
            <w:r>
              <w:rPr>
                <w:rFonts w:hint="default" w:ascii="Times New Roman" w:hAnsi="Times New Roman" w:cs="Times New Roman"/>
                <w:color w:val="auto"/>
                <w:sz w:val="24"/>
                <w:highlight w:val="none"/>
                <w:lang w:bidi="ar"/>
              </w:rPr>
              <w:t>t，</w:t>
            </w:r>
            <w:r>
              <w:rPr>
                <w:rFonts w:hint="default" w:ascii="Times New Roman" w:hAnsi="Times New Roman" w:eastAsia="宋体" w:cs="Times New Roman"/>
                <w:color w:val="auto"/>
                <w:kern w:val="2"/>
                <w:sz w:val="24"/>
                <w:szCs w:val="24"/>
                <w:highlight w:val="none"/>
                <w:lang w:val="en-US" w:eastAsia="zh-CN" w:bidi="ar"/>
              </w:rPr>
              <w:t>集中收集至垃圾箱，由环卫部门集中清运。</w:t>
            </w:r>
          </w:p>
          <w:p>
            <w:pPr>
              <w:pStyle w:val="23"/>
              <w:keepNext w:val="0"/>
              <w:keepLines w:val="0"/>
              <w:pageBreakBefore w:val="0"/>
              <w:widowControl/>
              <w:kinsoku/>
              <w:wordWrap/>
              <w:overflowPunct/>
              <w:topLinePunct w:val="0"/>
              <w:autoSpaceDE/>
              <w:autoSpaceDN/>
              <w:bidi w:val="0"/>
              <w:adjustRightInd/>
              <w:snapToGrid w:val="0"/>
              <w:spacing w:before="0" w:after="0" w:line="360" w:lineRule="auto"/>
              <w:ind w:right="0" w:firstLine="480" w:firstLineChars="200"/>
              <w:textAlignment w:val="auto"/>
              <w:rPr>
                <w:rFonts w:ascii="宋体" w:hAnsi="宋体" w:cs="宋体"/>
                <w:bCs/>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
              </w:rPr>
              <w:t>综上所述，在采取以上措施后，施工期固废均可得到妥善处置，不会对周围环境产生明显影响。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879" w:type="dxa"/>
            <w:noWrap w:val="0"/>
            <w:tcMar>
              <w:left w:w="28" w:type="dxa"/>
              <w:right w:w="28" w:type="dxa"/>
            </w:tcMar>
            <w:vAlign w:val="center"/>
          </w:tcPr>
          <w:p>
            <w:pPr>
              <w:pStyle w:val="21"/>
              <w:adjustRightInd w:val="0"/>
              <w:snapToGrid w:val="0"/>
              <w:spacing w:before="0" w:beforeAutospacing="0" w:after="0" w:afterAutospacing="0"/>
              <w:jc w:val="center"/>
              <w:rPr>
                <w:rFonts w:cs="宋体"/>
                <w:bCs/>
                <w:color w:val="auto"/>
                <w:kern w:val="2"/>
                <w:sz w:val="24"/>
                <w:szCs w:val="24"/>
                <w:highlight w:val="none"/>
              </w:rPr>
            </w:pPr>
            <w:r>
              <w:rPr>
                <w:rFonts w:hint="eastAsia" w:cs="宋体"/>
                <w:bCs/>
                <w:color w:val="auto"/>
                <w:spacing w:val="10"/>
                <w:kern w:val="2"/>
                <w:sz w:val="24"/>
                <w:szCs w:val="24"/>
                <w:highlight w:val="none"/>
              </w:rPr>
              <w:t>运营期生态环境影响分析</w:t>
            </w:r>
          </w:p>
        </w:tc>
        <w:tc>
          <w:tcPr>
            <w:tcW w:w="8363" w:type="dxa"/>
            <w:noWrap w:val="0"/>
            <w:vAlign w:val="top"/>
          </w:tcPr>
          <w:p>
            <w:pPr>
              <w:pStyle w:val="20"/>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1.</w:t>
            </w:r>
            <w:r>
              <w:rPr>
                <w:rFonts w:hint="default" w:ascii="Times New Roman" w:hAnsi="Times New Roman" w:eastAsia="宋体" w:cs="Times New Roman"/>
                <w:b/>
                <w:bCs/>
                <w:color w:val="auto"/>
                <w:sz w:val="24"/>
                <w:highlight w:val="none"/>
                <w:lang w:val="en-US" w:eastAsia="zh-CN"/>
              </w:rPr>
              <w:t>水环境影响分析</w:t>
            </w:r>
          </w:p>
          <w:p>
            <w:pPr>
              <w:spacing w:line="360" w:lineRule="auto"/>
              <w:ind w:firstLine="480" w:firstLineChars="200"/>
              <w:rPr>
                <w:rFonts w:hint="eastAsia"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rPr>
              <w:t>本项目运营期废水主要</w:t>
            </w:r>
            <w:r>
              <w:rPr>
                <w:rFonts w:hint="eastAsia" w:ascii="Times New Roman" w:hAnsi="Times New Roman" w:cs="Times New Roman"/>
                <w:color w:val="auto"/>
                <w:sz w:val="24"/>
                <w:highlight w:val="none"/>
                <w:lang w:eastAsia="zh-CN"/>
              </w:rPr>
              <w:t>是</w:t>
            </w:r>
            <w:r>
              <w:rPr>
                <w:rFonts w:hint="default" w:ascii="Times New Roman" w:hAnsi="Times New Roman" w:cs="Times New Roman"/>
                <w:color w:val="auto"/>
                <w:sz w:val="24"/>
                <w:highlight w:val="none"/>
              </w:rPr>
              <w:t>生活</w:t>
            </w:r>
            <w:r>
              <w:rPr>
                <w:rFonts w:hint="eastAsia" w:ascii="Times New Roman" w:hAnsi="Times New Roman" w:cs="Times New Roman"/>
                <w:color w:val="auto"/>
                <w:sz w:val="24"/>
                <w:highlight w:val="none"/>
                <w:lang w:eastAsia="zh-CN"/>
              </w:rPr>
              <w:t>污</w:t>
            </w:r>
            <w:r>
              <w:rPr>
                <w:rFonts w:hint="default" w:ascii="Times New Roman" w:hAnsi="Times New Roman" w:cs="Times New Roman"/>
                <w:color w:val="auto"/>
                <w:sz w:val="24"/>
                <w:highlight w:val="none"/>
              </w:rPr>
              <w:t>水</w:t>
            </w:r>
            <w:r>
              <w:rPr>
                <w:rFonts w:hint="eastAsia" w:ascii="Times New Roman" w:hAnsi="Times New Roman" w:cs="Times New Roman"/>
                <w:color w:val="auto"/>
                <w:sz w:val="24"/>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384" w:lineRule="auto"/>
              <w:ind w:firstLine="480" w:firstLineChars="200"/>
              <w:jc w:val="both"/>
              <w:textAlignment w:val="auto"/>
              <w:rPr>
                <w:rFonts w:hint="default"/>
                <w:color w:val="auto"/>
                <w:sz w:val="24"/>
                <w:szCs w:val="24"/>
                <w:highlight w:val="none"/>
              </w:rPr>
            </w:pPr>
            <w:r>
              <w:rPr>
                <w:rFonts w:hint="default" w:ascii="Times New Roman" w:hAnsi="Times New Roman" w:cs="Times New Roman"/>
                <w:color w:val="auto"/>
                <w:sz w:val="24"/>
                <w:highlight w:val="none"/>
              </w:rPr>
              <w:t>职工日常生活产生的生活污水产生量较少，</w:t>
            </w:r>
            <w:r>
              <w:rPr>
                <w:rFonts w:hint="default" w:ascii="Times New Roman" w:hAnsi="Times New Roman" w:cs="Times New Roman"/>
                <w:color w:val="auto"/>
                <w:sz w:val="24"/>
                <w:szCs w:val="24"/>
                <w:highlight w:val="none"/>
              </w:rPr>
              <w:t>生活污水主要的污染</w:t>
            </w:r>
            <w:r>
              <w:rPr>
                <w:rFonts w:hint="eastAsia" w:ascii="Times New Roman" w:hAnsi="Times New Roman" w:cs="Times New Roman"/>
                <w:color w:val="auto"/>
                <w:sz w:val="24"/>
                <w:szCs w:val="24"/>
                <w:highlight w:val="none"/>
                <w:lang w:eastAsia="zh-CN"/>
              </w:rPr>
              <w:t>物</w:t>
            </w:r>
            <w:r>
              <w:rPr>
                <w:rFonts w:hint="default" w:ascii="Times New Roman" w:hAnsi="Times New Roman" w:cs="Times New Roman"/>
                <w:color w:val="auto"/>
                <w:sz w:val="24"/>
                <w:szCs w:val="24"/>
                <w:highlight w:val="none"/>
              </w:rPr>
              <w:t>为SS、BOD、COD、氨氮及油脂类。</w:t>
            </w:r>
            <w:r>
              <w:rPr>
                <w:rFonts w:hint="eastAsia"/>
                <w:color w:val="auto"/>
                <w:sz w:val="24"/>
                <w:szCs w:val="24"/>
                <w:highlight w:val="none"/>
                <w:lang w:eastAsia="zh-CN"/>
              </w:rPr>
              <w:t>本项目生活废水产生量按用水量的80%计算，则</w:t>
            </w:r>
            <w:r>
              <w:rPr>
                <w:rFonts w:hint="eastAsia"/>
                <w:color w:val="auto"/>
                <w:sz w:val="24"/>
                <w:szCs w:val="24"/>
                <w:highlight w:val="none"/>
                <w:lang w:val="en-US" w:eastAsia="zh-CN"/>
              </w:rPr>
              <w:t>4.176</w:t>
            </w:r>
            <w:r>
              <w:rPr>
                <w:rFonts w:hint="default"/>
                <w:color w:val="auto"/>
                <w:sz w:val="24"/>
                <w:szCs w:val="24"/>
                <w:highlight w:val="none"/>
              </w:rPr>
              <w:t>m</w:t>
            </w:r>
            <w:r>
              <w:rPr>
                <w:rFonts w:hint="default"/>
                <w:color w:val="auto"/>
                <w:sz w:val="24"/>
                <w:szCs w:val="24"/>
                <w:highlight w:val="none"/>
                <w:vertAlign w:val="superscript"/>
              </w:rPr>
              <w:t>3</w:t>
            </w:r>
            <w:r>
              <w:rPr>
                <w:rFonts w:hint="default"/>
                <w:color w:val="auto"/>
                <w:sz w:val="24"/>
                <w:szCs w:val="24"/>
                <w:highlight w:val="none"/>
              </w:rPr>
              <w:t>/d</w:t>
            </w:r>
            <w:r>
              <w:rPr>
                <w:rFonts w:hint="eastAsia"/>
                <w:color w:val="auto"/>
                <w:sz w:val="24"/>
                <w:szCs w:val="24"/>
                <w:highlight w:val="none"/>
                <w:lang w:eastAsia="zh-CN"/>
              </w:rPr>
              <w:t>（</w:t>
            </w:r>
            <w:r>
              <w:rPr>
                <w:rFonts w:hint="eastAsia"/>
                <w:color w:val="auto"/>
                <w:sz w:val="24"/>
                <w:szCs w:val="24"/>
                <w:highlight w:val="none"/>
                <w:lang w:val="en-US" w:eastAsia="zh-CN"/>
              </w:rPr>
              <w:t>1524.24</w:t>
            </w:r>
            <w:r>
              <w:rPr>
                <w:rFonts w:hint="eastAsia"/>
                <w:color w:val="auto"/>
                <w:sz w:val="24"/>
                <w:szCs w:val="24"/>
                <w:highlight w:val="none"/>
              </w:rPr>
              <w:t>m</w:t>
            </w:r>
            <w:r>
              <w:rPr>
                <w:rFonts w:hint="eastAsia"/>
                <w:color w:val="auto"/>
                <w:sz w:val="24"/>
                <w:szCs w:val="24"/>
                <w:highlight w:val="none"/>
                <w:vertAlign w:val="superscript"/>
              </w:rPr>
              <w:t>3</w:t>
            </w:r>
            <w:r>
              <w:rPr>
                <w:rFonts w:hint="eastAsia"/>
                <w:color w:val="auto"/>
                <w:sz w:val="24"/>
                <w:szCs w:val="24"/>
                <w:highlight w:val="none"/>
              </w:rPr>
              <w:t>/a</w:t>
            </w:r>
            <w:r>
              <w:rPr>
                <w:rFonts w:hint="eastAsia"/>
                <w:color w:val="auto"/>
                <w:sz w:val="24"/>
                <w:szCs w:val="24"/>
                <w:highlight w:val="none"/>
                <w:lang w:eastAsia="zh-CN"/>
              </w:rPr>
              <w:t>）</w:t>
            </w:r>
            <w:r>
              <w:rPr>
                <w:rFonts w:hint="eastAsia" w:ascii="宋体" w:hAnsi="宋体" w:eastAsia="宋体" w:cs="宋体"/>
                <w:color w:val="auto"/>
                <w:sz w:val="24"/>
                <w:szCs w:val="24"/>
                <w:highlight w:val="none"/>
                <w:lang w:val="en-US" w:eastAsia="zh-CN"/>
              </w:rPr>
              <w:t>,</w:t>
            </w:r>
            <w:r>
              <w:rPr>
                <w:rFonts w:hint="eastAsia"/>
                <w:color w:val="auto"/>
                <w:sz w:val="24"/>
                <w:szCs w:val="24"/>
                <w:highlight w:val="none"/>
              </w:rPr>
              <w:t>生活污水</w:t>
            </w:r>
            <w:r>
              <w:rPr>
                <w:rFonts w:hint="eastAsia"/>
                <w:color w:val="auto"/>
                <w:sz w:val="24"/>
                <w:szCs w:val="24"/>
                <w:highlight w:val="none"/>
                <w:lang w:eastAsia="zh-CN"/>
              </w:rPr>
              <w:t>经化粪池收集</w:t>
            </w:r>
            <w:r>
              <w:rPr>
                <w:rFonts w:hint="eastAsia"/>
                <w:color w:val="auto"/>
                <w:sz w:val="24"/>
                <w:szCs w:val="24"/>
                <w:highlight w:val="none"/>
              </w:rPr>
              <w:t>后</w:t>
            </w:r>
            <w:r>
              <w:rPr>
                <w:rFonts w:hint="eastAsia"/>
                <w:color w:val="auto"/>
                <w:sz w:val="24"/>
                <w:szCs w:val="24"/>
                <w:highlight w:val="none"/>
                <w:lang w:eastAsia="zh-CN"/>
              </w:rPr>
              <w:t>通过污水管网最终进入阿镇</w:t>
            </w:r>
            <w:r>
              <w:rPr>
                <w:rFonts w:hint="eastAsia"/>
                <w:color w:val="auto"/>
                <w:sz w:val="24"/>
                <w:szCs w:val="24"/>
                <w:highlight w:val="none"/>
              </w:rPr>
              <w:t>污水处理厂处理</w:t>
            </w:r>
            <w:r>
              <w:rPr>
                <w:rFonts w:hint="eastAsia" w:ascii="Times New Roman" w:hAnsi="Times New Roman" w:cs="Times New Roman"/>
                <w:color w:val="auto"/>
                <w:sz w:val="24"/>
                <w:highlight w:val="none"/>
                <w:lang w:eastAsia="zh-CN"/>
              </w:rPr>
              <w:t>，不外排</w:t>
            </w:r>
            <w:r>
              <w:rPr>
                <w:rFonts w:hint="eastAsia"/>
                <w:color w:val="auto"/>
                <w:sz w:val="24"/>
                <w:szCs w:val="24"/>
                <w:highlight w:val="none"/>
              </w:rPr>
              <w:t>。</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综上所述，废水</w:t>
            </w:r>
            <w:r>
              <w:rPr>
                <w:rFonts w:hint="eastAsia" w:ascii="Times New Roman" w:hAnsi="Times New Roman" w:cs="Times New Roman"/>
                <w:color w:val="auto"/>
                <w:sz w:val="24"/>
                <w:highlight w:val="none"/>
                <w:lang w:eastAsia="zh-CN"/>
              </w:rPr>
              <w:t>得到</w:t>
            </w:r>
            <w:r>
              <w:rPr>
                <w:rFonts w:hint="default" w:ascii="Times New Roman" w:hAnsi="Times New Roman" w:cs="Times New Roman"/>
                <w:color w:val="auto"/>
                <w:sz w:val="24"/>
                <w:highlight w:val="none"/>
              </w:rPr>
              <w:t>合理处置</w:t>
            </w:r>
            <w:r>
              <w:rPr>
                <w:rFonts w:hint="eastAsia" w:ascii="Times New Roman" w:hAnsi="Times New Roman" w:cs="Times New Roman"/>
                <w:color w:val="auto"/>
                <w:sz w:val="24"/>
                <w:highlight w:val="none"/>
                <w:lang w:eastAsia="zh-CN"/>
              </w:rPr>
              <w:t>，不外排，</w:t>
            </w:r>
            <w:r>
              <w:rPr>
                <w:rFonts w:hint="default" w:ascii="Times New Roman" w:hAnsi="Times New Roman" w:cs="Times New Roman"/>
                <w:color w:val="auto"/>
                <w:sz w:val="24"/>
                <w:highlight w:val="none"/>
              </w:rPr>
              <w:t>对周边环境影响较小。</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lang w:val="en-US" w:eastAsia="zh-CN"/>
              </w:rPr>
              <w:t xml:space="preserve"> 声环境影响分析</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kern w:val="0"/>
                <w:sz w:val="24"/>
                <w:highlight w:val="none"/>
                <w:lang w:val="en-US" w:eastAsia="zh-CN"/>
              </w:rPr>
            </w:pPr>
            <w:r>
              <w:rPr>
                <w:rFonts w:hint="default" w:ascii="Times New Roman" w:hAnsi="Times New Roman" w:cs="Times New Roman"/>
                <w:color w:val="auto"/>
                <w:kern w:val="0"/>
                <w:sz w:val="24"/>
                <w:highlight w:val="none"/>
              </w:rPr>
              <w:t>本项目</w:t>
            </w:r>
            <w:r>
              <w:rPr>
                <w:rFonts w:hint="default" w:ascii="Times New Roman" w:hAnsi="Times New Roman" w:cs="Times New Roman"/>
                <w:color w:val="auto"/>
                <w:kern w:val="0"/>
                <w:sz w:val="24"/>
                <w:highlight w:val="none"/>
                <w:lang w:val="en-US" w:eastAsia="zh-CN"/>
              </w:rPr>
              <w:t>为生态农业</w:t>
            </w:r>
            <w:r>
              <w:rPr>
                <w:rFonts w:hint="eastAsia" w:cs="Times New Roman"/>
                <w:color w:val="auto"/>
                <w:kern w:val="0"/>
                <w:sz w:val="24"/>
                <w:highlight w:val="none"/>
                <w:lang w:val="en-US" w:eastAsia="zh-CN"/>
              </w:rPr>
              <w:t>及旅游</w:t>
            </w:r>
            <w:r>
              <w:rPr>
                <w:rFonts w:hint="default" w:ascii="Times New Roman" w:hAnsi="Times New Roman" w:cs="Times New Roman"/>
                <w:color w:val="auto"/>
                <w:kern w:val="0"/>
                <w:sz w:val="24"/>
                <w:highlight w:val="none"/>
                <w:lang w:val="en-US" w:eastAsia="zh-CN"/>
              </w:rPr>
              <w:t>项目，主要建设内容为日光温室大棚</w:t>
            </w:r>
            <w:r>
              <w:rPr>
                <w:rFonts w:hint="eastAsia" w:cs="Times New Roman"/>
                <w:color w:val="auto"/>
                <w:kern w:val="0"/>
                <w:sz w:val="24"/>
                <w:highlight w:val="none"/>
                <w:lang w:val="en-US" w:eastAsia="zh-CN"/>
              </w:rPr>
              <w:t>、文化创意馆、</w:t>
            </w:r>
            <w:r>
              <w:rPr>
                <w:rFonts w:hint="eastAsia" w:ascii="Times New Roman" w:hAnsi="Times New Roman" w:cs="Times New Roman"/>
                <w:color w:val="auto"/>
                <w:kern w:val="0"/>
                <w:sz w:val="24"/>
                <w:highlight w:val="none"/>
                <w:lang w:val="en-US" w:eastAsia="zh-CN"/>
              </w:rPr>
              <w:t>附属房屋</w:t>
            </w:r>
            <w:r>
              <w:rPr>
                <w:rFonts w:hint="default" w:ascii="Times New Roman" w:hAnsi="Times New Roman" w:cs="Times New Roman"/>
                <w:color w:val="auto"/>
                <w:kern w:val="0"/>
                <w:sz w:val="24"/>
                <w:highlight w:val="none"/>
                <w:lang w:val="en-US" w:eastAsia="zh-CN"/>
              </w:rPr>
              <w:t>，</w:t>
            </w:r>
            <w:r>
              <w:rPr>
                <w:rFonts w:hint="default" w:ascii="Times New Roman" w:hAnsi="Times New Roman" w:cs="Times New Roman"/>
                <w:color w:val="auto"/>
                <w:kern w:val="0"/>
                <w:sz w:val="24"/>
                <w:highlight w:val="none"/>
              </w:rPr>
              <w:t>噪声污染源主要为</w:t>
            </w:r>
            <w:r>
              <w:rPr>
                <w:rFonts w:hint="eastAsia" w:ascii="Times New Roman" w:hAnsi="Times New Roman" w:cs="Times New Roman"/>
                <w:color w:val="auto"/>
                <w:kern w:val="0"/>
                <w:sz w:val="24"/>
                <w:highlight w:val="none"/>
                <w:lang w:eastAsia="zh-CN"/>
              </w:rPr>
              <w:t>耕地机、播种机、水泵</w:t>
            </w:r>
            <w:r>
              <w:rPr>
                <w:rFonts w:hint="default" w:ascii="Times New Roman" w:hAnsi="Times New Roman" w:cs="Times New Roman"/>
                <w:color w:val="auto"/>
                <w:kern w:val="0"/>
                <w:sz w:val="24"/>
                <w:highlight w:val="none"/>
                <w:lang w:eastAsia="zh-CN"/>
              </w:rPr>
              <w:t>产生</w:t>
            </w:r>
            <w:r>
              <w:rPr>
                <w:rFonts w:hint="default" w:ascii="Times New Roman" w:hAnsi="Times New Roman" w:cs="Times New Roman"/>
                <w:bCs/>
                <w:color w:val="auto"/>
                <w:kern w:val="0"/>
                <w:sz w:val="24"/>
                <w:highlight w:val="none"/>
              </w:rPr>
              <w:t>的噪声</w:t>
            </w:r>
            <w:r>
              <w:rPr>
                <w:rFonts w:hint="default" w:ascii="Times New Roman" w:hAnsi="Times New Roman" w:cs="Times New Roman"/>
                <w:color w:val="auto"/>
                <w:kern w:val="0"/>
                <w:sz w:val="24"/>
                <w:highlight w:val="none"/>
              </w:rPr>
              <w:t>，声级值在</w:t>
            </w:r>
            <w:r>
              <w:rPr>
                <w:rFonts w:hint="eastAsia" w:ascii="Times New Roman" w:hAnsi="Times New Roman" w:cs="Times New Roman"/>
                <w:color w:val="auto"/>
                <w:kern w:val="0"/>
                <w:sz w:val="24"/>
                <w:highlight w:val="none"/>
                <w:lang w:val="en-US" w:eastAsia="zh-CN"/>
              </w:rPr>
              <w:t>65</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val="en-US" w:eastAsia="zh-CN"/>
              </w:rPr>
              <w:t>7</w:t>
            </w:r>
            <w:r>
              <w:rPr>
                <w:rFonts w:hint="default" w:ascii="Times New Roman" w:hAnsi="Times New Roman" w:cs="Times New Roman"/>
                <w:color w:val="auto"/>
                <w:kern w:val="0"/>
                <w:sz w:val="24"/>
                <w:highlight w:val="none"/>
              </w:rPr>
              <w:t>0dB（A）之间。</w:t>
            </w:r>
            <w:r>
              <w:rPr>
                <w:rFonts w:hint="default" w:ascii="Times New Roman" w:hAnsi="Times New Roman" w:cs="Times New Roman"/>
                <w:color w:val="auto"/>
                <w:kern w:val="0"/>
                <w:sz w:val="24"/>
                <w:highlight w:val="none"/>
                <w:lang w:val="en-US" w:eastAsia="zh-CN"/>
              </w:rPr>
              <w:t>各种噪声源均布置在</w:t>
            </w:r>
            <w:r>
              <w:rPr>
                <w:rFonts w:hint="eastAsia" w:ascii="Times New Roman" w:hAnsi="Times New Roman" w:cs="Times New Roman"/>
                <w:color w:val="auto"/>
                <w:kern w:val="0"/>
                <w:sz w:val="24"/>
                <w:highlight w:val="none"/>
                <w:lang w:val="en-US" w:eastAsia="zh-CN"/>
              </w:rPr>
              <w:t>大棚</w:t>
            </w:r>
            <w:r>
              <w:rPr>
                <w:rFonts w:hint="default" w:ascii="Times New Roman" w:hAnsi="Times New Roman" w:cs="Times New Roman"/>
                <w:color w:val="auto"/>
                <w:kern w:val="0"/>
                <w:sz w:val="24"/>
                <w:highlight w:val="none"/>
                <w:lang w:val="en-US" w:eastAsia="zh-CN"/>
              </w:rPr>
              <w:t>内，且设备均间断性工作，并非连续性工作，项目区周边无声环境敏感点</w:t>
            </w:r>
            <w:r>
              <w:rPr>
                <w:rFonts w:hint="eastAsia" w:ascii="Times New Roman" w:hAnsi="Times New Roman" w:cs="Times New Roman"/>
                <w:color w:val="auto"/>
                <w:kern w:val="0"/>
                <w:sz w:val="24"/>
                <w:highlight w:val="none"/>
                <w:lang w:val="en-US" w:eastAsia="zh-CN"/>
              </w:rPr>
              <w:t>，</w:t>
            </w:r>
            <w:r>
              <w:rPr>
                <w:rFonts w:hint="default" w:ascii="Times New Roman" w:hAnsi="Times New Roman" w:cs="Times New Roman"/>
                <w:color w:val="auto"/>
                <w:kern w:val="0"/>
                <w:sz w:val="24"/>
                <w:highlight w:val="none"/>
                <w:lang w:val="en-US" w:eastAsia="zh-CN"/>
              </w:rPr>
              <w:t>故该项目对外环境噪声影响较小。</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val="en-US" w:eastAsia="zh-CN"/>
              </w:rPr>
              <w:t>固体废物</w:t>
            </w:r>
          </w:p>
          <w:p>
            <w:pPr>
              <w:pStyle w:val="45"/>
              <w:snapToGrid/>
              <w:ind w:firstLine="496"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项目固废主要为工作人员的生活垃圾</w:t>
            </w:r>
            <w:r>
              <w:rPr>
                <w:rFonts w:hint="eastAsia" w:ascii="Times New Roman" w:hAnsi="Times New Roman" w:cs="Times New Roman"/>
                <w:color w:val="auto"/>
                <w:sz w:val="24"/>
                <w:highlight w:val="none"/>
                <w:lang w:eastAsia="zh-CN"/>
              </w:rPr>
              <w:t>、废弃农膜、有机肥包装袋、分拣废物</w:t>
            </w:r>
            <w:r>
              <w:rPr>
                <w:rFonts w:hint="default" w:ascii="Times New Roman" w:hAnsi="Times New Roman" w:cs="Times New Roman"/>
                <w:color w:val="auto"/>
                <w:sz w:val="24"/>
                <w:highlight w:val="none"/>
              </w:rPr>
              <w:t>等。</w:t>
            </w:r>
          </w:p>
          <w:p>
            <w:pPr>
              <w:spacing w:line="360" w:lineRule="auto"/>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职工产生的生活垃圾，项目有员工</w:t>
            </w:r>
            <w:r>
              <w:rPr>
                <w:rFonts w:hint="eastAsia" w:cs="Times New Roman"/>
                <w:color w:val="auto"/>
                <w:sz w:val="24"/>
                <w:highlight w:val="none"/>
                <w:lang w:val="en-US" w:eastAsia="zh-CN"/>
              </w:rPr>
              <w:t>87</w:t>
            </w:r>
            <w:r>
              <w:rPr>
                <w:rFonts w:hint="default" w:ascii="Times New Roman" w:hAnsi="Times New Roman" w:cs="Times New Roman"/>
                <w:color w:val="auto"/>
                <w:sz w:val="24"/>
                <w:highlight w:val="none"/>
              </w:rPr>
              <w:t>人，职工生活垃圾按</w:t>
            </w:r>
            <w:r>
              <w:rPr>
                <w:rFonts w:hint="eastAsia" w:ascii="Times New Roman" w:hAnsi="Times New Roman" w:cs="Times New Roman"/>
                <w:color w:val="auto"/>
                <w:sz w:val="24"/>
                <w:highlight w:val="none"/>
                <w:lang w:val="en-US" w:eastAsia="zh-CN"/>
              </w:rPr>
              <w:t>0.5</w:t>
            </w:r>
            <w:r>
              <w:rPr>
                <w:rFonts w:hint="default" w:ascii="Times New Roman" w:hAnsi="Times New Roman" w:cs="Times New Roman"/>
                <w:color w:val="auto"/>
                <w:sz w:val="24"/>
                <w:highlight w:val="none"/>
              </w:rPr>
              <w:t>kg/人·d计，则生活垃圾产生量为</w:t>
            </w:r>
            <w:r>
              <w:rPr>
                <w:rFonts w:hint="eastAsia" w:cs="Times New Roman"/>
                <w:color w:val="auto"/>
                <w:sz w:val="24"/>
                <w:highlight w:val="none"/>
                <w:lang w:val="en-US" w:eastAsia="zh-CN"/>
              </w:rPr>
              <w:t>15.87</w:t>
            </w:r>
            <w:r>
              <w:rPr>
                <w:rFonts w:hint="default" w:ascii="Times New Roman" w:hAnsi="Times New Roman" w:cs="Times New Roman"/>
                <w:color w:val="auto"/>
                <w:sz w:val="24"/>
                <w:highlight w:val="none"/>
              </w:rPr>
              <w:t>t/a。生活垃圾委托环卫部门定期进行清运。</w:t>
            </w:r>
            <w:r>
              <w:rPr>
                <w:rFonts w:hint="eastAsia" w:ascii="Times New Roman" w:hAnsi="Times New Roman" w:cs="Times New Roman"/>
                <w:color w:val="auto"/>
                <w:sz w:val="24"/>
                <w:highlight w:val="none"/>
                <w:lang w:val="en-US" w:eastAsia="zh-CN"/>
              </w:rPr>
              <w:t>有机肥</w:t>
            </w:r>
            <w:r>
              <w:rPr>
                <w:rFonts w:hint="default" w:ascii="Times New Roman" w:hAnsi="Times New Roman" w:cs="Times New Roman"/>
                <w:color w:val="auto"/>
                <w:sz w:val="24"/>
                <w:highlight w:val="none"/>
                <w:lang w:val="en-US" w:eastAsia="zh-CN"/>
              </w:rPr>
              <w:t>废弃包装物主要是塑料袋</w:t>
            </w:r>
            <w:r>
              <w:rPr>
                <w:rFonts w:hint="eastAsia"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难降解，尤其是含高分子树脂塑料包装袋，在自然环境条件下更不易降解，可在土壤中残留数百年，也会极大地影响农作物的正常生长</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有机肥包装袋由施肥人员在使用后收集，不随意丢弃，</w:t>
            </w:r>
            <w:r>
              <w:rPr>
                <w:rFonts w:hint="default" w:ascii="Times New Roman" w:hAnsi="Times New Roman" w:cs="Times New Roman"/>
                <w:color w:val="auto"/>
                <w:sz w:val="24"/>
                <w:highlight w:val="none"/>
                <w:lang w:val="en-US" w:eastAsia="zh-CN"/>
              </w:rPr>
              <w:t>有机肥包装袋</w:t>
            </w:r>
            <w:r>
              <w:rPr>
                <w:rFonts w:hint="eastAsia" w:ascii="Times New Roman" w:hAnsi="Times New Roman" w:cs="Times New Roman"/>
                <w:color w:val="auto"/>
                <w:sz w:val="24"/>
                <w:highlight w:val="none"/>
                <w:lang w:val="en-US" w:eastAsia="zh-CN"/>
              </w:rPr>
              <w:t>由厂家全部回收利用。</w:t>
            </w:r>
            <w:r>
              <w:rPr>
                <w:rFonts w:hint="eastAsia" w:ascii="Times New Roman" w:hAnsi="Times New Roman" w:cs="Times New Roman"/>
                <w:color w:val="auto"/>
                <w:sz w:val="24"/>
                <w:highlight w:val="none"/>
                <w:lang w:eastAsia="zh-CN"/>
              </w:rPr>
              <w:t>废弃农膜</w:t>
            </w:r>
            <w:r>
              <w:rPr>
                <w:rFonts w:hint="eastAsia" w:ascii="Times New Roman" w:hAnsi="Times New Roman" w:cs="Times New Roman"/>
                <w:color w:val="auto"/>
                <w:sz w:val="24"/>
                <w:highlight w:val="none"/>
                <w:lang w:val="en-US" w:eastAsia="zh-CN"/>
              </w:rPr>
              <w:t>拾捡、</w:t>
            </w:r>
            <w:r>
              <w:rPr>
                <w:rFonts w:hint="eastAsia" w:ascii="Times New Roman" w:hAnsi="Times New Roman" w:cs="Times New Roman"/>
                <w:color w:val="auto"/>
                <w:sz w:val="24"/>
                <w:highlight w:val="none"/>
                <w:lang w:eastAsia="zh-CN"/>
              </w:rPr>
              <w:t>收集后委托环卫清运。</w:t>
            </w:r>
            <w:r>
              <w:rPr>
                <w:rFonts w:hint="default" w:ascii="Times New Roman" w:hAnsi="Times New Roman" w:cs="Times New Roman"/>
                <w:color w:val="auto"/>
                <w:sz w:val="24"/>
                <w:highlight w:val="none"/>
                <w:lang w:val="en-US" w:eastAsia="zh-CN"/>
              </w:rPr>
              <w:t>项目分拣会产生少量分拣废物，主要为菜梗烂叶</w:t>
            </w:r>
            <w:r>
              <w:rPr>
                <w:rFonts w:hint="eastAsia" w:ascii="Times New Roman" w:hAnsi="Times New Roman" w:cs="Times New Roman"/>
                <w:color w:val="auto"/>
                <w:sz w:val="24"/>
                <w:highlight w:val="none"/>
                <w:lang w:val="en-US" w:eastAsia="zh-CN"/>
              </w:rPr>
              <w:t>、坏损瓜果，</w:t>
            </w:r>
            <w:r>
              <w:rPr>
                <w:rFonts w:hint="default" w:ascii="Times New Roman" w:hAnsi="Times New Roman" w:cs="Times New Roman"/>
                <w:color w:val="auto"/>
                <w:sz w:val="24"/>
                <w:highlight w:val="none"/>
                <w:lang w:val="en-US" w:eastAsia="zh-CN"/>
              </w:rPr>
              <w:t>产生量</w:t>
            </w:r>
            <w:r>
              <w:rPr>
                <w:rFonts w:hint="eastAsia" w:ascii="Times New Roman" w:hAnsi="Times New Roman" w:cs="Times New Roman"/>
                <w:color w:val="auto"/>
                <w:sz w:val="24"/>
                <w:highlight w:val="none"/>
                <w:lang w:val="en-US" w:eastAsia="zh-CN"/>
              </w:rPr>
              <w:t>较少</w:t>
            </w:r>
            <w:r>
              <w:rPr>
                <w:rFonts w:hint="default" w:ascii="Times New Roman" w:hAnsi="Times New Roman" w:cs="Times New Roman"/>
                <w:color w:val="auto"/>
                <w:sz w:val="24"/>
                <w:highlight w:val="none"/>
                <w:lang w:val="en-US" w:eastAsia="zh-CN"/>
              </w:rPr>
              <w:t>，统一收集后与生活垃圾一起交环卫部门处理。</w:t>
            </w:r>
            <w:r>
              <w:rPr>
                <w:rFonts w:hint="eastAsia" w:ascii="Times New Roman" w:hAnsi="Times New Roman" w:cs="Times New Roman"/>
                <w:color w:val="auto"/>
                <w:sz w:val="24"/>
                <w:highlight w:val="none"/>
                <w:lang w:val="en-US" w:eastAsia="zh-CN"/>
              </w:rPr>
              <w:t>废滤膜由厂家回收。</w:t>
            </w:r>
          </w:p>
          <w:p>
            <w:pPr>
              <w:pStyle w:val="45"/>
              <w:snapToGrid/>
              <w:ind w:firstLine="496"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综上，项目固废均得到妥善处置，不会对周围环境产生不良影响。</w:t>
            </w:r>
          </w:p>
          <w:p>
            <w:pPr>
              <w:pStyle w:val="45"/>
              <w:numPr>
                <w:ilvl w:val="0"/>
                <w:numId w:val="0"/>
              </w:numPr>
              <w:snapToGrid/>
              <w:ind w:leftChars="200" w:right="0" w:rightChars="0"/>
              <w:rPr>
                <w:rFonts w:hint="eastAsia" w:ascii="Times New Roman" w:hAnsi="Times New Roman" w:eastAsia="宋体" w:cs="Times New Roman"/>
                <w:b/>
                <w:bCs/>
                <w:color w:val="auto"/>
                <w:spacing w:val="0"/>
                <w:kern w:val="2"/>
                <w:sz w:val="24"/>
                <w:szCs w:val="24"/>
                <w:highlight w:val="none"/>
                <w:lang w:val="en-US" w:eastAsia="zh-CN" w:bidi="ar-SA"/>
              </w:rPr>
            </w:pPr>
            <w:r>
              <w:rPr>
                <w:rFonts w:hint="eastAsia" w:ascii="Times New Roman" w:hAnsi="Times New Roman" w:eastAsia="宋体" w:cs="Times New Roman"/>
                <w:b/>
                <w:bCs/>
                <w:color w:val="auto"/>
                <w:spacing w:val="0"/>
                <w:kern w:val="2"/>
                <w:sz w:val="24"/>
                <w:szCs w:val="24"/>
                <w:highlight w:val="none"/>
                <w:lang w:val="en-US" w:eastAsia="zh-CN" w:bidi="ar-SA"/>
              </w:rPr>
              <w:t>4.地</w:t>
            </w:r>
            <w:r>
              <w:rPr>
                <w:rFonts w:hint="eastAsia" w:ascii="Times New Roman" w:hAnsi="Times New Roman" w:cs="Times New Roman"/>
                <w:b/>
                <w:bCs/>
                <w:color w:val="auto"/>
                <w:spacing w:val="0"/>
                <w:kern w:val="2"/>
                <w:sz w:val="24"/>
                <w:szCs w:val="24"/>
                <w:highlight w:val="none"/>
                <w:lang w:val="en-US" w:eastAsia="zh-CN" w:bidi="ar-SA"/>
              </w:rPr>
              <w:t>表</w:t>
            </w:r>
            <w:r>
              <w:rPr>
                <w:rFonts w:hint="eastAsia" w:ascii="Times New Roman" w:hAnsi="Times New Roman" w:eastAsia="宋体" w:cs="Times New Roman"/>
                <w:b/>
                <w:bCs/>
                <w:color w:val="auto"/>
                <w:spacing w:val="0"/>
                <w:kern w:val="2"/>
                <w:sz w:val="24"/>
                <w:szCs w:val="24"/>
                <w:highlight w:val="none"/>
                <w:lang w:val="en-US" w:eastAsia="zh-CN" w:bidi="ar-SA"/>
              </w:rPr>
              <w:t>水、土壤环境影响分析</w:t>
            </w:r>
          </w:p>
          <w:p>
            <w:pPr>
              <w:pStyle w:val="45"/>
              <w:keepNext w:val="0"/>
              <w:keepLines w:val="0"/>
              <w:pageBreakBefore w:val="0"/>
              <w:widowControl w:val="0"/>
              <w:numPr>
                <w:ilvl w:val="0"/>
                <w:numId w:val="0"/>
              </w:numPr>
              <w:kinsoku/>
              <w:wordWrap/>
              <w:overflowPunct/>
              <w:topLinePunct w:val="0"/>
              <w:autoSpaceDE/>
              <w:autoSpaceDN/>
              <w:bidi w:val="0"/>
              <w:adjustRightInd w:val="0"/>
              <w:snapToGrid/>
              <w:ind w:leftChars="0" w:right="0" w:rightChars="0" w:firstLine="496" w:firstLineChars="200"/>
              <w:textAlignment w:val="auto"/>
              <w:rPr>
                <w:rFonts w:hint="default" w:ascii="Times New Roman" w:hAnsi="Times New Roman" w:cs="Times New Roman"/>
                <w:color w:val="auto"/>
                <w:sz w:val="24"/>
                <w:highlight w:val="none"/>
                <w:lang w:val="en-US" w:eastAsia="zh-CN"/>
              </w:rPr>
            </w:pPr>
            <w:r>
              <w:rPr>
                <w:rFonts w:hint="default" w:ascii="Times New Roman" w:hAnsi="Times New Roman" w:eastAsia="宋体" w:cs="Times New Roman"/>
                <w:color w:val="auto"/>
                <w:kern w:val="0"/>
                <w:sz w:val="24"/>
                <w:szCs w:val="24"/>
                <w:highlight w:val="none"/>
                <w:lang w:val="en-US" w:eastAsia="zh-CN" w:bidi="ar"/>
              </w:rPr>
              <w:t>农田的管理过程中会施用</w:t>
            </w:r>
            <w:r>
              <w:rPr>
                <w:rFonts w:hint="eastAsia" w:ascii="Times New Roman" w:hAnsi="Times New Roman" w:eastAsia="宋体" w:cs="Times New Roman"/>
                <w:color w:val="auto"/>
                <w:kern w:val="0"/>
                <w:sz w:val="24"/>
                <w:szCs w:val="24"/>
                <w:highlight w:val="none"/>
                <w:lang w:val="en-US" w:eastAsia="zh-CN" w:bidi="ar"/>
              </w:rPr>
              <w:t>有机肥</w:t>
            </w:r>
            <w:r>
              <w:rPr>
                <w:rFonts w:hint="default" w:ascii="Times New Roman" w:hAnsi="Times New Roman" w:eastAsia="宋体" w:cs="Times New Roman"/>
                <w:color w:val="auto"/>
                <w:kern w:val="0"/>
                <w:sz w:val="24"/>
                <w:szCs w:val="24"/>
                <w:highlight w:val="none"/>
                <w:lang w:val="en-US" w:eastAsia="zh-CN" w:bidi="ar"/>
              </w:rPr>
              <w:t>，如果过量施肥、肥料结构和施肥方法不当，会增加</w:t>
            </w:r>
            <w:r>
              <w:rPr>
                <w:rFonts w:hint="eastAsia" w:ascii="Times New Roman" w:hAnsi="Times New Roman" w:eastAsia="宋体" w:cs="Times New Roman"/>
                <w:color w:val="auto"/>
                <w:kern w:val="0"/>
                <w:sz w:val="24"/>
                <w:szCs w:val="24"/>
                <w:highlight w:val="none"/>
                <w:lang w:val="en-US" w:eastAsia="zh-CN" w:bidi="ar"/>
              </w:rPr>
              <w:t>有机肥中</w:t>
            </w:r>
            <w:r>
              <w:rPr>
                <w:rFonts w:hint="default" w:ascii="Times New Roman" w:hAnsi="Times New Roman" w:eastAsia="宋体" w:cs="Times New Roman"/>
                <w:color w:val="auto"/>
                <w:kern w:val="0"/>
                <w:sz w:val="24"/>
                <w:szCs w:val="24"/>
                <w:highlight w:val="none"/>
                <w:lang w:val="en-US" w:eastAsia="zh-CN" w:bidi="ar"/>
              </w:rPr>
              <w:t>养分的流失，过量的</w:t>
            </w:r>
            <w:r>
              <w:rPr>
                <w:rFonts w:hint="eastAsia" w:ascii="Times New Roman" w:hAnsi="Times New Roman" w:eastAsia="宋体" w:cs="Times New Roman"/>
                <w:color w:val="auto"/>
                <w:kern w:val="0"/>
                <w:sz w:val="24"/>
                <w:szCs w:val="24"/>
                <w:highlight w:val="none"/>
                <w:lang w:val="en-US" w:eastAsia="zh-CN" w:bidi="ar"/>
              </w:rPr>
              <w:t>施肥，肥料在</w:t>
            </w:r>
            <w:r>
              <w:rPr>
                <w:rFonts w:hint="default" w:ascii="Times New Roman" w:hAnsi="Times New Roman" w:eastAsia="宋体" w:cs="Times New Roman"/>
                <w:color w:val="auto"/>
                <w:kern w:val="0"/>
                <w:sz w:val="24"/>
                <w:szCs w:val="24"/>
                <w:highlight w:val="none"/>
                <w:lang w:val="en-US" w:eastAsia="zh-CN" w:bidi="ar"/>
              </w:rPr>
              <w:t>土壤中累积，向水体迁移，从而对</w:t>
            </w:r>
            <w:r>
              <w:rPr>
                <w:rFonts w:hint="eastAsia" w:ascii="Times New Roman" w:hAnsi="Times New Roman" w:cs="Times New Roman"/>
                <w:color w:val="auto"/>
                <w:kern w:val="0"/>
                <w:sz w:val="24"/>
                <w:szCs w:val="24"/>
                <w:highlight w:val="none"/>
                <w:lang w:val="en-US" w:eastAsia="zh-CN" w:bidi="ar"/>
              </w:rPr>
              <w:t>西红海子</w:t>
            </w:r>
            <w:r>
              <w:rPr>
                <w:rFonts w:hint="default" w:ascii="Times New Roman" w:hAnsi="Times New Roman" w:eastAsia="宋体" w:cs="Times New Roman"/>
                <w:color w:val="auto"/>
                <w:kern w:val="0"/>
                <w:sz w:val="24"/>
                <w:szCs w:val="24"/>
                <w:highlight w:val="none"/>
                <w:lang w:val="en-US" w:eastAsia="zh-CN" w:bidi="ar"/>
              </w:rPr>
              <w:t>水体造成污染。项目实施科学施肥、节水灌溉等，这一系列措施有利于减少农业面源污染。</w:t>
            </w:r>
            <w:r>
              <w:rPr>
                <w:rFonts w:hint="eastAsia" w:ascii="Times New Roman" w:hAnsi="Times New Roman" w:cs="Times New Roman"/>
                <w:color w:val="auto"/>
                <w:kern w:val="0"/>
                <w:sz w:val="24"/>
                <w:szCs w:val="24"/>
                <w:highlight w:val="none"/>
                <w:lang w:val="en-US" w:eastAsia="zh-CN" w:bidi="ar"/>
              </w:rPr>
              <w:t>项目运行过程中合理收集处置生活污水，严禁向西红海子排放生活污水，从而对西红海子水体造成污染。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5" w:hRule="atLeast"/>
          <w:jc w:val="center"/>
        </w:trPr>
        <w:tc>
          <w:tcPr>
            <w:tcW w:w="879" w:type="dxa"/>
            <w:noWrap w:val="0"/>
            <w:vAlign w:val="center"/>
          </w:tcPr>
          <w:p>
            <w:pPr>
              <w:pStyle w:val="21"/>
              <w:adjustRightInd w:val="0"/>
              <w:snapToGrid w:val="0"/>
              <w:spacing w:before="0" w:beforeAutospacing="0" w:after="0" w:afterAutospacing="0"/>
              <w:jc w:val="center"/>
              <w:rPr>
                <w:rFonts w:cs="宋体"/>
                <w:bCs/>
                <w:color w:val="auto"/>
                <w:kern w:val="2"/>
                <w:sz w:val="24"/>
                <w:szCs w:val="24"/>
                <w:highlight w:val="none"/>
              </w:rPr>
            </w:pPr>
            <w:r>
              <w:rPr>
                <w:rFonts w:hint="eastAsia" w:cs="宋体"/>
                <w:bCs/>
                <w:color w:val="auto"/>
                <w:kern w:val="2"/>
                <w:sz w:val="24"/>
                <w:szCs w:val="24"/>
                <w:highlight w:val="none"/>
              </w:rPr>
              <w:t>选址选线环境合理性分析</w:t>
            </w:r>
          </w:p>
        </w:tc>
        <w:tc>
          <w:tcPr>
            <w:tcW w:w="8363" w:type="dxa"/>
            <w:noWrap w:val="0"/>
            <w:vAlign w:val="top"/>
          </w:tcPr>
          <w:p>
            <w:pPr>
              <w:keepNext w:val="0"/>
              <w:keepLines w:val="0"/>
              <w:pageBreakBefore w:val="0"/>
              <w:widowControl w:val="0"/>
              <w:kinsoku/>
              <w:wordWrap/>
              <w:overflowPunct/>
              <w:topLinePunct w:val="0"/>
              <w:autoSpaceDE w:val="0"/>
              <w:autoSpaceDN w:val="0"/>
              <w:bidi w:val="0"/>
              <w:adjustRightInd w:val="0"/>
              <w:snapToGrid w:val="0"/>
              <w:spacing w:line="384" w:lineRule="auto"/>
              <w:ind w:firstLine="480" w:firstLineChars="200"/>
              <w:textAlignment w:val="auto"/>
              <w:rPr>
                <w:rFonts w:hint="default" w:ascii="Times New Roman" w:hAnsi="Times New Roman"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bidi="ar-SA"/>
              </w:rPr>
              <w:t>项目</w:t>
            </w:r>
            <w:r>
              <w:rPr>
                <w:rFonts w:hint="default" w:ascii="Times New Roman" w:hAnsi="Times New Roman" w:eastAsia="宋体" w:cs="Times New Roman"/>
                <w:color w:val="auto"/>
                <w:kern w:val="0"/>
                <w:sz w:val="24"/>
                <w:szCs w:val="24"/>
                <w:highlight w:val="none"/>
                <w:lang w:val="en-GB" w:eastAsia="zh-CN" w:bidi="ar-SA"/>
              </w:rPr>
              <w:t>建设地址位于</w:t>
            </w:r>
            <w:r>
              <w:rPr>
                <w:rFonts w:hint="eastAsia" w:ascii="Times New Roman" w:hAnsi="Times New Roman" w:eastAsia="宋体" w:cs="Times New Roman"/>
                <w:color w:val="auto"/>
                <w:kern w:val="0"/>
                <w:sz w:val="24"/>
                <w:szCs w:val="24"/>
                <w:highlight w:val="none"/>
                <w:lang w:val="en-US" w:eastAsia="zh-CN" w:bidi="ar-SA"/>
              </w:rPr>
              <w:t>内蒙古自治区鄂尔多斯市伊金霍洛旗阿勒腾席热镇红海子村，阿大公路以南</w:t>
            </w:r>
            <w:r>
              <w:rPr>
                <w:rFonts w:hint="default" w:ascii="Times New Roman" w:hAnsi="Times New Roman" w:eastAsia="宋体" w:cs="Times New Roman"/>
                <w:color w:val="auto"/>
                <w:kern w:val="0"/>
                <w:sz w:val="24"/>
                <w:szCs w:val="24"/>
                <w:highlight w:val="none"/>
                <w:lang w:val="en-GB" w:eastAsia="zh-CN" w:bidi="ar-SA"/>
              </w:rPr>
              <w:t>，阿成东路西侧，西红海子湖北侧</w:t>
            </w:r>
            <w:r>
              <w:rPr>
                <w:rFonts w:hint="eastAsia" w:cs="Times New Roman"/>
                <w:color w:val="auto"/>
                <w:kern w:val="0"/>
                <w:sz w:val="24"/>
                <w:szCs w:val="24"/>
                <w:highlight w:val="none"/>
                <w:lang w:val="en-GB" w:eastAsia="zh-CN" w:bidi="ar-SA"/>
              </w:rPr>
              <w:t>，</w:t>
            </w:r>
            <w:r>
              <w:rPr>
                <w:rFonts w:hint="default" w:ascii="Times New Roman" w:hAnsi="Times New Roman" w:cs="Times New Roman"/>
                <w:color w:val="auto"/>
                <w:kern w:val="0"/>
                <w:sz w:val="24"/>
                <w:szCs w:val="24"/>
                <w:highlight w:val="none"/>
              </w:rPr>
              <w:t>交通条件较好，且不在生态红线范围内</w:t>
            </w:r>
            <w:r>
              <w:rPr>
                <w:rFonts w:hint="eastAsia"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rPr>
              <w:t>用地范围无集中式饮用水水源保护区、</w:t>
            </w:r>
            <w:r>
              <w:rPr>
                <w:rFonts w:hint="default" w:ascii="Times New Roman" w:hAnsi="Times New Roman" w:cs="Times New Roman"/>
                <w:color w:val="auto"/>
                <w:kern w:val="0"/>
                <w:sz w:val="24"/>
                <w:szCs w:val="24"/>
                <w:highlight w:val="none"/>
                <w:lang w:val="en-US" w:eastAsia="zh-CN"/>
              </w:rPr>
              <w:t>自然保护区、风景名胜区、</w:t>
            </w:r>
            <w:r>
              <w:rPr>
                <w:rFonts w:hint="default" w:ascii="Times New Roman" w:hAnsi="Times New Roman" w:cs="Times New Roman"/>
                <w:color w:val="auto"/>
                <w:kern w:val="0"/>
                <w:sz w:val="24"/>
                <w:szCs w:val="24"/>
                <w:highlight w:val="none"/>
              </w:rPr>
              <w:t>文物古迹</w:t>
            </w:r>
            <w:r>
              <w:rPr>
                <w:rFonts w:hint="eastAsia" w:ascii="Times New Roman" w:hAnsi="Times New Roman" w:cs="Times New Roman"/>
                <w:color w:val="auto"/>
                <w:kern w:val="0"/>
                <w:sz w:val="24"/>
                <w:szCs w:val="24"/>
                <w:highlight w:val="none"/>
                <w:lang w:eastAsia="zh-CN"/>
              </w:rPr>
              <w:t>、基本农田、基本草原</w:t>
            </w:r>
            <w:r>
              <w:rPr>
                <w:rFonts w:hint="default" w:ascii="Times New Roman" w:hAnsi="Times New Roman" w:cs="Times New Roman"/>
                <w:color w:val="auto"/>
                <w:kern w:val="0"/>
                <w:sz w:val="24"/>
                <w:szCs w:val="24"/>
                <w:highlight w:val="none"/>
              </w:rPr>
              <w:t>等敏感</w:t>
            </w:r>
            <w:r>
              <w:rPr>
                <w:rFonts w:hint="eastAsia" w:ascii="Times New Roman" w:hAnsi="Times New Roman" w:cs="Times New Roman"/>
                <w:color w:val="auto"/>
                <w:kern w:val="0"/>
                <w:sz w:val="24"/>
                <w:szCs w:val="24"/>
                <w:highlight w:val="none"/>
                <w:lang w:eastAsia="zh-CN"/>
              </w:rPr>
              <w:t>区域。</w:t>
            </w:r>
            <w:r>
              <w:rPr>
                <w:rFonts w:hint="eastAsia" w:cs="Times New Roman"/>
                <w:color w:val="auto"/>
                <w:kern w:val="0"/>
                <w:sz w:val="24"/>
                <w:szCs w:val="24"/>
                <w:highlight w:val="none"/>
                <w:lang w:eastAsia="zh-CN"/>
              </w:rPr>
              <w:t>各部门出具的不占用敏感区地类查询文件详见附件。</w:t>
            </w:r>
            <w:r>
              <w:rPr>
                <w:rFonts w:hint="eastAsia" w:ascii="Times New Roman" w:hAnsi="Times New Roman" w:cs="Times New Roman"/>
                <w:color w:val="auto"/>
                <w:kern w:val="0"/>
                <w:sz w:val="24"/>
                <w:szCs w:val="24"/>
                <w:highlight w:val="none"/>
                <w:lang w:eastAsia="zh-CN"/>
              </w:rPr>
              <w:t>本项目产生的废气、废水、固废和噪声采取相应的措施后</w:t>
            </w:r>
            <w:r>
              <w:rPr>
                <w:rFonts w:hint="default" w:ascii="Times New Roman" w:hAnsi="Times New Roman" w:cs="Times New Roman"/>
                <w:color w:val="auto"/>
                <w:kern w:val="0"/>
                <w:sz w:val="24"/>
                <w:szCs w:val="24"/>
                <w:highlight w:val="none"/>
              </w:rPr>
              <w:t>。对周边环境影响较小。因此，从环保角度分析，本项目的选址是合理的。</w:t>
            </w:r>
          </w:p>
          <w:p>
            <w:pPr>
              <w:pStyle w:val="3"/>
              <w:keepNext w:val="0"/>
              <w:keepLines w:val="0"/>
              <w:pageBreakBefore w:val="0"/>
              <w:widowControl w:val="0"/>
              <w:kinsoku/>
              <w:wordWrap/>
              <w:overflowPunct/>
              <w:topLinePunct w:val="0"/>
              <w:autoSpaceDE/>
              <w:autoSpaceDN/>
              <w:bidi w:val="0"/>
              <w:adjustRightInd w:val="0"/>
              <w:snapToGrid/>
              <w:textAlignment w:val="baseline"/>
              <w:rPr>
                <w:rFonts w:hint="default" w:ascii="宋体" w:hAnsi="宋体" w:eastAsia="宋体" w:cs="宋体"/>
                <w:bCs/>
                <w:color w:val="auto"/>
                <w:sz w:val="24"/>
                <w:szCs w:val="24"/>
                <w:highlight w:val="none"/>
                <w:lang w:val="en-US" w:eastAsia="zh-CN"/>
              </w:rPr>
            </w:pPr>
            <w:r>
              <w:rPr>
                <w:rFonts w:hint="eastAsia" w:ascii="Times New Roman" w:hAnsi="Times New Roman" w:eastAsia="宋体" w:cs="Times New Roman"/>
                <w:color w:val="auto"/>
                <w:kern w:val="0"/>
                <w:sz w:val="24"/>
                <w:szCs w:val="24"/>
                <w:highlight w:val="none"/>
                <w:lang w:eastAsia="zh-CN"/>
              </w:rPr>
              <w:t>以“农业+旅游”深度融合为路径，依托当地丰富的旅游资源，引入寿光蔬菜产业化经营模式与理念，按照“一核、一带、四区”的目标定位，重点建设1个展馆、1条生态长廊和4大区域，打造集现代农旅、特色种植、园艺景观、科普研学、冷链仓储、加工配送等功能于一体的综合性现代农业科技园区。全力打造鄂尔多斯市农业旅游新地标，进一步提升现代农业发展水平和质量效益，通过本项目的建设，摸索因地制宜的提升乡村产业升级的方法与模式，使伊金霍洛旗乡村旅游的知名度与美誉度得到有力地提升，成为乡村振兴的样板，进而带动和推进周边区域乡村振兴战略的</w:t>
            </w:r>
            <w:bookmarkStart w:id="7" w:name="_GoBack"/>
            <w:bookmarkEnd w:id="7"/>
            <w:r>
              <w:rPr>
                <w:rFonts w:hint="eastAsia" w:ascii="Times New Roman" w:hAnsi="Times New Roman" w:eastAsia="宋体" w:cs="Times New Roman"/>
                <w:color w:val="auto"/>
                <w:kern w:val="0"/>
                <w:sz w:val="24"/>
                <w:szCs w:val="24"/>
                <w:highlight w:val="none"/>
                <w:lang w:eastAsia="zh-CN"/>
              </w:rPr>
              <w:t>整体建设</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项目选址合理可行。</w:t>
            </w:r>
          </w:p>
        </w:tc>
      </w:tr>
    </w:tbl>
    <w:p>
      <w:pPr>
        <w:pStyle w:val="21"/>
        <w:jc w:val="center"/>
        <w:rPr>
          <w:rFonts w:ascii="黑体" w:hAnsi="黑体" w:eastAsia="黑体"/>
          <w:snapToGrid w:val="0"/>
          <w:color w:val="auto"/>
          <w:sz w:val="36"/>
          <w:szCs w:val="36"/>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pPr>
        <w:pStyle w:val="21"/>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五、主要生态环境保护措施</w:t>
      </w:r>
    </w:p>
    <w:tbl>
      <w:tblPr>
        <w:tblStyle w:val="24"/>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850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2" w:hRule="atLeast"/>
          <w:jc w:val="center"/>
        </w:trPr>
        <w:tc>
          <w:tcPr>
            <w:tcW w:w="753" w:type="dxa"/>
            <w:noWrap w:val="0"/>
            <w:tcMar>
              <w:left w:w="28" w:type="dxa"/>
              <w:right w:w="28" w:type="dxa"/>
            </w:tcMar>
            <w:vAlign w:val="center"/>
          </w:tcPr>
          <w:p>
            <w:pPr>
              <w:adjustRightInd w:val="0"/>
              <w:snapToGrid w:val="0"/>
              <w:jc w:val="center"/>
              <w:rPr>
                <w:rFonts w:ascii="宋体" w:hAnsi="宋体"/>
                <w:bCs/>
                <w:color w:val="auto"/>
                <w:sz w:val="24"/>
                <w:szCs w:val="24"/>
                <w:highlight w:val="none"/>
              </w:rPr>
            </w:pPr>
            <w:r>
              <w:rPr>
                <w:rFonts w:hint="eastAsia" w:ascii="宋体" w:hAnsi="宋体" w:cs="宋体"/>
                <w:bCs/>
                <w:color w:val="auto"/>
                <w:spacing w:val="10"/>
                <w:sz w:val="24"/>
                <w:szCs w:val="24"/>
                <w:highlight w:val="none"/>
              </w:rPr>
              <w:t>施工期生态环境保护措施</w:t>
            </w:r>
          </w:p>
        </w:tc>
        <w:tc>
          <w:tcPr>
            <w:tcW w:w="8457"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22" w:firstLineChars="200"/>
              <w:textAlignment w:val="auto"/>
              <w:rPr>
                <w:rFonts w:hint="eastAsia" w:ascii="Times New Roman" w:hAnsi="Times New Roman" w:cs="Times New Roman"/>
                <w:b/>
                <w:bCs w:val="0"/>
                <w:color w:val="auto"/>
                <w:sz w:val="24"/>
                <w:szCs w:val="24"/>
                <w:highlight w:val="none"/>
                <w:lang w:eastAsia="zh-CN"/>
              </w:rPr>
            </w:pPr>
            <w:r>
              <w:rPr>
                <w:rFonts w:hint="eastAsia" w:ascii="宋体" w:hAnsi="宋体" w:cs="宋体"/>
                <w:b/>
                <w:bCs w:val="0"/>
                <w:color w:val="auto"/>
                <w:spacing w:val="10"/>
                <w:sz w:val="24"/>
                <w:szCs w:val="24"/>
                <w:highlight w:val="none"/>
                <w:lang w:val="en-US" w:eastAsia="zh-CN"/>
              </w:rPr>
              <w:t>1.</w:t>
            </w:r>
            <w:r>
              <w:rPr>
                <w:rFonts w:hint="eastAsia" w:ascii="宋体" w:hAnsi="宋体" w:cs="宋体"/>
                <w:b/>
                <w:bCs w:val="0"/>
                <w:color w:val="auto"/>
                <w:spacing w:val="10"/>
                <w:sz w:val="24"/>
                <w:szCs w:val="24"/>
                <w:highlight w:val="none"/>
              </w:rPr>
              <w:t>生态环境影响保护措施</w:t>
            </w:r>
          </w:p>
          <w:p>
            <w:pPr>
              <w:tabs>
                <w:tab w:val="left" w:pos="0"/>
              </w:tabs>
              <w:adjustRightInd w:val="0"/>
              <w:snapToGrid w:val="0"/>
              <w:spacing w:line="360" w:lineRule="auto"/>
              <w:ind w:firstLine="470" w:firstLineChars="196"/>
              <w:rPr>
                <w:color w:val="auto"/>
                <w:sz w:val="24"/>
                <w:szCs w:val="24"/>
                <w:highlight w:val="none"/>
              </w:rPr>
            </w:pPr>
            <w:r>
              <w:rPr>
                <w:color w:val="auto"/>
                <w:sz w:val="24"/>
                <w:szCs w:val="24"/>
                <w:highlight w:val="none"/>
              </w:rPr>
              <w:t>①制定施工期的环境管理监控计划，限制大型机械进入施工现场，防止因施工方式不当破坏当地生态环境，对工程破坏的地表植被进行生态补偿。</w:t>
            </w:r>
          </w:p>
          <w:p>
            <w:pPr>
              <w:tabs>
                <w:tab w:val="left" w:pos="0"/>
              </w:tabs>
              <w:adjustRightInd w:val="0"/>
              <w:snapToGrid w:val="0"/>
              <w:spacing w:line="360" w:lineRule="auto"/>
              <w:ind w:firstLine="470" w:firstLineChars="196"/>
              <w:rPr>
                <w:color w:val="auto"/>
                <w:sz w:val="24"/>
                <w:szCs w:val="24"/>
                <w:highlight w:val="none"/>
              </w:rPr>
            </w:pPr>
            <w:r>
              <w:rPr>
                <w:color w:val="auto"/>
                <w:sz w:val="24"/>
                <w:szCs w:val="24"/>
                <w:highlight w:val="none"/>
              </w:rPr>
              <w:t>②基础施工中，为保护地表植被，基础开挖尽量采用小型机械挖掘和运输，局部采用人工修整；</w:t>
            </w:r>
            <w:r>
              <w:rPr>
                <w:rFonts w:hint="eastAsia"/>
                <w:color w:val="auto"/>
                <w:sz w:val="24"/>
                <w:szCs w:val="24"/>
                <w:highlight w:val="none"/>
              </w:rPr>
              <w:t>施工</w:t>
            </w:r>
            <w:r>
              <w:rPr>
                <w:color w:val="auto"/>
                <w:sz w:val="24"/>
                <w:szCs w:val="24"/>
                <w:highlight w:val="none"/>
              </w:rPr>
              <w:t>场地各施工机械和设备不得随意堆放，尽量减少施工占地面积</w:t>
            </w:r>
            <w:r>
              <w:rPr>
                <w:rFonts w:hint="eastAsia"/>
                <w:color w:val="auto"/>
                <w:sz w:val="24"/>
                <w:szCs w:val="24"/>
                <w:highlight w:val="none"/>
              </w:rPr>
              <w:t>。</w:t>
            </w:r>
          </w:p>
          <w:p>
            <w:pPr>
              <w:tabs>
                <w:tab w:val="left" w:pos="0"/>
              </w:tabs>
              <w:adjustRightInd w:val="0"/>
              <w:snapToGrid w:val="0"/>
              <w:spacing w:line="360" w:lineRule="auto"/>
              <w:ind w:firstLine="470" w:firstLineChars="196"/>
              <w:rPr>
                <w:color w:val="auto"/>
                <w:sz w:val="24"/>
                <w:szCs w:val="24"/>
                <w:highlight w:val="none"/>
              </w:rPr>
            </w:pPr>
            <w:r>
              <w:rPr>
                <w:color w:val="auto"/>
                <w:sz w:val="24"/>
                <w:szCs w:val="24"/>
                <w:highlight w:val="none"/>
              </w:rPr>
              <w:t>③车辆运输等必须沿规定的道路行驶，不得随意行驶，以便更好地保护</w:t>
            </w:r>
            <w:r>
              <w:rPr>
                <w:rFonts w:hint="eastAsia"/>
                <w:color w:val="auto"/>
                <w:sz w:val="24"/>
                <w:szCs w:val="24"/>
                <w:highlight w:val="none"/>
              </w:rPr>
              <w:t>林地</w:t>
            </w:r>
            <w:r>
              <w:rPr>
                <w:color w:val="auto"/>
                <w:sz w:val="24"/>
                <w:szCs w:val="24"/>
                <w:highlight w:val="none"/>
              </w:rPr>
              <w:t>和草地。</w:t>
            </w:r>
          </w:p>
          <w:p>
            <w:pPr>
              <w:tabs>
                <w:tab w:val="left" w:pos="0"/>
              </w:tabs>
              <w:adjustRightInd w:val="0"/>
              <w:snapToGrid w:val="0"/>
              <w:spacing w:line="360" w:lineRule="auto"/>
              <w:ind w:firstLine="470" w:firstLineChars="196"/>
              <w:rPr>
                <w:color w:val="auto"/>
                <w:sz w:val="24"/>
                <w:szCs w:val="24"/>
                <w:highlight w:val="none"/>
              </w:rPr>
            </w:pPr>
            <w:r>
              <w:rPr>
                <w:color w:val="auto"/>
                <w:sz w:val="24"/>
                <w:szCs w:val="24"/>
                <w:highlight w:val="none"/>
              </w:rPr>
              <w:t>④施工中应加强施工管理，尽量缩小施工范围，</w:t>
            </w:r>
            <w:r>
              <w:rPr>
                <w:rFonts w:hint="default" w:ascii="Times New Roman" w:hAnsi="Times New Roman" w:eastAsia="宋体" w:cs="Times New Roman"/>
                <w:color w:val="auto"/>
                <w:sz w:val="24"/>
                <w:szCs w:val="24"/>
                <w:highlight w:val="none"/>
                <w:lang w:val="en-US" w:eastAsia="zh-CN"/>
              </w:rPr>
              <w:t>施工用地范围严格控制在占地红线内</w:t>
            </w:r>
            <w:r>
              <w:rPr>
                <w:color w:val="auto"/>
                <w:sz w:val="24"/>
                <w:szCs w:val="24"/>
                <w:highlight w:val="none"/>
              </w:rPr>
              <w:t>，</w:t>
            </w:r>
            <w:r>
              <w:rPr>
                <w:rFonts w:hint="eastAsia"/>
                <w:color w:val="auto"/>
                <w:sz w:val="24"/>
                <w:szCs w:val="24"/>
                <w:highlight w:val="none"/>
                <w:lang w:val="en-US" w:eastAsia="zh-CN"/>
              </w:rPr>
              <w:t>减少周围环境的破坏</w:t>
            </w:r>
            <w:r>
              <w:rPr>
                <w:color w:val="auto"/>
                <w:sz w:val="24"/>
                <w:szCs w:val="24"/>
                <w:highlight w:val="none"/>
              </w:rPr>
              <w:t>。</w:t>
            </w:r>
          </w:p>
          <w:p>
            <w:pPr>
              <w:tabs>
                <w:tab w:val="left" w:pos="0"/>
              </w:tabs>
              <w:adjustRightInd w:val="0"/>
              <w:snapToGrid w:val="0"/>
              <w:spacing w:line="360" w:lineRule="auto"/>
              <w:ind w:firstLine="470" w:firstLineChars="196"/>
              <w:rPr>
                <w:color w:val="auto"/>
                <w:sz w:val="24"/>
                <w:szCs w:val="24"/>
                <w:highlight w:val="none"/>
              </w:rPr>
            </w:pPr>
            <w:r>
              <w:rPr>
                <w:color w:val="auto"/>
                <w:sz w:val="24"/>
                <w:szCs w:val="24"/>
                <w:highlight w:val="none"/>
              </w:rPr>
              <w:t>⑤</w:t>
            </w:r>
            <w:r>
              <w:rPr>
                <w:rFonts w:hint="eastAsia"/>
                <w:color w:val="auto"/>
                <w:sz w:val="24"/>
                <w:szCs w:val="24"/>
                <w:highlight w:val="none"/>
                <w:lang w:val="en-US" w:eastAsia="zh-CN"/>
              </w:rPr>
              <w:t>施工过程中不得驱赶、惊吓野生动物，更不得捕杀当地的野生动物。</w:t>
            </w:r>
          </w:p>
          <w:p>
            <w:pPr>
              <w:pStyle w:val="23"/>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ind w:right="0" w:righ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⑥水土流失保护措施：合理安排施工进度，尽量减少大填大挖，做好水土保持，减少水土流失和生态破坏，挖方和填方作业尽量避开雨季和大风天，分段施工，避免雨水冲刷造成大量水土流失；对各材料堆放点及施工区开挖土方采取拦挡、苫盖等措施进行防护，土壤分层开挖、堆放，塑料布覆盖，表土回用于场地平整和温室大棚种植用土，施工结束后对裸露的地表进行环境绿化，避免水土流失；</w:t>
            </w:r>
          </w:p>
          <w:p>
            <w:pPr>
              <w:tabs>
                <w:tab w:val="left" w:pos="0"/>
              </w:tabs>
              <w:adjustRightInd w:val="0"/>
              <w:snapToGrid w:val="0"/>
              <w:spacing w:line="360" w:lineRule="auto"/>
              <w:ind w:firstLine="470" w:firstLineChars="196"/>
              <w:rPr>
                <w:rFonts w:hint="eastAsia"/>
                <w:color w:val="auto"/>
                <w:sz w:val="24"/>
                <w:szCs w:val="24"/>
                <w:highlight w:val="none"/>
                <w:lang w:eastAsia="zh-CN"/>
              </w:rPr>
            </w:pPr>
            <w:r>
              <w:rPr>
                <w:rFonts w:hint="eastAsia"/>
                <w:color w:val="auto"/>
                <w:sz w:val="24"/>
                <w:szCs w:val="24"/>
                <w:highlight w:val="none"/>
                <w:lang w:val="en-US" w:eastAsia="zh-CN"/>
              </w:rPr>
              <w:t>⑦邻近</w:t>
            </w:r>
            <w:r>
              <w:rPr>
                <w:rFonts w:hint="eastAsia"/>
                <w:color w:val="auto"/>
                <w:sz w:val="24"/>
                <w:szCs w:val="24"/>
                <w:highlight w:val="none"/>
                <w:lang w:eastAsia="zh-CN"/>
              </w:rPr>
              <w:t>西红海子一侧</w:t>
            </w:r>
            <w:r>
              <w:rPr>
                <w:rFonts w:hint="default"/>
                <w:color w:val="auto"/>
                <w:sz w:val="24"/>
                <w:szCs w:val="24"/>
                <w:highlight w:val="none"/>
                <w:lang w:eastAsia="zh-CN"/>
              </w:rPr>
              <w:t>设置安全警示标识和</w:t>
            </w:r>
            <w:r>
              <w:rPr>
                <w:rFonts w:hint="eastAsia"/>
                <w:color w:val="auto"/>
                <w:sz w:val="24"/>
                <w:szCs w:val="24"/>
                <w:highlight w:val="none"/>
                <w:lang w:eastAsia="zh-CN"/>
              </w:rPr>
              <w:t>生态</w:t>
            </w:r>
            <w:r>
              <w:rPr>
                <w:rFonts w:hint="default"/>
                <w:color w:val="auto"/>
                <w:sz w:val="24"/>
                <w:szCs w:val="24"/>
                <w:highlight w:val="none"/>
                <w:lang w:eastAsia="zh-CN"/>
              </w:rPr>
              <w:t>环境保护标语，加强对施工人员安全及环保的宣传教育</w:t>
            </w:r>
            <w:r>
              <w:rPr>
                <w:rFonts w:hint="eastAsia"/>
                <w:color w:val="auto"/>
                <w:sz w:val="24"/>
                <w:szCs w:val="24"/>
                <w:highlight w:val="none"/>
                <w:lang w:eastAsia="zh-CN"/>
              </w:rPr>
              <w:t>。</w:t>
            </w:r>
          </w:p>
          <w:p>
            <w:pPr>
              <w:spacing w:line="360" w:lineRule="auto"/>
              <w:ind w:firstLine="482" w:firstLineChars="200"/>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val="en-US" w:eastAsia="zh-CN"/>
              </w:rPr>
              <w:t>2.</w:t>
            </w:r>
            <w:r>
              <w:rPr>
                <w:rFonts w:hint="eastAsia" w:ascii="Times New Roman" w:hAnsi="Times New Roman" w:eastAsia="宋体" w:cs="Times New Roman"/>
                <w:b/>
                <w:bCs/>
                <w:color w:val="auto"/>
                <w:sz w:val="24"/>
                <w:highlight w:val="none"/>
                <w:lang w:eastAsia="zh-CN"/>
              </w:rPr>
              <w:t>大气环境污染保护措施</w:t>
            </w:r>
          </w:p>
          <w:p>
            <w:pPr>
              <w:spacing w:line="360" w:lineRule="auto"/>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①</w:t>
            </w:r>
            <w:r>
              <w:rPr>
                <w:rFonts w:hint="default" w:ascii="Times New Roman" w:hAnsi="Times New Roman" w:cs="Times New Roman"/>
                <w:color w:val="auto"/>
                <w:sz w:val="24"/>
                <w:highlight w:val="none"/>
              </w:rPr>
              <w:t>在施工过程中，选择挖掘效率较高的机械设备进行作业，在短时间内完成场地平整工序；</w:t>
            </w:r>
          </w:p>
          <w:p>
            <w:pPr>
              <w:spacing w:line="360" w:lineRule="auto"/>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②</w:t>
            </w:r>
            <w:r>
              <w:rPr>
                <w:rFonts w:hint="default" w:ascii="Times New Roman" w:hAnsi="Times New Roman" w:cs="Times New Roman"/>
                <w:color w:val="auto"/>
                <w:sz w:val="24"/>
                <w:highlight w:val="none"/>
              </w:rPr>
              <w:t>选择合适的施工时间及施工天气，尽量避免在一天中风力最大的时段进行施工；</w:t>
            </w:r>
          </w:p>
          <w:p>
            <w:pPr>
              <w:spacing w:line="360" w:lineRule="auto"/>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③</w:t>
            </w:r>
            <w:r>
              <w:rPr>
                <w:rFonts w:hint="default" w:ascii="Times New Roman" w:hAnsi="Times New Roman" w:cs="Times New Roman"/>
                <w:color w:val="auto"/>
                <w:sz w:val="24"/>
                <w:highlight w:val="none"/>
              </w:rPr>
              <w:t>选择合理的运输车辆行车路线，避免路程较长引起较多的道路扬尘，运输车辆进入施工场地应限速行驶，并定期洒水，以减少产尘量。运输、装卸建筑材料时，尤其是泥沙运输车辆，必须采用封闭运输；苫布苫盖运输散装含尘物料车辆，防治物料飞扬；运送砂石料车辆限载，不得洒落，粉状材料需包装运输。</w:t>
            </w:r>
          </w:p>
          <w:p>
            <w:pPr>
              <w:spacing w:line="360" w:lineRule="auto"/>
              <w:ind w:firstLine="480" w:firstLineChars="200"/>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④</w:t>
            </w:r>
            <w:r>
              <w:rPr>
                <w:rFonts w:hint="default" w:ascii="Times New Roman" w:hAnsi="Times New Roman" w:cs="Times New Roman"/>
                <w:color w:val="auto"/>
                <w:sz w:val="24"/>
                <w:highlight w:val="none"/>
              </w:rPr>
              <w:t>选用具有行业先进水平的施工机械和车辆，减少施工期机械及运输车辆尾气排放。</w:t>
            </w:r>
          </w:p>
          <w:p>
            <w:pPr>
              <w:spacing w:line="360" w:lineRule="auto"/>
              <w:ind w:firstLine="480" w:firstLineChars="200"/>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⑤</w:t>
            </w:r>
            <w:r>
              <w:rPr>
                <w:rFonts w:hint="eastAsia" w:ascii="Times New Roman" w:hAnsi="Times New Roman" w:eastAsia="宋体" w:cs="Times New Roman"/>
                <w:color w:val="auto"/>
                <w:sz w:val="24"/>
                <w:highlight w:val="none"/>
                <w:lang w:val="en-US" w:eastAsia="zh-CN"/>
              </w:rPr>
              <w:t>施工现场要设置高度不低于2m的硬质围挡，并保持施工场地清洁；施工现场应设专人负责保洁工作，及时洒水清扫减少扬尘。</w:t>
            </w:r>
          </w:p>
          <w:p>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采取以上措施后，施工期对周边环境空气的影响将降至最低，并且其影响会随施工的结束而消失。</w:t>
            </w:r>
          </w:p>
          <w:p>
            <w:pPr>
              <w:spacing w:line="360" w:lineRule="auto"/>
              <w:ind w:firstLine="482" w:firstLineChars="200"/>
              <w:rPr>
                <w:rFonts w:hint="default"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eastAsia="zh-CN"/>
              </w:rPr>
              <w:t>水环境影响保护措施</w:t>
            </w:r>
          </w:p>
          <w:p>
            <w:pPr>
              <w:pStyle w:val="3"/>
              <w:spacing w:line="360" w:lineRule="auto"/>
              <w:ind w:firstLine="480"/>
              <w:rPr>
                <w:rFonts w:hint="default" w:ascii="Times New Roman" w:hAnsi="Times New Roman" w:eastAsia="宋体" w:cs="Times New Roman"/>
                <w:b w:val="0"/>
                <w:bCs w:val="0"/>
                <w:color w:val="auto"/>
                <w:sz w:val="24"/>
                <w:highlight w:val="none"/>
                <w:lang w:eastAsia="zh-CN"/>
              </w:rPr>
            </w:pPr>
            <w:r>
              <w:rPr>
                <w:rFonts w:hint="default" w:ascii="Times New Roman" w:hAnsi="Times New Roman" w:eastAsia="宋体" w:cs="Times New Roman"/>
                <w:b w:val="0"/>
                <w:bCs w:val="0"/>
                <w:color w:val="auto"/>
                <w:sz w:val="24"/>
                <w:highlight w:val="none"/>
                <w:lang w:eastAsia="zh-CN"/>
              </w:rPr>
              <w:t>施工期废水主要是施工废水和工人产生的少量生活污水，施工废水进入工地设置的沉淀池，施工废水沉淀后用于施工场地及道路洒水抑尘，循环使用不外排，生活污水</w:t>
            </w:r>
            <w:r>
              <w:rPr>
                <w:rFonts w:hint="eastAsia" w:ascii="Times New Roman" w:hAnsi="Times New Roman" w:eastAsia="宋体" w:cs="Times New Roman"/>
                <w:b w:val="0"/>
                <w:bCs w:val="0"/>
                <w:color w:val="auto"/>
                <w:sz w:val="24"/>
                <w:highlight w:val="none"/>
                <w:lang w:eastAsia="zh-CN"/>
              </w:rPr>
              <w:t>可设置临时化粪池或使用周边卫生间，</w:t>
            </w:r>
            <w:r>
              <w:rPr>
                <w:rFonts w:hint="default" w:ascii="Times New Roman" w:hAnsi="Times New Roman" w:eastAsia="宋体" w:cs="Times New Roman"/>
                <w:b w:val="0"/>
                <w:bCs w:val="0"/>
                <w:color w:val="auto"/>
                <w:sz w:val="24"/>
                <w:highlight w:val="none"/>
                <w:lang w:eastAsia="zh-CN"/>
              </w:rPr>
              <w:t>随着工程结束这些影响会随之消失。</w:t>
            </w:r>
          </w:p>
          <w:p>
            <w:pPr>
              <w:pStyle w:val="3"/>
              <w:spacing w:line="360" w:lineRule="auto"/>
              <w:ind w:firstLine="480"/>
              <w:rPr>
                <w:rFonts w:hint="default" w:ascii="Times New Roman" w:hAnsi="Times New Roman" w:eastAsia="宋体" w:cs="Times New Roman"/>
                <w:b w:val="0"/>
                <w:bCs w:val="0"/>
                <w:color w:val="auto"/>
                <w:sz w:val="24"/>
                <w:highlight w:val="none"/>
                <w:lang w:eastAsia="zh-CN"/>
              </w:rPr>
            </w:pPr>
            <w:r>
              <w:rPr>
                <w:rFonts w:hint="default" w:ascii="Times New Roman" w:hAnsi="Times New Roman" w:eastAsia="宋体" w:cs="Times New Roman"/>
                <w:b w:val="0"/>
                <w:bCs w:val="0"/>
                <w:color w:val="auto"/>
                <w:sz w:val="24"/>
                <w:highlight w:val="none"/>
                <w:lang w:eastAsia="zh-CN"/>
              </w:rPr>
              <w:t>施工期应在</w:t>
            </w:r>
            <w:r>
              <w:rPr>
                <w:rFonts w:hint="eastAsia" w:ascii="Times New Roman" w:hAnsi="Times New Roman" w:eastAsia="宋体" w:cs="Times New Roman"/>
                <w:b w:val="0"/>
                <w:bCs w:val="0"/>
                <w:color w:val="auto"/>
                <w:sz w:val="24"/>
                <w:highlight w:val="none"/>
                <w:lang w:eastAsia="zh-CN"/>
              </w:rPr>
              <w:t>项目区</w:t>
            </w:r>
            <w:r>
              <w:rPr>
                <w:rFonts w:hint="eastAsia" w:ascii="Times New Roman" w:hAnsi="Times New Roman" w:cs="Times New Roman"/>
                <w:b w:val="0"/>
                <w:bCs w:val="0"/>
                <w:color w:val="auto"/>
                <w:sz w:val="24"/>
                <w:highlight w:val="none"/>
                <w:lang w:eastAsia="zh-CN"/>
              </w:rPr>
              <w:t>邻近</w:t>
            </w:r>
            <w:r>
              <w:rPr>
                <w:rFonts w:hint="eastAsia" w:ascii="Times New Roman" w:hAnsi="Times New Roman" w:eastAsia="宋体" w:cs="Times New Roman"/>
                <w:b w:val="0"/>
                <w:bCs w:val="0"/>
                <w:color w:val="auto"/>
                <w:sz w:val="24"/>
                <w:highlight w:val="none"/>
                <w:lang w:eastAsia="zh-CN"/>
              </w:rPr>
              <w:t>西红海子</w:t>
            </w:r>
            <w:r>
              <w:rPr>
                <w:rFonts w:hint="eastAsia" w:ascii="Times New Roman" w:hAnsi="Times New Roman" w:cs="Times New Roman"/>
                <w:b w:val="0"/>
                <w:bCs w:val="0"/>
                <w:color w:val="auto"/>
                <w:sz w:val="24"/>
                <w:highlight w:val="none"/>
                <w:lang w:eastAsia="zh-CN"/>
              </w:rPr>
              <w:t>一侧</w:t>
            </w:r>
            <w:r>
              <w:rPr>
                <w:rFonts w:hint="default" w:ascii="Times New Roman" w:hAnsi="Times New Roman" w:eastAsia="宋体" w:cs="Times New Roman"/>
                <w:b w:val="0"/>
                <w:bCs w:val="0"/>
                <w:color w:val="auto"/>
                <w:sz w:val="24"/>
                <w:highlight w:val="none"/>
                <w:lang w:eastAsia="zh-CN"/>
              </w:rPr>
              <w:t>设置环境保护标语，</w:t>
            </w:r>
            <w:r>
              <w:rPr>
                <w:rFonts w:hint="eastAsia" w:ascii="Times New Roman" w:hAnsi="Times New Roman" w:cs="Times New Roman"/>
                <w:b w:val="0"/>
                <w:bCs w:val="0"/>
                <w:color w:val="auto"/>
                <w:sz w:val="24"/>
                <w:highlight w:val="none"/>
                <w:lang w:eastAsia="zh-CN"/>
              </w:rPr>
              <w:t>加强对西红海子的保护</w:t>
            </w:r>
            <w:r>
              <w:rPr>
                <w:rFonts w:hint="eastAsia"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lang w:eastAsia="zh-CN"/>
              </w:rPr>
              <w:t>施工期产生的施工垃圾应集中密闭堆放，且应选在远离</w:t>
            </w:r>
            <w:r>
              <w:rPr>
                <w:rFonts w:hint="eastAsia" w:ascii="Times New Roman" w:hAnsi="Times New Roman" w:cs="Times New Roman"/>
                <w:b w:val="0"/>
                <w:bCs w:val="0"/>
                <w:color w:val="auto"/>
                <w:sz w:val="24"/>
                <w:highlight w:val="none"/>
                <w:lang w:eastAsia="zh-CN"/>
              </w:rPr>
              <w:t>西红海子</w:t>
            </w:r>
            <w:r>
              <w:rPr>
                <w:rFonts w:hint="default" w:ascii="Times New Roman" w:hAnsi="Times New Roman" w:eastAsia="宋体" w:cs="Times New Roman"/>
                <w:b w:val="0"/>
                <w:bCs w:val="0"/>
                <w:color w:val="auto"/>
                <w:sz w:val="24"/>
                <w:highlight w:val="none"/>
                <w:lang w:eastAsia="zh-CN"/>
              </w:rPr>
              <w:t>的位置，同时严格要求施工人员做到文明施工，施工过程产生的废水等采取合理处置措施，严禁将施工废水投入到水体中。</w:t>
            </w:r>
          </w:p>
          <w:p>
            <w:pPr>
              <w:spacing w:line="360" w:lineRule="auto"/>
              <w:ind w:firstLine="482" w:firstLineChars="200"/>
              <w:rPr>
                <w:rFonts w:hint="default"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lang w:eastAsia="zh-CN"/>
              </w:rPr>
              <w:t>声环境影响保护措施</w:t>
            </w:r>
          </w:p>
          <w:p>
            <w:pPr>
              <w:pStyle w:val="3"/>
              <w:spacing w:line="360" w:lineRule="auto"/>
              <w:ind w:firstLine="480"/>
              <w:rPr>
                <w:rFonts w:hint="default" w:ascii="Times New Roman" w:hAnsi="Times New Roman" w:cs="Times New Roman"/>
                <w:snapToGrid w:val="0"/>
                <w:color w:val="auto"/>
                <w:sz w:val="24"/>
                <w:highlight w:val="none"/>
              </w:rPr>
            </w:pPr>
            <w:r>
              <w:rPr>
                <w:rFonts w:hint="default" w:ascii="Times New Roman" w:hAnsi="Times New Roman" w:cs="Times New Roman"/>
                <w:color w:val="auto"/>
                <w:sz w:val="24"/>
                <w:highlight w:val="none"/>
              </w:rPr>
              <w:t>为减少施工噪声对周边环境的影响，施工中应采取如下措施以减少对声环境的影响：</w:t>
            </w:r>
          </w:p>
          <w:p>
            <w:pPr>
              <w:snapToGrid w:val="0"/>
              <w:spacing w:line="360" w:lineRule="auto"/>
              <w:ind w:firstLine="48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①施工物料及设备运入、运出，车辆应尽可能避开夜间(22：00-06：00)运输，避免沿途出现扰民现象。</w:t>
            </w:r>
          </w:p>
          <w:p>
            <w:pPr>
              <w:snapToGrid w:val="0"/>
              <w:spacing w:line="360" w:lineRule="auto"/>
              <w:ind w:firstLine="48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②严格控制操作流程，降低人为噪声。不合理的施工操作是产生人为噪声的主要原因，如脚手架的安装、拆除、钢筋材料的装卸过程产生的金属碰撞声；运输车辆进入工地应减速，减少鸣笛等。</w:t>
            </w:r>
          </w:p>
          <w:p>
            <w:pPr>
              <w:pStyle w:val="7"/>
              <w:keepNext/>
              <w:keepLines/>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③加强设备的维护和保养，保持机械润滑，减少运行噪声。同时加强管理，以减少因施工设备的维护和保养不当产生的噪声。</w:t>
            </w:r>
          </w:p>
          <w:p>
            <w:pPr>
              <w:spacing w:line="360" w:lineRule="auto"/>
              <w:ind w:firstLine="482"/>
              <w:textAlignment w:val="baseline"/>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综上，在采取上述降噪措施后，施工噪声不会对区域声环境产生明显影响，并随施工的结束施工噪声也随之消失。</w:t>
            </w:r>
          </w:p>
          <w:p>
            <w:pPr>
              <w:spacing w:line="360" w:lineRule="auto"/>
              <w:ind w:firstLine="482" w:firstLineChars="200"/>
              <w:rPr>
                <w:rFonts w:hint="default"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val="en-US" w:eastAsia="zh-CN"/>
              </w:rPr>
              <w:t>5.</w:t>
            </w:r>
            <w:r>
              <w:rPr>
                <w:rFonts w:hint="default" w:ascii="Times New Roman" w:hAnsi="Times New Roman" w:eastAsia="宋体" w:cs="Times New Roman"/>
                <w:b/>
                <w:bCs/>
                <w:color w:val="auto"/>
                <w:sz w:val="24"/>
                <w:highlight w:val="none"/>
                <w:lang w:eastAsia="zh-CN"/>
              </w:rPr>
              <w:t>固体废物影响保护措施</w:t>
            </w:r>
          </w:p>
          <w:p>
            <w:pPr>
              <w:spacing w:line="360" w:lineRule="auto"/>
              <w:ind w:firstLine="480" w:firstLineChars="200"/>
              <w:rPr>
                <w:rFonts w:hint="default" w:ascii="Times New Roman" w:hAnsi="Times New Roman" w:cs="Times New Roman"/>
                <w:color w:val="auto"/>
                <w:sz w:val="24"/>
                <w:highlight w:val="none"/>
                <w:lang w:bidi="ar"/>
              </w:rPr>
            </w:pPr>
            <w:r>
              <w:rPr>
                <w:rFonts w:hint="eastAsia" w:ascii="Times New Roman" w:hAnsi="Times New Roman" w:cs="Times New Roman"/>
                <w:color w:val="auto"/>
                <w:sz w:val="24"/>
                <w:highlight w:val="none"/>
                <w:lang w:eastAsia="zh-CN" w:bidi="ar"/>
              </w:rPr>
              <w:t>施工期的固体废弃物主要建筑垃圾、生活垃圾。</w:t>
            </w:r>
          </w:p>
          <w:p>
            <w:pPr>
              <w:spacing w:line="360" w:lineRule="auto"/>
              <w:ind w:firstLine="480" w:firstLineChars="200"/>
              <w:rPr>
                <w:rFonts w:hint="eastAsia" w:ascii="Times New Roman" w:hAnsi="Times New Roman" w:cs="Times New Roman"/>
                <w:color w:val="auto"/>
                <w:sz w:val="24"/>
                <w:highlight w:val="none"/>
                <w:lang w:eastAsia="zh-CN" w:bidi="ar"/>
              </w:rPr>
            </w:pPr>
            <w:r>
              <w:rPr>
                <w:rFonts w:hint="eastAsia" w:ascii="Times New Roman" w:hAnsi="Times New Roman" w:cs="Times New Roman"/>
                <w:color w:val="auto"/>
                <w:sz w:val="24"/>
                <w:highlight w:val="none"/>
                <w:lang w:eastAsia="zh-CN" w:bidi="ar"/>
              </w:rPr>
              <w:t>（</w:t>
            </w:r>
            <w:r>
              <w:rPr>
                <w:rFonts w:hint="eastAsia" w:ascii="Times New Roman" w:hAnsi="Times New Roman" w:cs="Times New Roman"/>
                <w:color w:val="auto"/>
                <w:sz w:val="24"/>
                <w:highlight w:val="none"/>
                <w:lang w:val="en-US" w:eastAsia="zh-CN" w:bidi="ar"/>
              </w:rPr>
              <w:t>1</w:t>
            </w:r>
            <w:r>
              <w:rPr>
                <w:rFonts w:hint="eastAsia" w:ascii="Times New Roman" w:hAnsi="Times New Roman" w:cs="Times New Roman"/>
                <w:color w:val="auto"/>
                <w:sz w:val="24"/>
                <w:highlight w:val="none"/>
                <w:lang w:eastAsia="zh-CN" w:bidi="ar"/>
              </w:rPr>
              <w:t>）</w:t>
            </w:r>
            <w:r>
              <w:rPr>
                <w:rFonts w:hint="eastAsia" w:ascii="Times New Roman" w:hAnsi="Times New Roman" w:cs="Times New Roman"/>
                <w:color w:val="auto"/>
                <w:sz w:val="24"/>
                <w:highlight w:val="none"/>
                <w:lang w:val="en-US" w:eastAsia="zh-CN" w:bidi="ar"/>
              </w:rPr>
              <w:t>施工产生的建筑垃圾首先应考虑废料的回收利用，对钢筋、钢板、木材等下角料可分类回收，交废物收购站处理；对不能回收的建筑垃圾，如混凝土废料、砖、石等应全部送</w:t>
            </w:r>
            <w:r>
              <w:rPr>
                <w:rFonts w:hint="default" w:ascii="Times New Roman" w:hAnsi="Times New Roman" w:cs="Times New Roman"/>
                <w:color w:val="auto"/>
                <w:sz w:val="24"/>
                <w:highlight w:val="none"/>
                <w:lang w:bidi="ar"/>
              </w:rPr>
              <w:t>至当地环卫部门指定的建筑垃圾消纳场</w:t>
            </w:r>
            <w:r>
              <w:rPr>
                <w:rFonts w:hint="eastAsia" w:ascii="Times New Roman" w:hAnsi="Times New Roman" w:cs="Times New Roman"/>
                <w:color w:val="auto"/>
                <w:sz w:val="24"/>
                <w:highlight w:val="none"/>
                <w:lang w:eastAsia="zh-CN" w:bidi="ar"/>
              </w:rPr>
              <w:t>。</w:t>
            </w:r>
            <w:r>
              <w:rPr>
                <w:rFonts w:hint="default" w:ascii="Times New Roman" w:hAnsi="Times New Roman" w:eastAsia="宋体" w:cs="Times New Roman"/>
                <w:color w:val="auto"/>
                <w:kern w:val="2"/>
                <w:sz w:val="24"/>
                <w:szCs w:val="24"/>
                <w:highlight w:val="none"/>
                <w:lang w:val="en-US" w:eastAsia="zh-CN" w:bidi="ar"/>
              </w:rPr>
              <w:t>施工期土方用于地基回填、厂区平整和温室大棚种植土，无弃土外运，表土集中堆放，采用密目网苫盖等临时防护措施。</w:t>
            </w:r>
            <w:r>
              <w:rPr>
                <w:rFonts w:hint="default" w:ascii="Times New Roman" w:hAnsi="Times New Roman" w:eastAsia="宋体" w:cs="Times New Roman"/>
                <w:b w:val="0"/>
                <w:bCs w:val="0"/>
                <w:color w:val="auto"/>
                <w:sz w:val="24"/>
                <w:highlight w:val="none"/>
                <w:lang w:eastAsia="zh-CN"/>
              </w:rPr>
              <w:t>施工过程产生的固废采取合理处置措施，严禁将施工生活垃圾及建筑垃圾等投入到水体中。</w:t>
            </w:r>
          </w:p>
          <w:p>
            <w:pPr>
              <w:spacing w:line="360" w:lineRule="auto"/>
              <w:ind w:firstLine="480" w:firstLineChars="200"/>
              <w:rPr>
                <w:rFonts w:hint="default" w:ascii="Times New Roman" w:hAnsi="Times New Roman" w:eastAsia="宋体" w:cs="Times New Roman"/>
                <w:color w:val="auto"/>
                <w:kern w:val="2"/>
                <w:sz w:val="24"/>
                <w:szCs w:val="24"/>
                <w:highlight w:val="none"/>
                <w:lang w:val="en-US" w:eastAsia="zh-CN" w:bidi="ar"/>
              </w:rPr>
            </w:pPr>
            <w:r>
              <w:rPr>
                <w:rFonts w:hint="eastAsia" w:ascii="Times New Roman" w:hAnsi="Times New Roman" w:cs="Times New Roman"/>
                <w:color w:val="auto"/>
                <w:sz w:val="24"/>
                <w:highlight w:val="none"/>
                <w:lang w:eastAsia="zh-CN" w:bidi="ar"/>
              </w:rPr>
              <w:t>（</w:t>
            </w:r>
            <w:r>
              <w:rPr>
                <w:rFonts w:hint="eastAsia" w:ascii="Times New Roman" w:hAnsi="Times New Roman" w:cs="Times New Roman"/>
                <w:color w:val="auto"/>
                <w:sz w:val="24"/>
                <w:highlight w:val="none"/>
                <w:lang w:val="en-US" w:eastAsia="zh-CN" w:bidi="ar"/>
              </w:rPr>
              <w:t>2</w:t>
            </w:r>
            <w:r>
              <w:rPr>
                <w:rFonts w:hint="eastAsia" w:ascii="Times New Roman" w:hAnsi="Times New Roman" w:cs="Times New Roman"/>
                <w:color w:val="auto"/>
                <w:sz w:val="24"/>
                <w:highlight w:val="none"/>
                <w:lang w:eastAsia="zh-CN" w:bidi="ar"/>
              </w:rPr>
              <w:t>）</w:t>
            </w:r>
            <w:r>
              <w:rPr>
                <w:rFonts w:hint="default" w:ascii="Times New Roman" w:hAnsi="Times New Roman" w:cs="Times New Roman"/>
                <w:color w:val="auto"/>
                <w:sz w:val="24"/>
                <w:highlight w:val="none"/>
                <w:lang w:bidi="ar"/>
              </w:rPr>
              <w:t>生活垃圾</w:t>
            </w:r>
            <w:r>
              <w:rPr>
                <w:rFonts w:hint="eastAsia" w:ascii="Times New Roman" w:hAnsi="Times New Roman" w:cs="Times New Roman"/>
                <w:color w:val="auto"/>
                <w:sz w:val="24"/>
                <w:highlight w:val="none"/>
                <w:lang w:eastAsia="zh-CN" w:bidi="ar"/>
              </w:rPr>
              <w:t>：施工人员生活垃圾</w:t>
            </w:r>
            <w:r>
              <w:rPr>
                <w:rFonts w:hint="default" w:ascii="Times New Roman" w:hAnsi="Times New Roman" w:cs="Times New Roman"/>
                <w:color w:val="auto"/>
                <w:sz w:val="24"/>
                <w:highlight w:val="none"/>
                <w:lang w:bidi="ar"/>
              </w:rPr>
              <w:t>设置垃圾桶，将生活垃圾统一收集后交由环卫部门进行处理。</w:t>
            </w:r>
          </w:p>
          <w:p>
            <w:pPr>
              <w:spacing w:line="360" w:lineRule="auto"/>
              <w:ind w:firstLine="480" w:firstLineChars="200"/>
              <w:rPr>
                <w:rFonts w:ascii="宋体" w:hAnsi="宋体" w:cs="宋体"/>
                <w:bCs/>
                <w:color w:val="auto"/>
                <w:spacing w:val="10"/>
                <w:sz w:val="24"/>
                <w:szCs w:val="24"/>
                <w:highlight w:val="none"/>
              </w:rPr>
            </w:pPr>
            <w:r>
              <w:rPr>
                <w:rFonts w:hint="default" w:ascii="Times New Roman" w:hAnsi="Times New Roman" w:cs="Times New Roman"/>
                <w:color w:val="auto"/>
                <w:sz w:val="24"/>
                <w:highlight w:val="none"/>
                <w:lang w:bidi="ar"/>
              </w:rPr>
              <w:t>各类固体废物经过合理处置后，对周边环境的影响很小。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8" w:hRule="atLeast"/>
          <w:jc w:val="center"/>
        </w:trPr>
        <w:tc>
          <w:tcPr>
            <w:tcW w:w="753" w:type="dxa"/>
            <w:noWrap w:val="0"/>
            <w:tcMar>
              <w:left w:w="28" w:type="dxa"/>
              <w:right w:w="28" w:type="dxa"/>
            </w:tcMar>
            <w:vAlign w:val="center"/>
          </w:tcPr>
          <w:p>
            <w:pPr>
              <w:adjustRightInd w:val="0"/>
              <w:snapToGrid w:val="0"/>
              <w:jc w:val="center"/>
              <w:rPr>
                <w:rFonts w:ascii="宋体" w:hAnsi="宋体" w:cs="宋体"/>
                <w:bCs/>
                <w:color w:val="auto"/>
                <w:spacing w:val="10"/>
                <w:sz w:val="24"/>
                <w:szCs w:val="24"/>
                <w:highlight w:val="none"/>
              </w:rPr>
            </w:pPr>
            <w:r>
              <w:rPr>
                <w:rFonts w:hint="eastAsia" w:ascii="宋体" w:hAnsi="宋体" w:cs="宋体"/>
                <w:bCs/>
                <w:color w:val="auto"/>
                <w:spacing w:val="10"/>
                <w:sz w:val="24"/>
                <w:szCs w:val="24"/>
                <w:highlight w:val="none"/>
              </w:rPr>
              <w:t>运营期生态环境保护措施</w:t>
            </w:r>
          </w:p>
        </w:tc>
        <w:tc>
          <w:tcPr>
            <w:tcW w:w="8457" w:type="dxa"/>
            <w:noWrap w:val="0"/>
            <w:vAlign w:val="top"/>
          </w:tcPr>
          <w:p>
            <w:pPr>
              <w:pStyle w:val="20"/>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lang w:val="en-US" w:eastAsia="zh-CN"/>
              </w:rPr>
            </w:pPr>
            <w:r>
              <w:rPr>
                <w:rFonts w:hint="eastAsia"/>
                <w:b/>
                <w:bCs/>
                <w:color w:val="auto"/>
                <w:highlight w:val="none"/>
                <w:lang w:val="en-US" w:eastAsia="zh-CN"/>
              </w:rPr>
              <w:t>1.</w:t>
            </w:r>
            <w:r>
              <w:rPr>
                <w:rFonts w:hint="eastAsia" w:ascii="宋体" w:hAnsi="宋体" w:eastAsia="宋体" w:cs="宋体"/>
                <w:b/>
                <w:bCs/>
                <w:color w:val="auto"/>
                <w:highlight w:val="none"/>
                <w:lang w:val="en-US" w:eastAsia="zh-CN"/>
              </w:rPr>
              <w:t>水环境保护措施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highlight w:val="none"/>
              </w:rPr>
            </w:pPr>
            <w:r>
              <w:rPr>
                <w:rFonts w:hint="default" w:ascii="Times New Roman" w:hAnsi="Times New Roman" w:cs="Times New Roman"/>
                <w:color w:val="auto"/>
                <w:sz w:val="24"/>
                <w:highlight w:val="none"/>
              </w:rPr>
              <w:t>职工日常生活产生的生活污水产生量较少</w:t>
            </w:r>
            <w:r>
              <w:rPr>
                <w:rFonts w:hint="eastAsia"/>
                <w:color w:val="auto"/>
                <w:highlight w:val="none"/>
                <w:lang w:eastAsia="zh-CN"/>
              </w:rPr>
              <w:t>，</w:t>
            </w:r>
            <w:r>
              <w:rPr>
                <w:rFonts w:hint="default" w:ascii="Times New Roman" w:hAnsi="Times New Roman" w:cs="Times New Roman"/>
                <w:color w:val="auto"/>
                <w:sz w:val="24"/>
                <w:highlight w:val="none"/>
              </w:rPr>
              <w:t>生活污水排入</w:t>
            </w:r>
            <w:r>
              <w:rPr>
                <w:rFonts w:hint="eastAsia" w:ascii="Times New Roman" w:hAnsi="Times New Roman" w:cs="Times New Roman"/>
                <w:color w:val="auto"/>
                <w:sz w:val="24"/>
                <w:highlight w:val="none"/>
                <w:lang w:eastAsia="zh-CN"/>
              </w:rPr>
              <w:t>容积为</w:t>
            </w:r>
            <w:r>
              <w:rPr>
                <w:rFonts w:hint="eastAsia" w:cs="Times New Roman"/>
                <w:color w:val="auto"/>
                <w:sz w:val="24"/>
                <w:highlight w:val="none"/>
                <w:lang w:val="en-US" w:eastAsia="zh-CN"/>
              </w:rPr>
              <w:t>30</w:t>
            </w:r>
            <w:r>
              <w:rPr>
                <w:rFonts w:hint="default" w:ascii="Times New Roman" w:hAnsi="Times New Roman" w:cs="Times New Roman"/>
                <w:color w:val="auto"/>
                <w:sz w:val="24"/>
                <w:highlight w:val="none"/>
                <w:lang w:val="en-US" w:eastAsia="zh-CN"/>
              </w:rPr>
              <w:t>m³化粪池</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eastAsia="zh-CN"/>
              </w:rPr>
              <w:t>由污水管网排入阿</w:t>
            </w:r>
            <w:r>
              <w:rPr>
                <w:rFonts w:hint="default" w:ascii="Times New Roman" w:hAnsi="Times New Roman" w:cs="Times New Roman"/>
                <w:color w:val="auto"/>
                <w:sz w:val="24"/>
                <w:highlight w:val="none"/>
              </w:rPr>
              <w:t>镇污水处理厂处理</w:t>
            </w:r>
            <w:r>
              <w:rPr>
                <w:rFonts w:hint="eastAsia"/>
                <w:color w:val="auto"/>
                <w:sz w:val="24"/>
                <w:szCs w:val="24"/>
                <w:highlight w:val="none"/>
                <w:lang w:eastAsia="zh-CN"/>
              </w:rPr>
              <w:t>。</w:t>
            </w:r>
          </w:p>
          <w:p>
            <w:pPr>
              <w:pStyle w:val="20"/>
              <w:keepNext w:val="0"/>
              <w:keepLines w:val="0"/>
              <w:pageBreakBefore w:val="0"/>
              <w:widowControl/>
              <w:numPr>
                <w:ilvl w:val="0"/>
                <w:numId w:val="9"/>
              </w:numPr>
              <w:suppressLineNumbers w:val="0"/>
              <w:tabs>
                <w:tab w:val="clear" w:pos="312"/>
              </w:tabs>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声环境保护措施</w:t>
            </w:r>
          </w:p>
          <w:p>
            <w:pPr>
              <w:pStyle w:val="20"/>
              <w:keepNext w:val="0"/>
              <w:keepLines w:val="0"/>
              <w:pageBreakBefore w:val="0"/>
              <w:widowControl/>
              <w:numPr>
                <w:ilvl w:val="0"/>
                <w:numId w:val="10"/>
              </w:numPr>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对温室的产噪设备采取基础减</w:t>
            </w:r>
            <w:r>
              <w:rPr>
                <w:rFonts w:hint="eastAsia" w:cs="宋体"/>
                <w:b w:val="0"/>
                <w:bCs w:val="0"/>
                <w:color w:val="auto"/>
                <w:highlight w:val="none"/>
                <w:lang w:val="en-US" w:eastAsia="zh-CN"/>
              </w:rPr>
              <w:t>振</w:t>
            </w:r>
            <w:r>
              <w:rPr>
                <w:rFonts w:hint="eastAsia" w:ascii="宋体" w:hAnsi="宋体" w:eastAsia="宋体" w:cs="宋体"/>
                <w:b w:val="0"/>
                <w:bCs w:val="0"/>
                <w:color w:val="auto"/>
                <w:highlight w:val="none"/>
                <w:lang w:val="en-US" w:eastAsia="zh-CN"/>
              </w:rPr>
              <w:t>措施，可大大降低噪声的产生。</w:t>
            </w:r>
          </w:p>
          <w:p>
            <w:pPr>
              <w:pStyle w:val="20"/>
              <w:keepNext w:val="0"/>
              <w:keepLines w:val="0"/>
              <w:pageBreakBefore w:val="0"/>
              <w:widowControl/>
              <w:numPr>
                <w:ilvl w:val="0"/>
                <w:numId w:val="10"/>
              </w:numPr>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选用振动小、噪声低的设备及配套设施，各</w:t>
            </w:r>
            <w:r>
              <w:rPr>
                <w:rFonts w:hint="eastAsia" w:cs="宋体"/>
                <w:b w:val="0"/>
                <w:bCs w:val="0"/>
                <w:color w:val="auto"/>
                <w:highlight w:val="none"/>
                <w:lang w:val="en-US" w:eastAsia="zh-CN"/>
              </w:rPr>
              <w:t>产噪设备</w:t>
            </w:r>
            <w:r>
              <w:rPr>
                <w:rFonts w:hint="eastAsia" w:ascii="宋体" w:hAnsi="宋体" w:eastAsia="宋体" w:cs="宋体"/>
                <w:b w:val="0"/>
                <w:bCs w:val="0"/>
                <w:color w:val="auto"/>
                <w:highlight w:val="none"/>
                <w:lang w:val="en-US" w:eastAsia="zh-CN"/>
              </w:rPr>
              <w:t>设隔声措施、基础减振；</w:t>
            </w:r>
          </w:p>
          <w:p>
            <w:pPr>
              <w:pStyle w:val="20"/>
              <w:keepNext w:val="0"/>
              <w:keepLines w:val="0"/>
              <w:pageBreakBefore w:val="0"/>
              <w:widowControl/>
              <w:numPr>
                <w:ilvl w:val="0"/>
                <w:numId w:val="10"/>
              </w:numPr>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产噪设备室内布置，做到合理布局，充分利用建筑物的隔声作用；</w:t>
            </w:r>
          </w:p>
          <w:p>
            <w:pPr>
              <w:pStyle w:val="20"/>
              <w:keepNext w:val="0"/>
              <w:keepLines w:val="0"/>
              <w:pageBreakBefore w:val="0"/>
              <w:widowControl/>
              <w:numPr>
                <w:ilvl w:val="0"/>
                <w:numId w:val="10"/>
              </w:numPr>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加强对设备的维护和管理等，减少设备非正常运行所产生的噪声对周边环境的影响。</w:t>
            </w:r>
          </w:p>
          <w:p>
            <w:pPr>
              <w:pStyle w:val="20"/>
              <w:keepNext w:val="0"/>
              <w:keepLines w:val="0"/>
              <w:pageBreakBefore w:val="0"/>
              <w:widowControl/>
              <w:numPr>
                <w:ilvl w:val="0"/>
                <w:numId w:val="9"/>
              </w:numPr>
              <w:suppressLineNumbers w:val="0"/>
              <w:tabs>
                <w:tab w:val="clear" w:pos="312"/>
              </w:tabs>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固体废物保护措施</w:t>
            </w:r>
          </w:p>
          <w:p>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职工产生的生活垃圾，可设置垃圾桶分类收集后委托环卫部门定期进行清运。</w:t>
            </w:r>
            <w:r>
              <w:rPr>
                <w:rFonts w:hint="default" w:ascii="宋体" w:hAnsi="宋体" w:eastAsia="宋体" w:cs="宋体"/>
                <w:b w:val="0"/>
                <w:bCs w:val="0"/>
                <w:color w:val="auto"/>
                <w:highlight w:val="none"/>
                <w:lang w:val="en-US" w:eastAsia="zh-CN"/>
              </w:rPr>
              <w:t>分拣产生分拣废物</w:t>
            </w:r>
            <w:r>
              <w:rPr>
                <w:rFonts w:hint="eastAsia" w:ascii="宋体" w:hAnsi="宋体" w:eastAsia="宋体" w:cs="宋体"/>
                <w:b w:val="0"/>
                <w:bCs w:val="0"/>
                <w:color w:val="auto"/>
                <w:highlight w:val="none"/>
                <w:lang w:val="en-US" w:eastAsia="zh-CN"/>
              </w:rPr>
              <w:t>、废弃农膜</w:t>
            </w:r>
            <w:r>
              <w:rPr>
                <w:rFonts w:hint="default" w:ascii="宋体" w:hAnsi="宋体" w:eastAsia="宋体" w:cs="宋体"/>
                <w:b w:val="0"/>
                <w:bCs w:val="0"/>
                <w:color w:val="auto"/>
                <w:highlight w:val="none"/>
                <w:lang w:val="en-US" w:eastAsia="zh-CN"/>
              </w:rPr>
              <w:t>统一收集后与生活垃圾一起交环卫部门处理。</w:t>
            </w:r>
            <w:r>
              <w:rPr>
                <w:rFonts w:hint="eastAsia" w:ascii="宋体" w:hAnsi="宋体" w:eastAsia="宋体" w:cs="宋体"/>
                <w:b w:val="0"/>
                <w:bCs w:val="0"/>
                <w:color w:val="auto"/>
                <w:highlight w:val="none"/>
                <w:lang w:val="en-US" w:eastAsia="zh-CN"/>
              </w:rPr>
              <w:t>有机肥包装袋由施肥人员在使用后收集，不随意丢弃，</w:t>
            </w:r>
            <w:r>
              <w:rPr>
                <w:rFonts w:hint="default" w:ascii="宋体" w:hAnsi="宋体" w:eastAsia="宋体" w:cs="宋体"/>
                <w:b w:val="0"/>
                <w:bCs w:val="0"/>
                <w:color w:val="auto"/>
                <w:highlight w:val="none"/>
                <w:lang w:val="en-US" w:eastAsia="zh-CN"/>
              </w:rPr>
              <w:t>有机肥包装袋</w:t>
            </w:r>
            <w:r>
              <w:rPr>
                <w:rFonts w:hint="eastAsia" w:ascii="宋体" w:hAnsi="宋体" w:eastAsia="宋体" w:cs="宋体"/>
                <w:b w:val="0"/>
                <w:bCs w:val="0"/>
                <w:color w:val="auto"/>
                <w:highlight w:val="none"/>
                <w:lang w:val="en-US" w:eastAsia="zh-CN"/>
              </w:rPr>
              <w:t>由厂家全部回收利用。</w:t>
            </w:r>
          </w:p>
          <w:p>
            <w:pPr>
              <w:pStyle w:val="20"/>
              <w:keepNext w:val="0"/>
              <w:keepLines w:val="0"/>
              <w:pageBreakBefore w:val="0"/>
              <w:widowControl/>
              <w:numPr>
                <w:ilvl w:val="0"/>
                <w:numId w:val="9"/>
              </w:numPr>
              <w:suppressLineNumbers w:val="0"/>
              <w:tabs>
                <w:tab w:val="clear" w:pos="312"/>
              </w:tabs>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土壤、地</w:t>
            </w:r>
            <w:r>
              <w:rPr>
                <w:rFonts w:hint="eastAsia" w:cs="宋体"/>
                <w:b/>
                <w:bCs/>
                <w:color w:val="auto"/>
                <w:highlight w:val="none"/>
                <w:lang w:val="en-US" w:eastAsia="zh-CN"/>
              </w:rPr>
              <w:t>表</w:t>
            </w:r>
            <w:r>
              <w:rPr>
                <w:rFonts w:hint="eastAsia" w:ascii="宋体" w:hAnsi="宋体" w:eastAsia="宋体" w:cs="宋体"/>
                <w:b/>
                <w:bCs/>
                <w:color w:val="auto"/>
                <w:highlight w:val="none"/>
                <w:lang w:val="en-US" w:eastAsia="zh-CN"/>
              </w:rPr>
              <w:t>水环境保护措施</w:t>
            </w:r>
          </w:p>
          <w:p>
            <w:pPr>
              <w:pStyle w:val="20"/>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bidi="ar"/>
              </w:rPr>
              <w:t>（1）积极推进缓控释肥、水肥一体化等科学施肥方式，</w:t>
            </w:r>
            <w:r>
              <w:rPr>
                <w:rFonts w:hint="default" w:ascii="Times New Roman" w:hAnsi="Times New Roman" w:eastAsia="宋体" w:cs="Times New Roman"/>
                <w:color w:val="auto"/>
                <w:sz w:val="24"/>
                <w:szCs w:val="24"/>
                <w:highlight w:val="none"/>
                <w:lang w:val="en-US" w:eastAsia="zh-CN"/>
              </w:rPr>
              <w:t>最好采用生物综合防治技术，以减少肥料对土壤及地下水的影响。</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2）项目要科学合理施用有机肥：一是要选择优质的有机肥；二是要严格控制施肥量；三是要配合生物肥施用，生物肥中的生物菌能加速有机肥中有机物的分解，使其更有利于作物吸收，同时能将有机肥中的一些有害物质分解转化，避免其对作物造成伤害。</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（3）优化施肥结构，选择适宜施肥时期，实施测土配方施肥。采用测土配方平衡施肥技术，通过测试土壤，及时掌握土壤肥力状况，并根据不同作物的特性和需肥规律。</w:t>
            </w:r>
          </w:p>
          <w:p>
            <w:pPr>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（4）建立企业环保管理制度，加强对企业员工的环保培训和管理，</w:t>
            </w:r>
            <w:r>
              <w:rPr>
                <w:rFonts w:hint="eastAsia" w:ascii="Times New Roman" w:hAnsi="Times New Roman" w:cs="Times New Roman"/>
                <w:color w:val="auto"/>
                <w:kern w:val="0"/>
                <w:sz w:val="24"/>
                <w:szCs w:val="24"/>
                <w:highlight w:val="none"/>
                <w:lang w:val="en-US" w:eastAsia="zh-CN" w:bidi="ar"/>
              </w:rPr>
              <w:t>项目运行过程中合理收集处置生活污水，严禁向西红海子排放生活污水，</w:t>
            </w:r>
            <w:r>
              <w:rPr>
                <w:rFonts w:hint="eastAsia" w:cs="Times New Roman"/>
                <w:color w:val="auto"/>
                <w:kern w:val="0"/>
                <w:sz w:val="24"/>
                <w:szCs w:val="24"/>
                <w:highlight w:val="none"/>
                <w:lang w:val="en-US" w:eastAsia="zh-CN" w:bidi="ar"/>
              </w:rPr>
              <w:t>避免</w:t>
            </w:r>
            <w:r>
              <w:rPr>
                <w:rFonts w:hint="eastAsia" w:ascii="Times New Roman" w:hAnsi="Times New Roman" w:cs="Times New Roman"/>
                <w:color w:val="auto"/>
                <w:kern w:val="0"/>
                <w:sz w:val="24"/>
                <w:szCs w:val="24"/>
                <w:highlight w:val="none"/>
                <w:lang w:val="en-US" w:eastAsia="zh-CN" w:bidi="ar"/>
              </w:rPr>
              <w:t>对西红海子水体造成污染。</w:t>
            </w:r>
          </w:p>
          <w:p>
            <w:pPr>
              <w:spacing w:line="360" w:lineRule="auto"/>
              <w:ind w:firstLine="480" w:firstLineChars="200"/>
              <w:rPr>
                <w:color w:val="auto"/>
                <w:sz w:val="24"/>
                <w:highlight w:val="none"/>
              </w:rPr>
            </w:pPr>
            <w:r>
              <w:rPr>
                <w:rFonts w:hint="eastAsia"/>
                <w:color w:val="auto"/>
                <w:sz w:val="24"/>
                <w:highlight w:val="none"/>
                <w:lang w:val="en-US" w:eastAsia="zh-CN"/>
              </w:rPr>
              <w:t>（5）</w:t>
            </w:r>
            <w:r>
              <w:rPr>
                <w:rFonts w:hint="eastAsia"/>
                <w:color w:val="auto"/>
                <w:sz w:val="24"/>
                <w:highlight w:val="none"/>
                <w:lang w:eastAsia="zh-CN"/>
              </w:rPr>
              <w:t>土壤</w:t>
            </w:r>
            <w:r>
              <w:rPr>
                <w:color w:val="auto"/>
                <w:sz w:val="24"/>
                <w:highlight w:val="none"/>
              </w:rPr>
              <w:t>跟踪监测计划</w:t>
            </w:r>
          </w:p>
          <w:p>
            <w:pPr>
              <w:spacing w:line="360" w:lineRule="auto"/>
              <w:ind w:firstLine="480" w:firstLineChars="200"/>
              <w:rPr>
                <w:bCs/>
                <w:color w:val="auto"/>
                <w:sz w:val="24"/>
                <w:highlight w:val="none"/>
              </w:rPr>
            </w:pPr>
            <w:r>
              <w:rPr>
                <w:rFonts w:ascii="Times New Roman"/>
                <w:color w:val="auto"/>
                <w:sz w:val="24"/>
                <w:szCs w:val="24"/>
                <w:highlight w:val="none"/>
                <w:lang w:eastAsia="zh-CN"/>
              </w:rPr>
              <w:t>对</w:t>
            </w:r>
            <w:r>
              <w:rPr>
                <w:rFonts w:hint="eastAsia"/>
                <w:color w:val="auto"/>
                <w:sz w:val="24"/>
                <w:highlight w:val="none"/>
                <w:lang w:eastAsia="zh-CN"/>
              </w:rPr>
              <w:t>土壤</w:t>
            </w:r>
            <w:r>
              <w:rPr>
                <w:rFonts w:ascii="Times New Roman"/>
                <w:color w:val="auto"/>
                <w:sz w:val="24"/>
                <w:szCs w:val="24"/>
                <w:highlight w:val="none"/>
                <w:lang w:eastAsia="zh-CN"/>
              </w:rPr>
              <w:t>污染防治提出跟踪监测计划，</w:t>
            </w:r>
            <w:r>
              <w:rPr>
                <w:rFonts w:hint="default" w:ascii="Times New Roman" w:hAnsi="Times New Roman" w:cs="Times New Roman"/>
                <w:color w:val="auto"/>
                <w:sz w:val="24"/>
                <w:szCs w:val="24"/>
                <w:highlight w:val="none"/>
              </w:rPr>
              <w:t>参考《工业企业土壤和地下水自行监测技术指南（试行）》，</w:t>
            </w:r>
            <w:r>
              <w:rPr>
                <w:color w:val="auto"/>
                <w:sz w:val="24"/>
                <w:highlight w:val="none"/>
              </w:rPr>
              <w:t>根据</w:t>
            </w:r>
            <w:r>
              <w:rPr>
                <w:rFonts w:hint="default" w:ascii="Times New Roman" w:hAnsi="Times New Roman" w:eastAsia="宋体" w:cs="Times New Roman"/>
                <w:color w:val="auto"/>
                <w:sz w:val="24"/>
                <w:szCs w:val="24"/>
                <w:highlight w:val="none"/>
              </w:rPr>
              <w:t>《环境影响评价技术导则 土壤环境》（HJ964-2018）</w:t>
            </w:r>
            <w:r>
              <w:rPr>
                <w:color w:val="auto"/>
                <w:sz w:val="24"/>
                <w:highlight w:val="none"/>
              </w:rPr>
              <w:t>导则要求，</w:t>
            </w:r>
            <w:r>
              <w:rPr>
                <w:rFonts w:hint="eastAsia"/>
                <w:color w:val="auto"/>
                <w:sz w:val="24"/>
                <w:highlight w:val="none"/>
                <w:lang w:eastAsia="zh-CN"/>
              </w:rPr>
              <w:t>本项目厂区内</w:t>
            </w:r>
            <w:r>
              <w:rPr>
                <w:color w:val="auto"/>
                <w:sz w:val="24"/>
                <w:highlight w:val="none"/>
              </w:rPr>
              <w:t>布置</w:t>
            </w:r>
            <w:r>
              <w:rPr>
                <w:rFonts w:hint="eastAsia"/>
                <w:color w:val="auto"/>
                <w:sz w:val="24"/>
                <w:highlight w:val="none"/>
                <w:lang w:eastAsia="zh-CN"/>
              </w:rPr>
              <w:t>一个土壤监测点</w:t>
            </w:r>
            <w:r>
              <w:rPr>
                <w:bCs/>
                <w:color w:val="auto"/>
                <w:sz w:val="24"/>
                <w:highlight w:val="none"/>
              </w:rPr>
              <w:t>。监测要求见表</w:t>
            </w:r>
            <w:r>
              <w:rPr>
                <w:rFonts w:hint="eastAsia"/>
                <w:bCs/>
                <w:color w:val="auto"/>
                <w:sz w:val="24"/>
                <w:highlight w:val="none"/>
                <w:lang w:val="en-US" w:eastAsia="zh-CN"/>
              </w:rPr>
              <w:t>5</w:t>
            </w:r>
            <w:r>
              <w:rPr>
                <w:bCs/>
                <w:color w:val="auto"/>
                <w:sz w:val="24"/>
                <w:highlight w:val="none"/>
              </w:rPr>
              <w:t>-</w:t>
            </w:r>
            <w:r>
              <w:rPr>
                <w:rFonts w:hint="eastAsia"/>
                <w:bCs/>
                <w:color w:val="auto"/>
                <w:sz w:val="24"/>
                <w:highlight w:val="none"/>
                <w:lang w:val="en-US" w:eastAsia="zh-CN"/>
              </w:rPr>
              <w:t>1</w:t>
            </w:r>
            <w:r>
              <w:rPr>
                <w:bCs/>
                <w:color w:val="auto"/>
                <w:sz w:val="24"/>
                <w:highlight w:val="none"/>
              </w:rPr>
              <w:t>。</w:t>
            </w:r>
          </w:p>
          <w:p>
            <w:pPr>
              <w:jc w:val="center"/>
              <w:rPr>
                <w:bCs/>
                <w:color w:val="auto"/>
                <w:szCs w:val="21"/>
                <w:highlight w:val="none"/>
              </w:rPr>
            </w:pPr>
            <w:r>
              <w:rPr>
                <w:bCs/>
                <w:color w:val="auto"/>
                <w:szCs w:val="21"/>
                <w:highlight w:val="none"/>
              </w:rPr>
              <w:t>表</w:t>
            </w:r>
            <w:r>
              <w:rPr>
                <w:rFonts w:hint="eastAsia"/>
                <w:bCs/>
                <w:color w:val="auto"/>
                <w:szCs w:val="21"/>
                <w:highlight w:val="none"/>
                <w:lang w:val="en-US" w:eastAsia="zh-CN"/>
              </w:rPr>
              <w:t>5</w:t>
            </w:r>
            <w:r>
              <w:rPr>
                <w:bCs/>
                <w:color w:val="auto"/>
                <w:szCs w:val="21"/>
                <w:highlight w:val="none"/>
              </w:rPr>
              <w:t>-</w:t>
            </w:r>
            <w:r>
              <w:rPr>
                <w:rFonts w:hint="eastAsia"/>
                <w:bCs/>
                <w:color w:val="auto"/>
                <w:szCs w:val="21"/>
                <w:highlight w:val="none"/>
                <w:lang w:val="en-US" w:eastAsia="zh-CN"/>
              </w:rPr>
              <w:t>1</w:t>
            </w:r>
            <w:r>
              <w:rPr>
                <w:bCs/>
                <w:color w:val="auto"/>
                <w:szCs w:val="21"/>
                <w:highlight w:val="none"/>
              </w:rPr>
              <w:t xml:space="preserve">  </w:t>
            </w:r>
            <w:r>
              <w:rPr>
                <w:rFonts w:hint="eastAsia"/>
                <w:bCs/>
                <w:color w:val="auto"/>
                <w:szCs w:val="21"/>
                <w:highlight w:val="none"/>
                <w:lang w:eastAsia="zh-CN"/>
              </w:rPr>
              <w:t>土壤</w:t>
            </w:r>
            <w:r>
              <w:rPr>
                <w:bCs/>
                <w:color w:val="auto"/>
                <w:szCs w:val="21"/>
                <w:highlight w:val="none"/>
              </w:rPr>
              <w:t>跟踪监测要求</w:t>
            </w:r>
          </w:p>
          <w:tbl>
            <w:tblPr>
              <w:tblStyle w:val="24"/>
              <w:tblW w:w="8279"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539"/>
              <w:gridCol w:w="1008"/>
              <w:gridCol w:w="856"/>
              <w:gridCol w:w="1945"/>
              <w:gridCol w:w="1413"/>
              <w:gridCol w:w="2518"/>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30" w:hRule="atLeast"/>
              </w:trPr>
              <w:tc>
                <w:tcPr>
                  <w:tcW w:w="467" w:type="dxa"/>
                  <w:noWrap w:val="0"/>
                  <w:vAlign w:val="center"/>
                </w:tcPr>
                <w:p>
                  <w:pPr>
                    <w:adjustRightInd w:val="0"/>
                    <w:snapToGrid w:val="0"/>
                    <w:jc w:val="center"/>
                    <w:rPr>
                      <w:color w:val="auto"/>
                      <w:sz w:val="21"/>
                      <w:szCs w:val="21"/>
                      <w:highlight w:val="none"/>
                    </w:rPr>
                  </w:pPr>
                  <w:r>
                    <w:rPr>
                      <w:rFonts w:hint="eastAsia"/>
                      <w:color w:val="auto"/>
                      <w:sz w:val="21"/>
                      <w:szCs w:val="21"/>
                      <w:highlight w:val="none"/>
                    </w:rPr>
                    <w:t>类别</w:t>
                  </w:r>
                </w:p>
              </w:tc>
              <w:tc>
                <w:tcPr>
                  <w:tcW w:w="1020" w:type="dxa"/>
                  <w:noWrap w:val="0"/>
                  <w:vAlign w:val="center"/>
                </w:tcPr>
                <w:p>
                  <w:pPr>
                    <w:adjustRightInd w:val="0"/>
                    <w:snapToGrid w:val="0"/>
                    <w:jc w:val="center"/>
                    <w:rPr>
                      <w:color w:val="auto"/>
                      <w:sz w:val="21"/>
                      <w:szCs w:val="21"/>
                      <w:highlight w:val="none"/>
                    </w:rPr>
                  </w:pPr>
                  <w:r>
                    <w:rPr>
                      <w:color w:val="auto"/>
                      <w:sz w:val="21"/>
                      <w:szCs w:val="21"/>
                      <w:highlight w:val="none"/>
                    </w:rPr>
                    <w:t>点位</w:t>
                  </w:r>
                </w:p>
              </w:tc>
              <w:tc>
                <w:tcPr>
                  <w:tcW w:w="864" w:type="dxa"/>
                  <w:noWrap w:val="0"/>
                  <w:vAlign w:val="center"/>
                </w:tcPr>
                <w:p>
                  <w:pPr>
                    <w:adjustRightInd w:val="0"/>
                    <w:snapToGrid w:val="0"/>
                    <w:jc w:val="center"/>
                    <w:rPr>
                      <w:color w:val="auto"/>
                      <w:sz w:val="21"/>
                      <w:szCs w:val="21"/>
                      <w:highlight w:val="none"/>
                    </w:rPr>
                  </w:pPr>
                  <w:r>
                    <w:rPr>
                      <w:color w:val="auto"/>
                      <w:sz w:val="21"/>
                      <w:szCs w:val="21"/>
                      <w:highlight w:val="none"/>
                    </w:rPr>
                    <w:t>监测层位</w:t>
                  </w:r>
                </w:p>
              </w:tc>
              <w:tc>
                <w:tcPr>
                  <w:tcW w:w="1971" w:type="dxa"/>
                  <w:noWrap w:val="0"/>
                  <w:vAlign w:val="center"/>
                </w:tcPr>
                <w:p>
                  <w:pPr>
                    <w:adjustRightInd w:val="0"/>
                    <w:snapToGrid w:val="0"/>
                    <w:jc w:val="center"/>
                    <w:rPr>
                      <w:color w:val="auto"/>
                      <w:sz w:val="21"/>
                      <w:szCs w:val="21"/>
                      <w:highlight w:val="none"/>
                    </w:rPr>
                  </w:pPr>
                  <w:r>
                    <w:rPr>
                      <w:color w:val="auto"/>
                      <w:sz w:val="21"/>
                      <w:szCs w:val="21"/>
                      <w:highlight w:val="none"/>
                    </w:rPr>
                    <w:t>监测因子</w:t>
                  </w:r>
                </w:p>
              </w:tc>
              <w:tc>
                <w:tcPr>
                  <w:tcW w:w="1428" w:type="dxa"/>
                  <w:noWrap w:val="0"/>
                  <w:vAlign w:val="center"/>
                </w:tcPr>
                <w:p>
                  <w:pPr>
                    <w:adjustRightInd w:val="0"/>
                    <w:snapToGrid w:val="0"/>
                    <w:jc w:val="center"/>
                    <w:rPr>
                      <w:color w:val="auto"/>
                      <w:sz w:val="21"/>
                      <w:szCs w:val="21"/>
                      <w:highlight w:val="none"/>
                    </w:rPr>
                  </w:pPr>
                  <w:r>
                    <w:rPr>
                      <w:color w:val="auto"/>
                      <w:sz w:val="21"/>
                      <w:szCs w:val="21"/>
                      <w:highlight w:val="none"/>
                    </w:rPr>
                    <w:t>监测频率</w:t>
                  </w:r>
                </w:p>
              </w:tc>
              <w:tc>
                <w:tcPr>
                  <w:tcW w:w="2529" w:type="dxa"/>
                  <w:noWrap w:val="0"/>
                  <w:vAlign w:val="center"/>
                </w:tcPr>
                <w:p>
                  <w:pPr>
                    <w:adjustRightInd w:val="0"/>
                    <w:snapToGrid w:val="0"/>
                    <w:jc w:val="center"/>
                    <w:rPr>
                      <w:rFonts w:hint="eastAsia" w:eastAsia="宋体"/>
                      <w:color w:val="auto"/>
                      <w:sz w:val="21"/>
                      <w:szCs w:val="21"/>
                      <w:highlight w:val="none"/>
                      <w:lang w:eastAsia="zh-CN"/>
                    </w:rPr>
                  </w:pPr>
                  <w:r>
                    <w:rPr>
                      <w:rFonts w:hint="eastAsia"/>
                      <w:color w:val="auto"/>
                      <w:sz w:val="21"/>
                      <w:szCs w:val="21"/>
                      <w:highlight w:val="none"/>
                      <w:lang w:eastAsia="zh-CN"/>
                    </w:rPr>
                    <w:t>执行标准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67" w:type="dxa"/>
                  <w:tcBorders>
                    <w:right w:val="single" w:color="auto" w:sz="4" w:space="0"/>
                  </w:tcBorders>
                  <w:noWrap w:val="0"/>
                  <w:vAlign w:val="center"/>
                </w:tcPr>
                <w:p>
                  <w:pPr>
                    <w:pStyle w:val="55"/>
                    <w:jc w:val="both"/>
                    <w:rPr>
                      <w:rFonts w:hint="eastAsia" w:eastAsia="宋体"/>
                      <w:color w:val="auto"/>
                      <w:sz w:val="21"/>
                      <w:szCs w:val="21"/>
                      <w:highlight w:val="none"/>
                      <w:lang w:eastAsia="zh-CN"/>
                    </w:rPr>
                  </w:pPr>
                  <w:r>
                    <w:rPr>
                      <w:rFonts w:hint="eastAsia"/>
                      <w:color w:val="auto"/>
                      <w:sz w:val="21"/>
                      <w:szCs w:val="21"/>
                      <w:highlight w:val="none"/>
                      <w:lang w:eastAsia="zh-CN"/>
                    </w:rPr>
                    <w:t>土壤</w:t>
                  </w:r>
                </w:p>
              </w:tc>
              <w:tc>
                <w:tcPr>
                  <w:tcW w:w="1020" w:type="dxa"/>
                  <w:tcBorders>
                    <w:left w:val="single" w:color="auto" w:sz="4" w:space="0"/>
                  </w:tcBorders>
                  <w:noWrap w:val="0"/>
                  <w:vAlign w:val="center"/>
                </w:tcPr>
                <w:p>
                  <w:pPr>
                    <w:adjustRightInd w:val="0"/>
                    <w:snapToGrid w:val="0"/>
                    <w:jc w:val="center"/>
                    <w:rPr>
                      <w:rFonts w:hint="eastAsia" w:eastAsia="宋体"/>
                      <w:color w:val="auto"/>
                      <w:sz w:val="21"/>
                      <w:szCs w:val="21"/>
                      <w:highlight w:val="none"/>
                      <w:lang w:eastAsia="zh-CN"/>
                    </w:rPr>
                  </w:pPr>
                  <w:r>
                    <w:rPr>
                      <w:rFonts w:hint="eastAsia"/>
                      <w:color w:val="auto"/>
                      <w:sz w:val="21"/>
                      <w:szCs w:val="21"/>
                      <w:highlight w:val="none"/>
                      <w:lang w:eastAsia="zh-CN"/>
                    </w:rPr>
                    <w:t>蔬菜文化创意馆东侧空地</w:t>
                  </w:r>
                </w:p>
              </w:tc>
              <w:tc>
                <w:tcPr>
                  <w:tcW w:w="864" w:type="dxa"/>
                  <w:noWrap w:val="0"/>
                  <w:vAlign w:val="center"/>
                </w:tcPr>
                <w:p>
                  <w:pPr>
                    <w:adjustRightInd w:val="0"/>
                    <w:snapToGrid w:val="0"/>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表层样</w:t>
                  </w:r>
                </w:p>
              </w:tc>
              <w:tc>
                <w:tcPr>
                  <w:tcW w:w="1971" w:type="dxa"/>
                  <w:noWrap w:val="0"/>
                  <w:vAlign w:val="center"/>
                </w:tcPr>
                <w:p>
                  <w:pPr>
                    <w:adjustRightInd w:val="0"/>
                    <w:snapToGrid w:val="0"/>
                    <w:jc w:val="center"/>
                    <w:rPr>
                      <w:rFonts w:hint="eastAsia"/>
                      <w:color w:val="auto"/>
                      <w:sz w:val="21"/>
                      <w:szCs w:val="21"/>
                      <w:highlight w:val="none"/>
                    </w:rPr>
                  </w:pPr>
                  <w:r>
                    <w:rPr>
                      <w:rFonts w:hint="eastAsia" w:ascii="宋体" w:hAnsi="宋体" w:eastAsia="宋体" w:cs="宋体"/>
                      <w:color w:val="auto"/>
                      <w:kern w:val="0"/>
                      <w:sz w:val="21"/>
                      <w:szCs w:val="21"/>
                      <w:highlight w:val="none"/>
                      <w:lang w:val="en-US" w:eastAsia="zh-CN" w:bidi="ar"/>
                    </w:rPr>
                    <w:t>镉、汞、砷、铅、铬、铜、镍、锌</w:t>
                  </w:r>
                </w:p>
              </w:tc>
              <w:tc>
                <w:tcPr>
                  <w:tcW w:w="1428" w:type="dxa"/>
                  <w:noWrap w:val="0"/>
                  <w:vAlign w:val="center"/>
                </w:tcPr>
                <w:p>
                  <w:pPr>
                    <w:widowControl/>
                    <w:jc w:val="left"/>
                    <w:rPr>
                      <w:rFonts w:hint="eastAsia" w:eastAsia="宋体"/>
                      <w:color w:val="auto"/>
                      <w:sz w:val="21"/>
                      <w:szCs w:val="21"/>
                      <w:highlight w:val="none"/>
                      <w:lang w:eastAsia="zh-CN"/>
                    </w:rPr>
                  </w:pPr>
                  <w:r>
                    <w:rPr>
                      <w:rFonts w:hint="eastAsia"/>
                      <w:color w:val="auto"/>
                      <w:sz w:val="21"/>
                      <w:szCs w:val="21"/>
                      <w:highlight w:val="none"/>
                      <w:lang w:val="en-US" w:eastAsia="zh-CN"/>
                    </w:rPr>
                    <w:t>5年开展1次，尽量在农作物收割后开展</w:t>
                  </w:r>
                </w:p>
              </w:tc>
              <w:tc>
                <w:tcPr>
                  <w:tcW w:w="2529" w:type="dxa"/>
                  <w:noWrap w:val="0"/>
                  <w:vAlign w:val="center"/>
                </w:tcPr>
                <w:p>
                  <w:pPr>
                    <w:widowControl/>
                    <w:jc w:val="left"/>
                    <w:rPr>
                      <w:rFonts w:hint="eastAsia"/>
                      <w:color w:val="auto"/>
                      <w:sz w:val="21"/>
                      <w:szCs w:val="21"/>
                      <w:highlight w:val="none"/>
                      <w:lang w:val="en-US" w:eastAsia="zh-CN"/>
                    </w:rPr>
                  </w:pPr>
                  <w:r>
                    <w:rPr>
                      <w:rFonts w:hint="eastAsia"/>
                      <w:color w:val="auto"/>
                      <w:sz w:val="21"/>
                      <w:szCs w:val="21"/>
                      <w:highlight w:val="none"/>
                      <w:lang w:val="en-US" w:eastAsia="zh-CN"/>
                    </w:rPr>
                    <w:t>《土壤环境质量农用地土壤污染风险管控标准》（GB15618-2018）限值</w:t>
                  </w:r>
                </w:p>
              </w:tc>
            </w:tr>
          </w:tbl>
          <w:p>
            <w:pPr>
              <w:pStyle w:val="3"/>
              <w:rPr>
                <w:rFonts w:hint="default" w:ascii="Times New Roman" w:hAnsi="Times New Roman" w:eastAsia="宋体" w:cs="Times New Roman"/>
                <w:color w:val="auto"/>
                <w:kern w:val="0"/>
                <w:sz w:val="24"/>
                <w:szCs w:val="24"/>
                <w:highlight w:val="none"/>
                <w:lang w:val="en-US" w:eastAsia="zh-CN" w:bidi="ar"/>
              </w:rPr>
            </w:pPr>
          </w:p>
          <w:p>
            <w:pPr>
              <w:rPr>
                <w:rFonts w:hint="default"/>
                <w:color w:val="auto"/>
                <w:highlight w:val="none"/>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753" w:type="dxa"/>
            <w:noWrap w:val="0"/>
            <w:vAlign w:val="center"/>
          </w:tcPr>
          <w:p>
            <w:pPr>
              <w:adjustRightInd w:val="0"/>
              <w:snapToGrid w:val="0"/>
              <w:jc w:val="center"/>
              <w:rPr>
                <w:rFonts w:ascii="宋体" w:hAnsi="宋体" w:cs="宋体"/>
                <w:bCs/>
                <w:color w:val="auto"/>
                <w:spacing w:val="10"/>
                <w:sz w:val="24"/>
                <w:szCs w:val="24"/>
                <w:highlight w:val="none"/>
              </w:rPr>
            </w:pPr>
            <w:r>
              <w:rPr>
                <w:rFonts w:eastAsia="宋体"/>
                <w:color w:val="auto"/>
                <w:sz w:val="24"/>
                <w:szCs w:val="24"/>
              </w:rPr>
              <w:t>竣工环境保护验收</w:t>
            </w:r>
          </w:p>
        </w:tc>
        <w:tc>
          <w:tcPr>
            <w:tcW w:w="8457" w:type="dxa"/>
            <w:noWrap w:val="0"/>
            <w:vAlign w:val="center"/>
          </w:tcPr>
          <w:p>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color w:val="auto"/>
                <w:sz w:val="24"/>
                <w:szCs w:val="24"/>
              </w:rPr>
            </w:pPr>
            <w:r>
              <w:rPr>
                <w:color w:val="auto"/>
                <w:sz w:val="24"/>
                <w:szCs w:val="24"/>
              </w:rPr>
              <w:t>根据建设项目环境管理办法，污染防治设施必须与主体</w:t>
            </w:r>
            <w:r>
              <w:rPr>
                <w:rFonts w:hint="eastAsia"/>
                <w:color w:val="auto"/>
                <w:sz w:val="24"/>
                <w:szCs w:val="24"/>
                <w:lang w:eastAsia="zh-CN"/>
              </w:rPr>
              <w:t>工程</w:t>
            </w:r>
            <w:r>
              <w:rPr>
                <w:color w:val="auto"/>
                <w:sz w:val="24"/>
                <w:szCs w:val="24"/>
              </w:rPr>
              <w:t>同时设计、同时施工、同时投入使用。在本项目</w:t>
            </w:r>
            <w:r>
              <w:rPr>
                <w:rFonts w:hint="eastAsia"/>
                <w:color w:val="auto"/>
                <w:sz w:val="24"/>
                <w:szCs w:val="24"/>
                <w:lang w:eastAsia="zh-CN"/>
              </w:rPr>
              <w:t>建设</w:t>
            </w:r>
            <w:r>
              <w:rPr>
                <w:color w:val="auto"/>
                <w:sz w:val="24"/>
                <w:szCs w:val="24"/>
              </w:rPr>
              <w:t>完成后，应对环境保护设施进行验收。本项目竣工环境保护验收内容见表</w:t>
            </w:r>
            <w:r>
              <w:rPr>
                <w:rFonts w:hint="eastAsia"/>
                <w:color w:val="auto"/>
                <w:sz w:val="24"/>
                <w:szCs w:val="24"/>
                <w:lang w:val="en-US" w:eastAsia="zh-CN"/>
              </w:rPr>
              <w:t>5-2</w:t>
            </w:r>
            <w:r>
              <w:rPr>
                <w:color w:val="auto"/>
                <w:sz w:val="24"/>
                <w:szCs w:val="24"/>
              </w:rPr>
              <w:t>。</w:t>
            </w:r>
          </w:p>
          <w:p>
            <w:pPr>
              <w:jc w:val="center"/>
              <w:rPr>
                <w:rFonts w:eastAsia="宋体"/>
                <w:bCs/>
                <w:color w:val="auto"/>
                <w:szCs w:val="21"/>
                <w:highlight w:val="none"/>
              </w:rPr>
            </w:pPr>
            <w:r>
              <w:rPr>
                <w:rFonts w:eastAsia="宋体"/>
                <w:bCs/>
                <w:color w:val="auto"/>
                <w:szCs w:val="21"/>
                <w:highlight w:val="none"/>
              </w:rPr>
              <w:t>表</w:t>
            </w:r>
            <w:r>
              <w:rPr>
                <w:rFonts w:hint="eastAsia" w:eastAsia="宋体"/>
                <w:bCs/>
                <w:color w:val="auto"/>
                <w:szCs w:val="21"/>
                <w:highlight w:val="none"/>
                <w:lang w:val="en-US" w:eastAsia="zh-CN"/>
              </w:rPr>
              <w:t>5-2</w:t>
            </w:r>
            <w:r>
              <w:rPr>
                <w:rFonts w:eastAsia="宋体"/>
                <w:bCs/>
                <w:color w:val="auto"/>
                <w:szCs w:val="21"/>
                <w:highlight w:val="none"/>
              </w:rPr>
              <w:t xml:space="preserve">   项目竣工环境保护验收内容一览表</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929"/>
              <w:gridCol w:w="1130"/>
              <w:gridCol w:w="2787"/>
              <w:gridCol w:w="2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noWrap w:val="0"/>
                  <w:vAlign w:val="center"/>
                </w:tcPr>
                <w:p>
                  <w:pPr>
                    <w:widowControl w:val="0"/>
                    <w:adjustRightInd w:val="0"/>
                    <w:snapToGrid w:val="0"/>
                    <w:spacing w:line="240" w:lineRule="auto"/>
                    <w:ind w:firstLine="0" w:firstLineChars="0"/>
                    <w:rPr>
                      <w:color w:val="auto"/>
                      <w:sz w:val="21"/>
                      <w:szCs w:val="21"/>
                    </w:rPr>
                  </w:pPr>
                  <w:r>
                    <w:rPr>
                      <w:color w:val="auto"/>
                      <w:sz w:val="21"/>
                      <w:szCs w:val="21"/>
                    </w:rPr>
                    <w:t>类别</w:t>
                  </w:r>
                </w:p>
              </w:tc>
              <w:tc>
                <w:tcPr>
                  <w:tcW w:w="561"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时段</w:t>
                  </w:r>
                </w:p>
              </w:tc>
              <w:tc>
                <w:tcPr>
                  <w:tcW w:w="682"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治理对象</w:t>
                  </w:r>
                </w:p>
              </w:tc>
              <w:tc>
                <w:tcPr>
                  <w:tcW w:w="1683"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防治对策措施</w:t>
                  </w:r>
                </w:p>
              </w:tc>
              <w:tc>
                <w:tcPr>
                  <w:tcW w:w="1611"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预期效果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噪声</w:t>
                  </w:r>
                </w:p>
              </w:tc>
              <w:tc>
                <w:tcPr>
                  <w:tcW w:w="561"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运营期</w:t>
                  </w:r>
                </w:p>
              </w:tc>
              <w:tc>
                <w:tcPr>
                  <w:tcW w:w="682"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噪声</w:t>
                  </w:r>
                </w:p>
              </w:tc>
              <w:tc>
                <w:tcPr>
                  <w:tcW w:w="1683" w:type="pct"/>
                  <w:noWrap w:val="0"/>
                  <w:vAlign w:val="center"/>
                </w:tcPr>
                <w:p>
                  <w:pPr>
                    <w:widowControl w:val="0"/>
                    <w:adjustRightInd w:val="0"/>
                    <w:snapToGrid w:val="0"/>
                    <w:spacing w:line="240" w:lineRule="auto"/>
                    <w:ind w:firstLine="0" w:firstLineChars="0"/>
                    <w:jc w:val="center"/>
                    <w:rPr>
                      <w:color w:val="auto"/>
                      <w:sz w:val="21"/>
                      <w:szCs w:val="21"/>
                    </w:rPr>
                  </w:pPr>
                  <w:r>
                    <w:rPr>
                      <w:rFonts w:hint="eastAsia"/>
                      <w:color w:val="auto"/>
                      <w:sz w:val="21"/>
                      <w:szCs w:val="21"/>
                      <w:lang w:eastAsia="zh-CN"/>
                    </w:rPr>
                    <w:t>全封闭大棚、水泵等强噪声设备安装基础减振、</w:t>
                  </w:r>
                  <w:r>
                    <w:rPr>
                      <w:rFonts w:hint="eastAsia"/>
                      <w:color w:val="auto"/>
                      <w:sz w:val="21"/>
                      <w:szCs w:val="21"/>
                    </w:rPr>
                    <w:t>限制车速、禁止鸣笛</w:t>
                  </w:r>
                </w:p>
              </w:tc>
              <w:tc>
                <w:tcPr>
                  <w:tcW w:w="1611" w:type="pct"/>
                  <w:noWrap w:val="0"/>
                  <w:vAlign w:val="center"/>
                </w:tcPr>
                <w:p>
                  <w:pPr>
                    <w:widowControl w:val="0"/>
                    <w:adjustRightInd w:val="0"/>
                    <w:snapToGrid w:val="0"/>
                    <w:spacing w:line="240" w:lineRule="auto"/>
                    <w:ind w:firstLine="0" w:firstLineChars="0"/>
                    <w:rPr>
                      <w:color w:val="auto"/>
                      <w:sz w:val="21"/>
                      <w:szCs w:val="21"/>
                    </w:rPr>
                  </w:pPr>
                  <w:r>
                    <w:rPr>
                      <w:rFonts w:hint="default" w:eastAsia="宋体"/>
                      <w:color w:val="auto"/>
                      <w:sz w:val="21"/>
                      <w:szCs w:val="21"/>
                      <w:lang w:eastAsia="zh-CN"/>
                    </w:rPr>
                    <w:t>运营期</w:t>
                  </w:r>
                  <w:r>
                    <w:rPr>
                      <w:rFonts w:hint="eastAsia" w:eastAsia="宋体"/>
                      <w:color w:val="auto"/>
                      <w:sz w:val="21"/>
                      <w:szCs w:val="21"/>
                      <w:lang w:eastAsia="zh-CN"/>
                    </w:rPr>
                    <w:t>噪声排放</w:t>
                  </w:r>
                  <w:r>
                    <w:rPr>
                      <w:rFonts w:hint="default" w:eastAsia="宋体"/>
                      <w:color w:val="auto"/>
                      <w:sz w:val="21"/>
                      <w:szCs w:val="21"/>
                      <w:lang w:eastAsia="zh-CN"/>
                    </w:rPr>
                    <w:t>执行《工业企业厂界环境噪声排放标准》</w:t>
                  </w:r>
                  <w:r>
                    <w:rPr>
                      <w:rFonts w:hint="eastAsia" w:eastAsia="宋体"/>
                      <w:color w:val="auto"/>
                      <w:sz w:val="21"/>
                      <w:szCs w:val="21"/>
                      <w:lang w:eastAsia="zh-CN"/>
                    </w:rPr>
                    <w:t>（</w:t>
                  </w:r>
                  <w:r>
                    <w:rPr>
                      <w:rFonts w:hint="default" w:eastAsia="宋体"/>
                      <w:color w:val="auto"/>
                      <w:sz w:val="21"/>
                      <w:szCs w:val="21"/>
                      <w:lang w:eastAsia="zh-CN"/>
                    </w:rPr>
                    <w:t>GB12348-2008</w:t>
                  </w:r>
                  <w:r>
                    <w:rPr>
                      <w:rFonts w:hint="eastAsia" w:eastAsia="宋体"/>
                      <w:color w:val="auto"/>
                      <w:sz w:val="21"/>
                      <w:szCs w:val="21"/>
                      <w:lang w:eastAsia="zh-CN"/>
                    </w:rPr>
                    <w:t>）</w:t>
                  </w:r>
                  <w:r>
                    <w:rPr>
                      <w:rFonts w:hint="eastAsia" w:eastAsia="宋体"/>
                      <w:color w:val="auto"/>
                      <w:sz w:val="21"/>
                      <w:szCs w:val="21"/>
                      <w:lang w:val="en-US" w:eastAsia="zh-CN"/>
                    </w:rPr>
                    <w:t>2</w:t>
                  </w:r>
                  <w:r>
                    <w:rPr>
                      <w:rFonts w:hint="default" w:eastAsia="宋体"/>
                      <w:color w:val="auto"/>
                      <w:sz w:val="21"/>
                      <w:szCs w:val="21"/>
                      <w:lang w:eastAsia="zh-CN"/>
                    </w:rPr>
                    <w:t>类</w:t>
                  </w:r>
                  <w:r>
                    <w:rPr>
                      <w:rFonts w:hint="eastAsia" w:eastAsia="宋体"/>
                      <w:color w:val="auto"/>
                      <w:sz w:val="21"/>
                      <w:szCs w:val="21"/>
                      <w:lang w:eastAsia="zh-CN"/>
                    </w:rPr>
                    <w:t>、</w:t>
                  </w:r>
                  <w:r>
                    <w:rPr>
                      <w:rFonts w:hint="eastAsia" w:eastAsia="宋体"/>
                      <w:color w:val="auto"/>
                      <w:sz w:val="21"/>
                      <w:szCs w:val="21"/>
                      <w:lang w:val="en-US" w:eastAsia="zh-CN"/>
                    </w:rPr>
                    <w:t>4类</w:t>
                  </w:r>
                  <w:r>
                    <w:rPr>
                      <w:rFonts w:hint="default" w:eastAsia="宋体"/>
                      <w:color w:val="auto"/>
                      <w:sz w:val="21"/>
                      <w:szCs w:val="21"/>
                      <w:lang w:eastAsia="zh-CN"/>
                    </w:rPr>
                    <w:t>标准</w:t>
                  </w:r>
                  <w:r>
                    <w:rPr>
                      <w:rFonts w:hint="eastAsia" w:eastAsia="宋体"/>
                      <w:color w:val="auto"/>
                      <w:sz w:val="21"/>
                      <w:szCs w:val="21"/>
                      <w:lang w:eastAsia="zh-CN"/>
                    </w:rPr>
                    <w:t>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noWrap w:val="0"/>
                  <w:vAlign w:val="center"/>
                </w:tcPr>
                <w:p>
                  <w:pPr>
                    <w:widowControl w:val="0"/>
                    <w:adjustRightInd w:val="0"/>
                    <w:snapToGrid w:val="0"/>
                    <w:spacing w:line="240" w:lineRule="auto"/>
                    <w:ind w:firstLine="0" w:firstLineChars="0"/>
                    <w:jc w:val="center"/>
                    <w:rPr>
                      <w:rFonts w:hint="eastAsia" w:eastAsia="宋体"/>
                      <w:color w:val="auto"/>
                      <w:sz w:val="21"/>
                      <w:szCs w:val="21"/>
                      <w:lang w:eastAsia="zh-CN"/>
                    </w:rPr>
                  </w:pPr>
                  <w:r>
                    <w:rPr>
                      <w:rFonts w:hint="eastAsia"/>
                      <w:color w:val="auto"/>
                      <w:sz w:val="21"/>
                      <w:szCs w:val="21"/>
                      <w:lang w:eastAsia="zh-CN"/>
                    </w:rPr>
                    <w:t>污水</w:t>
                  </w:r>
                </w:p>
              </w:tc>
              <w:tc>
                <w:tcPr>
                  <w:tcW w:w="561"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运营期</w:t>
                  </w:r>
                </w:p>
              </w:tc>
              <w:tc>
                <w:tcPr>
                  <w:tcW w:w="682" w:type="pct"/>
                  <w:noWrap w:val="0"/>
                  <w:vAlign w:val="center"/>
                </w:tcPr>
                <w:p>
                  <w:pPr>
                    <w:widowControl w:val="0"/>
                    <w:adjustRightInd w:val="0"/>
                    <w:snapToGrid w:val="0"/>
                    <w:spacing w:line="240" w:lineRule="auto"/>
                    <w:ind w:firstLine="0" w:firstLineChars="0"/>
                    <w:jc w:val="center"/>
                    <w:rPr>
                      <w:color w:val="auto"/>
                      <w:sz w:val="21"/>
                      <w:szCs w:val="21"/>
                    </w:rPr>
                  </w:pPr>
                  <w:r>
                    <w:rPr>
                      <w:rFonts w:hint="default" w:ascii="Times New Roman" w:hAnsi="Times New Roman" w:eastAsia="宋体" w:cs="Times New Roman"/>
                      <w:color w:val="auto"/>
                      <w:sz w:val="21"/>
                      <w:szCs w:val="21"/>
                      <w:highlight w:val="none"/>
                    </w:rPr>
                    <w:softHyphen/>
                  </w:r>
                  <w:r>
                    <w:rPr>
                      <w:rFonts w:hint="default" w:ascii="Times New Roman" w:hAnsi="Times New Roman" w:eastAsia="宋体" w:cs="Times New Roman"/>
                      <w:color w:val="auto"/>
                      <w:sz w:val="21"/>
                      <w:szCs w:val="21"/>
                      <w:highlight w:val="none"/>
                    </w:rPr>
                    <w:softHyphen/>
                  </w:r>
                  <w:r>
                    <w:rPr>
                      <w:rFonts w:hint="default" w:ascii="Times New Roman" w:hAnsi="Times New Roman" w:eastAsia="宋体" w:cs="Times New Roman"/>
                      <w:color w:val="auto"/>
                      <w:sz w:val="21"/>
                      <w:szCs w:val="21"/>
                      <w:highlight w:val="none"/>
                    </w:rPr>
                    <w:t>生活污水</w:t>
                  </w:r>
                </w:p>
              </w:tc>
              <w:tc>
                <w:tcPr>
                  <w:tcW w:w="1683" w:type="pct"/>
                  <w:noWrap w:val="0"/>
                  <w:vAlign w:val="center"/>
                </w:tcPr>
                <w:p>
                  <w:pPr>
                    <w:widowControl w:val="0"/>
                    <w:adjustRightInd w:val="0"/>
                    <w:snapToGrid w:val="0"/>
                    <w:spacing w:line="240" w:lineRule="auto"/>
                    <w:ind w:firstLine="0" w:firstLineChars="0"/>
                    <w:jc w:val="center"/>
                    <w:rPr>
                      <w:color w:val="auto"/>
                      <w:sz w:val="21"/>
                      <w:szCs w:val="21"/>
                    </w:rPr>
                  </w:pPr>
                  <w:r>
                    <w:rPr>
                      <w:rFonts w:hint="eastAsia" w:ascii="Times New Roman" w:hAnsi="Times New Roman" w:cs="Times New Roman"/>
                      <w:bCs/>
                      <w:color w:val="auto"/>
                      <w:spacing w:val="10"/>
                      <w:sz w:val="21"/>
                      <w:szCs w:val="21"/>
                      <w:highlight w:val="none"/>
                      <w:vertAlign w:val="baseline"/>
                      <w:lang w:val="en-US" w:eastAsia="zh-CN"/>
                    </w:rPr>
                    <w:t>生活污水排入</w:t>
                  </w:r>
                  <w:r>
                    <w:rPr>
                      <w:rFonts w:hint="eastAsia" w:cs="Times New Roman"/>
                      <w:bCs/>
                      <w:color w:val="auto"/>
                      <w:spacing w:val="10"/>
                      <w:sz w:val="21"/>
                      <w:szCs w:val="21"/>
                      <w:highlight w:val="none"/>
                      <w:vertAlign w:val="baseline"/>
                      <w:lang w:val="en-US" w:eastAsia="zh-CN"/>
                    </w:rPr>
                    <w:t>30</w:t>
                  </w:r>
                  <w:r>
                    <w:rPr>
                      <w:rFonts w:hint="eastAsia" w:ascii="Times New Roman" w:hAnsi="Times New Roman" w:cs="Times New Roman"/>
                      <w:bCs/>
                      <w:color w:val="auto"/>
                      <w:spacing w:val="10"/>
                      <w:sz w:val="21"/>
                      <w:szCs w:val="21"/>
                      <w:highlight w:val="none"/>
                      <w:vertAlign w:val="baseline"/>
                      <w:lang w:val="en-US" w:eastAsia="zh-CN"/>
                    </w:rPr>
                    <w:t>m</w:t>
                  </w:r>
                  <w:r>
                    <w:rPr>
                      <w:rFonts w:hint="default" w:ascii="Times New Roman" w:hAnsi="Times New Roman" w:cs="Times New Roman"/>
                      <w:bCs/>
                      <w:color w:val="auto"/>
                      <w:spacing w:val="10"/>
                      <w:sz w:val="21"/>
                      <w:szCs w:val="21"/>
                      <w:highlight w:val="none"/>
                      <w:vertAlign w:val="baseline"/>
                      <w:lang w:val="en-US" w:eastAsia="zh-CN"/>
                    </w:rPr>
                    <w:t>³</w:t>
                  </w:r>
                  <w:r>
                    <w:rPr>
                      <w:rFonts w:hint="eastAsia" w:ascii="Times New Roman" w:hAnsi="Times New Roman" w:cs="Times New Roman"/>
                      <w:bCs/>
                      <w:color w:val="auto"/>
                      <w:spacing w:val="10"/>
                      <w:sz w:val="21"/>
                      <w:szCs w:val="21"/>
                      <w:highlight w:val="none"/>
                      <w:vertAlign w:val="baseline"/>
                      <w:lang w:val="en-US" w:eastAsia="zh-CN"/>
                    </w:rPr>
                    <w:t>化粪池</w:t>
                  </w:r>
                  <w:r>
                    <w:rPr>
                      <w:rFonts w:hint="eastAsia" w:cs="Times New Roman"/>
                      <w:bCs/>
                      <w:color w:val="auto"/>
                      <w:spacing w:val="10"/>
                      <w:sz w:val="21"/>
                      <w:szCs w:val="21"/>
                      <w:highlight w:val="none"/>
                      <w:vertAlign w:val="baseline"/>
                      <w:lang w:val="en-US" w:eastAsia="zh-CN"/>
                    </w:rPr>
                    <w:t>暂存后</w:t>
                  </w:r>
                  <w:r>
                    <w:rPr>
                      <w:rFonts w:hint="eastAsia" w:ascii="Times New Roman" w:hAnsi="Times New Roman" w:cs="Times New Roman"/>
                      <w:bCs/>
                      <w:color w:val="auto"/>
                      <w:spacing w:val="10"/>
                      <w:sz w:val="21"/>
                      <w:szCs w:val="21"/>
                      <w:highlight w:val="none"/>
                      <w:vertAlign w:val="baseline"/>
                      <w:lang w:val="en-US" w:eastAsia="zh-CN"/>
                    </w:rPr>
                    <w:t>经污水管网</w:t>
                  </w:r>
                  <w:r>
                    <w:rPr>
                      <w:rFonts w:hint="eastAsia" w:cs="Times New Roman"/>
                      <w:bCs/>
                      <w:color w:val="auto"/>
                      <w:spacing w:val="10"/>
                      <w:sz w:val="21"/>
                      <w:szCs w:val="21"/>
                      <w:highlight w:val="none"/>
                      <w:vertAlign w:val="baseline"/>
                      <w:lang w:val="en-US" w:eastAsia="zh-CN"/>
                    </w:rPr>
                    <w:t>再</w:t>
                  </w:r>
                  <w:r>
                    <w:rPr>
                      <w:rFonts w:hint="eastAsia" w:ascii="Times New Roman" w:hAnsi="Times New Roman" w:cs="Times New Roman"/>
                      <w:bCs/>
                      <w:color w:val="auto"/>
                      <w:spacing w:val="10"/>
                      <w:sz w:val="21"/>
                      <w:szCs w:val="21"/>
                      <w:highlight w:val="none"/>
                      <w:vertAlign w:val="baseline"/>
                      <w:lang w:val="en-US" w:eastAsia="zh-CN"/>
                    </w:rPr>
                    <w:t>进入阿勒腾席热镇污水处理厂处理</w:t>
                  </w:r>
                </w:p>
              </w:tc>
              <w:tc>
                <w:tcPr>
                  <w:tcW w:w="1611" w:type="pct"/>
                  <w:noWrap w:val="0"/>
                  <w:vAlign w:val="center"/>
                </w:tcPr>
                <w:p>
                  <w:pPr>
                    <w:widowControl w:val="0"/>
                    <w:adjustRightInd w:val="0"/>
                    <w:snapToGrid w:val="0"/>
                    <w:spacing w:line="240" w:lineRule="auto"/>
                    <w:ind w:firstLine="0" w:firstLineChars="0"/>
                    <w:jc w:val="center"/>
                    <w:rPr>
                      <w:rFonts w:hint="eastAsia" w:eastAsia="宋体"/>
                      <w:color w:val="auto"/>
                      <w:sz w:val="21"/>
                      <w:szCs w:val="21"/>
                      <w:lang w:eastAsia="zh-CN"/>
                    </w:rPr>
                  </w:pPr>
                  <w:r>
                    <w:rPr>
                      <w:color w:val="auto"/>
                      <w:kern w:val="0"/>
                      <w:sz w:val="21"/>
                      <w:szCs w:val="21"/>
                      <w:highlight w:val="none"/>
                    </w:rPr>
                    <w:t>满足《污水综合排放标准》（GB8798-1996）表4中三级标准</w:t>
                  </w:r>
                  <w:r>
                    <w:rPr>
                      <w:rFonts w:hint="eastAsia"/>
                      <w:color w:val="auto"/>
                      <w:kern w:val="0"/>
                      <w:sz w:val="21"/>
                      <w:szCs w:val="21"/>
                      <w:highlight w:val="none"/>
                      <w:lang w:eastAsia="zh-CN"/>
                    </w:rPr>
                    <w:t>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固体</w:t>
                  </w:r>
                </w:p>
                <w:p>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废物</w:t>
                  </w:r>
                </w:p>
              </w:tc>
              <w:tc>
                <w:tcPr>
                  <w:tcW w:w="561" w:type="pct"/>
                  <w:noWrap w:val="0"/>
                  <w:vAlign w:val="center"/>
                </w:tcPr>
                <w:p>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运营期</w:t>
                  </w:r>
                </w:p>
              </w:tc>
              <w:tc>
                <w:tcPr>
                  <w:tcW w:w="682" w:type="pct"/>
                  <w:noWrap w:val="0"/>
                  <w:vAlign w:val="center"/>
                </w:tcPr>
                <w:p>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rFonts w:hint="eastAsia" w:ascii="宋体" w:hAnsi="宋体" w:eastAsia="宋体" w:cs="宋体"/>
                      <w:b w:val="0"/>
                      <w:bCs w:val="0"/>
                      <w:color w:val="auto"/>
                      <w:sz w:val="21"/>
                      <w:szCs w:val="21"/>
                      <w:highlight w:val="none"/>
                      <w:lang w:val="en-US" w:eastAsia="zh-CN"/>
                    </w:rPr>
                    <w:t>生活垃圾、</w:t>
                  </w:r>
                  <w:r>
                    <w:rPr>
                      <w:rFonts w:hint="default" w:ascii="宋体" w:hAnsi="宋体" w:eastAsia="宋体" w:cs="宋体"/>
                      <w:b w:val="0"/>
                      <w:bCs w:val="0"/>
                      <w:color w:val="auto"/>
                      <w:sz w:val="21"/>
                      <w:szCs w:val="21"/>
                      <w:highlight w:val="none"/>
                      <w:lang w:val="en-US" w:eastAsia="zh-CN"/>
                    </w:rPr>
                    <w:t>分拣废物</w:t>
                  </w:r>
                  <w:r>
                    <w:rPr>
                      <w:rFonts w:hint="eastAsia" w:ascii="宋体" w:hAnsi="宋体" w:eastAsia="宋体" w:cs="宋体"/>
                      <w:b w:val="0"/>
                      <w:bCs w:val="0"/>
                      <w:color w:val="auto"/>
                      <w:sz w:val="21"/>
                      <w:szCs w:val="21"/>
                      <w:highlight w:val="none"/>
                      <w:lang w:val="en-US" w:eastAsia="zh-CN"/>
                    </w:rPr>
                    <w:t>、废弃农膜、有机肥包装袋</w:t>
                  </w:r>
                </w:p>
              </w:tc>
              <w:tc>
                <w:tcPr>
                  <w:tcW w:w="1683" w:type="pct"/>
                  <w:noWrap w:val="0"/>
                  <w:vAlign w:val="center"/>
                </w:tcPr>
                <w:p>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rFonts w:hint="eastAsia" w:ascii="宋体" w:hAnsi="宋体" w:eastAsia="宋体" w:cs="宋体"/>
                      <w:b w:val="0"/>
                      <w:bCs w:val="0"/>
                      <w:color w:val="auto"/>
                      <w:sz w:val="21"/>
                      <w:szCs w:val="21"/>
                      <w:highlight w:val="none"/>
                      <w:lang w:val="en-US" w:eastAsia="zh-CN"/>
                    </w:rPr>
                    <w:t>设置生活垃圾收集桶分类收集后委托环卫部门定期进行清运。</w:t>
                  </w:r>
                  <w:r>
                    <w:rPr>
                      <w:rFonts w:hint="default" w:ascii="宋体" w:hAnsi="宋体" w:eastAsia="宋体" w:cs="宋体"/>
                      <w:b w:val="0"/>
                      <w:bCs w:val="0"/>
                      <w:color w:val="auto"/>
                      <w:sz w:val="21"/>
                      <w:szCs w:val="21"/>
                      <w:highlight w:val="none"/>
                      <w:lang w:val="en-US" w:eastAsia="zh-CN"/>
                    </w:rPr>
                    <w:t>分拣产生分拣废物</w:t>
                  </w:r>
                  <w:r>
                    <w:rPr>
                      <w:rFonts w:hint="eastAsia" w:ascii="宋体" w:hAnsi="宋体" w:eastAsia="宋体" w:cs="宋体"/>
                      <w:b w:val="0"/>
                      <w:bCs w:val="0"/>
                      <w:color w:val="auto"/>
                      <w:sz w:val="21"/>
                      <w:szCs w:val="21"/>
                      <w:highlight w:val="none"/>
                      <w:lang w:val="en-US" w:eastAsia="zh-CN"/>
                    </w:rPr>
                    <w:t>、废弃农膜</w:t>
                  </w:r>
                  <w:r>
                    <w:rPr>
                      <w:rFonts w:hint="default" w:ascii="宋体" w:hAnsi="宋体" w:eastAsia="宋体" w:cs="宋体"/>
                      <w:b w:val="0"/>
                      <w:bCs w:val="0"/>
                      <w:color w:val="auto"/>
                      <w:sz w:val="21"/>
                      <w:szCs w:val="21"/>
                      <w:highlight w:val="none"/>
                      <w:lang w:val="en-US" w:eastAsia="zh-CN"/>
                    </w:rPr>
                    <w:t>统一收集后与生活垃圾一起交环卫部门处理。</w:t>
                  </w:r>
                  <w:r>
                    <w:rPr>
                      <w:rFonts w:hint="eastAsia" w:ascii="宋体" w:hAnsi="宋体" w:eastAsia="宋体" w:cs="宋体"/>
                      <w:b w:val="0"/>
                      <w:bCs w:val="0"/>
                      <w:color w:val="auto"/>
                      <w:sz w:val="21"/>
                      <w:szCs w:val="21"/>
                      <w:highlight w:val="none"/>
                      <w:lang w:val="en-US" w:eastAsia="zh-CN"/>
                    </w:rPr>
                    <w:t>有机肥包装袋由施肥人员在使用后收集，不随意丢弃，</w:t>
                  </w:r>
                  <w:r>
                    <w:rPr>
                      <w:rFonts w:hint="default" w:ascii="宋体" w:hAnsi="宋体" w:eastAsia="宋体" w:cs="宋体"/>
                      <w:b w:val="0"/>
                      <w:bCs w:val="0"/>
                      <w:color w:val="auto"/>
                      <w:highlight w:val="none"/>
                      <w:lang w:val="en-US" w:eastAsia="zh-CN"/>
                    </w:rPr>
                    <w:t>有机肥包装袋</w:t>
                  </w:r>
                  <w:r>
                    <w:rPr>
                      <w:rFonts w:hint="eastAsia" w:ascii="宋体" w:hAnsi="宋体" w:eastAsia="宋体" w:cs="宋体"/>
                      <w:b w:val="0"/>
                      <w:bCs w:val="0"/>
                      <w:color w:val="auto"/>
                      <w:highlight w:val="none"/>
                      <w:lang w:val="en-US" w:eastAsia="zh-CN"/>
                    </w:rPr>
                    <w:t>由厂家全部回收利用</w:t>
                  </w:r>
                  <w:r>
                    <w:rPr>
                      <w:rFonts w:hint="eastAsia" w:ascii="宋体" w:hAnsi="宋体" w:eastAsia="宋体" w:cs="宋体"/>
                      <w:b w:val="0"/>
                      <w:bCs w:val="0"/>
                      <w:color w:val="auto"/>
                      <w:sz w:val="21"/>
                      <w:szCs w:val="21"/>
                      <w:highlight w:val="none"/>
                      <w:lang w:val="en-US" w:eastAsia="zh-CN"/>
                    </w:rPr>
                    <w:t>。</w:t>
                  </w:r>
                  <w:r>
                    <w:rPr>
                      <w:rFonts w:hint="eastAsia" w:cs="Times New Roman"/>
                      <w:color w:val="auto"/>
                      <w:sz w:val="21"/>
                      <w:szCs w:val="21"/>
                      <w:highlight w:val="none"/>
                      <w:lang w:val="en-US" w:eastAsia="zh-CN"/>
                    </w:rPr>
                    <w:t>废滤膜由厂家回收。</w:t>
                  </w:r>
                </w:p>
              </w:tc>
              <w:tc>
                <w:tcPr>
                  <w:tcW w:w="1611" w:type="pct"/>
                  <w:noWrap w:val="0"/>
                  <w:vAlign w:val="center"/>
                </w:tcPr>
                <w:p>
                  <w:pPr>
                    <w:widowControl w:val="0"/>
                    <w:adjustRightInd w:val="0"/>
                    <w:snapToGrid w:val="0"/>
                    <w:spacing w:line="240" w:lineRule="auto"/>
                    <w:ind w:firstLine="0" w:firstLineChars="0"/>
                    <w:jc w:val="center"/>
                    <w:rPr>
                      <w:rFonts w:ascii="Times New Roman" w:hAnsi="Times New Roman" w:eastAsia="宋体" w:cs="Times New Roman"/>
                      <w:color w:val="auto"/>
                      <w:kern w:val="2"/>
                      <w:sz w:val="21"/>
                      <w:szCs w:val="21"/>
                      <w:lang w:val="en-US" w:eastAsia="zh-CN" w:bidi="ar-SA"/>
                    </w:rPr>
                  </w:pPr>
                  <w:r>
                    <w:rPr>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0"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风险</w:t>
                  </w:r>
                </w:p>
              </w:tc>
              <w:tc>
                <w:tcPr>
                  <w:tcW w:w="561"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运营期</w:t>
                  </w:r>
                </w:p>
              </w:tc>
              <w:tc>
                <w:tcPr>
                  <w:tcW w:w="682"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防火防爆</w:t>
                  </w:r>
                </w:p>
              </w:tc>
              <w:tc>
                <w:tcPr>
                  <w:tcW w:w="1683" w:type="pct"/>
                  <w:noWrap w:val="0"/>
                  <w:vAlign w:val="center"/>
                </w:tcPr>
                <w:p>
                  <w:pPr>
                    <w:widowControl w:val="0"/>
                    <w:adjustRightInd w:val="0"/>
                    <w:snapToGrid w:val="0"/>
                    <w:spacing w:line="240" w:lineRule="auto"/>
                    <w:ind w:firstLine="0" w:firstLineChars="0"/>
                    <w:jc w:val="center"/>
                    <w:rPr>
                      <w:color w:val="auto"/>
                      <w:sz w:val="21"/>
                      <w:szCs w:val="21"/>
                    </w:rPr>
                  </w:pPr>
                  <w:r>
                    <w:rPr>
                      <w:rFonts w:hint="eastAsia"/>
                      <w:color w:val="auto"/>
                      <w:sz w:val="21"/>
                      <w:szCs w:val="21"/>
                    </w:rPr>
                    <w:t>灭火器、</w:t>
                  </w:r>
                  <w:r>
                    <w:rPr>
                      <w:rFonts w:hint="eastAsia"/>
                      <w:bCs/>
                      <w:color w:val="auto"/>
                      <w:sz w:val="21"/>
                      <w:szCs w:val="21"/>
                    </w:rPr>
                    <w:t>标识牌及监控措施等</w:t>
                  </w:r>
                </w:p>
              </w:tc>
              <w:tc>
                <w:tcPr>
                  <w:tcW w:w="1611" w:type="pct"/>
                  <w:noWrap w:val="0"/>
                  <w:vAlign w:val="center"/>
                </w:tcPr>
                <w:p>
                  <w:pPr>
                    <w:widowControl w:val="0"/>
                    <w:adjustRightInd w:val="0"/>
                    <w:snapToGrid w:val="0"/>
                    <w:spacing w:line="240" w:lineRule="auto"/>
                    <w:ind w:firstLine="0" w:firstLineChars="0"/>
                    <w:jc w:val="center"/>
                    <w:rPr>
                      <w:color w:val="auto"/>
                      <w:sz w:val="21"/>
                      <w:szCs w:val="21"/>
                    </w:rPr>
                  </w:pPr>
                  <w:r>
                    <w:rPr>
                      <w:color w:val="auto"/>
                      <w:sz w:val="21"/>
                      <w:szCs w:val="21"/>
                    </w:rPr>
                    <w:t>—</w:t>
                  </w:r>
                </w:p>
              </w:tc>
            </w:tr>
          </w:tbl>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cs="宋体"/>
                <w:bCs/>
                <w:color w:val="auto"/>
                <w:spacing w:val="10"/>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1" w:hRule="atLeast"/>
          <w:jc w:val="center"/>
        </w:trPr>
        <w:tc>
          <w:tcPr>
            <w:tcW w:w="753" w:type="dxa"/>
            <w:noWrap w:val="0"/>
            <w:vAlign w:val="center"/>
          </w:tcPr>
          <w:p>
            <w:pPr>
              <w:adjustRightInd w:val="0"/>
              <w:snapToGrid w:val="0"/>
              <w:jc w:val="center"/>
              <w:rPr>
                <w:rFonts w:ascii="宋体" w:hAnsi="宋体" w:cs="宋体"/>
                <w:bCs/>
                <w:color w:val="auto"/>
                <w:spacing w:val="10"/>
                <w:sz w:val="24"/>
                <w:szCs w:val="24"/>
                <w:highlight w:val="none"/>
              </w:rPr>
            </w:pPr>
            <w:r>
              <w:rPr>
                <w:rFonts w:hint="eastAsia" w:ascii="宋体" w:hAnsi="宋体"/>
                <w:bCs/>
                <w:color w:val="auto"/>
                <w:sz w:val="24"/>
                <w:szCs w:val="24"/>
                <w:highlight w:val="none"/>
              </w:rPr>
              <w:t>环保投资</w:t>
            </w:r>
          </w:p>
        </w:tc>
        <w:tc>
          <w:tcPr>
            <w:tcW w:w="8457" w:type="dxa"/>
            <w:noWrap w:val="0"/>
            <w:vAlign w:val="top"/>
          </w:tcPr>
          <w:p>
            <w:pPr>
              <w:adjustRightInd w:val="0"/>
              <w:snapToGrid w:val="0"/>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本项目总投资</w:t>
            </w:r>
            <w:r>
              <w:rPr>
                <w:rFonts w:hint="eastAsia" w:cs="Times New Roman"/>
                <w:color w:val="auto"/>
                <w:sz w:val="24"/>
                <w:szCs w:val="24"/>
                <w:highlight w:val="none"/>
                <w:lang w:val="en-US" w:eastAsia="zh-CN"/>
              </w:rPr>
              <w:t>18000万元</w:t>
            </w:r>
            <w:r>
              <w:rPr>
                <w:rFonts w:hint="default" w:ascii="Times New Roman" w:hAnsi="Times New Roman" w:cs="Times New Roman"/>
                <w:color w:val="auto"/>
                <w:sz w:val="24"/>
                <w:szCs w:val="24"/>
                <w:highlight w:val="none"/>
                <w:lang w:eastAsia="zh-CN"/>
              </w:rPr>
              <w:t>，环保投资</w:t>
            </w:r>
            <w:r>
              <w:rPr>
                <w:rFonts w:hint="eastAsia" w:cs="Times New Roman"/>
                <w:color w:val="auto"/>
                <w:sz w:val="24"/>
                <w:szCs w:val="24"/>
                <w:highlight w:val="none"/>
                <w:lang w:val="en-US" w:eastAsia="zh-CN"/>
              </w:rPr>
              <w:t>18</w:t>
            </w:r>
            <w:r>
              <w:rPr>
                <w:rFonts w:hint="default" w:ascii="Times New Roman" w:hAnsi="Times New Roman" w:cs="Times New Roman"/>
                <w:color w:val="auto"/>
                <w:sz w:val="24"/>
                <w:szCs w:val="24"/>
                <w:highlight w:val="none"/>
                <w:lang w:eastAsia="zh-CN"/>
              </w:rPr>
              <w:t>万元，环保投资占总投资的</w:t>
            </w:r>
            <w:r>
              <w:rPr>
                <w:rFonts w:hint="eastAsia" w:ascii="Times New Roman" w:hAnsi="Times New Roman" w:cs="Times New Roman"/>
                <w:color w:val="auto"/>
                <w:sz w:val="24"/>
                <w:szCs w:val="24"/>
                <w:highlight w:val="none"/>
                <w:lang w:val="en-US" w:eastAsia="zh-CN"/>
              </w:rPr>
              <w:t>1</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，环保投资具体见表5-</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w:t>
            </w:r>
          </w:p>
          <w:p>
            <w:pPr>
              <w:pStyle w:val="13"/>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cs="Times New Roman"/>
                <w:bCs/>
                <w:color w:val="auto"/>
                <w:spacing w:val="10"/>
                <w:sz w:val="24"/>
                <w:szCs w:val="24"/>
                <w:highlight w:val="none"/>
                <w:lang w:val="en-US" w:eastAsia="zh-CN"/>
              </w:rPr>
            </w:pPr>
            <w:r>
              <w:rPr>
                <w:rFonts w:hint="default" w:ascii="Times New Roman" w:hAnsi="Times New Roman" w:cs="Times New Roman"/>
                <w:bCs/>
                <w:color w:val="auto"/>
                <w:spacing w:val="10"/>
                <w:sz w:val="24"/>
                <w:szCs w:val="24"/>
                <w:highlight w:val="none"/>
                <w:lang w:val="en-US" w:eastAsia="zh-CN"/>
              </w:rPr>
              <w:t>表</w:t>
            </w:r>
            <w:r>
              <w:rPr>
                <w:rFonts w:hint="eastAsia" w:ascii="Times New Roman" w:hAnsi="Times New Roman" w:cs="Times New Roman"/>
                <w:bCs/>
                <w:color w:val="auto"/>
                <w:spacing w:val="10"/>
                <w:sz w:val="24"/>
                <w:szCs w:val="24"/>
                <w:highlight w:val="none"/>
                <w:lang w:val="en-US" w:eastAsia="zh-CN"/>
              </w:rPr>
              <w:t>5</w:t>
            </w:r>
            <w:r>
              <w:rPr>
                <w:rFonts w:hint="default" w:ascii="Times New Roman" w:hAnsi="Times New Roman" w:cs="Times New Roman"/>
                <w:bCs/>
                <w:color w:val="auto"/>
                <w:spacing w:val="10"/>
                <w:sz w:val="24"/>
                <w:szCs w:val="24"/>
                <w:highlight w:val="none"/>
                <w:lang w:val="en-US" w:eastAsia="zh-CN"/>
              </w:rPr>
              <w:t>-</w:t>
            </w:r>
            <w:r>
              <w:rPr>
                <w:rFonts w:hint="eastAsia" w:ascii="Times New Roman" w:hAnsi="Times New Roman" w:cs="Times New Roman"/>
                <w:bCs/>
                <w:color w:val="auto"/>
                <w:spacing w:val="10"/>
                <w:sz w:val="24"/>
                <w:szCs w:val="24"/>
                <w:highlight w:val="none"/>
                <w:lang w:val="en-US" w:eastAsia="zh-CN"/>
              </w:rPr>
              <w:t>2</w:t>
            </w:r>
            <w:r>
              <w:rPr>
                <w:rFonts w:hint="default" w:ascii="Times New Roman" w:hAnsi="Times New Roman" w:cs="Times New Roman"/>
                <w:bCs/>
                <w:color w:val="auto"/>
                <w:spacing w:val="10"/>
                <w:sz w:val="24"/>
                <w:szCs w:val="24"/>
                <w:highlight w:val="none"/>
                <w:lang w:val="en-US" w:eastAsia="zh-CN"/>
              </w:rPr>
              <w:t xml:space="preserve"> 环保投资一览表</w:t>
            </w:r>
          </w:p>
          <w:tbl>
            <w:tblPr>
              <w:tblStyle w:val="25"/>
              <w:tblW w:w="82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
              <w:gridCol w:w="1837"/>
              <w:gridCol w:w="3525"/>
              <w:gridCol w:w="1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3246" w:type="dxa"/>
                  <w:gridSpan w:val="2"/>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default" w:ascii="Times New Roman" w:hAnsi="Times New Roman" w:cs="Times New Roman"/>
                      <w:bCs/>
                      <w:color w:val="auto"/>
                      <w:spacing w:val="10"/>
                      <w:sz w:val="21"/>
                      <w:szCs w:val="21"/>
                      <w:highlight w:val="none"/>
                      <w:vertAlign w:val="baseline"/>
                      <w:lang w:val="en-US" w:eastAsia="zh-CN"/>
                    </w:rPr>
                    <w:t>类别</w:t>
                  </w:r>
                </w:p>
              </w:tc>
              <w:tc>
                <w:tcPr>
                  <w:tcW w:w="3525"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default" w:ascii="Times New Roman" w:hAnsi="Times New Roman" w:cs="Times New Roman"/>
                      <w:bCs/>
                      <w:color w:val="auto"/>
                      <w:spacing w:val="10"/>
                      <w:sz w:val="21"/>
                      <w:szCs w:val="21"/>
                      <w:highlight w:val="none"/>
                      <w:vertAlign w:val="baseline"/>
                      <w:lang w:val="en-US" w:eastAsia="zh-CN"/>
                    </w:rPr>
                    <w:t>环保措施</w:t>
                  </w:r>
                </w:p>
              </w:tc>
              <w:tc>
                <w:tcPr>
                  <w:tcW w:w="1466"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default" w:ascii="Times New Roman" w:hAnsi="Times New Roman" w:cs="Times New Roman"/>
                      <w:bCs/>
                      <w:color w:val="auto"/>
                      <w:spacing w:val="10"/>
                      <w:sz w:val="21"/>
                      <w:szCs w:val="21"/>
                      <w:highlight w:val="none"/>
                      <w:vertAlign w:val="baseline"/>
                      <w:lang w:val="en-US" w:eastAsia="zh-CN"/>
                    </w:rPr>
                    <w:t>投资估算（万元）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409"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ascii="Times New Roman" w:hAnsi="Times New Roman" w:cs="Times New Roman"/>
                      <w:bCs/>
                      <w:color w:val="auto"/>
                      <w:spacing w:val="10"/>
                      <w:sz w:val="21"/>
                      <w:szCs w:val="21"/>
                      <w:highlight w:val="none"/>
                      <w:vertAlign w:val="baseline"/>
                      <w:lang w:val="en-US" w:eastAsia="zh-CN"/>
                    </w:rPr>
                    <w:t>废水</w:t>
                  </w:r>
                </w:p>
              </w:tc>
              <w:tc>
                <w:tcPr>
                  <w:tcW w:w="1837"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ascii="Times New Roman" w:hAnsi="Times New Roman" w:cs="Times New Roman"/>
                      <w:bCs/>
                      <w:color w:val="auto"/>
                      <w:spacing w:val="10"/>
                      <w:sz w:val="21"/>
                      <w:szCs w:val="21"/>
                      <w:highlight w:val="none"/>
                      <w:vertAlign w:val="baseline"/>
                      <w:lang w:val="en-US" w:eastAsia="zh-CN"/>
                    </w:rPr>
                    <w:t>生活污水</w:t>
                  </w:r>
                </w:p>
              </w:tc>
              <w:tc>
                <w:tcPr>
                  <w:tcW w:w="3525" w:type="dxa"/>
                  <w:noWrap w:val="0"/>
                  <w:vAlign w:val="center"/>
                </w:tcPr>
                <w:p>
                  <w:pPr>
                    <w:rPr>
                      <w:rFonts w:hint="eastAsia" w:ascii="Times New Roman" w:hAnsi="Times New Roman" w:cs="Times New Roman"/>
                      <w:bCs/>
                      <w:color w:val="auto"/>
                      <w:spacing w:val="10"/>
                      <w:sz w:val="21"/>
                      <w:szCs w:val="21"/>
                      <w:highlight w:val="none"/>
                      <w:vertAlign w:val="baseline"/>
                      <w:lang w:val="en-US" w:eastAsia="zh-CN"/>
                    </w:rPr>
                  </w:pPr>
                  <w:r>
                    <w:rPr>
                      <w:rFonts w:hint="eastAsia" w:ascii="Times New Roman" w:hAnsi="Times New Roman" w:cs="Times New Roman"/>
                      <w:bCs/>
                      <w:color w:val="auto"/>
                      <w:spacing w:val="10"/>
                      <w:sz w:val="21"/>
                      <w:szCs w:val="21"/>
                      <w:highlight w:val="none"/>
                      <w:vertAlign w:val="baseline"/>
                      <w:lang w:val="en-US" w:eastAsia="zh-CN"/>
                    </w:rPr>
                    <w:t>生活污水排入</w:t>
                  </w:r>
                  <w:r>
                    <w:rPr>
                      <w:rFonts w:hint="eastAsia" w:cs="Times New Roman"/>
                      <w:bCs/>
                      <w:color w:val="auto"/>
                      <w:spacing w:val="10"/>
                      <w:sz w:val="21"/>
                      <w:szCs w:val="21"/>
                      <w:highlight w:val="none"/>
                      <w:vertAlign w:val="baseline"/>
                      <w:lang w:val="en-US" w:eastAsia="zh-CN"/>
                    </w:rPr>
                    <w:t>30</w:t>
                  </w:r>
                  <w:r>
                    <w:rPr>
                      <w:rFonts w:hint="eastAsia" w:ascii="Times New Roman" w:hAnsi="Times New Roman" w:cs="Times New Roman"/>
                      <w:bCs/>
                      <w:color w:val="auto"/>
                      <w:spacing w:val="10"/>
                      <w:sz w:val="21"/>
                      <w:szCs w:val="21"/>
                      <w:highlight w:val="none"/>
                      <w:vertAlign w:val="baseline"/>
                      <w:lang w:val="en-US" w:eastAsia="zh-CN"/>
                    </w:rPr>
                    <w:t>m</w:t>
                  </w:r>
                  <w:r>
                    <w:rPr>
                      <w:rFonts w:hint="default" w:ascii="Times New Roman" w:hAnsi="Times New Roman" w:cs="Times New Roman"/>
                      <w:bCs/>
                      <w:color w:val="auto"/>
                      <w:spacing w:val="10"/>
                      <w:sz w:val="21"/>
                      <w:szCs w:val="21"/>
                      <w:highlight w:val="none"/>
                      <w:vertAlign w:val="baseline"/>
                      <w:lang w:val="en-US" w:eastAsia="zh-CN"/>
                    </w:rPr>
                    <w:t>³</w:t>
                  </w:r>
                  <w:r>
                    <w:rPr>
                      <w:rFonts w:hint="eastAsia" w:ascii="Times New Roman" w:hAnsi="Times New Roman" w:cs="Times New Roman"/>
                      <w:bCs/>
                      <w:color w:val="auto"/>
                      <w:spacing w:val="10"/>
                      <w:sz w:val="21"/>
                      <w:szCs w:val="21"/>
                      <w:highlight w:val="none"/>
                      <w:vertAlign w:val="baseline"/>
                      <w:lang w:val="en-US" w:eastAsia="zh-CN"/>
                    </w:rPr>
                    <w:t>化粪池</w:t>
                  </w:r>
                  <w:r>
                    <w:rPr>
                      <w:rFonts w:hint="eastAsia" w:cs="Times New Roman"/>
                      <w:bCs/>
                      <w:color w:val="auto"/>
                      <w:spacing w:val="10"/>
                      <w:sz w:val="21"/>
                      <w:szCs w:val="21"/>
                      <w:highlight w:val="none"/>
                      <w:vertAlign w:val="baseline"/>
                      <w:lang w:val="en-US" w:eastAsia="zh-CN"/>
                    </w:rPr>
                    <w:t>暂存后</w:t>
                  </w:r>
                  <w:r>
                    <w:rPr>
                      <w:rFonts w:hint="eastAsia" w:ascii="Times New Roman" w:hAnsi="Times New Roman" w:cs="Times New Roman"/>
                      <w:bCs/>
                      <w:color w:val="auto"/>
                      <w:spacing w:val="10"/>
                      <w:sz w:val="21"/>
                      <w:szCs w:val="21"/>
                      <w:highlight w:val="none"/>
                      <w:vertAlign w:val="baseline"/>
                      <w:lang w:val="en-US" w:eastAsia="zh-CN"/>
                    </w:rPr>
                    <w:t>经污水管网</w:t>
                  </w:r>
                  <w:r>
                    <w:rPr>
                      <w:rFonts w:hint="eastAsia" w:cs="Times New Roman"/>
                      <w:bCs/>
                      <w:color w:val="auto"/>
                      <w:spacing w:val="10"/>
                      <w:sz w:val="21"/>
                      <w:szCs w:val="21"/>
                      <w:highlight w:val="none"/>
                      <w:vertAlign w:val="baseline"/>
                      <w:lang w:val="en-US" w:eastAsia="zh-CN"/>
                    </w:rPr>
                    <w:t>再</w:t>
                  </w:r>
                  <w:r>
                    <w:rPr>
                      <w:rFonts w:hint="eastAsia" w:ascii="Times New Roman" w:hAnsi="Times New Roman" w:cs="Times New Roman"/>
                      <w:bCs/>
                      <w:color w:val="auto"/>
                      <w:spacing w:val="10"/>
                      <w:sz w:val="21"/>
                      <w:szCs w:val="21"/>
                      <w:highlight w:val="none"/>
                      <w:vertAlign w:val="baseline"/>
                      <w:lang w:val="en-US" w:eastAsia="zh-CN"/>
                    </w:rPr>
                    <w:t>进入阿勒腾席热镇污水处理厂处理</w:t>
                  </w:r>
                </w:p>
              </w:tc>
              <w:tc>
                <w:tcPr>
                  <w:tcW w:w="1466"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cs="Times New Roman"/>
                      <w:bCs/>
                      <w:color w:val="auto"/>
                      <w:spacing w:val="10"/>
                      <w:sz w:val="21"/>
                      <w:szCs w:val="21"/>
                      <w:highlight w:val="none"/>
                      <w:vertAlign w:val="baseline"/>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409"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default" w:ascii="Times New Roman" w:hAnsi="Times New Roman" w:cs="Times New Roman"/>
                      <w:bCs/>
                      <w:color w:val="auto"/>
                      <w:spacing w:val="10"/>
                      <w:sz w:val="21"/>
                      <w:szCs w:val="21"/>
                      <w:highlight w:val="none"/>
                      <w:vertAlign w:val="baseline"/>
                      <w:lang w:val="en-US" w:eastAsia="zh-CN"/>
                    </w:rPr>
                    <w:t>噪声</w:t>
                  </w:r>
                </w:p>
              </w:tc>
              <w:tc>
                <w:tcPr>
                  <w:tcW w:w="1837"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default" w:ascii="Times New Roman" w:hAnsi="Times New Roman" w:cs="Times New Roman"/>
                      <w:bCs/>
                      <w:color w:val="auto"/>
                      <w:spacing w:val="10"/>
                      <w:sz w:val="21"/>
                      <w:szCs w:val="21"/>
                      <w:highlight w:val="none"/>
                      <w:vertAlign w:val="baseline"/>
                      <w:lang w:val="en-US" w:eastAsia="zh-CN"/>
                    </w:rPr>
                    <w:t>主要为</w:t>
                  </w:r>
                  <w:r>
                    <w:rPr>
                      <w:rFonts w:hint="eastAsia" w:ascii="Times New Roman" w:hAnsi="Times New Roman" w:cs="Times New Roman"/>
                      <w:bCs/>
                      <w:color w:val="auto"/>
                      <w:spacing w:val="10"/>
                      <w:sz w:val="21"/>
                      <w:szCs w:val="21"/>
                      <w:highlight w:val="none"/>
                      <w:vertAlign w:val="baseline"/>
                      <w:lang w:val="en-US" w:eastAsia="zh-CN"/>
                    </w:rPr>
                    <w:t>设备</w:t>
                  </w:r>
                  <w:r>
                    <w:rPr>
                      <w:rFonts w:hint="default" w:ascii="Times New Roman" w:hAnsi="Times New Roman" w:cs="Times New Roman"/>
                      <w:bCs/>
                      <w:color w:val="auto"/>
                      <w:spacing w:val="10"/>
                      <w:sz w:val="21"/>
                      <w:szCs w:val="21"/>
                      <w:highlight w:val="none"/>
                      <w:vertAlign w:val="baseline"/>
                      <w:lang w:val="en-US" w:eastAsia="zh-CN"/>
                    </w:rPr>
                    <w:t>产生的噪声</w:t>
                  </w:r>
                </w:p>
              </w:tc>
              <w:tc>
                <w:tcPr>
                  <w:tcW w:w="3525"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ascii="Times New Roman" w:hAnsi="Times New Roman" w:cs="Times New Roman"/>
                      <w:bCs/>
                      <w:color w:val="auto"/>
                      <w:spacing w:val="10"/>
                      <w:sz w:val="21"/>
                      <w:szCs w:val="21"/>
                      <w:highlight w:val="none"/>
                      <w:vertAlign w:val="baseline"/>
                      <w:lang w:val="en-US" w:eastAsia="zh-CN"/>
                    </w:rPr>
                    <w:t>合理布局，基础减振、隔声。</w:t>
                  </w:r>
                </w:p>
              </w:tc>
              <w:tc>
                <w:tcPr>
                  <w:tcW w:w="1466"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cs="Times New Roman"/>
                      <w:bCs/>
                      <w:color w:val="auto"/>
                      <w:spacing w:val="10"/>
                      <w:sz w:val="21"/>
                      <w:szCs w:val="21"/>
                      <w:highlight w:val="none"/>
                      <w:vertAlign w:val="baseline"/>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1409" w:type="dxa"/>
                  <w:vMerge w:val="restart"/>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ascii="Times New Roman" w:hAnsi="Times New Roman" w:cs="Times New Roman"/>
                      <w:bCs/>
                      <w:color w:val="auto"/>
                      <w:spacing w:val="10"/>
                      <w:sz w:val="21"/>
                      <w:szCs w:val="21"/>
                      <w:highlight w:val="none"/>
                      <w:vertAlign w:val="baseline"/>
                      <w:lang w:val="en-US" w:eastAsia="zh-CN"/>
                    </w:rPr>
                    <w:t>固废</w:t>
                  </w:r>
                </w:p>
              </w:tc>
              <w:tc>
                <w:tcPr>
                  <w:tcW w:w="1837"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rightChars="0"/>
                    <w:jc w:val="center"/>
                    <w:textAlignment w:val="auto"/>
                    <w:rPr>
                      <w:rFonts w:hint="default" w:ascii="Times New Roman" w:hAnsi="Times New Roman" w:cs="Times New Roman"/>
                      <w:bCs/>
                      <w:color w:val="auto"/>
                      <w:spacing w:val="10"/>
                      <w:kern w:val="0"/>
                      <w:sz w:val="21"/>
                      <w:szCs w:val="21"/>
                      <w:highlight w:val="none"/>
                      <w:vertAlign w:val="baseline"/>
                      <w:lang w:val="en-US" w:eastAsia="zh-CN" w:bidi="ar-SA"/>
                    </w:rPr>
                  </w:pPr>
                  <w:r>
                    <w:rPr>
                      <w:rFonts w:hint="eastAsia" w:ascii="Times New Roman" w:hAnsi="Times New Roman" w:cs="Times New Roman"/>
                      <w:color w:val="auto"/>
                      <w:sz w:val="21"/>
                      <w:szCs w:val="21"/>
                      <w:highlight w:val="none"/>
                      <w:lang w:eastAsia="zh-CN"/>
                    </w:rPr>
                    <w:t>有机肥</w:t>
                  </w:r>
                  <w:r>
                    <w:rPr>
                      <w:rFonts w:hint="default" w:ascii="Times New Roman" w:hAnsi="Times New Roman" w:cs="Times New Roman"/>
                      <w:color w:val="auto"/>
                      <w:sz w:val="21"/>
                      <w:szCs w:val="21"/>
                      <w:highlight w:val="none"/>
                    </w:rPr>
                    <w:t>包装物</w:t>
                  </w:r>
                </w:p>
              </w:tc>
              <w:tc>
                <w:tcPr>
                  <w:tcW w:w="3525"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rightChars="0"/>
                    <w:jc w:val="center"/>
                    <w:textAlignment w:val="auto"/>
                    <w:rPr>
                      <w:rFonts w:hint="eastAsia" w:ascii="Times New Roman" w:hAnsi="Times New Roman" w:cs="Times New Roman"/>
                      <w:bCs/>
                      <w:color w:val="auto"/>
                      <w:spacing w:val="10"/>
                      <w:kern w:val="0"/>
                      <w:sz w:val="21"/>
                      <w:szCs w:val="21"/>
                      <w:highlight w:val="none"/>
                      <w:vertAlign w:val="baseline"/>
                      <w:lang w:val="en-US" w:eastAsia="zh-CN" w:bidi="ar-SA"/>
                    </w:rPr>
                  </w:pPr>
                  <w:r>
                    <w:rPr>
                      <w:rFonts w:hint="eastAsia" w:cs="Times New Roman"/>
                      <w:bCs/>
                      <w:color w:val="auto"/>
                      <w:spacing w:val="10"/>
                      <w:kern w:val="0"/>
                      <w:sz w:val="21"/>
                      <w:szCs w:val="21"/>
                      <w:highlight w:val="none"/>
                      <w:vertAlign w:val="baseline"/>
                      <w:lang w:val="en-US" w:eastAsia="zh-CN" w:bidi="ar-SA"/>
                    </w:rPr>
                    <w:t>由有机肥生产厂家回收利用</w:t>
                  </w:r>
                </w:p>
              </w:tc>
              <w:tc>
                <w:tcPr>
                  <w:tcW w:w="1466" w:type="dxa"/>
                  <w:vMerge w:val="restart"/>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cs="Times New Roman"/>
                      <w:bCs/>
                      <w:color w:val="auto"/>
                      <w:spacing w:val="10"/>
                      <w:sz w:val="21"/>
                      <w:szCs w:val="21"/>
                      <w:highlight w:val="none"/>
                      <w:vertAlign w:val="baseli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1409" w:type="dxa"/>
                  <w:vMerge w:val="continue"/>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color w:val="auto"/>
                      <w:sz w:val="21"/>
                      <w:szCs w:val="21"/>
                      <w:highlight w:val="none"/>
                    </w:rPr>
                  </w:pPr>
                </w:p>
              </w:tc>
              <w:tc>
                <w:tcPr>
                  <w:tcW w:w="1837"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ascii="Times New Roman" w:hAnsi="Times New Roman" w:cs="Times New Roman"/>
                      <w:bCs/>
                      <w:color w:val="auto"/>
                      <w:spacing w:val="10"/>
                      <w:sz w:val="21"/>
                      <w:szCs w:val="21"/>
                      <w:highlight w:val="none"/>
                      <w:vertAlign w:val="baseline"/>
                      <w:lang w:val="en-US" w:eastAsia="zh-CN"/>
                    </w:rPr>
                    <w:t>生活垃圾</w:t>
                  </w:r>
                </w:p>
              </w:tc>
              <w:tc>
                <w:tcPr>
                  <w:tcW w:w="3525" w:type="dxa"/>
                  <w:vMerge w:val="restart"/>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ascii="宋体" w:hAnsi="宋体" w:eastAsia="宋体" w:cs="宋体"/>
                      <w:b w:val="0"/>
                      <w:bCs w:val="0"/>
                      <w:color w:val="auto"/>
                      <w:sz w:val="21"/>
                      <w:szCs w:val="21"/>
                      <w:highlight w:val="none"/>
                      <w:lang w:val="en-US" w:eastAsia="zh-CN"/>
                    </w:rPr>
                    <w:t>委托环卫部门进行清运</w:t>
                  </w:r>
                </w:p>
              </w:tc>
              <w:tc>
                <w:tcPr>
                  <w:tcW w:w="1466" w:type="dxa"/>
                  <w:vMerge w:val="continue"/>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1409" w:type="dxa"/>
                  <w:vMerge w:val="continue"/>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p>
              </w:tc>
              <w:tc>
                <w:tcPr>
                  <w:tcW w:w="1837"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ascii="Times New Roman" w:hAnsi="Times New Roman" w:cs="Times New Roman"/>
                      <w:color w:val="auto"/>
                      <w:sz w:val="21"/>
                      <w:szCs w:val="21"/>
                      <w:highlight w:val="none"/>
                      <w:lang w:eastAsia="zh-CN"/>
                    </w:rPr>
                    <w:t>废弃农膜</w:t>
                  </w:r>
                </w:p>
              </w:tc>
              <w:tc>
                <w:tcPr>
                  <w:tcW w:w="3525" w:type="dxa"/>
                  <w:vMerge w:val="continue"/>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p>
              </w:tc>
              <w:tc>
                <w:tcPr>
                  <w:tcW w:w="1466" w:type="dxa"/>
                  <w:vMerge w:val="continue"/>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1409" w:type="dxa"/>
                  <w:vMerge w:val="continue"/>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p>
              </w:tc>
              <w:tc>
                <w:tcPr>
                  <w:tcW w:w="1837"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default" w:ascii="Times New Roman" w:hAnsi="Times New Roman" w:cs="Times New Roman"/>
                      <w:bCs/>
                      <w:color w:val="auto"/>
                      <w:spacing w:val="10"/>
                      <w:sz w:val="21"/>
                      <w:szCs w:val="21"/>
                      <w:highlight w:val="none"/>
                      <w:vertAlign w:val="baseline"/>
                      <w:lang w:val="en-US" w:eastAsia="zh-CN"/>
                    </w:rPr>
                    <w:t>分拣废物</w:t>
                  </w:r>
                </w:p>
              </w:tc>
              <w:tc>
                <w:tcPr>
                  <w:tcW w:w="3525" w:type="dxa"/>
                  <w:vMerge w:val="continue"/>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p>
              </w:tc>
              <w:tc>
                <w:tcPr>
                  <w:tcW w:w="1466" w:type="dxa"/>
                  <w:vMerge w:val="continue"/>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1409" w:type="dxa"/>
                  <w:vMerge w:val="continue"/>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p>
              </w:tc>
              <w:tc>
                <w:tcPr>
                  <w:tcW w:w="1837"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cs="Times New Roman"/>
                      <w:bCs/>
                      <w:color w:val="auto"/>
                      <w:spacing w:val="10"/>
                      <w:sz w:val="21"/>
                      <w:szCs w:val="21"/>
                      <w:highlight w:val="none"/>
                      <w:vertAlign w:val="baseline"/>
                      <w:lang w:val="en-US" w:eastAsia="zh-CN"/>
                    </w:rPr>
                    <w:t>废滤膜</w:t>
                  </w:r>
                </w:p>
              </w:tc>
              <w:tc>
                <w:tcPr>
                  <w:tcW w:w="3525"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eastAsia" w:ascii="Times New Roman" w:hAnsi="Times New Roman" w:eastAsia="宋体" w:cs="Times New Roman"/>
                      <w:bCs/>
                      <w:color w:val="auto"/>
                      <w:spacing w:val="10"/>
                      <w:sz w:val="21"/>
                      <w:szCs w:val="21"/>
                      <w:highlight w:val="none"/>
                      <w:vertAlign w:val="baseline"/>
                      <w:lang w:val="en-US" w:eastAsia="zh-CN"/>
                    </w:rPr>
                  </w:pPr>
                  <w:r>
                    <w:rPr>
                      <w:rFonts w:hint="eastAsia" w:ascii="宋体" w:hAnsi="宋体" w:eastAsia="宋体" w:cs="宋体"/>
                      <w:b w:val="0"/>
                      <w:bCs w:val="0"/>
                      <w:color w:val="auto"/>
                      <w:sz w:val="21"/>
                      <w:szCs w:val="21"/>
                      <w:highlight w:val="none"/>
                      <w:lang w:val="en-US" w:eastAsia="zh-CN"/>
                    </w:rPr>
                    <w:t>废滤膜由厂家回收</w:t>
                  </w:r>
                  <w:r>
                    <w:rPr>
                      <w:rFonts w:hint="eastAsia" w:ascii="宋体" w:hAnsi="宋体" w:cs="宋体"/>
                      <w:b w:val="0"/>
                      <w:bCs w:val="0"/>
                      <w:color w:val="auto"/>
                      <w:sz w:val="21"/>
                      <w:szCs w:val="21"/>
                      <w:highlight w:val="none"/>
                      <w:lang w:val="en-US" w:eastAsia="zh-CN"/>
                    </w:rPr>
                    <w:t>处置</w:t>
                  </w:r>
                </w:p>
              </w:tc>
              <w:tc>
                <w:tcPr>
                  <w:tcW w:w="1466"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cs="Times New Roman"/>
                      <w:bCs/>
                      <w:color w:val="auto"/>
                      <w:spacing w:val="10"/>
                      <w:sz w:val="21"/>
                      <w:szCs w:val="21"/>
                      <w:highlight w:val="none"/>
                      <w:vertAlign w:val="baseline"/>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6771" w:type="dxa"/>
                  <w:gridSpan w:val="3"/>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default" w:ascii="Times New Roman" w:hAnsi="Times New Roman" w:cs="Times New Roman"/>
                      <w:bCs/>
                      <w:color w:val="auto"/>
                      <w:spacing w:val="10"/>
                      <w:sz w:val="21"/>
                      <w:szCs w:val="21"/>
                      <w:highlight w:val="none"/>
                      <w:vertAlign w:val="baseline"/>
                      <w:lang w:val="en-US" w:eastAsia="zh-CN"/>
                    </w:rPr>
                    <w:t>合计</w:t>
                  </w:r>
                </w:p>
              </w:tc>
              <w:tc>
                <w:tcPr>
                  <w:tcW w:w="1466" w:type="dxa"/>
                  <w:noWrap w:val="0"/>
                  <w:vAlign w:val="center"/>
                </w:tcPr>
                <w:p>
                  <w:pPr>
                    <w:pStyle w:val="13"/>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cs="Times New Roman"/>
                      <w:bCs/>
                      <w:color w:val="auto"/>
                      <w:spacing w:val="10"/>
                      <w:sz w:val="21"/>
                      <w:szCs w:val="21"/>
                      <w:highlight w:val="none"/>
                      <w:vertAlign w:val="baseline"/>
                      <w:lang w:val="en-US" w:eastAsia="zh-CN"/>
                    </w:rPr>
                  </w:pPr>
                  <w:r>
                    <w:rPr>
                      <w:rFonts w:hint="eastAsia" w:cs="Times New Roman"/>
                      <w:bCs/>
                      <w:color w:val="auto"/>
                      <w:spacing w:val="10"/>
                      <w:sz w:val="21"/>
                      <w:szCs w:val="21"/>
                      <w:highlight w:val="none"/>
                      <w:vertAlign w:val="baseline"/>
                      <w:lang w:val="en-US" w:eastAsia="zh-CN"/>
                    </w:rPr>
                    <w:t>18</w:t>
                  </w:r>
                </w:p>
              </w:tc>
            </w:tr>
          </w:tbl>
          <w:p>
            <w:pPr>
              <w:adjustRightInd w:val="0"/>
              <w:snapToGrid w:val="0"/>
              <w:rPr>
                <w:rFonts w:ascii="宋体" w:hAnsi="宋体" w:cs="宋体"/>
                <w:bCs/>
                <w:color w:val="auto"/>
                <w:spacing w:val="10"/>
                <w:sz w:val="24"/>
                <w:szCs w:val="24"/>
                <w:highlight w:val="none"/>
              </w:rPr>
            </w:pPr>
          </w:p>
        </w:tc>
      </w:tr>
    </w:tbl>
    <w:p>
      <w:pPr>
        <w:rPr>
          <w:color w:val="auto"/>
          <w:highlight w:val="none"/>
        </w:r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pPr>
        <w:pStyle w:val="21"/>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六、生态环境保护措施监督检查清单</w:t>
      </w:r>
    </w:p>
    <w:tbl>
      <w:tblPr>
        <w:tblStyle w:val="2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53"/>
        <w:gridCol w:w="2052"/>
        <w:gridCol w:w="1392"/>
        <w:gridCol w:w="1585"/>
        <w:gridCol w:w="184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69" w:type="pct"/>
            <w:vMerge w:val="restart"/>
            <w:tcBorders>
              <w:tl2br w:val="single" w:color="auto" w:sz="4" w:space="0"/>
            </w:tcBorders>
            <w:noWrap w:val="0"/>
            <w:vAlign w:val="top"/>
          </w:tcPr>
          <w:p>
            <w:pPr>
              <w:pStyle w:val="21"/>
              <w:adjustRightInd w:val="0"/>
              <w:snapToGrid w:val="0"/>
              <w:spacing w:before="72" w:beforeLines="30" w:beforeAutospacing="0" w:after="0" w:afterAutospacing="0"/>
              <w:jc w:val="center"/>
              <w:outlineLvl w:val="0"/>
              <w:rPr>
                <w:rFonts w:ascii="黑体" w:hAnsi="黑体" w:eastAsia="黑体" w:cs="宋体"/>
                <w:color w:val="auto"/>
                <w:kern w:val="2"/>
                <w:sz w:val="21"/>
                <w:szCs w:val="21"/>
                <w:highlight w:val="none"/>
              </w:rPr>
            </w:pPr>
            <w:r>
              <w:rPr>
                <w:rFonts w:hint="eastAsia" w:ascii="黑体" w:hAnsi="黑体" w:eastAsia="黑体" w:cs="宋体"/>
                <w:color w:val="auto"/>
                <w:kern w:val="2"/>
                <w:sz w:val="21"/>
                <w:szCs w:val="21"/>
                <w:highlight w:val="none"/>
              </w:rPr>
              <w:t xml:space="preserve">        内容</w:t>
            </w:r>
          </w:p>
          <w:p>
            <w:pPr>
              <w:pStyle w:val="21"/>
              <w:adjustRightInd w:val="0"/>
              <w:snapToGrid w:val="0"/>
              <w:spacing w:before="0" w:beforeAutospacing="0" w:after="0" w:afterAutospacing="0" w:line="14" w:lineRule="auto"/>
              <w:outlineLvl w:val="0"/>
              <w:rPr>
                <w:rFonts w:hint="eastAsia" w:ascii="黑体" w:hAnsi="黑体" w:eastAsia="黑体" w:cs="宋体"/>
                <w:color w:val="auto"/>
                <w:kern w:val="2"/>
                <w:sz w:val="135"/>
                <w:szCs w:val="21"/>
                <w:highlight w:val="none"/>
              </w:rPr>
            </w:pPr>
            <w:r>
              <w:rPr>
                <w:rFonts w:hint="eastAsia" w:ascii="黑体" w:hAnsi="黑体" w:eastAsia="黑体" w:cs="宋体"/>
                <w:color w:val="auto"/>
                <w:kern w:val="2"/>
                <w:sz w:val="21"/>
                <w:szCs w:val="21"/>
                <w:highlight w:val="none"/>
              </w:rPr>
              <w:t xml:space="preserve"> </w:t>
            </w:r>
            <w:r>
              <w:rPr>
                <w:rFonts w:hint="eastAsia" w:ascii="黑体" w:hAnsi="黑体" w:eastAsia="黑体" w:cs="宋体"/>
                <w:color w:val="auto"/>
                <w:kern w:val="2"/>
                <w:sz w:val="135"/>
                <w:szCs w:val="21"/>
                <w:highlight w:val="none"/>
              </w:rPr>
              <w:t xml:space="preserve"> </w:t>
            </w:r>
          </w:p>
          <w:p>
            <w:pPr>
              <w:pStyle w:val="21"/>
              <w:adjustRightInd w:val="0"/>
              <w:snapToGrid w:val="0"/>
              <w:spacing w:before="0" w:beforeAutospacing="0" w:after="0" w:afterAutospacing="0"/>
              <w:outlineLvl w:val="0"/>
              <w:rPr>
                <w:rFonts w:hint="eastAsia" w:ascii="黑体" w:hAnsi="黑体" w:eastAsia="黑体" w:cs="宋体"/>
                <w:color w:val="auto"/>
                <w:kern w:val="2"/>
                <w:sz w:val="21"/>
                <w:szCs w:val="21"/>
                <w:highlight w:val="none"/>
              </w:rPr>
            </w:pPr>
            <w:r>
              <w:rPr>
                <w:rFonts w:hint="eastAsia" w:ascii="黑体" w:hAnsi="黑体" w:eastAsia="黑体" w:cs="宋体"/>
                <w:color w:val="auto"/>
                <w:kern w:val="2"/>
                <w:sz w:val="21"/>
                <w:szCs w:val="21"/>
                <w:highlight w:val="none"/>
              </w:rPr>
              <w:t>要素</w:t>
            </w:r>
          </w:p>
        </w:tc>
        <w:tc>
          <w:tcPr>
            <w:tcW w:w="2020" w:type="pct"/>
            <w:gridSpan w:val="2"/>
            <w:noWrap w:val="0"/>
            <w:vAlign w:val="center"/>
          </w:tcPr>
          <w:p>
            <w:pPr>
              <w:pStyle w:val="21"/>
              <w:adjustRightInd w:val="0"/>
              <w:snapToGrid w:val="0"/>
              <w:spacing w:before="0" w:beforeAutospacing="0" w:after="0" w:afterAutospacing="0"/>
              <w:jc w:val="center"/>
              <w:outlineLvl w:val="0"/>
              <w:rPr>
                <w:rFonts w:ascii="黑体" w:hAnsi="黑体" w:eastAsia="黑体" w:cs="宋体"/>
                <w:color w:val="auto"/>
                <w:kern w:val="2"/>
                <w:sz w:val="21"/>
                <w:szCs w:val="21"/>
                <w:highlight w:val="none"/>
              </w:rPr>
            </w:pPr>
            <w:r>
              <w:rPr>
                <w:rFonts w:hint="eastAsia" w:ascii="黑体" w:hAnsi="黑体" w:eastAsia="黑体" w:cs="宋体"/>
                <w:color w:val="auto"/>
                <w:kern w:val="2"/>
                <w:sz w:val="21"/>
                <w:szCs w:val="21"/>
                <w:highlight w:val="none"/>
              </w:rPr>
              <w:t>施工期</w:t>
            </w:r>
          </w:p>
        </w:tc>
        <w:tc>
          <w:tcPr>
            <w:tcW w:w="2009" w:type="pct"/>
            <w:gridSpan w:val="2"/>
            <w:noWrap w:val="0"/>
            <w:vAlign w:val="center"/>
          </w:tcPr>
          <w:p>
            <w:pPr>
              <w:pStyle w:val="21"/>
              <w:adjustRightInd w:val="0"/>
              <w:snapToGrid w:val="0"/>
              <w:spacing w:before="0" w:beforeAutospacing="0" w:after="0" w:afterAutospacing="0"/>
              <w:jc w:val="center"/>
              <w:outlineLvl w:val="0"/>
              <w:rPr>
                <w:rFonts w:ascii="黑体" w:hAnsi="黑体" w:eastAsia="黑体" w:cs="宋体"/>
                <w:color w:val="auto"/>
                <w:kern w:val="2"/>
                <w:sz w:val="21"/>
                <w:szCs w:val="21"/>
                <w:highlight w:val="none"/>
              </w:rPr>
            </w:pPr>
            <w:r>
              <w:rPr>
                <w:rFonts w:hint="eastAsia" w:ascii="黑体" w:hAnsi="黑体" w:eastAsia="黑体" w:cs="宋体"/>
                <w:color w:val="auto"/>
                <w:kern w:val="2"/>
                <w:sz w:val="21"/>
                <w:szCs w:val="21"/>
                <w:highlight w:val="none"/>
              </w:rPr>
              <w:t>运营期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pct"/>
            <w:vMerge w:val="continue"/>
            <w:noWrap w:val="0"/>
            <w:vAlign w:val="top"/>
          </w:tcPr>
          <w:p>
            <w:pPr>
              <w:pStyle w:val="21"/>
              <w:adjustRightInd w:val="0"/>
              <w:snapToGrid w:val="0"/>
              <w:spacing w:before="0" w:beforeAutospacing="0" w:after="0" w:afterAutospacing="0"/>
              <w:ind w:firstLine="840"/>
              <w:jc w:val="center"/>
              <w:outlineLvl w:val="0"/>
              <w:rPr>
                <w:rFonts w:ascii="黑体" w:hAnsi="黑体" w:eastAsia="黑体" w:cs="宋体"/>
                <w:color w:val="auto"/>
                <w:kern w:val="2"/>
                <w:sz w:val="21"/>
                <w:szCs w:val="21"/>
                <w:highlight w:val="none"/>
              </w:rPr>
            </w:pPr>
          </w:p>
        </w:tc>
        <w:tc>
          <w:tcPr>
            <w:tcW w:w="1203" w:type="pct"/>
            <w:noWrap w:val="0"/>
            <w:vAlign w:val="center"/>
          </w:tcPr>
          <w:p>
            <w:pPr>
              <w:pStyle w:val="21"/>
              <w:adjustRightInd w:val="0"/>
              <w:snapToGrid w:val="0"/>
              <w:spacing w:before="0" w:beforeAutospacing="0" w:after="0" w:afterAutospacing="0"/>
              <w:jc w:val="center"/>
              <w:outlineLvl w:val="0"/>
              <w:rPr>
                <w:rFonts w:ascii="黑体" w:hAnsi="黑体" w:eastAsia="黑体" w:cs="宋体"/>
                <w:color w:val="auto"/>
                <w:kern w:val="2"/>
                <w:sz w:val="21"/>
                <w:szCs w:val="21"/>
                <w:highlight w:val="none"/>
              </w:rPr>
            </w:pPr>
            <w:r>
              <w:rPr>
                <w:rFonts w:hint="eastAsia" w:ascii="黑体" w:hAnsi="黑体" w:eastAsia="黑体" w:cs="宋体"/>
                <w:color w:val="auto"/>
                <w:kern w:val="2"/>
                <w:sz w:val="21"/>
                <w:szCs w:val="21"/>
                <w:highlight w:val="none"/>
              </w:rPr>
              <w:t>环境保护措施</w:t>
            </w:r>
          </w:p>
        </w:tc>
        <w:tc>
          <w:tcPr>
            <w:tcW w:w="816" w:type="pct"/>
            <w:noWrap w:val="0"/>
            <w:vAlign w:val="center"/>
          </w:tcPr>
          <w:p>
            <w:pPr>
              <w:pStyle w:val="21"/>
              <w:adjustRightInd w:val="0"/>
              <w:snapToGrid w:val="0"/>
              <w:spacing w:before="0" w:beforeAutospacing="0" w:after="0" w:afterAutospacing="0"/>
              <w:jc w:val="center"/>
              <w:outlineLvl w:val="0"/>
              <w:rPr>
                <w:rFonts w:ascii="黑体" w:hAnsi="黑体" w:eastAsia="黑体" w:cs="宋体"/>
                <w:color w:val="auto"/>
                <w:kern w:val="2"/>
                <w:sz w:val="21"/>
                <w:szCs w:val="21"/>
                <w:highlight w:val="none"/>
              </w:rPr>
            </w:pPr>
            <w:r>
              <w:rPr>
                <w:rFonts w:hint="eastAsia" w:ascii="黑体" w:hAnsi="黑体" w:eastAsia="黑体" w:cs="宋体"/>
                <w:color w:val="auto"/>
                <w:kern w:val="2"/>
                <w:sz w:val="21"/>
                <w:szCs w:val="21"/>
                <w:highlight w:val="none"/>
              </w:rPr>
              <w:t>验收要求</w:t>
            </w:r>
          </w:p>
        </w:tc>
        <w:tc>
          <w:tcPr>
            <w:tcW w:w="929" w:type="pct"/>
            <w:noWrap w:val="0"/>
            <w:vAlign w:val="center"/>
          </w:tcPr>
          <w:p>
            <w:pPr>
              <w:pStyle w:val="21"/>
              <w:adjustRightInd w:val="0"/>
              <w:snapToGrid w:val="0"/>
              <w:spacing w:before="0" w:beforeAutospacing="0" w:after="0" w:afterAutospacing="0"/>
              <w:jc w:val="center"/>
              <w:outlineLvl w:val="0"/>
              <w:rPr>
                <w:rFonts w:ascii="黑体" w:hAnsi="黑体" w:eastAsia="黑体" w:cs="宋体"/>
                <w:color w:val="auto"/>
                <w:kern w:val="2"/>
                <w:sz w:val="21"/>
                <w:szCs w:val="21"/>
                <w:highlight w:val="none"/>
              </w:rPr>
            </w:pPr>
            <w:r>
              <w:rPr>
                <w:rFonts w:hint="eastAsia" w:ascii="黑体" w:hAnsi="黑体" w:eastAsia="黑体" w:cs="宋体"/>
                <w:color w:val="auto"/>
                <w:kern w:val="2"/>
                <w:sz w:val="21"/>
                <w:szCs w:val="21"/>
                <w:highlight w:val="none"/>
              </w:rPr>
              <w:t>环境保护措施</w:t>
            </w:r>
          </w:p>
        </w:tc>
        <w:tc>
          <w:tcPr>
            <w:tcW w:w="1079" w:type="pct"/>
            <w:noWrap w:val="0"/>
            <w:vAlign w:val="center"/>
          </w:tcPr>
          <w:p>
            <w:pPr>
              <w:pStyle w:val="21"/>
              <w:adjustRightInd w:val="0"/>
              <w:snapToGrid w:val="0"/>
              <w:spacing w:before="0" w:beforeAutospacing="0" w:after="0" w:afterAutospacing="0"/>
              <w:jc w:val="center"/>
              <w:outlineLvl w:val="0"/>
              <w:rPr>
                <w:rFonts w:ascii="黑体" w:hAnsi="黑体" w:eastAsia="黑体" w:cs="宋体"/>
                <w:color w:val="auto"/>
                <w:kern w:val="2"/>
                <w:sz w:val="21"/>
                <w:szCs w:val="21"/>
                <w:highlight w:val="none"/>
              </w:rPr>
            </w:pPr>
            <w:r>
              <w:rPr>
                <w:rFonts w:hint="eastAsia" w:ascii="黑体" w:hAnsi="黑体" w:eastAsia="黑体" w:cs="宋体"/>
                <w:color w:val="auto"/>
                <w:kern w:val="2"/>
                <w:sz w:val="21"/>
                <w:szCs w:val="21"/>
                <w:highlight w:val="none"/>
              </w:rPr>
              <w:t>验收要求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6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陆生生态</w:t>
            </w:r>
          </w:p>
        </w:tc>
        <w:tc>
          <w:tcPr>
            <w:tcW w:w="1203" w:type="pct"/>
            <w:noWrap w:val="0"/>
            <w:vAlign w:val="center"/>
          </w:tcPr>
          <w:p>
            <w:pPr>
              <w:adjustRightInd w:val="0"/>
              <w:snapToGrid w:val="0"/>
              <w:rPr>
                <w:rFonts w:ascii="宋体" w:hAnsi="宋体" w:cs="宋体"/>
                <w:color w:val="auto"/>
                <w:szCs w:val="21"/>
                <w:highlight w:val="none"/>
              </w:rPr>
            </w:pPr>
            <w:r>
              <w:rPr>
                <w:rFonts w:hint="default" w:ascii="宋体" w:hAnsi="宋体" w:cs="宋体"/>
                <w:color w:val="auto"/>
                <w:szCs w:val="21"/>
                <w:highlight w:val="none"/>
                <w:lang w:val="en-US" w:eastAsia="zh-CN"/>
              </w:rPr>
              <w:t>施工用地范围严格控制在</w:t>
            </w:r>
            <w:r>
              <w:rPr>
                <w:rFonts w:hint="eastAsia" w:ascii="宋体" w:hAnsi="宋体" w:cs="宋体"/>
                <w:color w:val="auto"/>
                <w:szCs w:val="21"/>
                <w:highlight w:val="none"/>
                <w:lang w:val="en-US" w:eastAsia="zh-CN"/>
              </w:rPr>
              <w:t>厂界</w:t>
            </w:r>
            <w:r>
              <w:rPr>
                <w:rFonts w:hint="default" w:ascii="宋体" w:hAnsi="宋体" w:cs="宋体"/>
                <w:color w:val="auto"/>
                <w:szCs w:val="21"/>
                <w:highlight w:val="none"/>
                <w:lang w:val="en-US" w:eastAsia="zh-CN"/>
              </w:rPr>
              <w:t>内</w:t>
            </w:r>
            <w:r>
              <w:rPr>
                <w:rFonts w:hint="eastAsia"/>
                <w:color w:val="auto"/>
                <w:lang w:eastAsia="zh-CN"/>
              </w:rPr>
              <w:t>，不涉及临时占地</w:t>
            </w:r>
            <w:r>
              <w:rPr>
                <w:rFonts w:hint="eastAsia" w:ascii="宋体" w:hAnsi="宋体" w:cs="宋体"/>
                <w:color w:val="auto"/>
                <w:szCs w:val="21"/>
                <w:highlight w:val="none"/>
                <w:lang w:val="en-US" w:eastAsia="zh-CN"/>
              </w:rPr>
              <w:t>。</w:t>
            </w:r>
            <w:r>
              <w:rPr>
                <w:rFonts w:hint="default" w:ascii="宋体" w:hAnsi="宋体" w:cs="宋体"/>
                <w:color w:val="auto"/>
                <w:szCs w:val="21"/>
                <w:highlight w:val="none"/>
                <w:lang w:val="en-US" w:eastAsia="zh-CN"/>
              </w:rPr>
              <w:t>尽量减少大填大挖，做好水土保持，减少水土流失和生态破坏，</w:t>
            </w:r>
            <w:r>
              <w:rPr>
                <w:rFonts w:hint="eastAsia" w:ascii="宋体" w:hAnsi="宋体" w:cs="宋体"/>
                <w:color w:val="auto"/>
                <w:szCs w:val="21"/>
                <w:highlight w:val="none"/>
                <w:lang w:val="en-US" w:eastAsia="zh-CN"/>
              </w:rPr>
              <w:t>施工</w:t>
            </w:r>
            <w:r>
              <w:rPr>
                <w:rFonts w:hint="default" w:ascii="宋体" w:hAnsi="宋体" w:cs="宋体"/>
                <w:color w:val="auto"/>
                <w:szCs w:val="21"/>
                <w:highlight w:val="none"/>
                <w:lang w:val="en-US" w:eastAsia="zh-CN"/>
              </w:rPr>
              <w:t>作业尽量避开雨季和大风天，分段施工，避免雨水冲刷造成大量水土流失；对各材料堆放点及施工区开挖土方采取拦挡、苫盖等措施进行防护，土壤分层开挖、堆放，塑料布覆盖，表土回用于场地平整和温室大棚种植用土，施工结束后对裸露的地表进行环境绿化，避免水土流失</w:t>
            </w:r>
            <w:r>
              <w:rPr>
                <w:rFonts w:hint="eastAsia" w:ascii="宋体" w:hAnsi="宋体" w:cs="宋体"/>
                <w:color w:val="auto"/>
                <w:szCs w:val="21"/>
                <w:highlight w:val="none"/>
                <w:lang w:eastAsia="zh-CN"/>
              </w:rPr>
              <w:t>。</w:t>
            </w:r>
          </w:p>
        </w:tc>
        <w:tc>
          <w:tcPr>
            <w:tcW w:w="816" w:type="pct"/>
            <w:noWrap w:val="0"/>
            <w:vAlign w:val="center"/>
          </w:tcPr>
          <w:p>
            <w:pPr>
              <w:adjustRightInd w:val="0"/>
              <w:snapToGrid w:val="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按要求实行</w:t>
            </w:r>
          </w:p>
        </w:tc>
        <w:tc>
          <w:tcPr>
            <w:tcW w:w="929" w:type="pct"/>
            <w:noWrap w:val="0"/>
            <w:vAlign w:val="center"/>
          </w:tcPr>
          <w:p>
            <w:pPr>
              <w:adjustRightInd w:val="0"/>
              <w:snapToGrid w:val="0"/>
              <w:jc w:val="center"/>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1079" w:type="pct"/>
            <w:noWrap w:val="0"/>
            <w:vAlign w:val="center"/>
          </w:tcPr>
          <w:p>
            <w:pPr>
              <w:adjustRightInd w:val="0"/>
              <w:snapToGrid w:val="0"/>
              <w:jc w:val="center"/>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6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水生生态</w:t>
            </w:r>
          </w:p>
        </w:tc>
        <w:tc>
          <w:tcPr>
            <w:tcW w:w="1203" w:type="pct"/>
            <w:noWrap w:val="0"/>
            <w:vAlign w:val="center"/>
          </w:tcPr>
          <w:p>
            <w:pPr>
              <w:adjustRightInd w:val="0"/>
              <w:snapToGrid w:val="0"/>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816" w:type="pct"/>
            <w:noWrap w:val="0"/>
            <w:vAlign w:val="center"/>
          </w:tcPr>
          <w:p>
            <w:pPr>
              <w:adjustRightInd w:val="0"/>
              <w:snapToGrid w:val="0"/>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929" w:type="pct"/>
            <w:noWrap w:val="0"/>
            <w:vAlign w:val="center"/>
          </w:tcPr>
          <w:p>
            <w:pPr>
              <w:adjustRightInd w:val="0"/>
              <w:snapToGrid w:val="0"/>
              <w:jc w:val="center"/>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1079" w:type="pct"/>
            <w:noWrap w:val="0"/>
            <w:vAlign w:val="center"/>
          </w:tcPr>
          <w:p>
            <w:pPr>
              <w:adjustRightInd w:val="0"/>
              <w:snapToGrid w:val="0"/>
              <w:jc w:val="center"/>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09" w:hRule="atLeast"/>
          <w:jc w:val="center"/>
        </w:trPr>
        <w:tc>
          <w:tcPr>
            <w:tcW w:w="96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地表水环境</w:t>
            </w:r>
          </w:p>
        </w:tc>
        <w:tc>
          <w:tcPr>
            <w:tcW w:w="1203" w:type="pct"/>
            <w:noWrap w:val="0"/>
            <w:vAlign w:val="center"/>
          </w:tcPr>
          <w:p>
            <w:pPr>
              <w:adjustRightInd w:val="0"/>
              <w:snapToGrid w:val="0"/>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设置沉淀池，处理后用于</w:t>
            </w:r>
            <w:r>
              <w:rPr>
                <w:rFonts w:hint="eastAsia" w:ascii="宋体" w:hAnsi="宋体" w:eastAsia="宋体" w:cs="宋体"/>
                <w:color w:val="auto"/>
                <w:szCs w:val="21"/>
                <w:highlight w:val="none"/>
                <w:lang w:val="en-US" w:eastAsia="zh-CN"/>
              </w:rPr>
              <w:t>施工</w:t>
            </w:r>
            <w:r>
              <w:rPr>
                <w:rFonts w:hint="default" w:ascii="宋体" w:hAnsi="宋体" w:eastAsia="宋体" w:cs="宋体"/>
                <w:color w:val="auto"/>
                <w:szCs w:val="21"/>
                <w:highlight w:val="none"/>
                <w:lang w:val="en-US" w:eastAsia="zh-CN"/>
              </w:rPr>
              <w:t>洒水抑尘</w:t>
            </w:r>
            <w:r>
              <w:rPr>
                <w:rFonts w:hint="eastAsia" w:ascii="宋体" w:hAnsi="宋体" w:eastAsia="宋体" w:cs="宋体"/>
                <w:color w:val="auto"/>
                <w:szCs w:val="21"/>
                <w:highlight w:val="none"/>
                <w:lang w:val="en-US" w:eastAsia="zh-CN"/>
              </w:rPr>
              <w:t>，</w:t>
            </w:r>
            <w:r>
              <w:rPr>
                <w:rFonts w:hint="eastAsia"/>
                <w:color w:val="auto"/>
                <w:highlight w:val="none"/>
                <w:lang w:eastAsia="zh-CN"/>
              </w:rPr>
              <w:t>西红海子</w:t>
            </w:r>
            <w:r>
              <w:rPr>
                <w:rFonts w:hint="eastAsia"/>
                <w:color w:val="auto"/>
                <w:highlight w:val="none"/>
              </w:rPr>
              <w:t>周围设立防护围栏，土方应集中密闭堆放，且应选在远离</w:t>
            </w:r>
            <w:r>
              <w:rPr>
                <w:rFonts w:hint="eastAsia"/>
                <w:color w:val="auto"/>
                <w:highlight w:val="none"/>
                <w:lang w:eastAsia="zh-CN"/>
              </w:rPr>
              <w:t>西红海子</w:t>
            </w:r>
            <w:r>
              <w:rPr>
                <w:rFonts w:hint="eastAsia"/>
                <w:color w:val="auto"/>
                <w:highlight w:val="none"/>
              </w:rPr>
              <w:t>的位置，严禁将施工废水生活垃圾及建筑垃圾等投入到水体中。</w:t>
            </w:r>
          </w:p>
        </w:tc>
        <w:tc>
          <w:tcPr>
            <w:tcW w:w="816" w:type="pct"/>
            <w:noWrap w:val="0"/>
            <w:vAlign w:val="center"/>
          </w:tcPr>
          <w:p>
            <w:pPr>
              <w:adjustRightInd w:val="0"/>
              <w:snapToGrid w:val="0"/>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严禁将施工废水排入外环境</w:t>
            </w:r>
          </w:p>
        </w:tc>
        <w:tc>
          <w:tcPr>
            <w:tcW w:w="92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生活污水</w:t>
            </w:r>
            <w:r>
              <w:rPr>
                <w:rFonts w:hint="eastAsia" w:ascii="宋体" w:hAnsi="宋体" w:cs="宋体"/>
                <w:color w:val="auto"/>
                <w:szCs w:val="21"/>
                <w:highlight w:val="none"/>
                <w:lang w:eastAsia="zh-CN"/>
              </w:rPr>
              <w:t>排入化粪池</w:t>
            </w:r>
            <w:r>
              <w:rPr>
                <w:rFonts w:hint="eastAsia" w:ascii="宋体" w:hAnsi="宋体" w:cs="宋体"/>
                <w:color w:val="auto"/>
                <w:szCs w:val="21"/>
                <w:highlight w:val="none"/>
              </w:rPr>
              <w:t>后</w:t>
            </w:r>
            <w:r>
              <w:rPr>
                <w:rFonts w:hint="eastAsia" w:ascii="宋体" w:hAnsi="宋体" w:cs="宋体"/>
                <w:color w:val="auto"/>
                <w:szCs w:val="21"/>
                <w:highlight w:val="none"/>
                <w:lang w:eastAsia="zh-CN"/>
              </w:rPr>
              <w:t>经污水管网进入</w:t>
            </w:r>
            <w:r>
              <w:rPr>
                <w:rFonts w:hint="eastAsia" w:ascii="宋体" w:hAnsi="宋体" w:cs="宋体"/>
                <w:color w:val="auto"/>
                <w:szCs w:val="21"/>
                <w:highlight w:val="none"/>
                <w:lang w:val="en-US" w:eastAsia="zh-CN"/>
              </w:rPr>
              <w:t>阿勒腾席热</w:t>
            </w:r>
            <w:r>
              <w:rPr>
                <w:rFonts w:hint="eastAsia" w:ascii="宋体" w:hAnsi="宋体" w:cs="宋体"/>
                <w:color w:val="auto"/>
                <w:szCs w:val="21"/>
                <w:highlight w:val="none"/>
                <w:lang w:eastAsia="zh-CN"/>
              </w:rPr>
              <w:t>镇</w:t>
            </w:r>
            <w:r>
              <w:rPr>
                <w:rFonts w:hint="eastAsia" w:ascii="宋体" w:hAnsi="宋体" w:cs="宋体"/>
                <w:color w:val="auto"/>
                <w:szCs w:val="21"/>
                <w:highlight w:val="none"/>
              </w:rPr>
              <w:t>污水处理厂处理</w:t>
            </w:r>
          </w:p>
        </w:tc>
        <w:tc>
          <w:tcPr>
            <w:tcW w:w="1079" w:type="pct"/>
            <w:noWrap w:val="0"/>
            <w:vAlign w:val="center"/>
          </w:tcPr>
          <w:p>
            <w:pPr>
              <w:adjustRightInd w:val="0"/>
              <w:snapToGrid w:val="0"/>
              <w:jc w:val="center"/>
              <w:rPr>
                <w:rFonts w:ascii="宋体" w:hAnsi="宋体" w:cs="宋体"/>
                <w:color w:val="auto"/>
                <w:szCs w:val="21"/>
                <w:highlight w:val="none"/>
              </w:rPr>
            </w:pPr>
            <w:r>
              <w:rPr>
                <w:color w:val="auto"/>
                <w:kern w:val="0"/>
                <w:szCs w:val="21"/>
                <w:highlight w:val="none"/>
              </w:rPr>
              <w:t>满足《污水综合排放标准》（GB8798-1996）表4中三级标准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96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地下水及土壤环境</w:t>
            </w:r>
          </w:p>
        </w:tc>
        <w:tc>
          <w:tcPr>
            <w:tcW w:w="120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w:t>
            </w:r>
          </w:p>
        </w:tc>
        <w:tc>
          <w:tcPr>
            <w:tcW w:w="816"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w:t>
            </w:r>
          </w:p>
        </w:tc>
        <w:tc>
          <w:tcPr>
            <w:tcW w:w="929"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both"/>
              <w:textAlignment w:val="auto"/>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建积极推进缓控释肥、水肥一体化等科学施肥方式，最好采用生物综合防治技术。科学合理施用有机肥：严格控制施肥量；配合生物肥施用，优化施肥结构，选择适宜施肥时期，实施测土配方施肥。</w:t>
            </w:r>
          </w:p>
        </w:tc>
        <w:tc>
          <w:tcPr>
            <w:tcW w:w="107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lang w:eastAsia="zh-CN"/>
              </w:rPr>
              <w:t>按要求实行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6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声环境</w:t>
            </w:r>
          </w:p>
        </w:tc>
        <w:tc>
          <w:tcPr>
            <w:tcW w:w="1203" w:type="pct"/>
            <w:noWrap w:val="0"/>
            <w:vAlign w:val="center"/>
          </w:tcPr>
          <w:p>
            <w:pPr>
              <w:keepNext w:val="0"/>
              <w:keepLines w:val="0"/>
              <w:suppressLineNumbers w:val="0"/>
              <w:adjustRightInd w:val="0"/>
              <w:snapToGrid w:val="0"/>
              <w:spacing w:before="0" w:beforeAutospacing="0" w:after="0" w:afterAutospacing="0"/>
              <w:ind w:left="0" w:leftChars="0" w:right="0" w:rightChars="0"/>
              <w:jc w:val="center"/>
              <w:rPr>
                <w:rFonts w:hint="eastAsia" w:eastAsia="宋体"/>
                <w:color w:val="auto"/>
                <w:kern w:val="2"/>
                <w:sz w:val="21"/>
                <w:szCs w:val="24"/>
                <w:highlight w:val="none"/>
                <w:lang w:val="en-US" w:eastAsia="zh-CN" w:bidi="ar-SA"/>
              </w:rPr>
            </w:pPr>
            <w:r>
              <w:rPr>
                <w:rFonts w:hint="default" w:ascii="Times New Roman" w:hAnsi="Times New Roman" w:eastAsia="宋体" w:cs="Times New Roman"/>
                <w:color w:val="auto"/>
                <w:sz w:val="21"/>
                <w:szCs w:val="21"/>
                <w:highlight w:val="none"/>
              </w:rPr>
              <w:t>采用低噪声机械设备，合理安排施工时间</w:t>
            </w:r>
            <w:r>
              <w:rPr>
                <w:rFonts w:hint="eastAsia" w:ascii="Times New Roman" w:hAnsi="Times New Roman" w:eastAsia="宋体" w:cs="Times New Roman"/>
                <w:color w:val="auto"/>
                <w:sz w:val="21"/>
                <w:szCs w:val="21"/>
                <w:highlight w:val="none"/>
                <w:lang w:eastAsia="zh-CN"/>
              </w:rPr>
              <w:t>，车辆禁止鸣笛</w:t>
            </w:r>
          </w:p>
        </w:tc>
        <w:tc>
          <w:tcPr>
            <w:tcW w:w="816" w:type="pct"/>
            <w:noWrap w:val="0"/>
            <w:vAlign w:val="center"/>
          </w:tcPr>
          <w:p>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s="宋体"/>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《建筑施工场界环境噪声排放标准》（GB12523-2011）</w:t>
            </w:r>
          </w:p>
        </w:tc>
        <w:tc>
          <w:tcPr>
            <w:tcW w:w="929" w:type="pct"/>
            <w:noWrap w:val="0"/>
            <w:vAlign w:val="center"/>
          </w:tcPr>
          <w:p>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合理布局，减</w:t>
            </w:r>
            <w:r>
              <w:rPr>
                <w:rFonts w:hint="eastAsia" w:ascii="宋体" w:hAnsi="宋体" w:cs="宋体"/>
                <w:color w:val="auto"/>
                <w:szCs w:val="21"/>
                <w:highlight w:val="none"/>
                <w:lang w:val="en-US" w:eastAsia="zh-CN"/>
              </w:rPr>
              <w:t>振</w:t>
            </w:r>
            <w:r>
              <w:rPr>
                <w:rFonts w:hint="eastAsia" w:ascii="宋体" w:hAnsi="宋体" w:cs="宋体"/>
                <w:color w:val="auto"/>
                <w:szCs w:val="21"/>
                <w:highlight w:val="none"/>
                <w:lang w:eastAsia="zh-CN"/>
              </w:rPr>
              <w:t>、隔声</w:t>
            </w:r>
          </w:p>
        </w:tc>
        <w:tc>
          <w:tcPr>
            <w:tcW w:w="1079" w:type="pct"/>
            <w:noWrap w:val="0"/>
            <w:vAlign w:val="center"/>
          </w:tcPr>
          <w:p>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eastAsia="宋体"/>
                <w:color w:val="auto"/>
                <w:sz w:val="21"/>
                <w:szCs w:val="21"/>
                <w:lang w:eastAsia="zh-CN"/>
              </w:rPr>
              <w:t>满足</w:t>
            </w:r>
            <w:r>
              <w:rPr>
                <w:rFonts w:hint="default" w:eastAsia="宋体"/>
                <w:color w:val="auto"/>
                <w:sz w:val="21"/>
                <w:szCs w:val="21"/>
                <w:lang w:eastAsia="zh-CN"/>
              </w:rPr>
              <w:t>《工业企业厂界环境噪声排放标准》</w:t>
            </w:r>
            <w:r>
              <w:rPr>
                <w:rFonts w:hint="eastAsia" w:eastAsia="宋体"/>
                <w:color w:val="auto"/>
                <w:sz w:val="21"/>
                <w:szCs w:val="21"/>
                <w:lang w:eastAsia="zh-CN"/>
              </w:rPr>
              <w:t>（</w:t>
            </w:r>
            <w:r>
              <w:rPr>
                <w:rFonts w:hint="default" w:eastAsia="宋体"/>
                <w:color w:val="auto"/>
                <w:sz w:val="21"/>
                <w:szCs w:val="21"/>
                <w:lang w:eastAsia="zh-CN"/>
              </w:rPr>
              <w:t>GB12348-2008</w:t>
            </w:r>
            <w:r>
              <w:rPr>
                <w:rFonts w:hint="eastAsia" w:eastAsia="宋体"/>
                <w:color w:val="auto"/>
                <w:sz w:val="21"/>
                <w:szCs w:val="21"/>
                <w:lang w:eastAsia="zh-CN"/>
              </w:rPr>
              <w:t>）</w:t>
            </w:r>
            <w:r>
              <w:rPr>
                <w:rFonts w:hint="eastAsia" w:eastAsia="宋体"/>
                <w:color w:val="auto"/>
                <w:sz w:val="21"/>
                <w:szCs w:val="21"/>
                <w:lang w:val="en-US" w:eastAsia="zh-CN"/>
              </w:rPr>
              <w:t>2</w:t>
            </w:r>
            <w:r>
              <w:rPr>
                <w:rFonts w:hint="default" w:eastAsia="宋体"/>
                <w:color w:val="auto"/>
                <w:sz w:val="21"/>
                <w:szCs w:val="21"/>
                <w:lang w:eastAsia="zh-CN"/>
              </w:rPr>
              <w:t>类</w:t>
            </w:r>
            <w:r>
              <w:rPr>
                <w:rFonts w:hint="eastAsia" w:eastAsia="宋体"/>
                <w:color w:val="auto"/>
                <w:sz w:val="21"/>
                <w:szCs w:val="21"/>
                <w:lang w:eastAsia="zh-CN"/>
              </w:rPr>
              <w:t>、</w:t>
            </w:r>
            <w:r>
              <w:rPr>
                <w:rFonts w:hint="eastAsia" w:eastAsia="宋体"/>
                <w:color w:val="auto"/>
                <w:sz w:val="21"/>
                <w:szCs w:val="21"/>
                <w:lang w:val="en-US" w:eastAsia="zh-CN"/>
              </w:rPr>
              <w:t>4类</w:t>
            </w:r>
            <w:r>
              <w:rPr>
                <w:rFonts w:hint="default"/>
                <w:color w:val="auto"/>
                <w:sz w:val="21"/>
                <w:szCs w:val="21"/>
                <w:highlight w:val="none"/>
              </w:rPr>
              <w:t>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96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振动</w:t>
            </w:r>
          </w:p>
        </w:tc>
        <w:tc>
          <w:tcPr>
            <w:tcW w:w="120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816"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929" w:type="pct"/>
            <w:noWrap w:val="0"/>
            <w:vAlign w:val="center"/>
          </w:tcPr>
          <w:p>
            <w:pPr>
              <w:adjustRightInd w:val="0"/>
              <w:snapToGrid w:val="0"/>
              <w:jc w:val="center"/>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1079" w:type="pct"/>
            <w:noWrap w:val="0"/>
            <w:vAlign w:val="center"/>
          </w:tcPr>
          <w:p>
            <w:pPr>
              <w:adjustRightInd w:val="0"/>
              <w:snapToGrid w:val="0"/>
              <w:jc w:val="center"/>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6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大气环境</w:t>
            </w:r>
          </w:p>
        </w:tc>
        <w:tc>
          <w:tcPr>
            <w:tcW w:w="1203" w:type="pct"/>
            <w:noWrap w:val="0"/>
            <w:vAlign w:val="center"/>
          </w:tcPr>
          <w:p>
            <w:pPr>
              <w:adjustRightInd w:val="0"/>
              <w:snapToGrid w:val="0"/>
              <w:rPr>
                <w:rFonts w:ascii="宋体" w:hAnsi="宋体" w:cs="宋体"/>
                <w:color w:val="auto"/>
                <w:szCs w:val="21"/>
                <w:highlight w:val="none"/>
              </w:rPr>
            </w:pPr>
            <w:r>
              <w:rPr>
                <w:rFonts w:hint="default" w:ascii="宋体" w:hAnsi="宋体" w:cs="宋体"/>
                <w:color w:val="auto"/>
                <w:szCs w:val="21"/>
                <w:highlight w:val="none"/>
              </w:rPr>
              <w:t>运输车辆进限速行驶，定期洒水</w:t>
            </w:r>
            <w:r>
              <w:rPr>
                <w:rFonts w:hint="eastAsia" w:ascii="宋体" w:hAnsi="宋体" w:cs="宋体"/>
                <w:color w:val="auto"/>
                <w:szCs w:val="21"/>
                <w:highlight w:val="none"/>
                <w:lang w:eastAsia="zh-CN"/>
              </w:rPr>
              <w:t>降尘</w:t>
            </w:r>
            <w:r>
              <w:rPr>
                <w:rFonts w:hint="default" w:ascii="宋体" w:hAnsi="宋体" w:cs="宋体"/>
                <w:color w:val="auto"/>
                <w:szCs w:val="21"/>
                <w:highlight w:val="none"/>
              </w:rPr>
              <w:t>，运输</w:t>
            </w:r>
            <w:r>
              <w:rPr>
                <w:rFonts w:hint="eastAsia" w:ascii="宋体" w:hAnsi="宋体" w:cs="宋体"/>
                <w:color w:val="auto"/>
                <w:szCs w:val="21"/>
                <w:highlight w:val="none"/>
                <w:lang w:eastAsia="zh-CN"/>
              </w:rPr>
              <w:t>车辆</w:t>
            </w:r>
            <w:r>
              <w:rPr>
                <w:rFonts w:hint="default" w:ascii="宋体" w:hAnsi="宋体" w:cs="宋体"/>
                <w:color w:val="auto"/>
                <w:szCs w:val="21"/>
                <w:highlight w:val="none"/>
              </w:rPr>
              <w:t>采用封闭运输；</w:t>
            </w:r>
            <w:r>
              <w:rPr>
                <w:rFonts w:hint="eastAsia" w:ascii="宋体" w:hAnsi="宋体" w:cs="宋体"/>
                <w:color w:val="auto"/>
                <w:szCs w:val="21"/>
                <w:highlight w:val="none"/>
                <w:lang w:val="en-US" w:eastAsia="zh-CN"/>
              </w:rPr>
              <w:t>施工现场要设置高度不低于2m的硬质围挡。</w:t>
            </w:r>
          </w:p>
        </w:tc>
        <w:tc>
          <w:tcPr>
            <w:tcW w:w="816" w:type="pct"/>
            <w:noWrap w:val="0"/>
            <w:vAlign w:val="center"/>
          </w:tcPr>
          <w:p>
            <w:pPr>
              <w:adjustRightInd w:val="0"/>
              <w:snapToGrid w:val="0"/>
              <w:rPr>
                <w:rFonts w:ascii="宋体" w:hAnsi="宋体" w:cs="宋体"/>
                <w:color w:val="auto"/>
                <w:szCs w:val="21"/>
                <w:highlight w:val="none"/>
              </w:rPr>
            </w:pPr>
            <w:r>
              <w:rPr>
                <w:rFonts w:hint="eastAsia" w:ascii="宋体" w:hAnsi="宋体" w:cs="宋体"/>
                <w:color w:val="auto"/>
                <w:szCs w:val="21"/>
                <w:highlight w:val="none"/>
              </w:rPr>
              <w:t>《大气污染物综合排放标准》（GB16297－1996）表2中颗粒物无组织排放浓度限值</w:t>
            </w:r>
          </w:p>
        </w:tc>
        <w:tc>
          <w:tcPr>
            <w:tcW w:w="929" w:type="pct"/>
            <w:noWrap w:val="0"/>
            <w:vAlign w:val="center"/>
          </w:tcPr>
          <w:p>
            <w:pPr>
              <w:adjustRightInd w:val="0"/>
              <w:snapToGrid w:val="0"/>
              <w:jc w:val="center"/>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1079" w:type="pct"/>
            <w:noWrap w:val="0"/>
            <w:vAlign w:val="center"/>
          </w:tcPr>
          <w:p>
            <w:pPr>
              <w:adjustRightInd w:val="0"/>
              <w:snapToGrid w:val="0"/>
              <w:jc w:val="center"/>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6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固体废物</w:t>
            </w:r>
          </w:p>
        </w:tc>
        <w:tc>
          <w:tcPr>
            <w:tcW w:w="120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建设中的建筑垃圾回收利用，不能回收利用的运至政府指定建筑垃圾填埋场处理；土方用于地基回填、厂区平整和温室大棚种植土；设立垃圾箱、生活垃圾收集点，统一收集后由环卫部门定期清运处置</w:t>
            </w:r>
          </w:p>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 w:val="21"/>
                <w:szCs w:val="21"/>
                <w:highlight w:val="none"/>
              </w:rPr>
            </w:pPr>
          </w:p>
        </w:tc>
        <w:tc>
          <w:tcPr>
            <w:tcW w:w="816"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 w:val="21"/>
                <w:szCs w:val="21"/>
                <w:highlight w:val="none"/>
              </w:rPr>
            </w:pPr>
            <w:r>
              <w:rPr>
                <w:rFonts w:hint="default" w:ascii="Times New Roman" w:hAnsi="Times New Roman" w:cs="Times New Roman"/>
                <w:color w:val="auto"/>
                <w:sz w:val="21"/>
                <w:szCs w:val="21"/>
                <w:highlight w:val="none"/>
                <w:lang w:val="en-US" w:eastAsia="zh-CN"/>
              </w:rPr>
              <w:t>合理处置</w:t>
            </w:r>
          </w:p>
        </w:tc>
        <w:tc>
          <w:tcPr>
            <w:tcW w:w="929" w:type="pct"/>
            <w:noWrap w:val="0"/>
            <w:vAlign w:val="center"/>
          </w:tcPr>
          <w:p>
            <w:pPr>
              <w:adjustRightInd w:val="0"/>
              <w:snapToGrid w:val="0"/>
              <w:rPr>
                <w:rFonts w:ascii="宋体" w:hAnsi="宋体" w:cs="宋体"/>
                <w:color w:val="auto"/>
                <w:szCs w:val="21"/>
                <w:highlight w:val="none"/>
              </w:rPr>
            </w:pPr>
            <w:r>
              <w:rPr>
                <w:rFonts w:hint="eastAsia" w:ascii="宋体" w:hAnsi="宋体" w:cs="宋体"/>
                <w:color w:val="auto"/>
                <w:szCs w:val="21"/>
                <w:highlight w:val="none"/>
                <w:lang w:val="en-US" w:eastAsia="zh-CN"/>
              </w:rPr>
              <w:t>生活垃圾、农膜、分拣产生分拣废物委托环卫部门进行清运。废滤膜由厂家回收。</w:t>
            </w:r>
            <w:r>
              <w:rPr>
                <w:rFonts w:hint="default" w:ascii="宋体" w:hAnsi="宋体" w:eastAsia="宋体" w:cs="宋体"/>
                <w:b w:val="0"/>
                <w:bCs w:val="0"/>
                <w:color w:val="auto"/>
                <w:highlight w:val="none"/>
                <w:lang w:val="en-US" w:eastAsia="zh-CN"/>
              </w:rPr>
              <w:t>有机肥包装袋</w:t>
            </w:r>
            <w:r>
              <w:rPr>
                <w:rFonts w:hint="eastAsia" w:ascii="宋体" w:hAnsi="宋体" w:eastAsia="宋体" w:cs="宋体"/>
                <w:b w:val="0"/>
                <w:bCs w:val="0"/>
                <w:color w:val="auto"/>
                <w:highlight w:val="none"/>
                <w:lang w:val="en-US" w:eastAsia="zh-CN"/>
              </w:rPr>
              <w:t>由厂家全部回收利用。</w:t>
            </w:r>
          </w:p>
        </w:tc>
        <w:tc>
          <w:tcPr>
            <w:tcW w:w="1079" w:type="pct"/>
            <w:noWrap w:val="0"/>
            <w:vAlign w:val="center"/>
          </w:tcPr>
          <w:p>
            <w:pPr>
              <w:adjustRightInd w:val="0"/>
              <w:snapToGrid w:val="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合理处置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96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电磁环境</w:t>
            </w:r>
          </w:p>
        </w:tc>
        <w:tc>
          <w:tcPr>
            <w:tcW w:w="120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816"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929"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1079"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6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环境风险</w:t>
            </w:r>
          </w:p>
        </w:tc>
        <w:tc>
          <w:tcPr>
            <w:tcW w:w="120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816"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929"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eastAsia" w:ascii="Times New Roman" w:hAnsi="Times New Roman" w:cs="Times New Roman"/>
                <w:color w:val="auto"/>
                <w:sz w:val="24"/>
                <w:szCs w:val="24"/>
                <w:highlight w:val="none"/>
                <w:lang w:val="en-US" w:eastAsia="zh-CN"/>
              </w:rPr>
              <w:t>/</w:t>
            </w:r>
          </w:p>
        </w:tc>
        <w:tc>
          <w:tcPr>
            <w:tcW w:w="1079"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6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环境监测</w:t>
            </w:r>
          </w:p>
        </w:tc>
        <w:tc>
          <w:tcPr>
            <w:tcW w:w="120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816"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eastAsia" w:ascii="Times New Roman" w:hAnsi="Times New Roman" w:cs="Times New Roman"/>
                <w:color w:val="auto"/>
                <w:sz w:val="24"/>
                <w:szCs w:val="24"/>
                <w:highlight w:val="none"/>
                <w:lang w:val="en-US" w:eastAsia="zh-CN"/>
              </w:rPr>
              <w:t>/</w:t>
            </w:r>
          </w:p>
        </w:tc>
        <w:tc>
          <w:tcPr>
            <w:tcW w:w="929"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1079"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eastAsia" w:ascii="Times New Roman" w:hAnsi="Times New Roman" w:cs="Times New Roman"/>
                <w:color w:val="auto"/>
                <w:sz w:val="24"/>
                <w:szCs w:val="24"/>
                <w:highlight w:val="none"/>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69" w:type="pct"/>
            <w:noWrap w:val="0"/>
            <w:vAlign w:val="center"/>
          </w:tcPr>
          <w:p>
            <w:pPr>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其他</w:t>
            </w:r>
          </w:p>
        </w:tc>
        <w:tc>
          <w:tcPr>
            <w:tcW w:w="1203"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816"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929"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c>
          <w:tcPr>
            <w:tcW w:w="1079" w:type="pct"/>
            <w:noWrap w:val="0"/>
            <w:vAlign w:val="center"/>
          </w:tcPr>
          <w:p>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cs="宋体"/>
                <w:color w:val="auto"/>
                <w:szCs w:val="21"/>
                <w:highlight w:val="none"/>
              </w:rPr>
            </w:pPr>
            <w:r>
              <w:rPr>
                <w:rFonts w:hint="default" w:ascii="Times New Roman" w:hAnsi="Times New Roman" w:cs="Times New Roman"/>
                <w:color w:val="auto"/>
                <w:sz w:val="24"/>
                <w:szCs w:val="24"/>
                <w:highlight w:val="none"/>
                <w:lang w:val="en-US" w:eastAsia="zh-CN"/>
              </w:rPr>
              <w:t>/</w:t>
            </w:r>
          </w:p>
        </w:tc>
      </w:tr>
    </w:tbl>
    <w:p>
      <w:pPr>
        <w:pStyle w:val="21"/>
        <w:keepNext w:val="0"/>
        <w:keepLines w:val="0"/>
        <w:pageBreakBefore w:val="0"/>
        <w:widowControl/>
        <w:kinsoku/>
        <w:wordWrap/>
        <w:overflowPunct/>
        <w:topLinePunct w:val="0"/>
        <w:autoSpaceDE/>
        <w:autoSpaceDN/>
        <w:bidi w:val="0"/>
        <w:adjustRightInd/>
        <w:snapToGrid/>
        <w:spacing w:before="0" w:beforeAutospacing="0" w:line="15" w:lineRule="auto"/>
        <w:jc w:val="center"/>
        <w:textAlignment w:val="auto"/>
        <w:outlineLvl w:val="9"/>
        <w:rPr>
          <w:rFonts w:hint="eastAsia" w:ascii="黑体" w:hAnsi="黑体" w:eastAsia="黑体"/>
          <w:snapToGrid w:val="0"/>
          <w:color w:val="auto"/>
          <w:sz w:val="30"/>
          <w:szCs w:val="30"/>
          <w:highlight w:val="none"/>
        </w:rPr>
      </w:pPr>
      <w:r>
        <w:rPr>
          <w:rFonts w:ascii="黑体" w:hAnsi="黑体" w:eastAsia="黑体"/>
          <w:snapToGrid w:val="0"/>
          <w:color w:val="auto"/>
          <w:sz w:val="30"/>
          <w:szCs w:val="30"/>
          <w:highlight w:val="none"/>
        </w:rPr>
        <w:br w:type="page"/>
      </w:r>
    </w:p>
    <w:p>
      <w:pPr>
        <w:pStyle w:val="21"/>
        <w:spacing w:before="192" w:beforeLines="80" w:beforeAutospacing="0"/>
        <w:jc w:val="center"/>
        <w:outlineLvl w:val="0"/>
        <w:rPr>
          <w:rFonts w:ascii="黑体" w:hAnsi="黑体" w:eastAsia="黑体"/>
          <w:snapToGrid w:val="0"/>
          <w:color w:val="auto"/>
          <w:sz w:val="30"/>
          <w:szCs w:val="30"/>
          <w:highlight w:val="none"/>
        </w:rPr>
      </w:pPr>
      <w:r>
        <w:rPr>
          <w:rFonts w:hint="eastAsia" w:ascii="黑体" w:hAnsi="黑体" w:eastAsia="黑体"/>
          <w:snapToGrid w:val="0"/>
          <w:color w:val="auto"/>
          <w:sz w:val="30"/>
          <w:szCs w:val="30"/>
          <w:highlight w:val="none"/>
        </w:rPr>
        <w:t>七、结论</w:t>
      </w:r>
    </w:p>
    <w:tbl>
      <w:tblPr>
        <w:tblStyle w:val="24"/>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928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本项目的建设符合国家产业政策，</w:t>
            </w:r>
            <w:r>
              <w:rPr>
                <w:rFonts w:hint="eastAsia" w:ascii="宋体" w:hAnsi="宋体" w:cs="宋体"/>
                <w:color w:val="auto"/>
                <w:sz w:val="24"/>
                <w:szCs w:val="24"/>
                <w:highlight w:val="none"/>
                <w:lang w:eastAsia="zh-CN"/>
              </w:rPr>
              <w:t>项目所在区域环境质量良好，供水、供电便利，满足项目建设要求。本项目的环境影响主要在施工期，</w:t>
            </w:r>
            <w:r>
              <w:rPr>
                <w:rFonts w:hint="eastAsia" w:ascii="宋体" w:hAnsi="宋体" w:cs="宋体"/>
                <w:color w:val="auto"/>
                <w:sz w:val="24"/>
                <w:szCs w:val="24"/>
                <w:highlight w:val="none"/>
              </w:rPr>
              <w:t>经有效处理后可保证污染物稳定达到相关排放标准要求，对外环境影响不大，不会降低区域功能类别。项目运营对周围环境的污染程度较轻，项目所产生的废水、噪声、固体废物在采取本评价中的治理措施后，可满足相应的国家排放标准。只要建设单位严格执行环评中提出的各类污染防治措施，</w:t>
            </w:r>
            <w:r>
              <w:rPr>
                <w:rFonts w:hint="eastAsia" w:ascii="宋体" w:hAnsi="宋体" w:cs="宋体"/>
                <w:color w:val="auto"/>
                <w:sz w:val="24"/>
                <w:szCs w:val="24"/>
                <w:highlight w:val="none"/>
                <w:lang w:val="en-US" w:eastAsia="zh-CN"/>
              </w:rPr>
              <w:t>建立完善的管理制度、确保污染物达标排放的情况下，</w:t>
            </w:r>
            <w:r>
              <w:rPr>
                <w:rFonts w:hint="eastAsia" w:ascii="宋体" w:hAnsi="宋体" w:cs="宋体"/>
                <w:color w:val="auto"/>
                <w:sz w:val="24"/>
                <w:szCs w:val="24"/>
                <w:highlight w:val="none"/>
              </w:rPr>
              <w:t>从环保角度看，本项目的建设是可行的。</w:t>
            </w:r>
          </w:p>
        </w:tc>
      </w:tr>
    </w:tbl>
    <w:p>
      <w:pPr>
        <w:rPr>
          <w:rFonts w:ascii="宋体"/>
          <w:color w:val="auto"/>
          <w:highlight w:val="none"/>
        </w:rPr>
      </w:pPr>
    </w:p>
    <w:p>
      <w:pPr>
        <w:widowControl/>
        <w:adjustRightInd w:val="0"/>
        <w:snapToGrid w:val="0"/>
        <w:spacing w:before="192" w:beforeLines="80"/>
        <w:jc w:val="left"/>
        <w:rPr>
          <w:rFonts w:ascii="黑体" w:hAnsi="黑体" w:eastAsia="黑体"/>
          <w:snapToGrid w:val="0"/>
          <w:color w:val="auto"/>
          <w:sz w:val="32"/>
          <w:szCs w:val="32"/>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pPr>
        <w:widowControl/>
        <w:adjustRightInd w:val="0"/>
        <w:snapToGrid w:val="0"/>
        <w:spacing w:before="192" w:beforeLines="80"/>
        <w:jc w:val="left"/>
        <w:rPr>
          <w:rFonts w:hint="eastAsia" w:ascii="宋体" w:eastAsia="黑体"/>
          <w:color w:val="auto"/>
          <w:highlight w:val="none"/>
          <w:lang w:val="en-US" w:eastAsia="zh-CN"/>
        </w:rPr>
      </w:pPr>
      <w:r>
        <w:rPr>
          <w:rFonts w:hint="eastAsia" w:ascii="宋体" w:hAnsi="宋体" w:eastAsia="宋体" w:cs="宋体"/>
          <w:color w:val="auto"/>
          <w:sz w:val="24"/>
          <w:szCs w:val="24"/>
          <w:highlight w:val="none"/>
          <w:lang w:val="en-US" w:eastAsia="zh-CN"/>
        </w:rPr>
        <w:drawing>
          <wp:anchor distT="0" distB="0" distL="114300" distR="114300" simplePos="0" relativeHeight="251668480" behindDoc="0" locked="0" layoutInCell="1" allowOverlap="1">
            <wp:simplePos x="0" y="0"/>
            <wp:positionH relativeFrom="column">
              <wp:posOffset>635</wp:posOffset>
            </wp:positionH>
            <wp:positionV relativeFrom="paragraph">
              <wp:posOffset>269240</wp:posOffset>
            </wp:positionV>
            <wp:extent cx="676910" cy="782320"/>
            <wp:effectExtent l="0" t="0" r="8890" b="10160"/>
            <wp:wrapNone/>
            <wp:docPr id="12" name="图片 167" descr="伊金霍洛旗风玫瑰（最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67" descr="伊金霍洛旗风玫瑰（最新）"/>
                    <pic:cNvPicPr>
                      <a:picLocks noChangeAspect="1"/>
                    </pic:cNvPicPr>
                  </pic:nvPicPr>
                  <pic:blipFill>
                    <a:blip r:embed="rId18"/>
                    <a:stretch>
                      <a:fillRect/>
                    </a:stretch>
                  </pic:blipFill>
                  <pic:spPr>
                    <a:xfrm>
                      <a:off x="0" y="0"/>
                      <a:ext cx="676910" cy="782320"/>
                    </a:xfrm>
                    <a:prstGeom prst="rect">
                      <a:avLst/>
                    </a:prstGeom>
                    <a:noFill/>
                    <a:ln>
                      <a:noFill/>
                    </a:ln>
                  </pic:spPr>
                </pic:pic>
              </a:graphicData>
            </a:graphic>
          </wp:anchor>
        </w:drawing>
      </w:r>
      <w:r>
        <w:rPr>
          <w:color w:val="auto"/>
        </w:rPr>
        <w:drawing>
          <wp:anchor distT="0" distB="0" distL="114300" distR="114300" simplePos="0" relativeHeight="251672576" behindDoc="1" locked="0" layoutInCell="1" allowOverlap="1">
            <wp:simplePos x="0" y="0"/>
            <wp:positionH relativeFrom="column">
              <wp:posOffset>-30480</wp:posOffset>
            </wp:positionH>
            <wp:positionV relativeFrom="paragraph">
              <wp:posOffset>239395</wp:posOffset>
            </wp:positionV>
            <wp:extent cx="8620125" cy="4568825"/>
            <wp:effectExtent l="28575" t="28575" r="38100" b="31750"/>
            <wp:wrapNone/>
            <wp:docPr id="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pic:cNvPicPr>
                      <a:picLocks noChangeAspect="1"/>
                    </pic:cNvPicPr>
                  </pic:nvPicPr>
                  <pic:blipFill>
                    <a:blip r:embed="rId19"/>
                    <a:stretch>
                      <a:fillRect/>
                    </a:stretch>
                  </pic:blipFill>
                  <pic:spPr>
                    <a:xfrm>
                      <a:off x="0" y="0"/>
                      <a:ext cx="8620125" cy="4568825"/>
                    </a:xfrm>
                    <a:prstGeom prst="rect">
                      <a:avLst/>
                    </a:prstGeom>
                    <a:solidFill>
                      <a:schemeClr val="tx1"/>
                    </a:solidFill>
                    <a:ln w="28575" cmpd="sng">
                      <a:solidFill>
                        <a:schemeClr val="tx1"/>
                      </a:solidFill>
                      <a:prstDash val="solid"/>
                    </a:ln>
                  </pic:spPr>
                </pic:pic>
              </a:graphicData>
            </a:graphic>
          </wp:anchor>
        </w:drawing>
      </w: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jc w:val="center"/>
        <w:rPr>
          <w:rFonts w:hint="eastAsia" w:ascii="宋体" w:hAnsi="宋体" w:eastAsia="宋体" w:cs="宋体"/>
          <w:color w:val="auto"/>
          <w:sz w:val="24"/>
          <w:szCs w:val="24"/>
          <w:highlight w:val="none"/>
          <w:lang w:val="en-US" w:eastAsia="zh-CN"/>
        </w:rPr>
      </w:pPr>
    </w:p>
    <w:p>
      <w:pPr>
        <w:pStyle w:val="3"/>
        <w:keepNext w:val="0"/>
        <w:keepLines w:val="0"/>
        <w:pageBreakBefore w:val="0"/>
        <w:widowControl w:val="0"/>
        <w:kinsoku/>
        <w:wordWrap/>
        <w:overflowPunct/>
        <w:topLinePunct w:val="0"/>
        <w:autoSpaceDE/>
        <w:autoSpaceDN/>
        <w:bidi w:val="0"/>
        <w:adjustRightInd w:val="0"/>
        <w:snapToGrid/>
        <w:ind w:left="0" w:leftChars="0" w:firstLine="0" w:firstLineChars="0"/>
        <w:jc w:val="center"/>
        <w:textAlignment w:val="baseline"/>
        <w:outlineLvl w:val="0"/>
        <w:rPr>
          <w:rFonts w:hint="eastAsia" w:ascii="宋体" w:hAnsi="宋体" w:eastAsia="宋体" w:cs="宋体"/>
          <w:color w:val="auto"/>
          <w:sz w:val="24"/>
          <w:szCs w:val="24"/>
          <w:highlight w:val="none"/>
          <w:lang w:val="en-US" w:eastAsia="zh-CN"/>
        </w:rPr>
      </w:pPr>
    </w:p>
    <w:p>
      <w:pPr>
        <w:pStyle w:val="3"/>
        <w:keepNext w:val="0"/>
        <w:keepLines w:val="0"/>
        <w:pageBreakBefore w:val="0"/>
        <w:widowControl w:val="0"/>
        <w:kinsoku/>
        <w:wordWrap/>
        <w:overflowPunct/>
        <w:topLinePunct w:val="0"/>
        <w:autoSpaceDE/>
        <w:autoSpaceDN/>
        <w:bidi w:val="0"/>
        <w:adjustRightInd w:val="0"/>
        <w:snapToGrid/>
        <w:ind w:left="0" w:leftChars="0" w:firstLine="0" w:firstLineChars="0"/>
        <w:jc w:val="center"/>
        <w:textAlignment w:val="baseline"/>
        <w:outlineLvl w:val="0"/>
        <w:rPr>
          <w:rFonts w:hint="eastAsia" w:ascii="宋体" w:hAnsi="宋体" w:eastAsia="宋体" w:cs="宋体"/>
          <w:color w:val="auto"/>
          <w:sz w:val="24"/>
          <w:szCs w:val="24"/>
          <w:highlight w:val="none"/>
          <w:lang w:val="en-US" w:eastAsia="zh-CN"/>
          <w14:textOutline w14:w="28575" w14:cmpd="sng">
            <w14:solidFill>
              <w14:schemeClr w14:val="tx1">
                <w14:alpha w14:val="0"/>
              </w14:schemeClr>
            </w14:solidFill>
            <w14:prstDash w14:val="solid"/>
            <w14:round/>
          </w14:textOutline>
        </w:rPr>
        <w:sectPr>
          <w:footerReference r:id="rId7" w:type="default"/>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r>
        <w:rPr>
          <w:rFonts w:hint="eastAsia" w:ascii="宋体" w:hAnsi="宋体" w:eastAsia="宋体" w:cs="宋体"/>
          <w:color w:val="auto"/>
          <w:sz w:val="24"/>
          <w:szCs w:val="24"/>
          <w:highlight w:val="none"/>
          <w:lang w:val="en-US" w:eastAsia="zh-CN"/>
        </w:rPr>
        <w:t>附图1</w:t>
      </w:r>
      <w:r>
        <w:rPr>
          <w:rFonts w:hint="eastAsia"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项目地理位置图</w:t>
      </w:r>
    </w:p>
    <w:p>
      <w:pPr>
        <w:pStyle w:val="3"/>
        <w:keepNext w:val="0"/>
        <w:keepLines w:val="0"/>
        <w:pageBreakBefore w:val="0"/>
        <w:widowControl w:val="0"/>
        <w:kinsoku/>
        <w:wordWrap/>
        <w:overflowPunct/>
        <w:topLinePunct w:val="0"/>
        <w:autoSpaceDE/>
        <w:autoSpaceDN/>
        <w:bidi w:val="0"/>
        <w:adjustRightInd w:val="0"/>
        <w:snapToGrid/>
        <w:spacing w:before="157" w:beforeLines="50"/>
        <w:jc w:val="center"/>
        <w:textAlignment w:val="baseline"/>
        <w:outlineLvl w:val="0"/>
        <w:rPr>
          <w:rFonts w:hint="eastAsia" w:ascii="Times New Roman" w:hAnsi="Times New Roman" w:eastAsia="宋体" w:cs="Times New Roman"/>
          <w:color w:val="auto"/>
          <w:sz w:val="24"/>
          <w:szCs w:val="24"/>
          <w:highlight w:val="none"/>
          <w:lang w:val="en-US" w:eastAsia="zh-CN"/>
        </w:rPr>
      </w:pPr>
      <w:r>
        <w:rPr>
          <w:rFonts w:cs="Times New Roman"/>
          <w:color w:val="auto"/>
        </w:rPr>
        <w:drawing>
          <wp:anchor distT="0" distB="0" distL="114300" distR="114300" simplePos="0" relativeHeight="251707392" behindDoc="0" locked="0" layoutInCell="1" allowOverlap="1">
            <wp:simplePos x="0" y="0"/>
            <wp:positionH relativeFrom="column">
              <wp:posOffset>7061200</wp:posOffset>
            </wp:positionH>
            <wp:positionV relativeFrom="paragraph">
              <wp:posOffset>178435</wp:posOffset>
            </wp:positionV>
            <wp:extent cx="571500" cy="680085"/>
            <wp:effectExtent l="0" t="0" r="0" b="5715"/>
            <wp:wrapNone/>
            <wp:docPr id="8518668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66820" name="图片 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1500" cy="680085"/>
                    </a:xfrm>
                    <a:prstGeom prst="rect">
                      <a:avLst/>
                    </a:prstGeom>
                  </pic:spPr>
                </pic:pic>
              </a:graphicData>
            </a:graphic>
          </wp:anchor>
        </w:drawing>
      </w:r>
      <w:r>
        <w:rPr>
          <w:rFonts w:hint="eastAsia" w:ascii="Times New Roman" w:hAnsi="Times New Roman" w:eastAsia="宋体" w:cs="Times New Roman"/>
          <w:color w:val="auto"/>
          <w:sz w:val="24"/>
          <w:szCs w:val="24"/>
          <w:highlight w:val="none"/>
          <w:lang w:val="en-US" w:eastAsia="zh-CN"/>
        </w:rPr>
        <w:drawing>
          <wp:anchor distT="0" distB="0" distL="114300" distR="114300" simplePos="0" relativeHeight="251684864" behindDoc="0" locked="0" layoutInCell="1" allowOverlap="1">
            <wp:simplePos x="0" y="0"/>
            <wp:positionH relativeFrom="column">
              <wp:posOffset>829945</wp:posOffset>
            </wp:positionH>
            <wp:positionV relativeFrom="paragraph">
              <wp:posOffset>55245</wp:posOffset>
            </wp:positionV>
            <wp:extent cx="7036435" cy="5137785"/>
            <wp:effectExtent l="12700" t="12700" r="18415" b="31115"/>
            <wp:wrapTopAndBottom/>
            <wp:docPr id="18" name="图片 18" descr="截图2024012420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截图20240124201956"/>
                    <pic:cNvPicPr>
                      <a:picLocks noChangeAspect="1"/>
                    </pic:cNvPicPr>
                  </pic:nvPicPr>
                  <pic:blipFill>
                    <a:blip r:embed="rId21"/>
                    <a:srcRect b="977"/>
                    <a:stretch>
                      <a:fillRect/>
                    </a:stretch>
                  </pic:blipFill>
                  <pic:spPr>
                    <a:xfrm>
                      <a:off x="0" y="0"/>
                      <a:ext cx="7036435" cy="5137785"/>
                    </a:xfrm>
                    <a:prstGeom prst="rect">
                      <a:avLst/>
                    </a:prstGeom>
                    <a:ln w="12700" cmpd="sng">
                      <a:solidFill>
                        <a:schemeClr val="tx1"/>
                      </a:solidFill>
                      <a:prstDash val="solid"/>
                    </a:ln>
                  </pic:spPr>
                </pic:pic>
              </a:graphicData>
            </a:graphic>
          </wp:anchor>
        </w:drawing>
      </w:r>
      <w:r>
        <w:rPr>
          <w:color w:val="auto"/>
          <w:sz w:val="28"/>
        </w:rPr>
        <mc:AlternateContent>
          <mc:Choice Requires="wps">
            <w:drawing>
              <wp:anchor distT="0" distB="0" distL="114300" distR="114300" simplePos="0" relativeHeight="251708416" behindDoc="0" locked="0" layoutInCell="1" allowOverlap="1">
                <wp:simplePos x="0" y="0"/>
                <wp:positionH relativeFrom="column">
                  <wp:posOffset>857250</wp:posOffset>
                </wp:positionH>
                <wp:positionV relativeFrom="paragraph">
                  <wp:posOffset>4725035</wp:posOffset>
                </wp:positionV>
                <wp:extent cx="1783715" cy="424180"/>
                <wp:effectExtent l="0" t="0" r="6985" b="13970"/>
                <wp:wrapNone/>
                <wp:docPr id="75" name="文本框 75"/>
                <wp:cNvGraphicFramePr/>
                <a:graphic xmlns:a="http://schemas.openxmlformats.org/drawingml/2006/main">
                  <a:graphicData uri="http://schemas.microsoft.com/office/word/2010/wordprocessingShape">
                    <wps:wsp>
                      <wps:cNvSpPr txBox="1"/>
                      <wps:spPr>
                        <a:xfrm>
                          <a:off x="2023745" y="5507355"/>
                          <a:ext cx="1783715" cy="4241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sz w:val="28"/>
                                <w:szCs w:val="28"/>
                                <w:lang w:val="en-US" w:eastAsia="zh-CN"/>
                              </w:rPr>
                            </w:pPr>
                            <w:r>
                              <w:rPr>
                                <w:rFonts w:hint="eastAsia"/>
                                <w:sz w:val="28"/>
                                <w:szCs w:val="28"/>
                                <w:lang w:eastAsia="zh-CN"/>
                              </w:rPr>
                              <w:t>比例尺：</w:t>
                            </w:r>
                            <w:r>
                              <w:rPr>
                                <w:rFonts w:hint="eastAsia"/>
                                <w:sz w:val="28"/>
                                <w:szCs w:val="28"/>
                                <w:lang w:val="en-US" w:eastAsia="zh-CN"/>
                              </w:rPr>
                              <w:t>1:1800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5pt;margin-top:372.05pt;height:33.4pt;width:140.45pt;z-index:251708416;mso-width-relative:page;mso-height-relative:page;" fillcolor="#FFFFFF [3201]" filled="t" stroked="f" coordsize="21600,21600" o:gfxdata="UEsDBAoAAAAAAIdO4kAAAAAAAAAAAAAAAAAEAAAAZHJzL1BLAwQUAAAACACHTuJAlkzOp9YAAAAL&#10;AQAADwAAAGRycy9kb3ducmV2LnhtbE2Py07DMBRE90j8g3WR2FHbkEKbxukCiS0Sfa3d2I0j7OvI&#10;dp9fz2UFy9GMZs40y0vw7GRTHiIqkBMBzGIXzYC9gs3642kGLBeNRvuIVsHVZli293eNrk0845c9&#10;rUrPqARzrRW4Usaa89w5G3SexNEieYeYgi4kU89N0mcqD54/C/HKgx6QFpwe7buz3ffqGBTs+nDb&#10;beWYnAm+ws/bdb2Jg1KPD1IsgBV7KX9h+MUndGiJaR+PaDLzpF+m9KUoeKsqCYwSlZzOge0VzKSY&#10;A28b/v9D+wNQSwMEFAAAAAgAh07iQLjTyXVfAgAAnQQAAA4AAABkcnMvZTJvRG9jLnhtbK1UzY7T&#10;MBC+I/EOlu9s0r9tqZquSldFSBW70oI4u47TWLI9xnablAeAN+DEhTvP1edg7LS7y8JhD/SQjj1f&#10;vpn5Ziazq1YrshfOSzAF7V3klAjDoZRmW9CPH1avJpT4wEzJFBhR0IPw9Gr+8sWssVPRhxpUKRxB&#10;EuOnjS1oHYKdZpnntdDMX4AVBp0VOM0CHt02Kx1rkF2rrJ/nl1kDrrQOuPAeb687Jz0xuucQQlVJ&#10;Lq6B77QwoWN1QrGAJflaWk/nKduqEjzcVJUXgaiCYqUhPTEI2pv4zOYzNt06ZmvJTymw56TwpCbN&#10;pMGg91TXLDCyc/IvKi25Aw9VuOCgs66QpAhW0cufaHNXMytSLSi1t/ei+/9Hy9/vbx2RZUHHI0oM&#10;09jx4/dvxx+/jj+/ErxDgRrrp4i7s4gM7RtocWzO9x4vY91t5XT8x4oI+vt5fzAeIuOhoKNRPh6M&#10;EhObijYQHgnGk8G4hwCOiGF/2JukXmQPTNb58FaAJtEoqMNWJoXZfu0DZoXQMyQG9qBkuZJKpYPb&#10;bpbKkT3Dtq/SLyaMr/wBU4Y0Bb0cjPLEbCC+3+GUQXgsvCswWqHdtCc1NlAeUAwH3Tx5y1cSs1wz&#10;H26ZwwHC8cIVCzf4qBRgEDhZlNTgvvzrPuKxr+ilpMGBLKj/vGNOUKLeGez4695wGCc4HYajcR8P&#10;7rFn89hjdnoJWHwPl9nyZEZ8UGezcqA/4SYuYlR0McMxdkHD2VyGbk1wk7lYLBIIZ9aysDZ3lkfq&#10;KLWBxS5AJVNLokydNif1cGqT7KcNi2vx+JxQD1+V+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W&#10;TM6n1gAAAAsBAAAPAAAAAAAAAAEAIAAAACIAAABkcnMvZG93bnJldi54bWxQSwECFAAUAAAACACH&#10;TuJAuNPJdV8CAACdBAAADgAAAAAAAAABACAAAAAlAQAAZHJzL2Uyb0RvYy54bWxQSwUGAAAAAAYA&#10;BgBZAQAA9gUAAAAA&#10;">
                <v:fill on="t" focussize="0,0"/>
                <v:stroke on="f" weight="0.5pt"/>
                <v:imagedata o:title=""/>
                <o:lock v:ext="edit" aspectratio="f"/>
                <v:textbox>
                  <w:txbxContent>
                    <w:p>
                      <w:pPr>
                        <w:rPr>
                          <w:rFonts w:hint="default" w:eastAsia="宋体"/>
                          <w:sz w:val="28"/>
                          <w:szCs w:val="28"/>
                          <w:lang w:val="en-US" w:eastAsia="zh-CN"/>
                        </w:rPr>
                      </w:pPr>
                      <w:r>
                        <w:rPr>
                          <w:rFonts w:hint="eastAsia"/>
                          <w:sz w:val="28"/>
                          <w:szCs w:val="28"/>
                          <w:lang w:eastAsia="zh-CN"/>
                        </w:rPr>
                        <w:t>比例尺：</w:t>
                      </w:r>
                      <w:r>
                        <w:rPr>
                          <w:rFonts w:hint="eastAsia"/>
                          <w:sz w:val="28"/>
                          <w:szCs w:val="28"/>
                          <w:lang w:val="en-US" w:eastAsia="zh-CN"/>
                        </w:rPr>
                        <w:t>1:1800</w:t>
                      </w:r>
                    </w:p>
                  </w:txbxContent>
                </v:textbox>
              </v:shape>
            </w:pict>
          </mc:Fallback>
        </mc:AlternateContent>
      </w:r>
      <w:r>
        <w:rPr>
          <w:rFonts w:hint="eastAsia" w:ascii="Times New Roman" w:hAnsi="Times New Roman" w:eastAsia="宋体" w:cs="Times New Roman"/>
          <w:color w:val="auto"/>
          <w:sz w:val="24"/>
          <w:szCs w:val="24"/>
          <w:highlight w:val="none"/>
          <w:lang w:val="en-US" w:eastAsia="zh-CN"/>
        </w:rPr>
        <w:t xml:space="preserve">附图2 </w:t>
      </w:r>
      <w:r>
        <w:rPr>
          <w:rFonts w:hint="eastAsia" w:cs="Times New Roman"/>
          <w:color w:val="auto"/>
          <w:sz w:val="24"/>
          <w:szCs w:val="24"/>
          <w:highlight w:val="none"/>
          <w:lang w:val="en-US" w:eastAsia="zh-CN"/>
        </w:rPr>
        <w:t xml:space="preserve">   </w:t>
      </w:r>
      <w:r>
        <w:rPr>
          <w:rFonts w:hint="eastAsia" w:ascii="Times New Roman" w:hAnsi="Times New Roman" w:eastAsia="宋体" w:cs="Times New Roman"/>
          <w:color w:val="auto"/>
          <w:sz w:val="24"/>
          <w:szCs w:val="24"/>
          <w:highlight w:val="none"/>
          <w:lang w:val="en-US" w:eastAsia="zh-CN"/>
        </w:rPr>
        <w:t>项目平面布置图</w:t>
      </w:r>
    </w:p>
    <w:p>
      <w:pPr>
        <w:rPr>
          <w:rFonts w:hint="eastAsia"/>
          <w:color w:val="auto"/>
          <w:highlight w:val="none"/>
          <w:lang w:val="en-US" w:eastAsia="zh-CN"/>
        </w:rPr>
      </w:pPr>
      <w:r>
        <w:rPr>
          <w:color w:val="auto"/>
          <w:sz w:val="18"/>
          <w:highlight w:val="none"/>
        </w:rPr>
        <w:drawing>
          <wp:anchor distT="0" distB="0" distL="114300" distR="114300" simplePos="0" relativeHeight="251661312" behindDoc="0" locked="0" layoutInCell="1" allowOverlap="1">
            <wp:simplePos x="0" y="0"/>
            <wp:positionH relativeFrom="column">
              <wp:posOffset>20320</wp:posOffset>
            </wp:positionH>
            <wp:positionV relativeFrom="paragraph">
              <wp:posOffset>111760</wp:posOffset>
            </wp:positionV>
            <wp:extent cx="8345805" cy="5007610"/>
            <wp:effectExtent l="0" t="0" r="17145" b="2540"/>
            <wp:wrapNone/>
            <wp:docPr id="3" name="图片 17" descr="D:\三线一单项目\鄂尔多斯\综合\集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7" descr="D:\三线一单项目\鄂尔多斯\综合\集成.jpg"/>
                    <pic:cNvPicPr>
                      <a:picLocks noChangeAspect="1"/>
                    </pic:cNvPicPr>
                  </pic:nvPicPr>
                  <pic:blipFill>
                    <a:blip r:embed="rId22"/>
                    <a:stretch>
                      <a:fillRect/>
                    </a:stretch>
                  </pic:blipFill>
                  <pic:spPr>
                    <a:xfrm>
                      <a:off x="0" y="0"/>
                      <a:ext cx="8345805" cy="5007610"/>
                    </a:xfrm>
                    <a:prstGeom prst="rect">
                      <a:avLst/>
                    </a:prstGeom>
                    <a:noFill/>
                    <a:ln>
                      <a:noFill/>
                    </a:ln>
                  </pic:spPr>
                </pic:pic>
              </a:graphicData>
            </a:graphic>
          </wp:anchor>
        </w:drawing>
      </w:r>
    </w:p>
    <w:p>
      <w:pPr>
        <w:pStyle w:val="3"/>
        <w:rPr>
          <w:rFonts w:hint="eastAsia"/>
          <w:color w:val="auto"/>
          <w:highlight w:val="none"/>
          <w:lang w:val="en-US" w:eastAsia="zh-CN"/>
        </w:rPr>
      </w:pPr>
    </w:p>
    <w:p>
      <w:pPr>
        <w:pStyle w:val="3"/>
        <w:rPr>
          <w:rFonts w:hint="eastAsia"/>
          <w:color w:val="auto"/>
          <w:highlight w:val="none"/>
          <w:lang w:val="en-US" w:eastAsia="zh-CN"/>
        </w:rPr>
      </w:pPr>
    </w:p>
    <w:p>
      <w:pPr>
        <w:pStyle w:val="3"/>
        <w:rPr>
          <w:rFonts w:hint="eastAsia"/>
          <w:color w:val="auto"/>
          <w:highlight w:val="none"/>
          <w:lang w:val="en-US" w:eastAsia="zh-CN"/>
        </w:rPr>
      </w:pPr>
    </w:p>
    <w:p>
      <w:pPr>
        <w:pStyle w:val="3"/>
        <w:rPr>
          <w:rFonts w:hint="eastAsia"/>
          <w:color w:val="auto"/>
          <w:highlight w:val="none"/>
          <w:lang w:val="en-US" w:eastAsia="zh-CN"/>
        </w:rPr>
      </w:pPr>
    </w:p>
    <w:p>
      <w:pPr>
        <w:pStyle w:val="3"/>
        <w:rPr>
          <w:rFonts w:hint="eastAsia"/>
          <w:color w:val="auto"/>
          <w:highlight w:val="none"/>
          <w:lang w:val="en-US" w:eastAsia="zh-CN"/>
        </w:rPr>
      </w:pPr>
    </w:p>
    <w:p>
      <w:pPr>
        <w:pStyle w:val="3"/>
        <w:rPr>
          <w:rFonts w:hint="eastAsia"/>
          <w:color w:val="auto"/>
          <w:highlight w:val="none"/>
          <w:lang w:val="en-US" w:eastAsia="zh-CN"/>
        </w:rPr>
      </w:pPr>
      <w:r>
        <w:rPr>
          <w:color w:val="auto"/>
          <w:sz w:val="28"/>
          <w:highlight w:val="none"/>
        </w:rPr>
        <mc:AlternateContent>
          <mc:Choice Requires="wps">
            <w:drawing>
              <wp:anchor distT="0" distB="0" distL="114300" distR="114300" simplePos="0" relativeHeight="251663360" behindDoc="0" locked="0" layoutInCell="1" allowOverlap="1">
                <wp:simplePos x="0" y="0"/>
                <wp:positionH relativeFrom="column">
                  <wp:posOffset>5163185</wp:posOffset>
                </wp:positionH>
                <wp:positionV relativeFrom="paragraph">
                  <wp:posOffset>123825</wp:posOffset>
                </wp:positionV>
                <wp:extent cx="134620" cy="114300"/>
                <wp:effectExtent l="15875" t="13970" r="20955" b="24130"/>
                <wp:wrapNone/>
                <wp:docPr id="5" name="自选图形 19"/>
                <wp:cNvGraphicFramePr/>
                <a:graphic xmlns:a="http://schemas.openxmlformats.org/drawingml/2006/main">
                  <a:graphicData uri="http://schemas.microsoft.com/office/word/2010/wordprocessingShape">
                    <wps:wsp>
                      <wps:cNvSpPr/>
                      <wps:spPr>
                        <a:xfrm>
                          <a:off x="0" y="0"/>
                          <a:ext cx="134620" cy="114300"/>
                        </a:xfrm>
                        <a:prstGeom prst="star5">
                          <a:avLst/>
                        </a:prstGeom>
                        <a:solidFill>
                          <a:srgbClr val="FF000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shape id="自选图形 19" o:spid="_x0000_s1026" style="position:absolute;left:0pt;margin-left:406.55pt;margin-top:9.75pt;height:9pt;width:10.6pt;z-index:251663360;mso-width-relative:page;mso-height-relative:page;" fillcolor="#FF0000" filled="t" stroked="t" coordsize="134620,114300" o:gfxdata="UEsDBAoAAAAAAIdO4kAAAAAAAAAAAAAAAAAEAAAAZHJzL1BLAwQUAAAACACHTuJASbQ2bNkAAAAJ&#10;AQAADwAAAGRycy9kb3ducmV2LnhtbE2Py07DMBBF90j8gzVI7KgdQksIcaqCYMWiatoF7KaJ8wB7&#10;HMXug79nWMFydI/uPVMsz86Ko5nC4ElDMlMgDNW+GajTsNu+3mQgQkRq0HoyGr5NgGV5eVFg3vgT&#10;bcyxip3gEgo5auhjHHMpQ90bh2HmR0OctX5yGPmcOtlMeOJyZ+WtUgvpcCBe6HE0z72pv6qD0/Dy&#10;UT3tVlu/ju8rVPatbT8XG6n19VWiHkFEc45/MPzqszqU7LT3B2qCsBqyJE0Y5eBhDoKBLL1LQew1&#10;pPdzkGUh/39Q/gBQSwMEFAAAAAgAh07iQKZJBIQoAgAAWAQAAA4AAABkcnMvZTJvRG9jLnhtbK1U&#10;zY7TMBC+I/EOlu80SfdHbNR0D1vKBcFKCw8wtZ3Ekv+w3ablxA3xDNw48g7wNivBWzB2SvcHDj2Q&#10;QzK2x9/M981MZpdbrchG+CCtaWg1KSkRhlkuTdfQd2+Xz55TEiIYDsoa0dCdCPRy/vTJbHC1mNre&#10;Ki48QRAT6sE1tI/R1UURWC80hIl1wuBha72GiEvfFdzDgOhaFdOyPC8G67nzlokQcHcxHtI9oj8G&#10;0LatZGJh2VoLE0dULxREpBR66QKd52zbVrD4pm2DiEQ1FJnG/MYgaK/Su5jPoO48uF6yfQpwTAqP&#10;OGmQBoMeoBYQgay9/AtKS+ZtsG2cMKuLkUhWBFlU5SNtbnpwInNBqYM7iB7+Hyx7vbn2RPKGnlFi&#10;QGPBf3769uvj59svP26/fyXVRZJocKFGzxt37fergGbiu229Tl9kQrZZ1t1BVrGNhOFmdXJ6PkXB&#10;GR5V1elJmWUv7i47H+JLYTVJRkOx+/xZVhM2r0LEiOj7xycFC1ZJvpRK5YXvVlfKkw1giZfLEp+U&#10;Ml554KYMGRp6cTZFngywb1vsFzS1Q+7BdDnegxvhPnCC/TdwSmwBoR8TyAhjV2kZRZIL6l4Af2E4&#10;iTuH+hocK5qS0YJTogROYbKyZwSpjvFEdsogyVSYsRTJWlm+w2ricKOKvfUfMAy2NvJ7vwaPQcEw&#10;3G4oEh/NqzjOwtp52fV4q8raJTBsuKzifjhSR99f5+B3P4T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m0NmzZAAAACQEAAA8AAAAAAAAAAQAgAAAAIgAAAGRycy9kb3ducmV2LnhtbFBLAQIUABQA&#10;AAAIAIdO4kCmSQSEKAIAAFgEAAAOAAAAAAAAAAEAIAAAACgBAABkcnMvZTJvRG9jLnhtbFBLBQYA&#10;AAAABgAGAFkBAADCBQAAAAA=&#10;" path="m0,43658l51420,43658,67310,0,83199,43658,134619,43658,93019,70640,108909,114299,67310,87316,25710,114299,41600,70640xe">
                <v:path o:connectlocs="67310,0;0,43658;25710,114299;108909,114299;134619,43658" o:connectangles="247,164,82,82,0"/>
                <v:fill on="t" focussize="0,0"/>
                <v:stroke color="#000000" joinstyle="miter"/>
                <v:imagedata o:title=""/>
                <o:lock v:ext="edit" aspectratio="f"/>
              </v:shape>
            </w:pict>
          </mc:Fallback>
        </mc:AlternateContent>
      </w:r>
    </w:p>
    <w:p>
      <w:pPr>
        <w:pStyle w:val="3"/>
        <w:rPr>
          <w:rFonts w:hint="eastAsia"/>
          <w:color w:val="auto"/>
          <w:highlight w:val="none"/>
          <w:lang w:val="en-US" w:eastAsia="zh-CN"/>
        </w:rPr>
      </w:pPr>
      <w:r>
        <w:rPr>
          <w:color w:val="auto"/>
          <w:sz w:val="28"/>
          <w:highlight w:val="none"/>
        </w:rPr>
        <mc:AlternateContent>
          <mc:Choice Requires="wps">
            <w:drawing>
              <wp:anchor distT="0" distB="0" distL="114300" distR="114300" simplePos="0" relativeHeight="251662336" behindDoc="0" locked="0" layoutInCell="1" allowOverlap="1">
                <wp:simplePos x="0" y="0"/>
                <wp:positionH relativeFrom="column">
                  <wp:posOffset>5427345</wp:posOffset>
                </wp:positionH>
                <wp:positionV relativeFrom="paragraph">
                  <wp:posOffset>291465</wp:posOffset>
                </wp:positionV>
                <wp:extent cx="883920" cy="298450"/>
                <wp:effectExtent l="156845" t="450850" r="6985" b="12700"/>
                <wp:wrapNone/>
                <wp:docPr id="4" name="自选图形 18"/>
                <wp:cNvGraphicFramePr/>
                <a:graphic xmlns:a="http://schemas.openxmlformats.org/drawingml/2006/main">
                  <a:graphicData uri="http://schemas.microsoft.com/office/word/2010/wordprocessingShape">
                    <wps:wsp>
                      <wps:cNvSpPr/>
                      <wps:spPr>
                        <a:xfrm flipV="1">
                          <a:off x="0" y="0"/>
                          <a:ext cx="883920" cy="298450"/>
                        </a:xfrm>
                        <a:prstGeom prst="wedgeRectCallout">
                          <a:avLst>
                            <a:gd name="adj1" fmla="val -65229"/>
                            <a:gd name="adj2" fmla="val 192553"/>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lang w:eastAsia="zh-CN"/>
                              </w:rPr>
                            </w:pPr>
                            <w:r>
                              <w:rPr>
                                <w:rFonts w:hint="eastAsia"/>
                                <w:lang w:eastAsia="zh-CN"/>
                              </w:rPr>
                              <w:t>本项目位置</w:t>
                            </w:r>
                          </w:p>
                        </w:txbxContent>
                      </wps:txbx>
                      <wps:bodyPr vert="horz" wrap="square" anchor="t" anchorCtr="0" upright="1"/>
                    </wps:wsp>
                  </a:graphicData>
                </a:graphic>
              </wp:anchor>
            </w:drawing>
          </mc:Choice>
          <mc:Fallback>
            <w:pict>
              <v:shape id="自选图形 18" o:spid="_x0000_s1026" o:spt="61" type="#_x0000_t61" style="position:absolute;left:0pt;flip:y;margin-left:427.35pt;margin-top:22.95pt;height:23.5pt;width:69.6pt;z-index:251662336;mso-width-relative:page;mso-height-relative:page;" fillcolor="#FFFFFF" filled="t" stroked="t" coordsize="21600,21600" o:gfxdata="UEsDBAoAAAAAAIdO4kAAAAAAAAAAAAAAAAAEAAAAZHJzL1BLAwQUAAAACACHTuJAU0FqNtoAAAAJ&#10;AQAADwAAAGRycy9kb3ducmV2LnhtbE2PTU/DMAyG70j8h8hIXCaWbuyjLU0nhLTDToyCNHHLGtNU&#10;NE7VZN3g12NOcHstP3r9uNhcXCdGHELrScFsmoBAqr1pqVHw9rq9S0GEqMnozhMq+MIAm/L6qtC5&#10;8Wd6wbGKjeASCrlWYGPscylDbdHpMPU9Eu8+/OB05HFopBn0mctdJ+dJspJOt8QXrO7xyWL9WZ2c&#10;gpU1afX4nR5GN5n49+f9btvsd0rd3sySBxARL/EPhl99VoeSnY7+RCaITkG6XKwZVbBYZiAYyLJ7&#10;DkcO8wxkWcj/H5Q/UEsDBBQAAAAIAIdO4kDd2BDcYQIAAMsEAAAOAAAAZHJzL2Uyb0RvYy54bWyt&#10;VM2O0zAQviPxDpbv2zTZzaqtmu6hpVwQrFjg7tpOYuQ/bLdpOXFDPAM3jrwDvM1K8BaMnVC6C4c9&#10;kEM0tsffzPfNjOdXeyXRjjsvjK5wPhpjxDU1TOimwq9frc8mGPlANCPSaF7hA/f4avH40byzM16Y&#10;1kjGHQIQ7WedrXAbgp1lmactV8SPjOUaDmvjFAmwdE3GHOkAXcmsGI8vs844Zp2h3HvYXfWHeEB0&#10;DwE0dS0oXxm6VVyHHtVxSQJQ8q2wHi9StnXNaXhR154HJCsMTEP6QxCwN/GfLeZk1jhiW0GHFMhD&#10;UrjHSRGhIegRakUCQVsn/oJSgjrjTR1G1KisJ5IUARb5+J42Ny2xPHEBqb09iu7/Hyx9vrt2SLAK&#10;X2CkiYKC//j49eeHT7efv99++4LySZSos34Gnjf22g0rD2bku6+dQrUU9g30UlIAOKF9EvhwFJjv&#10;A6KwOZmcTwuQnsJRMZ1clKkAWQ8T4azz4Sk3CkWjwh1nDX8JRVwSKc02pABk98yHpDUbMibsbY5R&#10;rSSUbkckOrssi2I61PbEqTh1yqdFWZ5HJ4g/YIL1O4MYwBsp2FpImRau2SylQxCgwuv0DZfvuEmN&#10;ugpPy6IEmgTmo4a+BFNZ0NjrJlG4c8OfAo/T9y/gmNiK+LZPICH0DJUI3KU+bjlhTzRD4WChjhrG&#10;F8dkFGcYSQ7THq3kGYiQD/EEQaQGhWID9CWPVthv9kMfbAw7QAPBewLlao17DxFhmoDquy1xEJ9o&#10;CtsVBg16cxn68dtaJ5oWbuWJbcSFHk/VGOYxDtHpOuXx5w1a/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TQWo22gAAAAkBAAAPAAAAAAAAAAEAIAAAACIAAABkcnMvZG93bnJldi54bWxQSwECFAAU&#10;AAAACACHTuJA3dgQ3GECAADLBAAADgAAAAAAAAABACAAAAApAQAAZHJzL2Uyb0RvYy54bWxQSwUG&#10;AAAAAAYABgBZAQAA/AUAAAAA&#10;" adj="-3289,52391">
                <v:fill on="t" focussize="0,0"/>
                <v:stroke color="#000000" joinstyle="miter"/>
                <v:imagedata o:title=""/>
                <o:lock v:ext="edit" aspectratio="f"/>
                <v:textbox>
                  <w:txbxContent>
                    <w:p>
                      <w:pPr>
                        <w:rPr>
                          <w:rFonts w:hint="eastAsia" w:eastAsia="宋体"/>
                          <w:lang w:eastAsia="zh-CN"/>
                        </w:rPr>
                      </w:pPr>
                      <w:r>
                        <w:rPr>
                          <w:rFonts w:hint="eastAsia"/>
                          <w:lang w:eastAsia="zh-CN"/>
                        </w:rPr>
                        <w:t>本项目位置</w:t>
                      </w:r>
                    </w:p>
                  </w:txbxContent>
                </v:textbox>
              </v:shape>
            </w:pict>
          </mc:Fallback>
        </mc:AlternateContent>
      </w:r>
    </w:p>
    <w:p>
      <w:pPr>
        <w:pStyle w:val="3"/>
        <w:rPr>
          <w:rFonts w:hint="eastAsia"/>
          <w:color w:val="auto"/>
          <w:highlight w:val="none"/>
          <w:lang w:val="en-US" w:eastAsia="zh-CN"/>
        </w:rPr>
      </w:pPr>
    </w:p>
    <w:p>
      <w:pPr>
        <w:pStyle w:val="3"/>
        <w:rPr>
          <w:rFonts w:hint="eastAsia"/>
          <w:color w:val="auto"/>
          <w:highlight w:val="none"/>
          <w:lang w:val="en-US" w:eastAsia="zh-CN"/>
        </w:rPr>
      </w:pPr>
    </w:p>
    <w:p>
      <w:pPr>
        <w:pStyle w:val="3"/>
        <w:rPr>
          <w:rFonts w:hint="eastAsia"/>
          <w:color w:val="auto"/>
          <w:highlight w:val="none"/>
          <w:lang w:val="en-US" w:eastAsia="zh-CN"/>
        </w:rPr>
      </w:pPr>
    </w:p>
    <w:p>
      <w:pPr>
        <w:pStyle w:val="3"/>
        <w:rPr>
          <w:rFonts w:hint="eastAsia"/>
          <w:color w:val="auto"/>
          <w:highlight w:val="none"/>
          <w:lang w:val="en-US" w:eastAsia="zh-CN"/>
        </w:rPr>
      </w:pPr>
    </w:p>
    <w:p>
      <w:pPr>
        <w:pStyle w:val="3"/>
        <w:rPr>
          <w:rFonts w:hint="eastAsia"/>
          <w:color w:val="auto"/>
          <w:highlight w:val="none"/>
          <w:lang w:val="en-US" w:eastAsia="zh-CN"/>
        </w:rPr>
      </w:pPr>
    </w:p>
    <w:p>
      <w:pPr>
        <w:pStyle w:val="3"/>
        <w:rPr>
          <w:rFonts w:hint="eastAsia"/>
          <w:color w:val="auto"/>
          <w:highlight w:val="none"/>
          <w:lang w:val="en-US" w:eastAsia="zh-CN"/>
        </w:rPr>
      </w:pPr>
    </w:p>
    <w:p>
      <w:pPr>
        <w:pStyle w:val="3"/>
        <w:rPr>
          <w:rFonts w:hint="eastAsia"/>
          <w:color w:val="auto"/>
          <w:highlight w:val="none"/>
          <w:lang w:val="en-US" w:eastAsia="zh-CN"/>
        </w:rPr>
      </w:pPr>
    </w:p>
    <w:p>
      <w:pPr>
        <w:pStyle w:val="3"/>
        <w:keepNext w:val="0"/>
        <w:keepLines w:val="0"/>
        <w:pageBreakBefore w:val="0"/>
        <w:widowControl w:val="0"/>
        <w:kinsoku/>
        <w:wordWrap/>
        <w:overflowPunct/>
        <w:topLinePunct w:val="0"/>
        <w:autoSpaceDE/>
        <w:autoSpaceDN/>
        <w:bidi w:val="0"/>
        <w:adjustRightInd w:val="0"/>
        <w:snapToGrid/>
        <w:jc w:val="center"/>
        <w:textAlignment w:val="baseline"/>
        <w:outlineLvl w:val="9"/>
        <w:rPr>
          <w:rFonts w:hint="eastAsia"/>
          <w:color w:val="auto"/>
          <w:sz w:val="24"/>
          <w:szCs w:val="24"/>
          <w:highlight w:val="none"/>
          <w:lang w:eastAsia="zh-CN"/>
        </w:rPr>
      </w:pPr>
    </w:p>
    <w:p>
      <w:pPr>
        <w:pStyle w:val="3"/>
        <w:keepNext w:val="0"/>
        <w:keepLines w:val="0"/>
        <w:pageBreakBefore w:val="0"/>
        <w:widowControl w:val="0"/>
        <w:kinsoku/>
        <w:wordWrap/>
        <w:overflowPunct/>
        <w:topLinePunct w:val="0"/>
        <w:autoSpaceDE/>
        <w:autoSpaceDN/>
        <w:bidi w:val="0"/>
        <w:adjustRightInd w:val="0"/>
        <w:snapToGrid/>
        <w:jc w:val="center"/>
        <w:textAlignment w:val="baseline"/>
        <w:outlineLvl w:val="0"/>
        <w:rPr>
          <w:rFonts w:hint="eastAsia"/>
          <w:color w:val="auto"/>
          <w:sz w:val="24"/>
          <w:szCs w:val="24"/>
          <w:highlight w:val="none"/>
          <w:lang w:val="en-US" w:eastAsia="zh-CN"/>
        </w:rPr>
      </w:pPr>
      <w:r>
        <w:rPr>
          <w:rFonts w:hint="eastAsia"/>
          <w:color w:val="auto"/>
          <w:sz w:val="24"/>
          <w:szCs w:val="24"/>
          <w:highlight w:val="none"/>
          <w:lang w:eastAsia="zh-CN"/>
        </w:rPr>
        <w:t>附图</w:t>
      </w:r>
      <w:r>
        <w:rPr>
          <w:rFonts w:hint="eastAsia" w:ascii="Times New Roman" w:hAnsi="Times New Roman" w:cs="Times New Roman"/>
          <w:color w:val="auto"/>
          <w:sz w:val="24"/>
          <w:szCs w:val="24"/>
          <w:highlight w:val="none"/>
          <w:lang w:val="en-US" w:eastAsia="zh-CN"/>
        </w:rPr>
        <w:t>3</w:t>
      </w:r>
      <w:r>
        <w:rPr>
          <w:rFonts w:hint="eastAsia"/>
          <w:color w:val="auto"/>
          <w:sz w:val="24"/>
          <w:szCs w:val="24"/>
          <w:highlight w:val="none"/>
          <w:lang w:val="en-US" w:eastAsia="zh-CN"/>
        </w:rPr>
        <w:t xml:space="preserve">    </w:t>
      </w:r>
      <w:r>
        <w:rPr>
          <w:rFonts w:hint="eastAsia"/>
          <w:color w:val="auto"/>
          <w:sz w:val="24"/>
          <w:szCs w:val="24"/>
          <w:highlight w:val="none"/>
        </w:rPr>
        <w:t>本项目与环境管控单元位置关系图</w:t>
      </w:r>
    </w:p>
    <w:p>
      <w:pPr>
        <w:pStyle w:val="3"/>
        <w:rPr>
          <w:rFonts w:hint="eastAsia"/>
          <w:color w:val="auto"/>
          <w:sz w:val="24"/>
          <w:szCs w:val="24"/>
          <w:highlight w:val="none"/>
          <w:lang w:val="en-US" w:eastAsia="zh-CN"/>
        </w:rPr>
        <w:sectPr>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pPr>
        <w:pStyle w:val="4"/>
        <w:ind w:left="0" w:leftChars="0" w:firstLine="0" w:firstLineChars="0"/>
        <w:jc w:val="both"/>
        <w:rPr>
          <w:rFonts w:hint="eastAsia"/>
          <w:color w:val="auto"/>
          <w:highlight w:val="none"/>
          <w:lang w:val="en-US" w:eastAsia="zh-CN"/>
        </w:rPr>
      </w:pPr>
      <w:r>
        <w:rPr>
          <w:color w:val="auto"/>
          <w:sz w:val="21"/>
        </w:rPr>
        <mc:AlternateContent>
          <mc:Choice Requires="wps">
            <w:drawing>
              <wp:anchor distT="0" distB="0" distL="114300" distR="114300" simplePos="0" relativeHeight="251706368" behindDoc="0" locked="0" layoutInCell="1" allowOverlap="1">
                <wp:simplePos x="0" y="0"/>
                <wp:positionH relativeFrom="column">
                  <wp:posOffset>1486535</wp:posOffset>
                </wp:positionH>
                <wp:positionV relativeFrom="paragraph">
                  <wp:posOffset>7620</wp:posOffset>
                </wp:positionV>
                <wp:extent cx="7451725" cy="3284855"/>
                <wp:effectExtent l="6350" t="10795" r="28575" b="19050"/>
                <wp:wrapNone/>
                <wp:docPr id="76" name="任意多边形 76"/>
                <wp:cNvGraphicFramePr/>
                <a:graphic xmlns:a="http://schemas.openxmlformats.org/drawingml/2006/main">
                  <a:graphicData uri="http://schemas.microsoft.com/office/word/2010/wordprocessingShape">
                    <wps:wsp>
                      <wps:cNvSpPr/>
                      <wps:spPr>
                        <a:xfrm>
                          <a:off x="2400935" y="1152525"/>
                          <a:ext cx="7451725" cy="3284855"/>
                        </a:xfrm>
                        <a:custGeom>
                          <a:avLst/>
                          <a:gdLst>
                            <a:gd name="connisteX0" fmla="*/ 0 w 7451499"/>
                            <a:gd name="connsiteY0" fmla="*/ 0 h 3284953"/>
                            <a:gd name="connisteX1" fmla="*/ 539750 w 7451499"/>
                            <a:gd name="connsiteY1" fmla="*/ 306705 h 3284953"/>
                            <a:gd name="connisteX2" fmla="*/ 1671955 w 7451499"/>
                            <a:gd name="connsiteY2" fmla="*/ 920750 h 3284953"/>
                            <a:gd name="connisteX3" fmla="*/ 2825750 w 7451499"/>
                            <a:gd name="connsiteY3" fmla="*/ 1576705 h 3284953"/>
                            <a:gd name="connisteX4" fmla="*/ 3598545 w 7451499"/>
                            <a:gd name="connsiteY4" fmla="*/ 2009775 h 3284953"/>
                            <a:gd name="connisteX5" fmla="*/ 4868545 w 7451499"/>
                            <a:gd name="connsiteY5" fmla="*/ 2508250 h 3284953"/>
                            <a:gd name="connisteX6" fmla="*/ 6043295 w 7451499"/>
                            <a:gd name="connsiteY6" fmla="*/ 2783205 h 3284953"/>
                            <a:gd name="connisteX7" fmla="*/ 6878955 w 7451499"/>
                            <a:gd name="connsiteY7" fmla="*/ 3048000 h 3284953"/>
                            <a:gd name="connisteX8" fmla="*/ 7408545 w 7451499"/>
                            <a:gd name="connsiteY8" fmla="*/ 3270250 h 3284953"/>
                            <a:gd name="connisteX9" fmla="*/ 7386955 w 7451499"/>
                            <a:gd name="connsiteY9" fmla="*/ 3248025 h 3284953"/>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Lst>
                          <a:rect l="l" t="t" r="r" b="b"/>
                          <a:pathLst>
                            <a:path w="7451500" h="3284953">
                              <a:moveTo>
                                <a:pt x="0" y="0"/>
                              </a:moveTo>
                              <a:cubicBezTo>
                                <a:pt x="85090" y="48895"/>
                                <a:pt x="205105" y="122555"/>
                                <a:pt x="539750" y="306705"/>
                              </a:cubicBezTo>
                              <a:cubicBezTo>
                                <a:pt x="874395" y="490855"/>
                                <a:pt x="1214755" y="666750"/>
                                <a:pt x="1671955" y="920750"/>
                              </a:cubicBezTo>
                              <a:cubicBezTo>
                                <a:pt x="2129155" y="1174750"/>
                                <a:pt x="2440305" y="1358900"/>
                                <a:pt x="2825750" y="1576705"/>
                              </a:cubicBezTo>
                              <a:cubicBezTo>
                                <a:pt x="3211195" y="1794510"/>
                                <a:pt x="3190240" y="1823720"/>
                                <a:pt x="3598545" y="2009775"/>
                              </a:cubicBezTo>
                              <a:cubicBezTo>
                                <a:pt x="4006850" y="2195830"/>
                                <a:pt x="4379595" y="2353310"/>
                                <a:pt x="4868545" y="2508250"/>
                              </a:cubicBezTo>
                              <a:cubicBezTo>
                                <a:pt x="5357495" y="2663190"/>
                                <a:pt x="5641340" y="2675255"/>
                                <a:pt x="6043295" y="2783205"/>
                              </a:cubicBezTo>
                              <a:cubicBezTo>
                                <a:pt x="6445250" y="2891155"/>
                                <a:pt x="6605905" y="2950845"/>
                                <a:pt x="6878955" y="3048000"/>
                              </a:cubicBezTo>
                              <a:cubicBezTo>
                                <a:pt x="7152005" y="3145155"/>
                                <a:pt x="7306945" y="3230245"/>
                                <a:pt x="7408545" y="3270250"/>
                              </a:cubicBezTo>
                              <a:cubicBezTo>
                                <a:pt x="7510145" y="3310255"/>
                                <a:pt x="7401560" y="3256915"/>
                                <a:pt x="7386955" y="3248025"/>
                              </a:cubicBezTo>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17.05pt;margin-top:0.6pt;height:258.65pt;width:586.75pt;z-index:251706368;mso-width-relative:page;mso-height-relative:page;" filled="f" stroked="t" coordsize="7451500,3284953" o:gfxdata="UEsDBAoAAAAAAIdO4kAAAAAAAAAAAAAAAAAEAAAAZHJzL1BLAwQUAAAACACHTuJAHyMyj9sAAAAK&#10;AQAADwAAAGRycy9kb3ducmV2LnhtbE2PUUvDMBSF3wX/Q7iCby5J7WapTQcKIooMnIPtMWuvbV1y&#10;U5t0m/v1Zk/6ePkO53y3mB+tYXscfOdIgZwIYEiVqztqFKw+nm4yYD5oqrVxhAp+0MO8vLwodF67&#10;A73jfhkaFkvI51pBG0Kfc+6rFq32E9cjRfbpBqtDPIeG14M+xHJreCLEjFvdUVxodY+PLVa75WgV&#10;7Dbi9Jyli/F7U73JtXn4Ei+vJ6Wur6S4BxbwGP7CcNaP6lBGp60bqfbMKEhuUxmjESTAzjwVdzNg&#10;WwVTmU2BlwX//0L5C1BLAwQUAAAACACHTuJArwv7zbUEAAATDwAADgAAAGRycy9lMm9Eb2MueG1s&#10;rVfdbuw0EL5H4h2sXCLRdew4TqpujwRVuUFwpHOQ4NLNZncj5U9x2m255p57LhEvgY7gaTiIx+Dz&#10;z26dUqmuhCptk4xnvpnxeL7xxZv7riV39aSboV8n6RlNSN1Xw6bpd+vku/fXnxcJ0bPqN6od+nqd&#10;PNQ6eXP56ScXh/G8ZsN+aDf1RGCk1+eHcZ3s53k8X610ta87pc+Gse4h3A5Tp2a8TrvVZlIHWO/a&#10;FaM0Xx2GaTNOQ1Vrja9XTph4i1OMwWG7bar6aqhuu7qfndWpbtWMkPS+GXVyab3dbutq/na71fVM&#10;2nWCSGf7CxA835jf1eWFOt9Natw3lXdBxbjwJKZONT1AT6au1KzI7dT8x1TXVNOgh+18Vg3dygVi&#10;M4IoUvokN+/2aqxtLEi1Hk9J1/+f2eqbu7cTaTbrROYJ6VWHHf/rw4e/f/r542+//PPn7x//+JVA&#10;gjQdRn2O1e/Gt5N/03g0Md9vp878RzTkfp2wjNKSi4Q8oLxSwfDn0lzfz6TCApmJVOIjqbCCsyIr&#10;hF2xejRV3er5q3qwZtXd13p2+7TBk83yxrtaDX3f6Ln+Hvu57Vps3WcrQsmBGIysLP3+hst1M9c/&#10;LJfvifGiFPyZ5dZ6GlgXvJQiAiLU4TSXVJAXcViAk+YyLYV4OZZQqWTUOPciEA+AWMFEVEShUipk&#10;XEhZgMRFWYgsIqRQCT2jlDIieSioUwlkRR6HFCoxQZGKiOzhpJyQcppxVkbEFCoxWXAWUxAyRCpk&#10;EVUQoRKnWUFpREzo+qeYZEbjshcqcSZpVPbKEIkXeVRMoRJniIk9qQg0j92xPaj9sWNU971vGXgi&#10;ylActX16HLTpVWH/QDMyr74/oOHAJLRMv3lBGUc9VE5NG4lWxvENldmrlHEkQ2XbwKKRccpC5exV&#10;yK6/nxJ2bOBxCcNZCJEtv0S7jfIOleWr3EbFhsrFq5RRhKGyZZej2+6/L7YJc4eZOFo7ccwJwcQx&#10;2YnjxgCq81HNpkaPj+TgWFFQENPekaKhIyPvhrv6/WBXzqZksQJO2MkFmI/S6vamqb6ofwzXFoKW&#10;bn1WoHd4bGsG7SelbhNTxoRjYDhmhY7jLJCjrmOaFhjPIsqMA8i4mJXoIgvMlKWZxCcjzfMcpBN6&#10;5AnPSh2PRaOylJWpN5ymEiALyyzLKD8Gy0VRIs1uG1wqHAFaYM9r0cicpSlo2unKElPHwjRPS4p5&#10;yIkLxiVbih0hWrHnuWhkTFngOGeawYWCL0xnXJbCO8a44HzpmCdIh+x4LxpZcCExLTndPDcxhukU&#10;eZZyHzPDJqO4QrEnTKfteDAaOc8ymPMxFyWmy6XpnIrS7zM4mRbZUuwI1CJ7XoxGlhhkqTfNU2zz&#10;ElnimGDznWnGsecLZE+oXmx5Mh4ZJQVAp4tdfJJOmE5F7lLCmchxDsJsS0ewHtny5jPIaCSmI1nW&#10;OrUm09GCMbwfrpu2tcem7U3DYgIliCFe4RK4xeULj92Ii4TudwlR7Q63y2qebA/TQ9tsjLppY3ra&#10;3XzZTuROoUNeX2M6seUDuMWycdLzldJ7t86KvOctOHllriPuAmKebobNg72X2O+4K9lQ/L3OXMbC&#10;d6v9eJe9/B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pBwAAW0NvbnRlbnRfVHlwZXNdLnhtbFBLAQIUAAoAAAAAAIdO4kAAAAAAAAAAAAAAAAAG&#10;AAAAAAAAAAAAEAAAAAsGAABfcmVscy9QSwECFAAUAAAACACHTuJAihRmPNEAAACUAQAACwAAAAAA&#10;AAABACAAAAAvBgAAX3JlbHMvLnJlbHNQSwECFAAKAAAAAACHTuJAAAAAAAAAAAAAAAAABAAAAAAA&#10;AAAAABAAAAAAAAAAZHJzL1BLAQIUABQAAAAIAIdO4kAfIzKP2wAAAAoBAAAPAAAAAAAAAAEAIAAA&#10;ACIAAABkcnMvZG93bnJldi54bWxQSwECFAAUAAAACACHTuJArwv7zbUEAAATDwAADgAAAAAAAAAB&#10;ACAAAAAqAQAAZHJzL2Uyb0RvYy54bWxQSwUGAAAAAAYABgBZAQAAUQgAAAAA&#10;" path="m0,0c85090,48895,205105,122555,539750,306705c874395,490855,1214755,666750,1671955,920750c2129155,1174750,2440305,1358900,2825750,1576705c3211195,1794510,3190240,1823720,3598545,2009775c4006850,2195830,4379595,2353310,4868545,2508250c5357495,2663190,5641340,2675255,6043295,2783205c6445250,2891155,6605905,2950845,6878955,3048000c7152005,3145155,7306945,3230245,7408545,3270250c7510145,3310255,7401560,3256915,7386955,3248025e">
                <v:path o:connectlocs="0,0;539766,306695;1672005,920722;2825835,1576657;3598654,2009715;4868692,2508175;6043478,2783121;6879163,3047909;7408769,3270152;7387179,3247928" o:connectangles="0,0,0,0,0,0,0,0,0,0"/>
                <v:fill on="f" focussize="0,0"/>
                <v:stroke weight="2pt" color="#FF0000 [2404]" joinstyle="round"/>
                <v:imagedata o:title=""/>
                <o:lock v:ext="edit" aspectratio="f"/>
              </v:shape>
            </w:pict>
          </mc:Fallback>
        </mc:AlternateContent>
      </w:r>
      <w:r>
        <w:rPr>
          <w:color w:val="auto"/>
          <w:sz w:val="21"/>
          <w:highlight w:val="none"/>
        </w:rPr>
        <mc:AlternateContent>
          <mc:Choice Requires="wps">
            <w:drawing>
              <wp:anchor distT="0" distB="0" distL="114300" distR="114300" simplePos="0" relativeHeight="251669504" behindDoc="0" locked="0" layoutInCell="1" allowOverlap="1">
                <wp:simplePos x="0" y="0"/>
                <wp:positionH relativeFrom="column">
                  <wp:posOffset>50800</wp:posOffset>
                </wp:positionH>
                <wp:positionV relativeFrom="paragraph">
                  <wp:posOffset>4582160</wp:posOffset>
                </wp:positionV>
                <wp:extent cx="251460" cy="635"/>
                <wp:effectExtent l="0" t="9525" r="7620" b="12700"/>
                <wp:wrapNone/>
                <wp:docPr id="14" name="直线 169"/>
                <wp:cNvGraphicFramePr/>
                <a:graphic xmlns:a="http://schemas.openxmlformats.org/drawingml/2006/main">
                  <a:graphicData uri="http://schemas.microsoft.com/office/word/2010/wordprocessingShape">
                    <wps:wsp>
                      <wps:cNvCnPr/>
                      <wps:spPr>
                        <a:xfrm flipH="1">
                          <a:off x="0" y="0"/>
                          <a:ext cx="251460" cy="635"/>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169" o:spid="_x0000_s1026" o:spt="20" style="position:absolute;left:0pt;flip:x;margin-left:4pt;margin-top:360.8pt;height:0.05pt;width:19.8pt;z-index:251669504;mso-width-relative:page;mso-height-relative:page;" filled="f" stroked="t" coordsize="21600,21600" o:gfxdata="UEsDBAoAAAAAAIdO4kAAAAAAAAAAAAAAAAAEAAAAZHJzL1BLAwQUAAAACACHTuJAEj28mNgAAAAI&#10;AQAADwAAAGRycy9kb3ducmV2LnhtbE2PQUvDQBCF74L/YZmCN7tJlaak2RQpWIgitFXv2+w0Cc3O&#10;ht1tWv+9oxc9DTPv8eZ7xepqezGiD50jBek0AYFUO9NRo+Dj/fl+ASJETUb3jlDBFwZYlbc3hc6N&#10;u9AOx31sBIdQyLWCNsYhlzLULVodpm5AYu3ovNWRV99I4/WFw20vZ0kyl1Z3xB9aPeC6xfq0P1sF&#10;9Prid6ft2/pzs8Hx4WmozLGqlLqbpMkSRMRr/DPDDz6jQ8lMB3cmE0SvYMFNooJsls5BsP6Y8Tz8&#10;HjKQZSH/Fyi/AVBLAwQUAAAACACHTuJAUAb+qPQBAADqAwAADgAAAGRycy9lMm9Eb2MueG1srVNL&#10;jhMxEN0jcQfLe9KdMImYVjqzmBBYIIg0cICKP92W/JPtpJOzcA1WbDjOXIOyOwRmZpMFvWiVXc+v&#10;6j2Xl3dHo8lBhKicbel0UlMiLHNc2a6l375u3ryjJCawHLSzoqUnEend6vWr5eAbMXO901wEgiQ2&#10;NoNvaZ+Sb6oqsl4YiBPnhcWkdMFAwmXoKh5gQHajq1ldL6rBBe6DYyJG3F2PSXpmDNcQOikVE2vH&#10;9kbYNLIGoSGhpNgrH+mqdCulYOmLlFEkoluKSlP5YxGMd/lfrZbQdAF8r9i5BbimhWeaDCiLRS9U&#10;a0hA9kG9oDKKBRedTBPmTDUKKY6gimn9zJuHHrwoWtDq6C+mx/9Hyz4ftoEojpNwQ4kFgzf++P3H&#10;489fZLq4zfYMPjaIurfbcF5Fvw1Z61EGQ6RW/iOeLupRDzkWc08Xc8UxEYabs/n0ZoG2M0wt3s4z&#10;dTVyZC4fYvognCE5aKlWNguHBg6fYhqhfyB5W1syYNHbep4ZAcdQ4vVjaDxKibYrh6PTim+U1vlI&#10;DN3uXgdyAByFzabG79zDE1iusobYj7iSyjBoegH8veUknTx6ZPFt0NyDEZwSLfAp5aggEyh9DRLl&#10;a4suZIdHT3O0c/yEV7L3QXU9WjEtXeYMjkDx7Dyuecb+XRemv0909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SPbyY2AAAAAgBAAAPAAAAAAAAAAEAIAAAACIAAABkcnMvZG93bnJldi54bWxQSwEC&#10;FAAUAAAACACHTuJAUAb+qPQBAADqAwAADgAAAAAAAAABACAAAAAnAQAAZHJzL2Uyb0RvYy54bWxQ&#10;SwUGAAAAAAYABgBZAQAAjQUAAAAA&#10;">
                <v:fill on="f" focussize="0,0"/>
                <v:stroke weight="1.5pt" color="#FF0000" joinstyle="round"/>
                <v:imagedata o:title=""/>
                <o:lock v:ext="edit" aspectratio="f"/>
              </v:line>
            </w:pict>
          </mc:Fallback>
        </mc:AlternateContent>
      </w:r>
      <w:r>
        <w:rPr>
          <w:rFonts w:hint="eastAsia"/>
          <w:color w:val="auto"/>
          <w:highlight w:val="none"/>
          <w:lang w:val="en-US" w:eastAsia="zh-CN"/>
        </w:rPr>
        <w:drawing>
          <wp:anchor distT="0" distB="0" distL="114300" distR="114300" simplePos="0" relativeHeight="251666432" behindDoc="0" locked="0" layoutInCell="1" allowOverlap="1">
            <wp:simplePos x="0" y="0"/>
            <wp:positionH relativeFrom="column">
              <wp:posOffset>16510</wp:posOffset>
            </wp:positionH>
            <wp:positionV relativeFrom="paragraph">
              <wp:posOffset>22860</wp:posOffset>
            </wp:positionV>
            <wp:extent cx="575310" cy="632460"/>
            <wp:effectExtent l="0" t="0" r="3810" b="7620"/>
            <wp:wrapNone/>
            <wp:docPr id="9" name="图片 144" descr="1689755117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44" descr="1689755117251"/>
                    <pic:cNvPicPr>
                      <a:picLocks noChangeAspect="1"/>
                    </pic:cNvPicPr>
                  </pic:nvPicPr>
                  <pic:blipFill>
                    <a:blip r:embed="rId23"/>
                    <a:srcRect l="4025"/>
                    <a:stretch>
                      <a:fillRect/>
                    </a:stretch>
                  </pic:blipFill>
                  <pic:spPr>
                    <a:xfrm>
                      <a:off x="0" y="0"/>
                      <a:ext cx="575310" cy="632460"/>
                    </a:xfrm>
                    <a:prstGeom prst="rect">
                      <a:avLst/>
                    </a:prstGeom>
                    <a:noFill/>
                    <a:ln>
                      <a:noFill/>
                    </a:ln>
                  </pic:spPr>
                </pic:pic>
              </a:graphicData>
            </a:graphic>
          </wp:anchor>
        </w:drawing>
      </w:r>
      <w:r>
        <w:rPr>
          <w:color w:val="auto"/>
        </w:rPr>
        <w:drawing>
          <wp:anchor distT="0" distB="0" distL="114300" distR="114300" simplePos="0" relativeHeight="251672576" behindDoc="1" locked="0" layoutInCell="1" allowOverlap="1">
            <wp:simplePos x="0" y="0"/>
            <wp:positionH relativeFrom="column">
              <wp:posOffset>0</wp:posOffset>
            </wp:positionH>
            <wp:positionV relativeFrom="paragraph">
              <wp:posOffset>0</wp:posOffset>
            </wp:positionV>
            <wp:extent cx="8862695" cy="4693285"/>
            <wp:effectExtent l="0" t="0" r="14605" b="12065"/>
            <wp:wrapNone/>
            <wp:docPr id="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pic:cNvPicPr>
                      <a:picLocks noChangeAspect="1"/>
                    </pic:cNvPicPr>
                  </pic:nvPicPr>
                  <pic:blipFill>
                    <a:blip r:embed="rId24"/>
                    <a:stretch>
                      <a:fillRect/>
                    </a:stretch>
                  </pic:blipFill>
                  <pic:spPr>
                    <a:xfrm>
                      <a:off x="0" y="0"/>
                      <a:ext cx="8862695" cy="4693285"/>
                    </a:xfrm>
                    <a:prstGeom prst="rect">
                      <a:avLst/>
                    </a:prstGeom>
                    <a:noFill/>
                    <a:ln>
                      <a:noFill/>
                    </a:ln>
                  </pic:spPr>
                </pic:pic>
              </a:graphicData>
            </a:graphic>
          </wp:anchor>
        </w:drawing>
      </w: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r>
        <w:rPr>
          <w:color w:val="auto"/>
          <w:sz w:val="21"/>
          <w:highlight w:val="none"/>
        </w:rPr>
        <mc:AlternateContent>
          <mc:Choice Requires="wps">
            <w:drawing>
              <wp:anchor distT="0" distB="0" distL="114300" distR="114300" simplePos="0" relativeHeight="251705344" behindDoc="0" locked="0" layoutInCell="1" allowOverlap="1">
                <wp:simplePos x="0" y="0"/>
                <wp:positionH relativeFrom="column">
                  <wp:posOffset>4947920</wp:posOffset>
                </wp:positionH>
                <wp:positionV relativeFrom="paragraph">
                  <wp:posOffset>120015</wp:posOffset>
                </wp:positionV>
                <wp:extent cx="998220" cy="416560"/>
                <wp:effectExtent l="0" t="0" r="0" b="0"/>
                <wp:wrapNone/>
                <wp:docPr id="74" name="文本框 178"/>
                <wp:cNvGraphicFramePr/>
                <a:graphic xmlns:a="http://schemas.openxmlformats.org/drawingml/2006/main">
                  <a:graphicData uri="http://schemas.microsoft.com/office/word/2010/wordprocessingShape">
                    <wps:wsp>
                      <wps:cNvSpPr txBox="1"/>
                      <wps:spPr>
                        <a:xfrm>
                          <a:off x="0" y="0"/>
                          <a:ext cx="998220" cy="416560"/>
                        </a:xfrm>
                        <a:prstGeom prst="rect">
                          <a:avLst/>
                        </a:prstGeom>
                        <a:noFill/>
                        <a:ln>
                          <a:noFill/>
                        </a:ln>
                      </wps:spPr>
                      <wps:txbx>
                        <w:txbxContent>
                          <w:p>
                            <w:pPr>
                              <w:rPr>
                                <w:rFonts w:hint="eastAsia" w:eastAsia="宋体"/>
                                <w:color w:val="FF0000"/>
                                <w:sz w:val="28"/>
                                <w:szCs w:val="28"/>
                                <w:lang w:eastAsia="zh-CN"/>
                              </w:rPr>
                            </w:pPr>
                            <w:r>
                              <w:rPr>
                                <w:rFonts w:hint="eastAsia"/>
                                <w:color w:val="FF0000"/>
                                <w:sz w:val="28"/>
                                <w:szCs w:val="28"/>
                                <w:lang w:eastAsia="zh-CN"/>
                              </w:rPr>
                              <w:t>空港园区</w:t>
                            </w:r>
                          </w:p>
                        </w:txbxContent>
                      </wps:txbx>
                      <wps:bodyPr vert="horz" wrap="square" anchor="t" anchorCtr="0" upright="1"/>
                    </wps:wsp>
                  </a:graphicData>
                </a:graphic>
              </wp:anchor>
            </w:drawing>
          </mc:Choice>
          <mc:Fallback>
            <w:pict>
              <v:shape id="文本框 178" o:spid="_x0000_s1026" o:spt="202" type="#_x0000_t202" style="position:absolute;left:0pt;margin-left:389.6pt;margin-top:9.45pt;height:32.8pt;width:78.6pt;z-index:251705344;mso-width-relative:page;mso-height-relative:page;" filled="f" stroked="f" coordsize="21600,21600" o:gfxdata="UEsDBAoAAAAAAIdO4kAAAAAAAAAAAAAAAAAEAAAAZHJzL1BLAwQUAAAACACHTuJASc+kDtgAAAAJ&#10;AQAADwAAAGRycy9kb3ducmV2LnhtbE2Py07DMBBF90j9B2sqsaN2S9omIU4XrdiCKA+JnRtPk4h4&#10;HMVuE/6eYQXL0T2690yxm1wnrjiE1pOG5UKBQKq8banW8Pb6eJeCCNGQNZ0n1PCNAXbl7KYwufUj&#10;veD1GGvBJRRyo6GJsc+lDFWDzoSF75E4O/vBmcjnUEs7mJHLXSdXSm2kMy3xQmN63DdYfR0vTsP7&#10;0/nzI1HP9cGt+9FPSpLLpNa386V6ABFxin8w/OqzOpTsdPIXskF0GrbbbMUoB2kGgoHsfpOAOGlI&#10;kzXIspD/Pyh/AFBLAwQUAAAACACHTuJAJ24jXM4BAACDAwAADgAAAGRycy9lMm9Eb2MueG1srVPB&#10;jhMxDL0j8Q9R7nTaaul2q05Xgmq5IEBa+IA0k+lEmsTBTjtTPgD+gBMX7nxXvwMn03ZhueyBS8ax&#10;nWe/Z8/ytnet2BskC76Uk9FYCuM1VNZvS/np492LuRQUla9UC96U8mBI3q6eP1t2YWGm0EBbGRQM&#10;4mnRhVI2MYZFUZBujFM0gmA8B2tApyJfcVtUqDpGd20xHY9nRQdYBQRtiNi7HoLyhIhPAYS6ttqs&#10;Qe+c8XFARdOqyJSosYHkKndb10bH93VNJoq2lMw05pOLsL1JZ7FaqsUWVWisPrWgntLCI05OWc9F&#10;L1BrFZXYof0HylmNQFDHkQZXDESyIsxiMn6kzX2jgslcWGoKF9Hp/8Hqd/sPKGxVyusrKbxyPPHj&#10;92/HH7+OP7+KyfU8KdQFWnDifeDU2L+Cnvfm7Cd2JuJ9jS59mZLgOOt7uOhr+ig0O29u5tMpRzSH&#10;riazl7Osf/HwOCDFNwacSEYpkceXVVX7txS5EU49p6RaHu5s2+YRtv4vBycmT5E6HzpMVuw3/YnO&#10;BqoDs+H/gOs0gF+k6HgLSkmfdwqNFMprdpcyns3XcVibXUC7bfhVliBX4Nnk3k57lIb/5z338fDv&#10;rH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Sc+kDtgAAAAJAQAADwAAAAAAAAABACAAAAAiAAAA&#10;ZHJzL2Rvd25yZXYueG1sUEsBAhQAFAAAAAgAh07iQCduI1zOAQAAgwMAAA4AAAAAAAAAAQAgAAAA&#10;JwEAAGRycy9lMm9Eb2MueG1sUEsFBgAAAAAGAAYAWQEAAGcFAAAAAA==&#10;">
                <v:fill on="f" focussize="0,0"/>
                <v:stroke on="f"/>
                <v:imagedata o:title=""/>
                <o:lock v:ext="edit" aspectratio="f"/>
                <v:textbox>
                  <w:txbxContent>
                    <w:p>
                      <w:pPr>
                        <w:rPr>
                          <w:rFonts w:hint="eastAsia" w:eastAsia="宋体"/>
                          <w:color w:val="FF0000"/>
                          <w:sz w:val="28"/>
                          <w:szCs w:val="28"/>
                          <w:lang w:eastAsia="zh-CN"/>
                        </w:rPr>
                      </w:pPr>
                      <w:r>
                        <w:rPr>
                          <w:rFonts w:hint="eastAsia"/>
                          <w:color w:val="FF0000"/>
                          <w:sz w:val="28"/>
                          <w:szCs w:val="28"/>
                          <w:lang w:eastAsia="zh-CN"/>
                        </w:rPr>
                        <w:t>空港园区</w:t>
                      </w:r>
                    </w:p>
                  </w:txbxContent>
                </v:textbox>
              </v:shape>
            </w:pict>
          </mc:Fallback>
        </mc:AlternateContent>
      </w: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r>
        <w:rPr>
          <w:color w:val="auto"/>
          <w:sz w:val="21"/>
          <w:highlight w:val="none"/>
        </w:rPr>
        <mc:AlternateContent>
          <mc:Choice Requires="wps">
            <w:drawing>
              <wp:anchor distT="0" distB="0" distL="114300" distR="114300" simplePos="0" relativeHeight="251671552" behindDoc="0" locked="0" layoutInCell="1" allowOverlap="1">
                <wp:simplePos x="0" y="0"/>
                <wp:positionH relativeFrom="column">
                  <wp:posOffset>2503170</wp:posOffset>
                </wp:positionH>
                <wp:positionV relativeFrom="paragraph">
                  <wp:posOffset>171450</wp:posOffset>
                </wp:positionV>
                <wp:extent cx="951230" cy="274320"/>
                <wp:effectExtent l="0" t="0" r="0" b="0"/>
                <wp:wrapNone/>
                <wp:docPr id="35" name="文本框 178"/>
                <wp:cNvGraphicFramePr/>
                <a:graphic xmlns:a="http://schemas.openxmlformats.org/drawingml/2006/main">
                  <a:graphicData uri="http://schemas.microsoft.com/office/word/2010/wordprocessingShape">
                    <wps:wsp>
                      <wps:cNvSpPr txBox="1"/>
                      <wps:spPr>
                        <a:xfrm>
                          <a:off x="0" y="0"/>
                          <a:ext cx="951230" cy="274320"/>
                        </a:xfrm>
                        <a:prstGeom prst="rect">
                          <a:avLst/>
                        </a:prstGeom>
                        <a:noFill/>
                        <a:ln>
                          <a:noFill/>
                        </a:ln>
                      </wps:spPr>
                      <wps:txbx>
                        <w:txbxContent>
                          <w:p>
                            <w:pPr>
                              <w:rPr>
                                <w:rFonts w:hint="eastAsia" w:eastAsia="宋体"/>
                                <w:color w:val="FF0000"/>
                                <w:sz w:val="28"/>
                                <w:szCs w:val="28"/>
                                <w:lang w:eastAsia="zh-CN"/>
                              </w:rPr>
                            </w:pPr>
                            <w:r>
                              <w:rPr>
                                <w:rFonts w:hint="eastAsia"/>
                                <w:color w:val="FF0000"/>
                                <w:sz w:val="28"/>
                                <w:szCs w:val="28"/>
                                <w:lang w:eastAsia="zh-CN"/>
                              </w:rPr>
                              <w:t>西红海子</w:t>
                            </w:r>
                          </w:p>
                        </w:txbxContent>
                      </wps:txbx>
                      <wps:bodyPr vert="horz" wrap="square" anchor="t" anchorCtr="0" upright="1"/>
                    </wps:wsp>
                  </a:graphicData>
                </a:graphic>
              </wp:anchor>
            </w:drawing>
          </mc:Choice>
          <mc:Fallback>
            <w:pict>
              <v:shape id="文本框 178" o:spid="_x0000_s1026" o:spt="202" type="#_x0000_t202" style="position:absolute;left:0pt;margin-left:197.1pt;margin-top:13.5pt;height:21.6pt;width:74.9pt;z-index:251671552;mso-width-relative:page;mso-height-relative:page;" filled="f" stroked="f" coordsize="21600,21600" o:gfxdata="UEsDBAoAAAAAAIdO4kAAAAAAAAAAAAAAAAAEAAAAZHJzL1BLAwQUAAAACACHTuJAF/0z7tYAAAAJ&#10;AQAADwAAAGRycy9kb3ducmV2LnhtbE2PTU/DMAyG70j8h8hI3Fiy0jFW6u4A4gpifEjcssZrKxqn&#10;arK1/HvMCW62/Oj185bb2ffqRGPsAiMsFwYUcR1cxw3C2+vj1S2omCw72wcmhG+KsK3Oz0pbuDDx&#10;C512qVESwrGwCG1KQ6F1rFvyNi7CQCy3Qxi9TbKOjXajnSTc9zoz5kZ727F8aO1A9y3VX7ujR3h/&#10;Onx+5Oa5efCrYQqz0ew3GvHyYmnuQCWa0x8Mv/qiDpU47cORXVQ9wvUmzwRFyNbSSYBVnsuwR1ib&#10;DHRV6v8Nqh9QSwMEFAAAAAgAh07iQLzPTP3OAQAAgwMAAA4AAABkcnMvZTJvRG9jLnhtbK1TzY7T&#10;MBC+I/EOlu80bcqyu1HTlaBaLgiQFh7AdezGUvzDjNukPAC8AScu3HmuPgdjp+0uy2UPXJzxzPib&#10;+b6ZLG4G27GdAjTe1Xw2mXKmnPSNcZuaf/50++KKM4zCNaLzTtV8r5DfLJ8/W/ShUqVvfdcoYATi&#10;sOpDzdsYQ1UUKFtlBU58UI6C2oMVka6wKRoQPaHbriin01dF76EJ4KVCJO9qDPIjIjwF0GttpFp5&#10;ubXKxREVVCciUcLWBOTL3K3WSsYPWqOKrKs5MY35pCJkr9NZLBei2oAIrZHHFsRTWnjEyQrjqOgZ&#10;aiWiYFsw/0BZI8Gj13EivS1GIlkRYjGbPtLmrhVBZS4kNYaz6Pj/YOX73Udgpqn5/IIzJyxN/PDj&#10;++Hn78Ovb2x2eZUU6gNWlHgXKDUOr/1Ae3PyIzkT8UGDTV+ixChO+u7P+qohMknO64tZOaeIpFB5&#10;+XJeZv2L+8cBML5V3rJk1BxofFlVsXuHkRqh1FNKquX8rem6PMLO/eWgxOQpUudjh8mKw3o40ln7&#10;Zk9s6D+gOq2Hr5z1tAU1xy9bAYoz4SS5ax5P5ps4rs02gNm09CpLkCvQbHJvxz1Kw394z33c/zvL&#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f9M+7WAAAACQEAAA8AAAAAAAAAAQAgAAAAIgAAAGRy&#10;cy9kb3ducmV2LnhtbFBLAQIUABQAAAAIAIdO4kC8z0z9zgEAAIMDAAAOAAAAAAAAAAEAIAAAACUB&#10;AABkcnMvZTJvRG9jLnhtbFBLBQYAAAAABgAGAFkBAABlBQAAAAA=&#10;">
                <v:fill on="f" focussize="0,0"/>
                <v:stroke on="f"/>
                <v:imagedata o:title=""/>
                <o:lock v:ext="edit" aspectratio="f"/>
                <v:textbox>
                  <w:txbxContent>
                    <w:p>
                      <w:pPr>
                        <w:rPr>
                          <w:rFonts w:hint="eastAsia" w:eastAsia="宋体"/>
                          <w:color w:val="FF0000"/>
                          <w:sz w:val="28"/>
                          <w:szCs w:val="28"/>
                          <w:lang w:eastAsia="zh-CN"/>
                        </w:rPr>
                      </w:pPr>
                      <w:r>
                        <w:rPr>
                          <w:rFonts w:hint="eastAsia"/>
                          <w:color w:val="FF0000"/>
                          <w:sz w:val="28"/>
                          <w:szCs w:val="28"/>
                          <w:lang w:eastAsia="zh-CN"/>
                        </w:rPr>
                        <w:t>西红海子</w:t>
                      </w:r>
                    </w:p>
                  </w:txbxContent>
                </v:textbox>
              </v:shape>
            </w:pict>
          </mc:Fallback>
        </mc:AlternateContent>
      </w: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r>
        <w:rPr>
          <w:color w:val="auto"/>
          <w:sz w:val="21"/>
          <w:highlight w:val="none"/>
        </w:rPr>
        <mc:AlternateContent>
          <mc:Choice Requires="wps">
            <w:drawing>
              <wp:anchor distT="0" distB="0" distL="114300" distR="114300" simplePos="0" relativeHeight="251667456" behindDoc="0" locked="0" layoutInCell="1" allowOverlap="1">
                <wp:simplePos x="0" y="0"/>
                <wp:positionH relativeFrom="column">
                  <wp:posOffset>-2540</wp:posOffset>
                </wp:positionH>
                <wp:positionV relativeFrom="paragraph">
                  <wp:posOffset>171450</wp:posOffset>
                </wp:positionV>
                <wp:extent cx="1249680" cy="617855"/>
                <wp:effectExtent l="0" t="0" r="0" b="6985"/>
                <wp:wrapNone/>
                <wp:docPr id="11" name="文本框 166"/>
                <wp:cNvGraphicFramePr/>
                <a:graphic xmlns:a="http://schemas.openxmlformats.org/drawingml/2006/main">
                  <a:graphicData uri="http://schemas.microsoft.com/office/word/2010/wordprocessingShape">
                    <wps:wsp>
                      <wps:cNvSpPr txBox="1"/>
                      <wps:spPr>
                        <a:xfrm>
                          <a:off x="0" y="0"/>
                          <a:ext cx="1249680" cy="617855"/>
                        </a:xfrm>
                        <a:prstGeom prst="rect">
                          <a:avLst/>
                        </a:prstGeom>
                        <a:solidFill>
                          <a:srgbClr val="FFFFFF"/>
                        </a:solidFill>
                        <a:ln>
                          <a:noFill/>
                        </a:ln>
                      </wps:spPr>
                      <wps:txbx>
                        <w:txbxContent>
                          <w:p>
                            <w:pPr>
                              <w:rPr>
                                <w:rFonts w:hint="eastAsia"/>
                                <w:lang w:eastAsia="zh-CN"/>
                              </w:rPr>
                            </w:pPr>
                            <w:r>
                              <w:rPr>
                                <w:rFonts w:hint="eastAsia"/>
                                <w:lang w:eastAsia="zh-CN"/>
                              </w:rPr>
                              <w:t>图例</w:t>
                            </w:r>
                          </w:p>
                          <w:p>
                            <w:pPr>
                              <w:pStyle w:val="23"/>
                              <w:rPr>
                                <w:rFonts w:hint="default"/>
                                <w:lang w:val="en-US" w:eastAsia="zh-CN"/>
                              </w:rPr>
                            </w:pPr>
                            <w:r>
                              <w:rPr>
                                <w:rFonts w:hint="eastAsia"/>
                                <w:lang w:val="en-US" w:eastAsia="zh-CN"/>
                              </w:rPr>
                              <w:t xml:space="preserve">  本项目位置</w:t>
                            </w:r>
                          </w:p>
                        </w:txbxContent>
                      </wps:txbx>
                      <wps:bodyPr vert="horz" wrap="square" anchor="t" anchorCtr="0" upright="1"/>
                    </wps:wsp>
                  </a:graphicData>
                </a:graphic>
              </wp:anchor>
            </w:drawing>
          </mc:Choice>
          <mc:Fallback>
            <w:pict>
              <v:shape id="文本框 166" o:spid="_x0000_s1026" o:spt="202" type="#_x0000_t202" style="position:absolute;left:0pt;margin-left:-0.2pt;margin-top:13.5pt;height:48.65pt;width:98.4pt;z-index:251667456;mso-width-relative:page;mso-height-relative:page;" fillcolor="#FFFFFF" filled="t" stroked="f" coordsize="21600,21600" o:gfxdata="UEsDBAoAAAAAAIdO4kAAAAAAAAAAAAAAAAAEAAAAZHJzL1BLAwQUAAAACACHTuJACd+WvdYAAAAI&#10;AQAADwAAAGRycy9kb3ducmV2LnhtbE2PQU+DQBCF7yb+h82YeDHtUqRgkaWJJhqvrf0BA0yByM4S&#10;dlvaf+/0pLeZeS9vvldsL3ZQZ5p879jAahmBIq5d03Nr4PD9sXgB5QNyg4NjMnAlD9vy/q7AvHEz&#10;7+i8D62SEPY5GuhCGHOtfd2RRb90I7FoRzdZDLJOrW4mnCXcDjqOolRb7Fk+dDjSe0f1z/5kDRy/&#10;5qf1Zq4+wyHbJekb9lnlrsY8PqyiV1CBLuHPDDd8QYdSmCp34sarwcAiEaOBOJNGN3mTyqGSIU6e&#10;QZeF/l+g/AVQSwMEFAAAAAgAh07iQBQocHDgAQAArQMAAA4AAABkcnMvZTJvRG9jLnhtbK1TzY7T&#10;MBC+I/EOlu80TcWGEjVdia3KBQHSwgO4jpNY8h9jt0l5AHgDTly481x9jh07aZfdveyBHBx7ZvzN&#10;fN+MV9eDVuQgwEtrKprP5pQIw20tTVvRr1+2r5aU+MBMzZQ1oqJH4en1+uWLVe9KsbCdVbUAgiDG&#10;l72raBeCK7PM805o5mfWCYPOxoJmAY/QZjWwHtG1yhbzeZH1FmoHlgvv0boZnXRChOcA2qaRXGws&#10;32thwogKQrGAlHwnnafrVG3TCB4+NY0XgaiKItOQVkyC+11cs/WKlS0w10k+lcCeU8IjTppJg0kv&#10;UBsWGNmDfAKlJQfrbRNm3OpsJJIUQRb5/JE2tx1zInFBqb27iO7/Hyz/ePgMRNY4CTklhmns+OnX&#10;z9Pvv6c/P0heFFGh3vkSA28dhobhnR0w+mz3aIzEhwZ0/CMlgn7U93jRVwyB8Hhp8fptsUQXR1+R&#10;v1leXUWY7P62Ax/eC6tJ3FQUsH9JVnb44MMYeg6JybxVst5KpdIB2t2NAnJg2Ott+ib0B2HKxGBj&#10;47URMVqyyHHkEndh2A0T8Z2tj8gbXwwW1Fn4TkmP81JR/23PQFDCDEdzRcN5exPGAds7kG2Ht5JY&#10;KQN2MfGdJi6Oyb/nVMf9K1v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Anflr3WAAAACAEAAA8A&#10;AAAAAAAAAQAgAAAAIgAAAGRycy9kb3ducmV2LnhtbFBLAQIUABQAAAAIAIdO4kAUKHBw4AEAAK0D&#10;AAAOAAAAAAAAAAEAIAAAACUBAABkcnMvZTJvRG9jLnhtbFBLBQYAAAAABgAGAFkBAAB3BQAAAAA=&#10;">
                <v:fill on="t" focussize="0,0"/>
                <v:stroke on="f"/>
                <v:imagedata o:title=""/>
                <o:lock v:ext="edit" aspectratio="f"/>
                <v:textbox>
                  <w:txbxContent>
                    <w:p>
                      <w:pPr>
                        <w:rPr>
                          <w:rFonts w:hint="eastAsia"/>
                          <w:lang w:eastAsia="zh-CN"/>
                        </w:rPr>
                      </w:pPr>
                      <w:r>
                        <w:rPr>
                          <w:rFonts w:hint="eastAsia"/>
                          <w:lang w:eastAsia="zh-CN"/>
                        </w:rPr>
                        <w:t>图例</w:t>
                      </w:r>
                    </w:p>
                    <w:p>
                      <w:pPr>
                        <w:pStyle w:val="23"/>
                        <w:rPr>
                          <w:rFonts w:hint="default"/>
                          <w:lang w:val="en-US" w:eastAsia="zh-CN"/>
                        </w:rPr>
                      </w:pPr>
                      <w:r>
                        <w:rPr>
                          <w:rFonts w:hint="eastAsia"/>
                          <w:lang w:val="en-US" w:eastAsia="zh-CN"/>
                        </w:rPr>
                        <w:t xml:space="preserve">  本项目位置</w:t>
                      </w:r>
                    </w:p>
                  </w:txbxContent>
                </v:textbox>
              </v:shape>
            </w:pict>
          </mc:Fallback>
        </mc:AlternateContent>
      </w: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jc w:val="center"/>
        <w:rPr>
          <w:rFonts w:hint="eastAsia"/>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color w:val="auto"/>
          <w:sz w:val="24"/>
          <w:szCs w:val="24"/>
          <w:highlight w:val="none"/>
          <w:lang w:val="en-US" w:eastAsia="zh-CN"/>
        </w:rPr>
        <w:sectPr>
          <w:pgSz w:w="16838" w:h="11906" w:orient="landscape"/>
          <w:pgMar w:top="1803" w:right="1440" w:bottom="1803" w:left="1440"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r>
        <w:rPr>
          <w:color w:val="auto"/>
          <w:sz w:val="21"/>
          <w:highlight w:val="none"/>
        </w:rPr>
        <mc:AlternateContent>
          <mc:Choice Requires="wps">
            <w:drawing>
              <wp:anchor distT="0" distB="0" distL="114300" distR="114300" simplePos="0" relativeHeight="251664384" behindDoc="0" locked="0" layoutInCell="1" allowOverlap="1">
                <wp:simplePos x="0" y="0"/>
                <wp:positionH relativeFrom="column">
                  <wp:posOffset>7292975</wp:posOffset>
                </wp:positionH>
                <wp:positionV relativeFrom="paragraph">
                  <wp:posOffset>4126865</wp:posOffset>
                </wp:positionV>
                <wp:extent cx="400050" cy="9525"/>
                <wp:effectExtent l="0" t="0" r="0" b="0"/>
                <wp:wrapNone/>
                <wp:docPr id="6" name="直线 132"/>
                <wp:cNvGraphicFramePr/>
                <a:graphic xmlns:a="http://schemas.openxmlformats.org/drawingml/2006/main">
                  <a:graphicData uri="http://schemas.microsoft.com/office/word/2010/wordprocessingShape">
                    <wps:wsp>
                      <wps:cNvCnPr/>
                      <wps:spPr>
                        <a:xfrm flipH="1">
                          <a:off x="0" y="0"/>
                          <a:ext cx="400050" cy="9525"/>
                        </a:xfrm>
                        <a:prstGeom prst="line">
                          <a:avLst/>
                        </a:prstGeom>
                        <a:ln w="19050" cap="flat" cmpd="sng">
                          <a:solidFill>
                            <a:srgbClr val="FFFF00"/>
                          </a:solidFill>
                          <a:prstDash val="solid"/>
                          <a:headEnd type="none" w="med" len="med"/>
                          <a:tailEnd type="none" w="med" len="med"/>
                        </a:ln>
                      </wps:spPr>
                      <wps:bodyPr upright="1"/>
                    </wps:wsp>
                  </a:graphicData>
                </a:graphic>
              </wp:anchor>
            </w:drawing>
          </mc:Choice>
          <mc:Fallback>
            <w:pict>
              <v:line id="直线 132" o:spid="_x0000_s1026" o:spt="20" style="position:absolute;left:0pt;flip:x;margin-left:574.25pt;margin-top:324.95pt;height:0.75pt;width:31.5pt;z-index:251664384;mso-width-relative:page;mso-height-relative:page;" filled="f" stroked="t" coordsize="21600,21600" o:gfxdata="UEsDBAoAAAAAAIdO4kAAAAAAAAAAAAAAAAAEAAAAZHJzL1BLAwQUAAAACACHTuJAJcOS0dcAAAAN&#10;AQAADwAAAGRycy9kb3ducmV2LnhtbE2PzU7DMBCE70i8g7VI3KjtklZpGqcHBELiRkCct7FJ0sbr&#10;KHZ/4OnZnuhxZj/NzpSbsx/E0U2xD2RAzxQIR02wPbUGPj9eHnIQMSFZHAI5Az8uwqa6vSmxsOFE&#10;7+5Yp1ZwCMUCDXQpjYWUsemcxzgLoyO+fYfJY2I5tdJOeOJwP8i5UkvpsSf+0OHonjrX7OuDN7D/&#10;xaGWz295HhUn7vpX1F+PxtzfabUGkdw5/cNwqc/VoeJO23AgG8XAWmf5glkDy2y1AnFB5lqztWVr&#10;oTOQVSmvV1R/UEsDBBQAAAAIAIdO4kAYKOwx9AEAAOoDAAAOAAAAZHJzL2Uyb0RvYy54bWytU0uO&#10;EzEQ3SNxB8t70p1ARkwrnVlMCCwQjAQcoOK2uy35J5eTTs7CNVix4ThzDcruEGDYZIEXVtlVflXv&#10;VXl1d7SGHWRE7V3L57OaM+mE77TrW/7l8/bFa84wgevAeCdbfpLI79bPn63G0MiFH7zpZGQE4rAZ&#10;Q8uHlEJTVSgGaQFnPkhHTuWjhUTH2FddhJHQrakWdX1TjT52IXohEel2Mzn5GTFeA+iV0kJuvNhb&#10;6dKEGqWBRJRw0AH5ulSrlBTpo1IoEzMtJ6ap7JSE7F3eq/UKmj5CGLQ4lwDXlPCEkwXtKOkFagMJ&#10;2D7qf6CsFtGjV2kmvK0mIkURYjGvn2jzaYAgCxeSGsNFdPx/sOLD4SEy3bX8hjMHlhr++PXb4/cf&#10;bP5ykdUZAzYUdO8e4vmE4SFmqkcVLVNGh3c0RoU80WHHou3poq08Jibo8lVd10tSXZDrdrlYZuxq&#10;AslgIWJ6K71l2Wi50S4ThwYO7zFNob9C8rVxbKSstxMk0Bgqaj+h20BU0PXlMXqju602Jj/B2O/u&#10;TWQHoFHY0qpL96mGv8Jylg3gMMUV1zQkg4TujetYOgUSydHf4LkGKzvOjKSvlC2qFJoE2lwTSamN&#10;IxWyxJOo2dr57kQt2Yeo+4GkmBelsodGoGh2Htc8Y3+eC9LvL7r+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XDktHXAAAADQEAAA8AAAAAAAAAAQAgAAAAIgAAAGRycy9kb3ducmV2LnhtbFBLAQIU&#10;ABQAAAAIAIdO4kAYKOwx9AEAAOoDAAAOAAAAAAAAAAEAIAAAACYBAABkcnMvZTJvRG9jLnhtbFBL&#10;BQYAAAAABgAGAFkBAACMBQAAAAA=&#10;">
                <v:fill on="f" focussize="0,0"/>
                <v:stroke weight="1.5pt" color="#FFFF00" joinstyle="round"/>
                <v:imagedata o:title=""/>
                <o:lock v:ext="edit" aspectratio="f"/>
              </v:line>
            </w:pict>
          </mc:Fallback>
        </mc:AlternateContent>
      </w:r>
      <w:r>
        <w:rPr>
          <w:rFonts w:hint="eastAsia"/>
          <w:color w:val="auto"/>
          <w:sz w:val="24"/>
          <w:szCs w:val="24"/>
          <w:highlight w:val="none"/>
          <w:lang w:val="en-US" w:eastAsia="zh-CN"/>
        </w:rPr>
        <w:t>附图4   本项目周边关系图</w:t>
      </w:r>
    </w:p>
    <w:p>
      <w:pPr>
        <w:pStyle w:val="23"/>
        <w:keepNext w:val="0"/>
        <w:keepLines w:val="0"/>
        <w:pageBreakBefore w:val="0"/>
        <w:widowControl/>
        <w:kinsoku/>
        <w:wordWrap/>
        <w:overflowPunct/>
        <w:topLinePunct w:val="0"/>
        <w:autoSpaceDE/>
        <w:autoSpaceDN/>
        <w:bidi w:val="0"/>
        <w:adjustRightInd/>
        <w:snapToGrid w:val="0"/>
        <w:spacing w:before="0" w:after="0" w:line="240" w:lineRule="auto"/>
        <w:ind w:right="0" w:firstLine="0" w:firstLineChars="0"/>
        <w:jc w:val="left"/>
        <w:textAlignment w:val="auto"/>
        <w:rPr>
          <w:rFonts w:hint="eastAsia"/>
          <w:color w:val="auto"/>
          <w:sz w:val="24"/>
          <w:szCs w:val="24"/>
          <w:highlight w:val="none"/>
          <w:lang w:val="en-US" w:eastAsia="zh-CN"/>
        </w:rPr>
      </w:pPr>
      <w:r>
        <w:rPr>
          <w:rFonts w:hint="eastAsia"/>
          <w:color w:val="auto"/>
          <w:sz w:val="24"/>
          <w:szCs w:val="24"/>
          <w:highlight w:val="none"/>
          <w:lang w:val="en-US" w:eastAsia="zh-CN"/>
        </w:rPr>
        <w:drawing>
          <wp:anchor distT="0" distB="0" distL="114300" distR="114300" simplePos="0" relativeHeight="251674624" behindDoc="0" locked="0" layoutInCell="1" allowOverlap="1">
            <wp:simplePos x="0" y="0"/>
            <wp:positionH relativeFrom="column">
              <wp:posOffset>3099435</wp:posOffset>
            </wp:positionH>
            <wp:positionV relativeFrom="paragraph">
              <wp:posOffset>26670</wp:posOffset>
            </wp:positionV>
            <wp:extent cx="2794000" cy="2156460"/>
            <wp:effectExtent l="0" t="0" r="6350" b="0"/>
            <wp:wrapNone/>
            <wp:docPr id="45" name="图片 45" descr="9f31fb30a5d090dfae357b4b4520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9f31fb30a5d090dfae357b4b4520db7"/>
                    <pic:cNvPicPr>
                      <a:picLocks noChangeAspect="1"/>
                    </pic:cNvPicPr>
                  </pic:nvPicPr>
                  <pic:blipFill>
                    <a:blip r:embed="rId25"/>
                    <a:srcRect l="25577" t="17490" r="28875" b="-2421"/>
                    <a:stretch>
                      <a:fillRect/>
                    </a:stretch>
                  </pic:blipFill>
                  <pic:spPr>
                    <a:xfrm>
                      <a:off x="0" y="0"/>
                      <a:ext cx="2794000" cy="2156460"/>
                    </a:xfrm>
                    <a:prstGeom prst="rect">
                      <a:avLst/>
                    </a:prstGeom>
                  </pic:spPr>
                </pic:pic>
              </a:graphicData>
            </a:graphic>
          </wp:anchor>
        </w:drawing>
      </w:r>
      <w:r>
        <w:rPr>
          <w:rFonts w:hint="eastAsia"/>
          <w:color w:val="auto"/>
          <w:sz w:val="24"/>
          <w:szCs w:val="24"/>
          <w:highlight w:val="none"/>
          <w:lang w:val="en-US" w:eastAsia="zh-CN"/>
        </w:rPr>
        <w:drawing>
          <wp:anchor distT="0" distB="0" distL="114300" distR="114300" simplePos="0" relativeHeight="251675648" behindDoc="0" locked="0" layoutInCell="1" allowOverlap="1">
            <wp:simplePos x="0" y="0"/>
            <wp:positionH relativeFrom="column">
              <wp:posOffset>6094095</wp:posOffset>
            </wp:positionH>
            <wp:positionV relativeFrom="paragraph">
              <wp:posOffset>25400</wp:posOffset>
            </wp:positionV>
            <wp:extent cx="2692400" cy="2078990"/>
            <wp:effectExtent l="0" t="0" r="12700" b="16510"/>
            <wp:wrapNone/>
            <wp:docPr id="46" name="图片 46" descr="cedabe0d4096d27cebc1305482ff9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cedabe0d4096d27cebc1305482ff99d"/>
                    <pic:cNvPicPr>
                      <a:picLocks noChangeAspect="1"/>
                    </pic:cNvPicPr>
                  </pic:nvPicPr>
                  <pic:blipFill>
                    <a:blip r:embed="rId26"/>
                    <a:srcRect l="41706" t="3807" r="7369" b="844"/>
                    <a:stretch>
                      <a:fillRect/>
                    </a:stretch>
                  </pic:blipFill>
                  <pic:spPr>
                    <a:xfrm>
                      <a:off x="0" y="0"/>
                      <a:ext cx="2692400" cy="2078990"/>
                    </a:xfrm>
                    <a:prstGeom prst="rect">
                      <a:avLst/>
                    </a:prstGeom>
                  </pic:spPr>
                </pic:pic>
              </a:graphicData>
            </a:graphic>
          </wp:anchor>
        </w:drawing>
      </w:r>
      <w:r>
        <w:rPr>
          <w:rFonts w:hint="eastAsia"/>
          <w:color w:val="auto"/>
          <w:sz w:val="24"/>
          <w:szCs w:val="24"/>
          <w:highlight w:val="none"/>
          <w:lang w:val="en-US" w:eastAsia="zh-CN"/>
        </w:rPr>
        <w:drawing>
          <wp:anchor distT="0" distB="0" distL="114300" distR="114300" simplePos="0" relativeHeight="251673600" behindDoc="0" locked="0" layoutInCell="1" allowOverlap="1">
            <wp:simplePos x="0" y="0"/>
            <wp:positionH relativeFrom="column">
              <wp:posOffset>33655</wp:posOffset>
            </wp:positionH>
            <wp:positionV relativeFrom="paragraph">
              <wp:posOffset>43180</wp:posOffset>
            </wp:positionV>
            <wp:extent cx="2829560" cy="2076450"/>
            <wp:effectExtent l="0" t="0" r="8890" b="0"/>
            <wp:wrapNone/>
            <wp:docPr id="44" name="图片 44" descr="a9571323fa035e8c86128c6aa2cd7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a9571323fa035e8c86128c6aa2cd7c4"/>
                    <pic:cNvPicPr>
                      <a:picLocks noChangeAspect="1"/>
                    </pic:cNvPicPr>
                  </pic:nvPicPr>
                  <pic:blipFill>
                    <a:blip r:embed="rId27"/>
                    <a:srcRect l="29606" t="20150" r="21620" b="350"/>
                    <a:stretch>
                      <a:fillRect/>
                    </a:stretch>
                  </pic:blipFill>
                  <pic:spPr>
                    <a:xfrm>
                      <a:off x="0" y="0"/>
                      <a:ext cx="2829560" cy="2076450"/>
                    </a:xfrm>
                    <a:prstGeom prst="rect">
                      <a:avLst/>
                    </a:prstGeom>
                  </pic:spPr>
                </pic:pic>
              </a:graphicData>
            </a:graphic>
          </wp:anchor>
        </w:drawing>
      </w:r>
      <w:r>
        <w:rPr>
          <w:rFonts w:hint="eastAsia"/>
          <w:color w:val="auto"/>
          <w:sz w:val="24"/>
          <w:szCs w:val="24"/>
          <w:highlight w:val="none"/>
          <w:lang w:val="en-US" w:eastAsia="zh-CN"/>
        </w:rPr>
        <w:t xml:space="preserve">                                         </w:t>
      </w:r>
    </w:p>
    <w:p>
      <w:pPr>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ind w:left="0" w:leftChars="0" w:firstLine="0" w:firstLineChars="0"/>
        <w:rPr>
          <w:rFonts w:hint="eastAsia"/>
          <w:color w:val="auto"/>
          <w:sz w:val="24"/>
          <w:szCs w:val="24"/>
          <w:highlight w:val="none"/>
          <w:lang w:val="en-US" w:eastAsia="zh-CN"/>
        </w:rPr>
      </w:pPr>
    </w:p>
    <w:p>
      <w:pPr>
        <w:ind w:firstLine="1680" w:firstLineChars="800"/>
        <w:jc w:val="both"/>
        <w:rPr>
          <w:rFonts w:hint="default"/>
          <w:color w:val="auto"/>
          <w:sz w:val="21"/>
          <w:szCs w:val="21"/>
          <w:highlight w:val="none"/>
          <w:lang w:val="en-US" w:eastAsia="zh-CN"/>
        </w:rPr>
      </w:pPr>
      <w:r>
        <w:rPr>
          <w:rFonts w:hint="eastAsia"/>
          <w:color w:val="auto"/>
          <w:sz w:val="21"/>
          <w:szCs w:val="21"/>
          <w:highlight w:val="none"/>
          <w:lang w:val="en-US" w:eastAsia="zh-CN"/>
        </w:rPr>
        <w:t xml:space="preserve"> 项目区东侧                                  项目区南侧                                 项目区西侧</w:t>
      </w:r>
    </w:p>
    <w:p>
      <w:pPr>
        <w:pStyle w:val="23"/>
        <w:keepNext w:val="0"/>
        <w:keepLines w:val="0"/>
        <w:pageBreakBefore w:val="0"/>
        <w:widowControl/>
        <w:kinsoku/>
        <w:wordWrap/>
        <w:overflowPunct/>
        <w:topLinePunct w:val="0"/>
        <w:autoSpaceDE/>
        <w:autoSpaceDN/>
        <w:bidi w:val="0"/>
        <w:adjustRightInd/>
        <w:snapToGrid w:val="0"/>
        <w:spacing w:before="0" w:after="0" w:line="240" w:lineRule="auto"/>
        <w:ind w:right="0" w:firstLine="0" w:firstLineChars="0"/>
        <w:jc w:val="left"/>
        <w:textAlignment w:val="auto"/>
        <w:rPr>
          <w:rFonts w:hint="eastAsia"/>
          <w:color w:val="auto"/>
          <w:sz w:val="24"/>
          <w:szCs w:val="24"/>
          <w:highlight w:val="none"/>
          <w:lang w:val="en-US" w:eastAsia="zh-CN"/>
        </w:rPr>
      </w:pPr>
      <w:r>
        <w:rPr>
          <w:rFonts w:hint="eastAsia"/>
          <w:color w:val="auto"/>
          <w:sz w:val="24"/>
          <w:szCs w:val="24"/>
          <w:highlight w:val="none"/>
          <w:lang w:val="en-US" w:eastAsia="zh-CN"/>
        </w:rPr>
        <w:t xml:space="preserve">  </w:t>
      </w:r>
    </w:p>
    <w:p>
      <w:pPr>
        <w:rPr>
          <w:rFonts w:hint="eastAsia"/>
          <w:color w:val="auto"/>
          <w:sz w:val="24"/>
          <w:szCs w:val="24"/>
          <w:highlight w:val="none"/>
          <w:lang w:val="en-US" w:eastAsia="zh-CN"/>
        </w:rPr>
      </w:pPr>
      <w:r>
        <w:rPr>
          <w:rFonts w:hint="eastAsia"/>
          <w:color w:val="auto"/>
          <w:sz w:val="24"/>
          <w:szCs w:val="24"/>
          <w:highlight w:val="none"/>
          <w:lang w:val="en-US" w:eastAsia="zh-CN"/>
        </w:rPr>
        <w:drawing>
          <wp:anchor distT="0" distB="0" distL="114300" distR="114300" simplePos="0" relativeHeight="251677696" behindDoc="0" locked="0" layoutInCell="1" allowOverlap="1">
            <wp:simplePos x="0" y="0"/>
            <wp:positionH relativeFrom="column">
              <wp:posOffset>6149975</wp:posOffset>
            </wp:positionH>
            <wp:positionV relativeFrom="paragraph">
              <wp:posOffset>42545</wp:posOffset>
            </wp:positionV>
            <wp:extent cx="2670810" cy="2091690"/>
            <wp:effectExtent l="0" t="0" r="15240" b="3810"/>
            <wp:wrapNone/>
            <wp:docPr id="49" name="图片 49" descr="f2996ce10a04c7c7cb2dc97a2921a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f2996ce10a04c7c7cb2dc97a2921af7"/>
                    <pic:cNvPicPr>
                      <a:picLocks noChangeAspect="1"/>
                    </pic:cNvPicPr>
                  </pic:nvPicPr>
                  <pic:blipFill>
                    <a:blip r:embed="rId12"/>
                    <a:srcRect r="42165" b="-637"/>
                    <a:stretch>
                      <a:fillRect/>
                    </a:stretch>
                  </pic:blipFill>
                  <pic:spPr>
                    <a:xfrm>
                      <a:off x="0" y="0"/>
                      <a:ext cx="2670810" cy="2091690"/>
                    </a:xfrm>
                    <a:prstGeom prst="rect">
                      <a:avLst/>
                    </a:prstGeom>
                  </pic:spPr>
                </pic:pic>
              </a:graphicData>
            </a:graphic>
          </wp:anchor>
        </w:drawing>
      </w:r>
      <w:r>
        <w:rPr>
          <w:rFonts w:hint="eastAsia"/>
          <w:color w:val="auto"/>
          <w:sz w:val="24"/>
          <w:szCs w:val="24"/>
          <w:highlight w:val="none"/>
          <w:lang w:val="en-US" w:eastAsia="zh-CN"/>
        </w:rPr>
        <w:drawing>
          <wp:anchor distT="0" distB="0" distL="114300" distR="114300" simplePos="0" relativeHeight="251677696" behindDoc="1" locked="0" layoutInCell="1" allowOverlap="1">
            <wp:simplePos x="0" y="0"/>
            <wp:positionH relativeFrom="column">
              <wp:posOffset>3154045</wp:posOffset>
            </wp:positionH>
            <wp:positionV relativeFrom="paragraph">
              <wp:posOffset>62865</wp:posOffset>
            </wp:positionV>
            <wp:extent cx="2778125" cy="2087880"/>
            <wp:effectExtent l="0" t="0" r="3175" b="7620"/>
            <wp:wrapNone/>
            <wp:docPr id="48" name="图片 48" descr="f78fc452944f9328bcb9bdcd49a7a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f78fc452944f9328bcb9bdcd49a7a92"/>
                    <pic:cNvPicPr>
                      <a:picLocks noChangeAspect="1"/>
                    </pic:cNvPicPr>
                  </pic:nvPicPr>
                  <pic:blipFill>
                    <a:blip r:embed="rId11"/>
                    <a:srcRect t="19401" r="50581" b="-207"/>
                    <a:stretch>
                      <a:fillRect/>
                    </a:stretch>
                  </pic:blipFill>
                  <pic:spPr>
                    <a:xfrm>
                      <a:off x="0" y="0"/>
                      <a:ext cx="2778125" cy="2087880"/>
                    </a:xfrm>
                    <a:prstGeom prst="rect">
                      <a:avLst/>
                    </a:prstGeom>
                  </pic:spPr>
                </pic:pic>
              </a:graphicData>
            </a:graphic>
          </wp:anchor>
        </w:drawing>
      </w:r>
      <w:r>
        <w:rPr>
          <w:rFonts w:hint="eastAsia"/>
          <w:color w:val="auto"/>
          <w:sz w:val="24"/>
          <w:szCs w:val="24"/>
          <w:highlight w:val="none"/>
          <w:lang w:val="en-US" w:eastAsia="zh-CN"/>
        </w:rPr>
        <w:drawing>
          <wp:anchor distT="0" distB="0" distL="114300" distR="114300" simplePos="0" relativeHeight="251676672" behindDoc="0" locked="0" layoutInCell="1" allowOverlap="1">
            <wp:simplePos x="0" y="0"/>
            <wp:positionH relativeFrom="column">
              <wp:posOffset>50800</wp:posOffset>
            </wp:positionH>
            <wp:positionV relativeFrom="paragraph">
              <wp:posOffset>52705</wp:posOffset>
            </wp:positionV>
            <wp:extent cx="2803525" cy="2037080"/>
            <wp:effectExtent l="0" t="0" r="15875" b="1270"/>
            <wp:wrapNone/>
            <wp:docPr id="47" name="图片 47" descr="8bb5fd6fa343cf38278008e959df1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8bb5fd6fa343cf38278008e959df1ff"/>
                    <pic:cNvPicPr>
                      <a:picLocks noChangeAspect="1"/>
                    </pic:cNvPicPr>
                  </pic:nvPicPr>
                  <pic:blipFill>
                    <a:blip r:embed="rId28"/>
                    <a:srcRect l="652" t="4842" r="44903"/>
                    <a:stretch>
                      <a:fillRect/>
                    </a:stretch>
                  </pic:blipFill>
                  <pic:spPr>
                    <a:xfrm>
                      <a:off x="0" y="0"/>
                      <a:ext cx="2803525" cy="2037080"/>
                    </a:xfrm>
                    <a:prstGeom prst="rect">
                      <a:avLst/>
                    </a:prstGeom>
                  </pic:spPr>
                </pic:pic>
              </a:graphicData>
            </a:graphic>
          </wp:anchor>
        </w:drawing>
      </w: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eastAsia"/>
          <w:color w:val="auto"/>
          <w:sz w:val="24"/>
          <w:szCs w:val="24"/>
          <w:highlight w:val="none"/>
          <w:lang w:val="en-US" w:eastAsia="zh-CN"/>
        </w:rPr>
      </w:pPr>
    </w:p>
    <w:p>
      <w:pPr>
        <w:pStyle w:val="3"/>
        <w:rPr>
          <w:rFonts w:hint="default"/>
          <w:color w:val="auto"/>
          <w:sz w:val="24"/>
          <w:szCs w:val="24"/>
          <w:highlight w:val="none"/>
          <w:lang w:val="en-US" w:eastAsia="zh-CN"/>
        </w:rPr>
      </w:pPr>
    </w:p>
    <w:p>
      <w:pPr>
        <w:jc w:val="center"/>
        <w:rPr>
          <w:rFonts w:hint="default"/>
          <w:color w:val="auto"/>
          <w:highlight w:val="none"/>
          <w:lang w:val="en-US" w:eastAsia="zh-CN"/>
        </w:rPr>
      </w:pPr>
      <w:r>
        <w:rPr>
          <w:rFonts w:hint="eastAsia"/>
          <w:color w:val="auto"/>
          <w:highlight w:val="none"/>
          <w:lang w:val="en-US" w:eastAsia="zh-CN"/>
        </w:rPr>
        <w:t>项目区北侧                                   项目区现状                                      项目区现状</w:t>
      </w:r>
    </w:p>
    <w:p>
      <w:pPr>
        <w:pStyle w:val="23"/>
        <w:keepNext w:val="0"/>
        <w:keepLines w:val="0"/>
        <w:pageBreakBefore w:val="0"/>
        <w:widowControl/>
        <w:kinsoku/>
        <w:wordWrap/>
        <w:overflowPunct/>
        <w:topLinePunct w:val="0"/>
        <w:autoSpaceDE/>
        <w:autoSpaceDN/>
        <w:bidi w:val="0"/>
        <w:adjustRightInd/>
        <w:snapToGrid w:val="0"/>
        <w:spacing w:line="260" w:lineRule="auto"/>
        <w:ind w:left="0" w:leftChars="0" w:right="113" w:firstLine="0" w:firstLineChars="0"/>
        <w:jc w:val="center"/>
        <w:textAlignment w:val="auto"/>
        <w:outlineLvl w:val="0"/>
        <w:rPr>
          <w:rFonts w:hint="eastAsia"/>
          <w:color w:val="auto"/>
          <w:sz w:val="24"/>
          <w:szCs w:val="24"/>
          <w:highlight w:val="none"/>
          <w:lang w:val="en-US" w:eastAsia="zh-CN"/>
        </w:rPr>
      </w:pPr>
      <w:r>
        <w:rPr>
          <w:rFonts w:hint="eastAsia"/>
          <w:color w:val="auto"/>
          <w:sz w:val="24"/>
          <w:szCs w:val="24"/>
          <w:highlight w:val="none"/>
          <w:lang w:val="en-US" w:eastAsia="zh-CN"/>
        </w:rPr>
        <w:t>附图5  项目区现状图</w:t>
      </w:r>
    </w:p>
    <w:p>
      <w:pPr>
        <w:rPr>
          <w:rFonts w:hint="default" w:ascii="Times New Roman" w:hAnsi="Times New Roman" w:eastAsia="宋体" w:cs="Times New Roman"/>
          <w:color w:val="auto"/>
          <w:sz w:val="24"/>
          <w:szCs w:val="24"/>
          <w:highlight w:val="none"/>
          <w:lang w:val="en-US" w:eastAsia="zh-CN"/>
        </w:rPr>
        <w:sectPr>
          <w:pgSz w:w="16838" w:h="11906" w:orient="landscape"/>
          <w:pgMar w:top="1803" w:right="1440" w:bottom="1803" w:left="1440"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p>
    <w:p>
      <w:pPr>
        <w:pStyle w:val="6"/>
        <w:keepNext/>
        <w:keepLines/>
        <w:pageBreakBefore w:val="0"/>
        <w:widowControl w:val="0"/>
        <w:kinsoku/>
        <w:wordWrap/>
        <w:overflowPunct/>
        <w:topLinePunct w:val="0"/>
        <w:autoSpaceDE/>
        <w:autoSpaceDN/>
        <w:bidi w:val="0"/>
        <w:adjustRightInd/>
        <w:snapToGrid/>
        <w:textAlignment w:val="auto"/>
        <w:outlineLvl w:val="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附件1</w:t>
      </w:r>
      <w:r>
        <w:rPr>
          <w:rFonts w:hint="eastAsia" w:ascii="Times New Roman" w:hAnsi="Times New Roman" w:eastAsia="宋体" w:cs="Times New Roman"/>
          <w:b/>
          <w:bCs/>
          <w:color w:val="auto"/>
          <w:sz w:val="24"/>
          <w:szCs w:val="24"/>
          <w:highlight w:val="none"/>
          <w:lang w:val="en-US" w:eastAsia="zh-CN"/>
        </w:rPr>
        <w:t xml:space="preserve"> 委托书</w:t>
      </w:r>
    </w:p>
    <w:p>
      <w:pPr>
        <w:jc w:val="center"/>
        <w:rPr>
          <w:rFonts w:hint="eastAsia"/>
          <w:color w:val="auto"/>
          <w:highlight w:val="none"/>
          <w:lang w:val="en-US" w:eastAsia="zh-CN"/>
        </w:rPr>
      </w:pPr>
      <w:r>
        <w:rPr>
          <w:rFonts w:hint="eastAsia" w:ascii="宋体" w:hAnsi="宋体" w:eastAsia="宋体"/>
          <w:color w:val="auto"/>
          <w:sz w:val="44"/>
          <w:szCs w:val="44"/>
          <w:lang w:eastAsia="zh-CN"/>
        </w:rPr>
        <w:drawing>
          <wp:anchor distT="0" distB="0" distL="114300" distR="114300" simplePos="0" relativeHeight="251678720" behindDoc="0" locked="0" layoutInCell="1" allowOverlap="1">
            <wp:simplePos x="0" y="0"/>
            <wp:positionH relativeFrom="column">
              <wp:posOffset>-8890</wp:posOffset>
            </wp:positionH>
            <wp:positionV relativeFrom="paragraph">
              <wp:posOffset>101600</wp:posOffset>
            </wp:positionV>
            <wp:extent cx="5260340" cy="7567295"/>
            <wp:effectExtent l="0" t="0" r="16510" b="14605"/>
            <wp:wrapTopAndBottom/>
            <wp:docPr id="50" name="图片 50" descr="fbc80f734332e142ec423fbf8ec3e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fbc80f734332e142ec423fbf8ec3e7e"/>
                    <pic:cNvPicPr>
                      <a:picLocks noChangeAspect="1"/>
                    </pic:cNvPicPr>
                  </pic:nvPicPr>
                  <pic:blipFill>
                    <a:blip r:embed="rId29"/>
                    <a:stretch>
                      <a:fillRect/>
                    </a:stretch>
                  </pic:blipFill>
                  <pic:spPr>
                    <a:xfrm>
                      <a:off x="0" y="0"/>
                      <a:ext cx="5260340" cy="7567295"/>
                    </a:xfrm>
                    <a:prstGeom prst="rect">
                      <a:avLst/>
                    </a:prstGeom>
                  </pic:spPr>
                </pic:pic>
              </a:graphicData>
            </a:graphic>
          </wp:anchor>
        </w:drawing>
      </w:r>
    </w:p>
    <w:p>
      <w:pPr>
        <w:rPr>
          <w:color w:val="auto"/>
        </w:rPr>
      </w:pPr>
    </w:p>
    <w:p>
      <w:pPr>
        <w:rPr>
          <w:rFonts w:hint="eastAsia"/>
          <w:color w:val="auto"/>
          <w:highlight w:val="none"/>
          <w:lang w:val="en-US" w:eastAsia="zh-CN"/>
        </w:rPr>
      </w:pPr>
    </w:p>
    <w:p>
      <w:pPr>
        <w:pStyle w:val="4"/>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0"/>
        <w:rPr>
          <w:rFonts w:hint="eastAsia"/>
          <w:color w:val="auto"/>
          <w:highlight w:val="none"/>
          <w:lang w:val="en-US" w:eastAsia="zh-CN"/>
        </w:rPr>
      </w:pPr>
      <w:r>
        <w:rPr>
          <w:color w:val="auto"/>
          <w:sz w:val="30"/>
          <w:szCs w:val="30"/>
          <w:highlight w:val="none"/>
          <w:vertAlign w:val="baseline"/>
          <w:lang w:val="en-US"/>
        </w:rPr>
        <w:br w:type="page"/>
      </w:r>
      <w:r>
        <w:rPr>
          <w:rFonts w:hint="eastAsia" w:ascii="Times New Roman" w:hAnsi="Times New Roman" w:eastAsia="宋体" w:cs="Times New Roman"/>
          <w:b/>
          <w:bCs/>
          <w:color w:val="auto"/>
          <w:kern w:val="2"/>
          <w:sz w:val="24"/>
          <w:szCs w:val="24"/>
          <w:highlight w:val="none"/>
          <w:lang w:val="en-US" w:eastAsia="zh-CN" w:bidi="ar-SA"/>
        </w:rPr>
        <w:t>附件2 项目备案告知书</w:t>
      </w:r>
    </w:p>
    <w:p>
      <w:pPr>
        <w:pStyle w:val="4"/>
        <w:ind w:left="0" w:leftChars="0" w:firstLine="0" w:firstLineChars="0"/>
        <w:rPr>
          <w:rFonts w:hint="eastAsia"/>
          <w:color w:val="auto"/>
          <w:highlight w:val="none"/>
          <w:lang w:val="en-US" w:eastAsia="zh-CN"/>
        </w:rPr>
      </w:pPr>
      <w:r>
        <w:rPr>
          <w:color w:val="auto"/>
        </w:rPr>
        <w:drawing>
          <wp:anchor distT="0" distB="0" distL="114300" distR="114300" simplePos="0" relativeHeight="251672576" behindDoc="1" locked="0" layoutInCell="1" allowOverlap="1">
            <wp:simplePos x="0" y="0"/>
            <wp:positionH relativeFrom="column">
              <wp:posOffset>-49530</wp:posOffset>
            </wp:positionH>
            <wp:positionV relativeFrom="paragraph">
              <wp:posOffset>119380</wp:posOffset>
            </wp:positionV>
            <wp:extent cx="5267960" cy="7539990"/>
            <wp:effectExtent l="0" t="0" r="8890" b="3810"/>
            <wp:wrapNone/>
            <wp:docPr id="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
                    <pic:cNvPicPr>
                      <a:picLocks noChangeAspect="1"/>
                    </pic:cNvPicPr>
                  </pic:nvPicPr>
                  <pic:blipFill>
                    <a:blip r:embed="rId30"/>
                    <a:stretch>
                      <a:fillRect/>
                    </a:stretch>
                  </pic:blipFill>
                  <pic:spPr>
                    <a:xfrm>
                      <a:off x="0" y="0"/>
                      <a:ext cx="5267960" cy="7539990"/>
                    </a:xfrm>
                    <a:prstGeom prst="rect">
                      <a:avLst/>
                    </a:prstGeom>
                    <a:noFill/>
                    <a:ln>
                      <a:noFill/>
                    </a:ln>
                  </pic:spPr>
                </pic:pic>
              </a:graphicData>
            </a:graphic>
          </wp:anchor>
        </w:drawing>
      </w:r>
    </w:p>
    <w:p>
      <w:pPr>
        <w:pStyle w:val="4"/>
        <w:ind w:left="0" w:leftChars="0" w:firstLine="0" w:firstLineChars="0"/>
        <w:rPr>
          <w:rFonts w:hint="eastAsia"/>
          <w:color w:val="auto"/>
          <w:highlight w:val="none"/>
          <w:lang w:val="en-US" w:eastAsia="zh-CN"/>
        </w:rPr>
      </w:pPr>
    </w:p>
    <w:p>
      <w:pPr>
        <w:rPr>
          <w:rFonts w:hint="eastAsia"/>
          <w:color w:val="auto"/>
          <w:highlight w:val="none"/>
          <w:lang w:val="en-US" w:eastAsia="zh-CN"/>
        </w:rPr>
      </w:pPr>
    </w:p>
    <w:p>
      <w:pPr>
        <w:pStyle w:val="23"/>
        <w:rPr>
          <w:rFonts w:hint="eastAsia"/>
          <w:color w:val="auto"/>
          <w:highlight w:val="none"/>
          <w:lang w:val="en-US" w:eastAsia="zh-CN"/>
        </w:rPr>
        <w:sectPr>
          <w:pgSz w:w="11906" w:h="16838"/>
          <w:pgMar w:top="1440" w:right="1803" w:bottom="1440" w:left="1803"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p>
    <w:p>
      <w:pPr>
        <w:pStyle w:val="4"/>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0"/>
        <w:rPr>
          <w:rFonts w:hint="eastAsia" w:ascii="Times New Roman" w:hAnsi="Times New Roman" w:eastAsia="宋体" w:cs="Times New Roman"/>
          <w:b/>
          <w:bCs/>
          <w:color w:val="auto"/>
          <w:kern w:val="44"/>
          <w:sz w:val="24"/>
          <w:szCs w:val="24"/>
          <w:highlight w:val="none"/>
          <w:lang w:val="en-US" w:eastAsia="zh-CN" w:bidi="ar-SA"/>
        </w:rPr>
        <w:sectPr>
          <w:pgSz w:w="11906" w:h="16838"/>
          <w:pgMar w:top="1440" w:right="1803" w:bottom="1440" w:left="1803"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r>
        <w:rPr>
          <w:color w:val="auto"/>
        </w:rPr>
        <w:drawing>
          <wp:anchor distT="0" distB="0" distL="114300" distR="114300" simplePos="0" relativeHeight="251672576" behindDoc="1" locked="0" layoutInCell="1" allowOverlap="1">
            <wp:simplePos x="0" y="0"/>
            <wp:positionH relativeFrom="column">
              <wp:posOffset>-133350</wp:posOffset>
            </wp:positionH>
            <wp:positionV relativeFrom="paragraph">
              <wp:posOffset>368935</wp:posOffset>
            </wp:positionV>
            <wp:extent cx="5089525" cy="6974840"/>
            <wp:effectExtent l="0" t="0" r="15875" b="16510"/>
            <wp:wrapNone/>
            <wp:docPr id="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
                    <pic:cNvPicPr>
                      <a:picLocks noChangeAspect="1"/>
                    </pic:cNvPicPr>
                  </pic:nvPicPr>
                  <pic:blipFill>
                    <a:blip r:embed="rId31"/>
                    <a:stretch>
                      <a:fillRect/>
                    </a:stretch>
                  </pic:blipFill>
                  <pic:spPr>
                    <a:xfrm>
                      <a:off x="0" y="0"/>
                      <a:ext cx="5089525" cy="6974840"/>
                    </a:xfrm>
                    <a:prstGeom prst="rect">
                      <a:avLst/>
                    </a:prstGeom>
                    <a:noFill/>
                    <a:ln>
                      <a:noFill/>
                    </a:ln>
                  </pic:spPr>
                </pic:pic>
              </a:graphicData>
            </a:graphic>
          </wp:anchor>
        </w:drawing>
      </w:r>
      <w:r>
        <w:rPr>
          <w:rFonts w:hint="eastAsia" w:ascii="Times New Roman" w:hAnsi="Times New Roman" w:eastAsia="宋体" w:cs="Times New Roman"/>
          <w:b/>
          <w:bCs/>
          <w:color w:val="auto"/>
          <w:kern w:val="44"/>
          <w:sz w:val="24"/>
          <w:szCs w:val="24"/>
          <w:highlight w:val="none"/>
          <w:lang w:val="en-US" w:eastAsia="zh-CN" w:bidi="ar-SA"/>
        </w:rPr>
        <w:t>附件3</w:t>
      </w:r>
      <w:r>
        <w:rPr>
          <w:rFonts w:hint="eastAsia" w:cs="Times New Roman"/>
          <w:b/>
          <w:bCs/>
          <w:color w:val="auto"/>
          <w:kern w:val="44"/>
          <w:sz w:val="24"/>
          <w:szCs w:val="24"/>
          <w:highlight w:val="none"/>
          <w:lang w:val="en-US" w:eastAsia="zh-CN" w:bidi="ar-SA"/>
        </w:rPr>
        <w:t>项目不占用河湖划界河道的函</w:t>
      </w:r>
    </w:p>
    <w:p>
      <w:pPr>
        <w:pStyle w:val="4"/>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0"/>
        <w:rPr>
          <w:rFonts w:hint="eastAsia" w:ascii="Times New Roman" w:hAnsi="Times New Roman" w:eastAsia="宋体" w:cs="Times New Roman"/>
          <w:b/>
          <w:bCs/>
          <w:color w:val="auto"/>
          <w:kern w:val="44"/>
          <w:sz w:val="24"/>
          <w:szCs w:val="24"/>
          <w:highlight w:val="none"/>
          <w:lang w:val="en-US" w:eastAsia="zh-CN" w:bidi="ar-SA"/>
        </w:rPr>
        <w:sectPr>
          <w:pgSz w:w="11906" w:h="16838"/>
          <w:pgMar w:top="1440" w:right="1803" w:bottom="1440" w:left="1803"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r>
        <w:rPr>
          <w:color w:val="auto"/>
        </w:rPr>
        <w:drawing>
          <wp:anchor distT="0" distB="0" distL="114300" distR="114300" simplePos="0" relativeHeight="251673600" behindDoc="1" locked="0" layoutInCell="1" allowOverlap="1">
            <wp:simplePos x="0" y="0"/>
            <wp:positionH relativeFrom="column">
              <wp:posOffset>-21590</wp:posOffset>
            </wp:positionH>
            <wp:positionV relativeFrom="paragraph">
              <wp:posOffset>292735</wp:posOffset>
            </wp:positionV>
            <wp:extent cx="4667250" cy="6772275"/>
            <wp:effectExtent l="0" t="0" r="0" b="9525"/>
            <wp:wrapNone/>
            <wp:docPr id="3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9"/>
                    <pic:cNvPicPr>
                      <a:picLocks noChangeAspect="1"/>
                    </pic:cNvPicPr>
                  </pic:nvPicPr>
                  <pic:blipFill>
                    <a:blip r:embed="rId32"/>
                    <a:stretch>
                      <a:fillRect/>
                    </a:stretch>
                  </pic:blipFill>
                  <pic:spPr>
                    <a:xfrm>
                      <a:off x="0" y="0"/>
                      <a:ext cx="4667250" cy="6772275"/>
                    </a:xfrm>
                    <a:prstGeom prst="rect">
                      <a:avLst/>
                    </a:prstGeom>
                    <a:noFill/>
                    <a:ln>
                      <a:noFill/>
                    </a:ln>
                  </pic:spPr>
                </pic:pic>
              </a:graphicData>
            </a:graphic>
          </wp:anchor>
        </w:drawing>
      </w:r>
      <w:r>
        <w:rPr>
          <w:rFonts w:hint="eastAsia" w:ascii="Times New Roman" w:hAnsi="Times New Roman" w:eastAsia="宋体" w:cs="Times New Roman"/>
          <w:b/>
          <w:bCs/>
          <w:color w:val="auto"/>
          <w:kern w:val="44"/>
          <w:sz w:val="24"/>
          <w:szCs w:val="24"/>
          <w:highlight w:val="none"/>
          <w:lang w:val="en-US" w:eastAsia="zh-CN" w:bidi="ar-SA"/>
        </w:rPr>
        <w:t>附件</w:t>
      </w:r>
      <w:r>
        <w:rPr>
          <w:rFonts w:hint="eastAsia" w:cs="Times New Roman"/>
          <w:b/>
          <w:bCs/>
          <w:color w:val="auto"/>
          <w:kern w:val="44"/>
          <w:sz w:val="24"/>
          <w:szCs w:val="24"/>
          <w:highlight w:val="none"/>
          <w:lang w:val="en-US" w:eastAsia="zh-CN" w:bidi="ar-SA"/>
        </w:rPr>
        <w:t>4 项目建设用地情况说明的函</w:t>
      </w:r>
    </w:p>
    <w:p>
      <w:pPr>
        <w:rPr>
          <w:rFonts w:hint="eastAsia"/>
          <w:color w:val="auto"/>
          <w:lang w:val="en-US" w:eastAsia="zh-CN"/>
        </w:rPr>
        <w:sectPr>
          <w:pgSz w:w="11906" w:h="16838"/>
          <w:pgMar w:top="1440" w:right="1803" w:bottom="1440" w:left="1803"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r>
        <w:rPr>
          <w:color w:val="auto"/>
        </w:rPr>
        <w:drawing>
          <wp:anchor distT="0" distB="0" distL="114300" distR="114300" simplePos="0" relativeHeight="251673600" behindDoc="1" locked="0" layoutInCell="1" allowOverlap="1">
            <wp:simplePos x="0" y="0"/>
            <wp:positionH relativeFrom="column">
              <wp:posOffset>105410</wp:posOffset>
            </wp:positionH>
            <wp:positionV relativeFrom="paragraph">
              <wp:posOffset>127000</wp:posOffset>
            </wp:positionV>
            <wp:extent cx="4829175" cy="6867525"/>
            <wp:effectExtent l="0" t="0" r="9525" b="9525"/>
            <wp:wrapNone/>
            <wp:docPr id="3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0"/>
                    <pic:cNvPicPr>
                      <a:picLocks noChangeAspect="1"/>
                    </pic:cNvPicPr>
                  </pic:nvPicPr>
                  <pic:blipFill>
                    <a:blip r:embed="rId33"/>
                    <a:stretch>
                      <a:fillRect/>
                    </a:stretch>
                  </pic:blipFill>
                  <pic:spPr>
                    <a:xfrm>
                      <a:off x="0" y="0"/>
                      <a:ext cx="4829175" cy="6867525"/>
                    </a:xfrm>
                    <a:prstGeom prst="rect">
                      <a:avLst/>
                    </a:prstGeom>
                    <a:noFill/>
                    <a:ln>
                      <a:noFill/>
                    </a:ln>
                  </pic:spPr>
                </pic:pic>
              </a:graphicData>
            </a:graphic>
          </wp:anchor>
        </w:drawing>
      </w:r>
    </w:p>
    <w:p>
      <w:pPr>
        <w:pStyle w:val="3"/>
        <w:keepNext w:val="0"/>
        <w:keepLines w:val="0"/>
        <w:pageBreakBefore w:val="0"/>
        <w:widowControl w:val="0"/>
        <w:kinsoku/>
        <w:wordWrap/>
        <w:overflowPunct/>
        <w:topLinePunct w:val="0"/>
        <w:autoSpaceDE/>
        <w:autoSpaceDN/>
        <w:bidi w:val="0"/>
        <w:adjustRightInd w:val="0"/>
        <w:snapToGrid/>
        <w:ind w:left="0" w:leftChars="0" w:firstLine="0" w:firstLineChars="0"/>
        <w:textAlignment w:val="baseline"/>
        <w:outlineLvl w:val="0"/>
        <w:rPr>
          <w:rFonts w:hint="default" w:ascii="Times New Roman" w:hAnsi="Times New Roman" w:eastAsia="宋体" w:cs="Times New Roman"/>
          <w:b/>
          <w:bCs/>
          <w:color w:val="auto"/>
          <w:kern w:val="44"/>
          <w:sz w:val="24"/>
          <w:szCs w:val="24"/>
          <w:highlight w:val="none"/>
          <w:lang w:val="en-US" w:eastAsia="zh-CN" w:bidi="ar-SA"/>
        </w:rPr>
        <w:sectPr>
          <w:pgSz w:w="11906" w:h="16838"/>
          <w:pgMar w:top="1440" w:right="1803" w:bottom="1440" w:left="1803"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r>
        <w:rPr>
          <w:color w:val="auto"/>
        </w:rPr>
        <w:drawing>
          <wp:anchor distT="0" distB="0" distL="114300" distR="114300" simplePos="0" relativeHeight="251672576" behindDoc="1" locked="0" layoutInCell="1" allowOverlap="1">
            <wp:simplePos x="0" y="0"/>
            <wp:positionH relativeFrom="column">
              <wp:posOffset>-20955</wp:posOffset>
            </wp:positionH>
            <wp:positionV relativeFrom="paragraph">
              <wp:posOffset>350520</wp:posOffset>
            </wp:positionV>
            <wp:extent cx="5268595" cy="7192010"/>
            <wp:effectExtent l="0" t="0" r="8255" b="8890"/>
            <wp:wrapNone/>
            <wp:docPr id="8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7"/>
                    <pic:cNvPicPr>
                      <a:picLocks noChangeAspect="1"/>
                    </pic:cNvPicPr>
                  </pic:nvPicPr>
                  <pic:blipFill>
                    <a:blip r:embed="rId34"/>
                    <a:stretch>
                      <a:fillRect/>
                    </a:stretch>
                  </pic:blipFill>
                  <pic:spPr>
                    <a:xfrm>
                      <a:off x="0" y="0"/>
                      <a:ext cx="5268595" cy="7192010"/>
                    </a:xfrm>
                    <a:prstGeom prst="rect">
                      <a:avLst/>
                    </a:prstGeom>
                    <a:noFill/>
                    <a:ln>
                      <a:noFill/>
                    </a:ln>
                  </pic:spPr>
                </pic:pic>
              </a:graphicData>
            </a:graphic>
          </wp:anchor>
        </w:drawing>
      </w:r>
      <w:r>
        <w:rPr>
          <w:rFonts w:hint="eastAsia" w:ascii="Times New Roman" w:hAnsi="Times New Roman" w:eastAsia="宋体" w:cs="Times New Roman"/>
          <w:b/>
          <w:bCs/>
          <w:color w:val="auto"/>
          <w:kern w:val="44"/>
          <w:sz w:val="24"/>
          <w:szCs w:val="24"/>
          <w:highlight w:val="none"/>
          <w:lang w:val="en-US" w:eastAsia="zh-CN" w:bidi="ar-SA"/>
        </w:rPr>
        <w:t>附件5项目不占水源地保护区的函</w:t>
      </w:r>
    </w:p>
    <w:p>
      <w:pPr>
        <w:pStyle w:val="3"/>
        <w:keepNext w:val="0"/>
        <w:keepLines w:val="0"/>
        <w:pageBreakBefore w:val="0"/>
        <w:widowControl w:val="0"/>
        <w:kinsoku/>
        <w:wordWrap/>
        <w:overflowPunct/>
        <w:topLinePunct w:val="0"/>
        <w:autoSpaceDE/>
        <w:autoSpaceDN/>
        <w:bidi w:val="0"/>
        <w:adjustRightInd w:val="0"/>
        <w:snapToGrid/>
        <w:ind w:left="0" w:leftChars="0" w:firstLine="0" w:firstLineChars="0"/>
        <w:textAlignment w:val="baseline"/>
        <w:outlineLvl w:val="0"/>
        <w:rPr>
          <w:rFonts w:hint="eastAsia" w:ascii="Times New Roman" w:hAnsi="Times New Roman" w:eastAsia="宋体" w:cs="Times New Roman"/>
          <w:b/>
          <w:bCs/>
          <w:color w:val="auto"/>
          <w:kern w:val="44"/>
          <w:sz w:val="24"/>
          <w:szCs w:val="24"/>
          <w:highlight w:val="none"/>
          <w:lang w:val="en-US" w:eastAsia="zh-CN" w:bidi="ar-SA"/>
        </w:rPr>
      </w:pPr>
      <w:r>
        <w:rPr>
          <w:rFonts w:hint="eastAsia" w:ascii="Times New Roman" w:hAnsi="Times New Roman" w:eastAsia="宋体" w:cs="Times New Roman"/>
          <w:b/>
          <w:bCs/>
          <w:color w:val="auto"/>
          <w:kern w:val="44"/>
          <w:sz w:val="24"/>
          <w:szCs w:val="24"/>
          <w:highlight w:val="none"/>
          <w:lang w:val="en-US" w:eastAsia="zh-CN" w:bidi="ar-SA"/>
        </w:rPr>
        <w:t>附件</w:t>
      </w:r>
      <w:r>
        <w:rPr>
          <w:rFonts w:hint="eastAsia" w:ascii="Times New Roman" w:hAnsi="Times New Roman" w:cs="Times New Roman"/>
          <w:b/>
          <w:bCs/>
          <w:color w:val="auto"/>
          <w:kern w:val="44"/>
          <w:sz w:val="24"/>
          <w:szCs w:val="24"/>
          <w:highlight w:val="none"/>
          <w:lang w:val="en-US" w:eastAsia="zh-CN" w:bidi="ar-SA"/>
        </w:rPr>
        <w:t>6</w:t>
      </w:r>
      <w:r>
        <w:rPr>
          <w:rFonts w:hint="eastAsia" w:ascii="Times New Roman" w:hAnsi="Times New Roman" w:eastAsia="宋体" w:cs="Times New Roman"/>
          <w:b/>
          <w:bCs/>
          <w:color w:val="auto"/>
          <w:kern w:val="44"/>
          <w:sz w:val="24"/>
          <w:szCs w:val="24"/>
          <w:highlight w:val="none"/>
          <w:lang w:val="en-US" w:eastAsia="zh-CN" w:bidi="ar-SA"/>
        </w:rPr>
        <w:t>项目</w:t>
      </w:r>
      <w:r>
        <w:rPr>
          <w:rFonts w:hint="eastAsia" w:ascii="Times New Roman" w:hAnsi="Times New Roman" w:cs="Times New Roman"/>
          <w:b/>
          <w:bCs/>
          <w:color w:val="auto"/>
          <w:kern w:val="44"/>
          <w:sz w:val="24"/>
          <w:szCs w:val="24"/>
          <w:highlight w:val="none"/>
          <w:lang w:val="en-US" w:eastAsia="zh-CN" w:bidi="ar-SA"/>
        </w:rPr>
        <w:t>是否占用自然保护地、草原核心保护区和林草地</w:t>
      </w:r>
      <w:r>
        <w:rPr>
          <w:rFonts w:hint="eastAsia" w:ascii="Times New Roman" w:hAnsi="Times New Roman" w:eastAsia="宋体" w:cs="Times New Roman"/>
          <w:b/>
          <w:bCs/>
          <w:color w:val="auto"/>
          <w:kern w:val="44"/>
          <w:sz w:val="24"/>
          <w:szCs w:val="24"/>
          <w:highlight w:val="none"/>
          <w:lang w:val="en-US" w:eastAsia="zh-CN" w:bidi="ar-SA"/>
        </w:rPr>
        <w:t>的函</w:t>
      </w:r>
    </w:p>
    <w:p>
      <w:pPr>
        <w:pStyle w:val="4"/>
        <w:rPr>
          <w:rFonts w:hint="eastAsia" w:ascii="Times New Roman" w:hAnsi="Times New Roman" w:eastAsia="宋体" w:cs="Times New Roman"/>
          <w:b/>
          <w:bCs/>
          <w:color w:val="auto"/>
          <w:kern w:val="44"/>
          <w:sz w:val="24"/>
          <w:szCs w:val="24"/>
          <w:highlight w:val="none"/>
          <w:lang w:val="en-US" w:eastAsia="zh-CN" w:bidi="ar-SA"/>
        </w:rPr>
      </w:pPr>
    </w:p>
    <w:p>
      <w:pPr>
        <w:rPr>
          <w:rFonts w:hint="default"/>
          <w:color w:val="auto"/>
          <w:lang w:val="en-US" w:eastAsia="zh-CN"/>
        </w:rPr>
        <w:sectPr>
          <w:pgSz w:w="11906" w:h="16838"/>
          <w:pgMar w:top="1440" w:right="1803" w:bottom="1440" w:left="1803"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r>
        <w:rPr>
          <w:color w:val="auto"/>
        </w:rPr>
        <w:drawing>
          <wp:inline distT="0" distB="0" distL="114300" distR="114300">
            <wp:extent cx="5019675" cy="7134225"/>
            <wp:effectExtent l="0" t="0" r="9525" b="9525"/>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35"/>
                    <a:stretch>
                      <a:fillRect/>
                    </a:stretch>
                  </pic:blipFill>
                  <pic:spPr>
                    <a:xfrm>
                      <a:off x="0" y="0"/>
                      <a:ext cx="5019675" cy="7134225"/>
                    </a:xfrm>
                    <a:prstGeom prst="rect">
                      <a:avLst/>
                    </a:prstGeom>
                    <a:noFill/>
                    <a:ln>
                      <a:noFill/>
                    </a:ln>
                  </pic:spPr>
                </pic:pic>
              </a:graphicData>
            </a:graphic>
          </wp:inline>
        </w:drawing>
      </w:r>
    </w:p>
    <w:p>
      <w:pPr>
        <w:pStyle w:val="3"/>
        <w:rPr>
          <w:rFonts w:hint="eastAsia"/>
          <w:color w:val="auto"/>
          <w:lang w:val="en-US" w:eastAsia="zh-CN"/>
        </w:rPr>
      </w:pPr>
      <w:r>
        <w:rPr>
          <w:color w:val="auto"/>
        </w:rPr>
        <w:drawing>
          <wp:inline distT="0" distB="0" distL="114300" distR="114300">
            <wp:extent cx="4991100" cy="6953250"/>
            <wp:effectExtent l="0" t="0" r="0" b="0"/>
            <wp:docPr id="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8"/>
                    <pic:cNvPicPr>
                      <a:picLocks noChangeAspect="1"/>
                    </pic:cNvPicPr>
                  </pic:nvPicPr>
                  <pic:blipFill>
                    <a:blip r:embed="rId36"/>
                    <a:stretch>
                      <a:fillRect/>
                    </a:stretch>
                  </pic:blipFill>
                  <pic:spPr>
                    <a:xfrm>
                      <a:off x="0" y="0"/>
                      <a:ext cx="4991100" cy="6953250"/>
                    </a:xfrm>
                    <a:prstGeom prst="rect">
                      <a:avLst/>
                    </a:prstGeom>
                    <a:noFill/>
                    <a:ln>
                      <a:noFill/>
                    </a:ln>
                  </pic:spPr>
                </pic:pic>
              </a:graphicData>
            </a:graphic>
          </wp:inline>
        </w:drawing>
      </w:r>
    </w:p>
    <w:p>
      <w:pPr>
        <w:pStyle w:val="23"/>
        <w:rPr>
          <w:rFonts w:hint="eastAsia"/>
          <w:color w:val="auto"/>
          <w:highlight w:val="none"/>
          <w:lang w:val="en-US" w:eastAsia="zh-CN"/>
        </w:rPr>
      </w:pPr>
    </w:p>
    <w:p>
      <w:pPr>
        <w:pStyle w:val="23"/>
        <w:rPr>
          <w:rFonts w:hint="eastAsia"/>
          <w:color w:val="auto"/>
          <w:highlight w:val="none"/>
          <w:lang w:val="en-US" w:eastAsia="zh-CN"/>
        </w:rPr>
      </w:pPr>
    </w:p>
    <w:p>
      <w:pPr>
        <w:rPr>
          <w:rFonts w:hint="eastAsia"/>
          <w:color w:val="auto"/>
          <w:highlight w:val="none"/>
          <w:lang w:val="en-US" w:eastAsia="zh-CN"/>
        </w:rPr>
      </w:pPr>
    </w:p>
    <w:p>
      <w:pPr>
        <w:pStyle w:val="3"/>
        <w:rPr>
          <w:rFonts w:hint="eastAsia"/>
          <w:color w:val="auto"/>
          <w:highlight w:val="none"/>
          <w:lang w:val="en-US" w:eastAsia="zh-CN"/>
        </w:rPr>
      </w:pPr>
    </w:p>
    <w:p>
      <w:pPr>
        <w:pStyle w:val="4"/>
        <w:ind w:left="0" w:leftChars="0" w:firstLine="0" w:firstLineChars="0"/>
        <w:rPr>
          <w:rFonts w:hint="eastAsia"/>
          <w:color w:val="auto"/>
          <w:highlight w:val="none"/>
          <w:lang w:val="en-US" w:eastAsia="zh-CN"/>
        </w:rPr>
      </w:pPr>
    </w:p>
    <w:p>
      <w:pPr>
        <w:rPr>
          <w:rFonts w:hint="eastAsia"/>
          <w:color w:val="auto"/>
          <w:highlight w:val="none"/>
          <w:lang w:val="en-US" w:eastAsia="zh-CN"/>
        </w:rPr>
      </w:pPr>
    </w:p>
    <w:p>
      <w:pPr>
        <w:pStyle w:val="3"/>
        <w:rPr>
          <w:rFonts w:hint="eastAsia"/>
          <w:color w:val="auto"/>
          <w:highlight w:val="none"/>
          <w:lang w:val="en-US" w:eastAsia="zh-CN"/>
        </w:rPr>
      </w:pPr>
    </w:p>
    <w:p>
      <w:pPr>
        <w:pStyle w:val="3"/>
        <w:keepNext w:val="0"/>
        <w:keepLines w:val="0"/>
        <w:pageBreakBefore w:val="0"/>
        <w:widowControl w:val="0"/>
        <w:kinsoku/>
        <w:wordWrap/>
        <w:overflowPunct/>
        <w:topLinePunct w:val="0"/>
        <w:autoSpaceDE/>
        <w:autoSpaceDN/>
        <w:bidi w:val="0"/>
        <w:adjustRightInd w:val="0"/>
        <w:snapToGrid/>
        <w:ind w:left="0" w:leftChars="0" w:firstLine="0" w:firstLineChars="0"/>
        <w:textAlignment w:val="baseline"/>
        <w:outlineLvl w:val="0"/>
        <w:rPr>
          <w:rFonts w:hint="eastAsia" w:ascii="Times New Roman" w:hAnsi="Times New Roman" w:eastAsia="宋体" w:cs="Times New Roman"/>
          <w:b/>
          <w:bCs/>
          <w:color w:val="auto"/>
          <w:kern w:val="44"/>
          <w:sz w:val="24"/>
          <w:szCs w:val="24"/>
          <w:highlight w:val="none"/>
          <w:lang w:val="en-US" w:eastAsia="zh-CN" w:bidi="ar-SA"/>
        </w:rPr>
      </w:pPr>
      <w:r>
        <w:rPr>
          <w:rFonts w:hint="eastAsia" w:ascii="Times New Roman" w:hAnsi="Times New Roman" w:eastAsia="宋体" w:cs="Times New Roman"/>
          <w:b/>
          <w:bCs/>
          <w:color w:val="auto"/>
          <w:kern w:val="44"/>
          <w:sz w:val="24"/>
          <w:szCs w:val="24"/>
          <w:highlight w:val="none"/>
          <w:lang w:val="en-US" w:eastAsia="zh-CN" w:bidi="ar-SA"/>
        </w:rPr>
        <w:t>附件</w:t>
      </w:r>
      <w:r>
        <w:rPr>
          <w:rFonts w:hint="eastAsia" w:ascii="Times New Roman" w:hAnsi="Times New Roman" w:cs="Times New Roman"/>
          <w:b/>
          <w:bCs/>
          <w:color w:val="auto"/>
          <w:kern w:val="44"/>
          <w:sz w:val="24"/>
          <w:szCs w:val="24"/>
          <w:highlight w:val="none"/>
          <w:lang w:val="en-US" w:eastAsia="zh-CN" w:bidi="ar-SA"/>
        </w:rPr>
        <w:t xml:space="preserve">7 </w:t>
      </w:r>
      <w:r>
        <w:rPr>
          <w:rFonts w:hint="eastAsia" w:ascii="Times New Roman" w:hAnsi="Times New Roman" w:eastAsia="宋体" w:cs="Times New Roman"/>
          <w:b/>
          <w:bCs/>
          <w:color w:val="auto"/>
          <w:kern w:val="44"/>
          <w:sz w:val="24"/>
          <w:szCs w:val="24"/>
          <w:highlight w:val="none"/>
          <w:lang w:val="en-US" w:eastAsia="zh-CN" w:bidi="ar-SA"/>
        </w:rPr>
        <w:t>项目</w:t>
      </w:r>
      <w:r>
        <w:rPr>
          <w:rFonts w:hint="eastAsia" w:ascii="Times New Roman" w:hAnsi="Times New Roman" w:cs="Times New Roman"/>
          <w:b/>
          <w:bCs/>
          <w:color w:val="auto"/>
          <w:kern w:val="44"/>
          <w:sz w:val="24"/>
          <w:szCs w:val="24"/>
          <w:highlight w:val="none"/>
          <w:lang w:val="en-US" w:eastAsia="zh-CN" w:bidi="ar-SA"/>
        </w:rPr>
        <w:t>用地范围内文物审查意见</w:t>
      </w:r>
      <w:r>
        <w:rPr>
          <w:rFonts w:hint="eastAsia" w:ascii="Times New Roman" w:hAnsi="Times New Roman" w:eastAsia="宋体" w:cs="Times New Roman"/>
          <w:b/>
          <w:bCs/>
          <w:color w:val="auto"/>
          <w:kern w:val="44"/>
          <w:sz w:val="24"/>
          <w:szCs w:val="24"/>
          <w:highlight w:val="none"/>
          <w:lang w:val="en-US" w:eastAsia="zh-CN" w:bidi="ar-SA"/>
        </w:rPr>
        <w:t>的函</w:t>
      </w:r>
    </w:p>
    <w:p>
      <w:pPr>
        <w:pStyle w:val="4"/>
        <w:ind w:left="0" w:leftChars="0" w:firstLine="0" w:firstLineChars="0"/>
        <w:rPr>
          <w:rFonts w:hint="eastAsia"/>
          <w:color w:val="auto"/>
          <w:highlight w:val="none"/>
          <w:lang w:val="en-US" w:eastAsia="zh-CN"/>
        </w:rPr>
        <w:sectPr>
          <w:pgSz w:w="11906" w:h="16838"/>
          <w:pgMar w:top="1440" w:right="1803" w:bottom="1440" w:left="1803"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r>
        <w:rPr>
          <w:color w:val="auto"/>
        </w:rPr>
        <w:drawing>
          <wp:inline distT="0" distB="0" distL="114300" distR="114300">
            <wp:extent cx="5268595" cy="7202170"/>
            <wp:effectExtent l="0" t="0" r="8255" b="17780"/>
            <wp:docPr id="8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1"/>
                    <pic:cNvPicPr>
                      <a:picLocks noChangeAspect="1"/>
                    </pic:cNvPicPr>
                  </pic:nvPicPr>
                  <pic:blipFill>
                    <a:blip r:embed="rId37"/>
                    <a:stretch>
                      <a:fillRect/>
                    </a:stretch>
                  </pic:blipFill>
                  <pic:spPr>
                    <a:xfrm>
                      <a:off x="0" y="0"/>
                      <a:ext cx="5268595" cy="7202170"/>
                    </a:xfrm>
                    <a:prstGeom prst="rect">
                      <a:avLst/>
                    </a:prstGeom>
                    <a:noFill/>
                    <a:ln>
                      <a:noFill/>
                    </a:ln>
                  </pic:spPr>
                </pic:pic>
              </a:graphicData>
            </a:graphic>
          </wp:inline>
        </w:drawing>
      </w:r>
    </w:p>
    <w:p>
      <w:pPr>
        <w:pStyle w:val="3"/>
        <w:keepNext w:val="0"/>
        <w:keepLines w:val="0"/>
        <w:pageBreakBefore w:val="0"/>
        <w:widowControl w:val="0"/>
        <w:kinsoku/>
        <w:wordWrap/>
        <w:overflowPunct/>
        <w:topLinePunct w:val="0"/>
        <w:autoSpaceDE/>
        <w:autoSpaceDN/>
        <w:bidi w:val="0"/>
        <w:adjustRightInd w:val="0"/>
        <w:snapToGrid/>
        <w:ind w:left="0" w:leftChars="0" w:firstLine="0" w:firstLineChars="0"/>
        <w:textAlignment w:val="baseline"/>
        <w:outlineLvl w:val="0"/>
        <w:rPr>
          <w:rFonts w:hint="eastAsia" w:ascii="Times New Roman" w:hAnsi="Times New Roman" w:eastAsia="宋体" w:cs="Times New Roman"/>
          <w:b/>
          <w:bCs/>
          <w:color w:val="auto"/>
          <w:kern w:val="44"/>
          <w:sz w:val="24"/>
          <w:szCs w:val="24"/>
          <w:highlight w:val="none"/>
          <w:lang w:val="en-US" w:eastAsia="zh-CN" w:bidi="ar-SA"/>
        </w:rPr>
      </w:pPr>
      <w:r>
        <w:rPr>
          <w:rFonts w:hint="eastAsia" w:ascii="Times New Roman" w:hAnsi="Times New Roman" w:eastAsia="宋体" w:cs="Times New Roman"/>
          <w:b/>
          <w:bCs/>
          <w:color w:val="auto"/>
          <w:kern w:val="44"/>
          <w:sz w:val="24"/>
          <w:szCs w:val="24"/>
          <w:highlight w:val="none"/>
          <w:lang w:val="en-US" w:eastAsia="zh-CN" w:bidi="ar-SA"/>
        </w:rPr>
        <w:t>附件</w:t>
      </w:r>
      <w:r>
        <w:rPr>
          <w:rFonts w:hint="eastAsia" w:ascii="Times New Roman" w:hAnsi="Times New Roman" w:cs="Times New Roman"/>
          <w:b/>
          <w:bCs/>
          <w:color w:val="auto"/>
          <w:kern w:val="44"/>
          <w:sz w:val="24"/>
          <w:szCs w:val="24"/>
          <w:highlight w:val="none"/>
          <w:lang w:val="en-US" w:eastAsia="zh-CN" w:bidi="ar-SA"/>
        </w:rPr>
        <w:t xml:space="preserve">8 </w:t>
      </w:r>
      <w:r>
        <w:rPr>
          <w:rFonts w:hint="eastAsia" w:ascii="Times New Roman" w:hAnsi="Times New Roman" w:eastAsia="宋体" w:cs="Times New Roman"/>
          <w:b/>
          <w:bCs/>
          <w:color w:val="auto"/>
          <w:kern w:val="44"/>
          <w:sz w:val="24"/>
          <w:szCs w:val="24"/>
          <w:highlight w:val="none"/>
          <w:lang w:val="en-US" w:eastAsia="zh-CN" w:bidi="ar-SA"/>
        </w:rPr>
        <w:t>项目</w:t>
      </w:r>
      <w:r>
        <w:rPr>
          <w:rFonts w:hint="eastAsia" w:ascii="Times New Roman" w:hAnsi="Times New Roman" w:cs="Times New Roman"/>
          <w:b/>
          <w:bCs/>
          <w:color w:val="auto"/>
          <w:kern w:val="44"/>
          <w:sz w:val="24"/>
          <w:szCs w:val="24"/>
          <w:highlight w:val="none"/>
          <w:lang w:val="en-US" w:eastAsia="zh-CN" w:bidi="ar-SA"/>
        </w:rPr>
        <w:t>用地范围内有无军事设施</w:t>
      </w:r>
      <w:r>
        <w:rPr>
          <w:rFonts w:hint="eastAsia" w:ascii="Times New Roman" w:hAnsi="Times New Roman" w:eastAsia="宋体" w:cs="Times New Roman"/>
          <w:b/>
          <w:bCs/>
          <w:color w:val="auto"/>
          <w:kern w:val="44"/>
          <w:sz w:val="24"/>
          <w:szCs w:val="24"/>
          <w:highlight w:val="none"/>
          <w:lang w:val="en-US" w:eastAsia="zh-CN" w:bidi="ar-SA"/>
        </w:rPr>
        <w:t>的函</w:t>
      </w:r>
    </w:p>
    <w:p>
      <w:pPr>
        <w:rPr>
          <w:rFonts w:hint="eastAsia"/>
          <w:color w:val="auto"/>
          <w:lang w:val="en-US" w:eastAsia="zh-CN"/>
        </w:rPr>
        <w:sectPr>
          <w:pgSz w:w="11906" w:h="16838"/>
          <w:pgMar w:top="1440" w:right="1803" w:bottom="1440" w:left="1803"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r>
        <w:rPr>
          <w:color w:val="auto"/>
        </w:rPr>
        <w:drawing>
          <wp:inline distT="0" distB="0" distL="114300" distR="114300">
            <wp:extent cx="5265420" cy="6957695"/>
            <wp:effectExtent l="0" t="0" r="11430" b="14605"/>
            <wp:docPr id="8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2"/>
                    <pic:cNvPicPr>
                      <a:picLocks noChangeAspect="1"/>
                    </pic:cNvPicPr>
                  </pic:nvPicPr>
                  <pic:blipFill>
                    <a:blip r:embed="rId38"/>
                    <a:stretch>
                      <a:fillRect/>
                    </a:stretch>
                  </pic:blipFill>
                  <pic:spPr>
                    <a:xfrm>
                      <a:off x="0" y="0"/>
                      <a:ext cx="5265420" cy="6957695"/>
                    </a:xfrm>
                    <a:prstGeom prst="rect">
                      <a:avLst/>
                    </a:prstGeom>
                    <a:noFill/>
                    <a:ln>
                      <a:noFill/>
                    </a:ln>
                  </pic:spPr>
                </pic:pic>
              </a:graphicData>
            </a:graphic>
          </wp:inline>
        </w:drawing>
      </w:r>
    </w:p>
    <w:p>
      <w:pPr>
        <w:pStyle w:val="4"/>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0"/>
        <w:rPr>
          <w:rFonts w:hint="eastAsia" w:cs="Times New Roman"/>
          <w:b/>
          <w:bCs/>
          <w:color w:val="auto"/>
          <w:kern w:val="44"/>
          <w:sz w:val="24"/>
          <w:szCs w:val="24"/>
          <w:highlight w:val="none"/>
          <w:lang w:val="en-US" w:eastAsia="zh-CN" w:bidi="ar-SA"/>
        </w:rPr>
      </w:pPr>
      <w:r>
        <w:rPr>
          <w:color w:val="auto"/>
        </w:rPr>
        <w:drawing>
          <wp:anchor distT="0" distB="0" distL="114300" distR="114300" simplePos="0" relativeHeight="251709440" behindDoc="1" locked="0" layoutInCell="1" allowOverlap="1">
            <wp:simplePos x="0" y="0"/>
            <wp:positionH relativeFrom="column">
              <wp:posOffset>-95250</wp:posOffset>
            </wp:positionH>
            <wp:positionV relativeFrom="paragraph">
              <wp:posOffset>293370</wp:posOffset>
            </wp:positionV>
            <wp:extent cx="5269230" cy="7247255"/>
            <wp:effectExtent l="0" t="0" r="7620" b="10795"/>
            <wp:wrapNone/>
            <wp:docPr id="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
                    <pic:cNvPicPr>
                      <a:picLocks noChangeAspect="1"/>
                    </pic:cNvPicPr>
                  </pic:nvPicPr>
                  <pic:blipFill>
                    <a:blip r:embed="rId39"/>
                    <a:stretch>
                      <a:fillRect/>
                    </a:stretch>
                  </pic:blipFill>
                  <pic:spPr>
                    <a:xfrm>
                      <a:off x="0" y="0"/>
                      <a:ext cx="5269230" cy="7247255"/>
                    </a:xfrm>
                    <a:prstGeom prst="rect">
                      <a:avLst/>
                    </a:prstGeom>
                    <a:noFill/>
                    <a:ln>
                      <a:noFill/>
                    </a:ln>
                  </pic:spPr>
                </pic:pic>
              </a:graphicData>
            </a:graphic>
          </wp:anchor>
        </w:drawing>
      </w:r>
      <w:r>
        <w:rPr>
          <w:rFonts w:hint="eastAsia" w:cs="Times New Roman"/>
          <w:b/>
          <w:bCs/>
          <w:color w:val="auto"/>
          <w:kern w:val="44"/>
          <w:sz w:val="24"/>
          <w:szCs w:val="24"/>
          <w:highlight w:val="none"/>
          <w:lang w:val="en-US" w:eastAsia="zh-CN" w:bidi="ar-SA"/>
        </w:rPr>
        <w:t>附件9：项目是否占用公益林答复意见的函</w:t>
      </w: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tabs>
          <w:tab w:val="right" w:pos="8300"/>
        </w:tabs>
        <w:bidi w:val="0"/>
        <w:jc w:val="left"/>
        <w:rPr>
          <w:rFonts w:hint="eastAsia"/>
          <w:color w:val="auto"/>
          <w:lang w:val="en-US" w:eastAsia="zh-CN"/>
        </w:rPr>
        <w:sectPr>
          <w:headerReference r:id="rId8" w:type="default"/>
          <w:footerReference r:id="rId9" w:type="default"/>
          <w:pgSz w:w="11906" w:h="16838"/>
          <w:pgMar w:top="1440" w:right="1803" w:bottom="1440" w:left="1803"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r>
        <w:rPr>
          <w:rFonts w:hint="eastAsia"/>
          <w:color w:val="auto"/>
          <w:lang w:val="en-US" w:eastAsia="zh-CN"/>
        </w:rPr>
        <w:tab/>
      </w:r>
    </w:p>
    <w:p>
      <w:pPr>
        <w:pStyle w:val="2"/>
        <w:rPr>
          <w:rFonts w:hint="default"/>
          <w:color w:val="auto"/>
          <w:lang w:val="en-US" w:eastAsia="zh-CN"/>
        </w:rPr>
        <w:sectPr>
          <w:pgSz w:w="11906" w:h="16838"/>
          <w:pgMar w:top="1440" w:right="1803" w:bottom="1440" w:left="1803"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r>
        <w:rPr>
          <w:color w:val="auto"/>
        </w:rPr>
        <w:drawing>
          <wp:anchor distT="0" distB="0" distL="114300" distR="114300" simplePos="0" relativeHeight="251709440" behindDoc="1" locked="0" layoutInCell="1" allowOverlap="1">
            <wp:simplePos x="0" y="0"/>
            <wp:positionH relativeFrom="column">
              <wp:posOffset>-107950</wp:posOffset>
            </wp:positionH>
            <wp:positionV relativeFrom="paragraph">
              <wp:posOffset>222250</wp:posOffset>
            </wp:positionV>
            <wp:extent cx="5266690" cy="7326630"/>
            <wp:effectExtent l="0" t="0" r="10160" b="7620"/>
            <wp:wrapNone/>
            <wp:docPr id="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
                    <pic:cNvPicPr>
                      <a:picLocks noChangeAspect="1"/>
                    </pic:cNvPicPr>
                  </pic:nvPicPr>
                  <pic:blipFill>
                    <a:blip r:embed="rId40"/>
                    <a:stretch>
                      <a:fillRect/>
                    </a:stretch>
                  </pic:blipFill>
                  <pic:spPr>
                    <a:xfrm>
                      <a:off x="0" y="0"/>
                      <a:ext cx="5266690" cy="7326630"/>
                    </a:xfrm>
                    <a:prstGeom prst="rect">
                      <a:avLst/>
                    </a:prstGeom>
                    <a:noFill/>
                    <a:ln>
                      <a:noFill/>
                    </a:ln>
                  </pic:spPr>
                </pic:pic>
              </a:graphicData>
            </a:graphic>
          </wp:anchor>
        </w:drawing>
      </w:r>
    </w:p>
    <w:p>
      <w:pPr>
        <w:pStyle w:val="2"/>
        <w:rPr>
          <w:rFonts w:hint="default"/>
          <w:color w:val="auto"/>
          <w:lang w:val="en-US" w:eastAsia="zh-CN"/>
        </w:rPr>
        <w:sectPr>
          <w:pgSz w:w="11906" w:h="16838"/>
          <w:pgMar w:top="1440" w:right="1803" w:bottom="1440" w:left="1803"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pPr>
      <w:r>
        <w:rPr>
          <w:color w:val="auto"/>
        </w:rPr>
        <w:drawing>
          <wp:anchor distT="0" distB="0" distL="114300" distR="114300" simplePos="0" relativeHeight="251709440" behindDoc="1" locked="0" layoutInCell="1" allowOverlap="1">
            <wp:simplePos x="0" y="0"/>
            <wp:positionH relativeFrom="column">
              <wp:posOffset>-45085</wp:posOffset>
            </wp:positionH>
            <wp:positionV relativeFrom="paragraph">
              <wp:posOffset>200660</wp:posOffset>
            </wp:positionV>
            <wp:extent cx="5095875" cy="7448550"/>
            <wp:effectExtent l="0" t="0" r="9525" b="0"/>
            <wp:wrapNone/>
            <wp:docPr id="7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3"/>
                    <pic:cNvPicPr>
                      <a:picLocks noChangeAspect="1"/>
                    </pic:cNvPicPr>
                  </pic:nvPicPr>
                  <pic:blipFill>
                    <a:blip r:embed="rId41"/>
                    <a:stretch>
                      <a:fillRect/>
                    </a:stretch>
                  </pic:blipFill>
                  <pic:spPr>
                    <a:xfrm>
                      <a:off x="0" y="0"/>
                      <a:ext cx="5095875" cy="7448550"/>
                    </a:xfrm>
                    <a:prstGeom prst="rect">
                      <a:avLst/>
                    </a:prstGeom>
                    <a:noFill/>
                    <a:ln>
                      <a:noFill/>
                    </a:ln>
                  </pic:spPr>
                </pic:pic>
              </a:graphicData>
            </a:graphic>
          </wp:anchor>
        </w:drawing>
      </w:r>
    </w:p>
    <w:p>
      <w:pPr>
        <w:pStyle w:val="4"/>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0"/>
        <w:rPr>
          <w:rFonts w:hint="eastAsia" w:ascii="Times New Roman" w:hAnsi="Times New Roman" w:eastAsia="宋体" w:cs="Times New Roman"/>
          <w:b/>
          <w:bCs/>
          <w:color w:val="auto"/>
          <w:kern w:val="44"/>
          <w:sz w:val="24"/>
          <w:szCs w:val="24"/>
          <w:highlight w:val="none"/>
          <w:lang w:val="en-US" w:eastAsia="zh-CN" w:bidi="ar-SA"/>
        </w:rPr>
      </w:pPr>
      <w:r>
        <w:rPr>
          <w:rFonts w:hint="eastAsia" w:ascii="Times New Roman" w:hAnsi="Times New Roman" w:eastAsia="宋体" w:cs="Times New Roman"/>
          <w:b/>
          <w:bCs/>
          <w:color w:val="auto"/>
          <w:kern w:val="44"/>
          <w:sz w:val="24"/>
          <w:szCs w:val="24"/>
          <w:highlight w:val="none"/>
          <w:lang w:val="en-US" w:eastAsia="zh-CN" w:bidi="ar-SA"/>
        </w:rPr>
        <w:t>附件</w:t>
      </w:r>
      <w:r>
        <w:rPr>
          <w:rFonts w:hint="eastAsia" w:cs="Times New Roman"/>
          <w:b/>
          <w:bCs/>
          <w:color w:val="auto"/>
          <w:kern w:val="44"/>
          <w:sz w:val="24"/>
          <w:szCs w:val="24"/>
          <w:highlight w:val="none"/>
          <w:lang w:val="en-US" w:eastAsia="zh-CN" w:bidi="ar-SA"/>
        </w:rPr>
        <w:t>10 ：</w:t>
      </w:r>
      <w:r>
        <w:rPr>
          <w:rFonts w:hint="eastAsia" w:ascii="Times New Roman" w:hAnsi="Times New Roman" w:eastAsia="宋体" w:cs="Times New Roman"/>
          <w:b/>
          <w:bCs/>
          <w:color w:val="auto"/>
          <w:kern w:val="44"/>
          <w:sz w:val="24"/>
          <w:szCs w:val="24"/>
          <w:highlight w:val="none"/>
          <w:lang w:val="en-US" w:eastAsia="zh-CN" w:bidi="ar-SA"/>
        </w:rPr>
        <w:t>检测报告</w:t>
      </w:r>
    </w:p>
    <w:p>
      <w:pPr>
        <w:rPr>
          <w:rFonts w:hint="eastAsia"/>
          <w:color w:val="auto"/>
          <w:highlight w:val="none"/>
          <w:lang w:val="en-US" w:eastAsia="zh-CN"/>
        </w:rPr>
      </w:pPr>
      <w:r>
        <w:rPr>
          <w:color w:val="auto"/>
        </w:rPr>
        <w:drawing>
          <wp:anchor distT="0" distB="0" distL="114300" distR="114300" simplePos="0" relativeHeight="251704320" behindDoc="1" locked="0" layoutInCell="1" allowOverlap="1">
            <wp:simplePos x="0" y="0"/>
            <wp:positionH relativeFrom="column">
              <wp:posOffset>-127635</wp:posOffset>
            </wp:positionH>
            <wp:positionV relativeFrom="paragraph">
              <wp:posOffset>106680</wp:posOffset>
            </wp:positionV>
            <wp:extent cx="5269230" cy="7034530"/>
            <wp:effectExtent l="0" t="0" r="7620" b="13970"/>
            <wp:wrapNone/>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42"/>
                    <a:stretch>
                      <a:fillRect/>
                    </a:stretch>
                  </pic:blipFill>
                  <pic:spPr>
                    <a:xfrm>
                      <a:off x="0" y="0"/>
                      <a:ext cx="5269230" cy="7034530"/>
                    </a:xfrm>
                    <a:prstGeom prst="rect">
                      <a:avLst/>
                    </a:prstGeom>
                    <a:noFill/>
                    <a:ln>
                      <a:noFill/>
                    </a:ln>
                  </pic:spPr>
                </pic:pic>
              </a:graphicData>
            </a:graphic>
          </wp:anchor>
        </w:drawing>
      </w:r>
    </w:p>
    <w:p>
      <w:pPr>
        <w:pStyle w:val="23"/>
        <w:spacing w:before="0" w:after="0" w:line="240" w:lineRule="auto"/>
        <w:ind w:left="0" w:leftChars="0" w:right="0" w:firstLine="0" w:firstLineChars="0"/>
        <w:rPr>
          <w:color w:val="auto"/>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tabs>
          <w:tab w:val="left" w:pos="706"/>
        </w:tabs>
        <w:bidi w:val="0"/>
        <w:jc w:val="left"/>
        <w:rPr>
          <w:rFonts w:hint="eastAsia"/>
          <w:color w:val="auto"/>
          <w:lang w:val="en-US" w:eastAsia="zh-CN"/>
        </w:rPr>
      </w:pPr>
      <w:r>
        <w:rPr>
          <w:rFonts w:hint="eastAsia"/>
          <w:color w:val="auto"/>
          <w:lang w:val="en-US" w:eastAsia="zh-CN"/>
        </w:rPr>
        <w:tab/>
      </w:r>
    </w:p>
    <w:p>
      <w:pPr>
        <w:pStyle w:val="2"/>
        <w:rPr>
          <w:rFonts w:hint="eastAsia"/>
          <w:color w:val="auto"/>
          <w:lang w:val="en-US" w:eastAsia="zh-CN"/>
        </w:rPr>
      </w:pPr>
    </w:p>
    <w:p>
      <w:pPr>
        <w:pStyle w:val="2"/>
        <w:rPr>
          <w:rFonts w:hint="eastAsia"/>
          <w:color w:val="auto"/>
          <w:lang w:val="en-US" w:eastAsia="zh-CN"/>
        </w:rPr>
      </w:pPr>
    </w:p>
    <w:p>
      <w:pPr>
        <w:pStyle w:val="2"/>
        <w:rPr>
          <w:rFonts w:hint="eastAsia"/>
          <w:color w:val="auto"/>
          <w:lang w:val="en-US" w:eastAsia="zh-CN"/>
        </w:rPr>
      </w:pPr>
    </w:p>
    <w:p>
      <w:pPr>
        <w:pStyle w:val="2"/>
        <w:rPr>
          <w:rFonts w:hint="eastAsia"/>
          <w:color w:val="auto"/>
          <w:lang w:val="en-US" w:eastAsia="zh-CN"/>
        </w:rPr>
      </w:pPr>
    </w:p>
    <w:p>
      <w:pPr>
        <w:pStyle w:val="2"/>
        <w:rPr>
          <w:color w:val="auto"/>
        </w:rPr>
      </w:pPr>
      <w:r>
        <w:rPr>
          <w:color w:val="auto"/>
        </w:rPr>
        <w:drawing>
          <wp:anchor distT="0" distB="0" distL="114300" distR="114300" simplePos="0" relativeHeight="251704320" behindDoc="1" locked="0" layoutInCell="1" allowOverlap="1">
            <wp:simplePos x="0" y="0"/>
            <wp:positionH relativeFrom="column">
              <wp:posOffset>-40640</wp:posOffset>
            </wp:positionH>
            <wp:positionV relativeFrom="paragraph">
              <wp:posOffset>278130</wp:posOffset>
            </wp:positionV>
            <wp:extent cx="5158105" cy="7129145"/>
            <wp:effectExtent l="0" t="0" r="4445" b="14605"/>
            <wp:wrapNone/>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pic:cNvPicPr>
                      <a:picLocks noChangeAspect="1"/>
                    </pic:cNvPicPr>
                  </pic:nvPicPr>
                  <pic:blipFill>
                    <a:blip r:embed="rId43"/>
                    <a:stretch>
                      <a:fillRect/>
                    </a:stretch>
                  </pic:blipFill>
                  <pic:spPr>
                    <a:xfrm>
                      <a:off x="0" y="0"/>
                      <a:ext cx="5158105" cy="7129145"/>
                    </a:xfrm>
                    <a:prstGeom prst="rect">
                      <a:avLst/>
                    </a:prstGeom>
                    <a:noFill/>
                    <a:ln>
                      <a:noFill/>
                    </a:ln>
                  </pic:spPr>
                </pic:pic>
              </a:graphicData>
            </a:graphic>
          </wp:anchor>
        </w:drawing>
      </w: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ind w:firstLine="392" w:firstLineChars="0"/>
        <w:jc w:val="left"/>
        <w:rPr>
          <w:rFonts w:hint="default"/>
          <w:color w:val="auto"/>
          <w:lang w:val="en-US" w:eastAsia="zh-CN"/>
        </w:rPr>
      </w:pPr>
    </w:p>
    <w:p>
      <w:pPr>
        <w:pStyle w:val="2"/>
        <w:rPr>
          <w:rFonts w:hint="default"/>
          <w:color w:val="auto"/>
          <w:lang w:val="en-US" w:eastAsia="zh-CN"/>
        </w:rPr>
      </w:pPr>
    </w:p>
    <w:p>
      <w:pPr>
        <w:pStyle w:val="2"/>
        <w:rPr>
          <w:rFonts w:hint="default"/>
          <w:color w:val="auto"/>
          <w:lang w:val="en-US" w:eastAsia="zh-CN"/>
        </w:rPr>
      </w:pPr>
    </w:p>
    <w:p>
      <w:pPr>
        <w:pStyle w:val="2"/>
        <w:rPr>
          <w:rFonts w:hint="default"/>
          <w:color w:val="auto"/>
          <w:lang w:val="en-US" w:eastAsia="zh-CN"/>
        </w:rPr>
      </w:pPr>
    </w:p>
    <w:p>
      <w:pPr>
        <w:pStyle w:val="2"/>
        <w:rPr>
          <w:rFonts w:hint="default"/>
          <w:color w:val="auto"/>
          <w:lang w:val="en-US" w:eastAsia="zh-CN"/>
        </w:rPr>
      </w:pPr>
      <w:r>
        <w:rPr>
          <w:color w:val="auto"/>
        </w:rPr>
        <w:drawing>
          <wp:anchor distT="0" distB="0" distL="114300" distR="114300" simplePos="0" relativeHeight="251704320" behindDoc="1" locked="0" layoutInCell="1" allowOverlap="1">
            <wp:simplePos x="0" y="0"/>
            <wp:positionH relativeFrom="column">
              <wp:posOffset>8890</wp:posOffset>
            </wp:positionH>
            <wp:positionV relativeFrom="paragraph">
              <wp:posOffset>44450</wp:posOffset>
            </wp:positionV>
            <wp:extent cx="5178425" cy="7087870"/>
            <wp:effectExtent l="0" t="0" r="3175" b="17780"/>
            <wp:wrapNone/>
            <wp:docPr id="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
                    <pic:cNvPicPr>
                      <a:picLocks noChangeAspect="1"/>
                    </pic:cNvPicPr>
                  </pic:nvPicPr>
                  <pic:blipFill>
                    <a:blip r:embed="rId44"/>
                    <a:stretch>
                      <a:fillRect/>
                    </a:stretch>
                  </pic:blipFill>
                  <pic:spPr>
                    <a:xfrm>
                      <a:off x="0" y="0"/>
                      <a:ext cx="5178425" cy="7087870"/>
                    </a:xfrm>
                    <a:prstGeom prst="rect">
                      <a:avLst/>
                    </a:prstGeom>
                    <a:noFill/>
                    <a:ln>
                      <a:noFill/>
                    </a:ln>
                  </pic:spPr>
                </pic:pic>
              </a:graphicData>
            </a:graphic>
          </wp:anchor>
        </w:drawing>
      </w: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tabs>
          <w:tab w:val="left" w:pos="706"/>
        </w:tabs>
        <w:bidi w:val="0"/>
        <w:jc w:val="left"/>
        <w:rPr>
          <w:rFonts w:hint="eastAsia"/>
          <w:color w:val="auto"/>
          <w:lang w:val="en-US" w:eastAsia="zh-CN"/>
        </w:rPr>
      </w:pPr>
      <w:r>
        <w:rPr>
          <w:rFonts w:hint="eastAsia"/>
          <w:color w:val="auto"/>
          <w:lang w:val="en-US" w:eastAsia="zh-CN"/>
        </w:rPr>
        <w:tab/>
      </w:r>
    </w:p>
    <w:p>
      <w:pPr>
        <w:pStyle w:val="2"/>
        <w:rPr>
          <w:rFonts w:hint="eastAsia"/>
          <w:color w:val="auto"/>
          <w:lang w:val="en-US" w:eastAsia="zh-CN"/>
        </w:rPr>
      </w:pPr>
    </w:p>
    <w:p>
      <w:pPr>
        <w:pStyle w:val="2"/>
        <w:rPr>
          <w:rFonts w:hint="eastAsia"/>
          <w:color w:val="auto"/>
          <w:lang w:val="en-US" w:eastAsia="zh-CN"/>
        </w:rPr>
      </w:pPr>
    </w:p>
    <w:p>
      <w:pPr>
        <w:pStyle w:val="2"/>
        <w:rPr>
          <w:rFonts w:hint="eastAsia"/>
          <w:color w:val="auto"/>
          <w:lang w:val="en-US" w:eastAsia="zh-CN"/>
        </w:rPr>
      </w:pPr>
    </w:p>
    <w:p>
      <w:pPr>
        <w:pStyle w:val="2"/>
        <w:rPr>
          <w:rFonts w:hint="default"/>
          <w:color w:val="auto"/>
          <w:lang w:val="en-US" w:eastAsia="zh-CN"/>
        </w:rPr>
      </w:pPr>
      <w:r>
        <w:rPr>
          <w:color w:val="auto"/>
        </w:rPr>
        <w:drawing>
          <wp:anchor distT="0" distB="0" distL="114300" distR="114300" simplePos="0" relativeHeight="251704320" behindDoc="1" locked="0" layoutInCell="1" allowOverlap="1">
            <wp:simplePos x="0" y="0"/>
            <wp:positionH relativeFrom="column">
              <wp:posOffset>-62230</wp:posOffset>
            </wp:positionH>
            <wp:positionV relativeFrom="paragraph">
              <wp:posOffset>287020</wp:posOffset>
            </wp:positionV>
            <wp:extent cx="5267325" cy="7351395"/>
            <wp:effectExtent l="0" t="0" r="9525" b="1905"/>
            <wp:wrapNone/>
            <wp:docPr id="6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
                    <pic:cNvPicPr>
                      <a:picLocks noChangeAspect="1"/>
                    </pic:cNvPicPr>
                  </pic:nvPicPr>
                  <pic:blipFill>
                    <a:blip r:embed="rId45"/>
                    <a:stretch>
                      <a:fillRect/>
                    </a:stretch>
                  </pic:blipFill>
                  <pic:spPr>
                    <a:xfrm>
                      <a:off x="0" y="0"/>
                      <a:ext cx="5267325" cy="7351395"/>
                    </a:xfrm>
                    <a:prstGeom prst="rect">
                      <a:avLst/>
                    </a:prstGeom>
                    <a:noFill/>
                    <a:ln>
                      <a:noFill/>
                    </a:ln>
                  </pic:spPr>
                </pic:pic>
              </a:graphicData>
            </a:graphic>
          </wp:anchor>
        </w:drawing>
      </w:r>
    </w:p>
    <w:sectPr>
      <w:pgSz w:w="11906" w:h="16838"/>
      <w:pgMar w:top="1440" w:right="1803" w:bottom="1440" w:left="1803" w:header="720" w:footer="720" w:gutter="0"/>
      <w:pgBorders>
        <w:top w:val="none" w:sz="0" w:space="0"/>
        <w:left w:val="none" w:sz="0" w:space="0"/>
        <w:bottom w:val="none" w:sz="0" w:space="0"/>
        <w:right w:val="none" w:sz="0" w:space="0"/>
      </w:pgBorders>
      <w:lnNumType w:countBy="0" w:distance="360"/>
      <w:pgNumType w:fmt="decimal"/>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outside" w:y="1"/>
      <w:rPr>
        <w:rStyle w:val="28"/>
      </w:rPr>
    </w:pPr>
    <w:r>
      <w:fldChar w:fldCharType="begin"/>
    </w:r>
    <w:r>
      <w:rPr>
        <w:rStyle w:val="28"/>
      </w:rPr>
      <w:instrText xml:space="preserve">PAGE  </w:instrText>
    </w:r>
    <w:r>
      <w:fldChar w:fldCharType="end"/>
    </w:r>
  </w:p>
  <w:p>
    <w:pPr>
      <w:pStyle w:val="1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rPr>
        <w:rFonts w:hint="eastAsia" w:ascii="宋体" w:hAnsi="宋体"/>
        <w:sz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pPr>
                      <w:pStyle w:val="19"/>
                    </w:pPr>
                    <w:r>
                      <w:fldChar w:fldCharType="begin"/>
                    </w:r>
                    <w:r>
                      <w:instrText xml:space="preserve"> PAGE  \* MERGEFORMAT </w:instrText>
                    </w:r>
                    <w:r>
                      <w:fldChar w:fldCharType="separate"/>
                    </w:r>
                    <w:r>
                      <w:t>68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5CB95E"/>
    <w:multiLevelType w:val="singleLevel"/>
    <w:tmpl w:val="9B5CB95E"/>
    <w:lvl w:ilvl="0" w:tentative="0">
      <w:start w:val="1"/>
      <w:numFmt w:val="decimal"/>
      <w:suff w:val="nothing"/>
      <w:lvlText w:val="（%1）"/>
      <w:lvlJc w:val="left"/>
    </w:lvl>
  </w:abstractNum>
  <w:abstractNum w:abstractNumId="1">
    <w:nsid w:val="BAC9262B"/>
    <w:multiLevelType w:val="singleLevel"/>
    <w:tmpl w:val="BAC9262B"/>
    <w:lvl w:ilvl="0" w:tentative="0">
      <w:start w:val="1"/>
      <w:numFmt w:val="decimal"/>
      <w:suff w:val="nothing"/>
      <w:lvlText w:val="（%1）"/>
      <w:lvlJc w:val="left"/>
    </w:lvl>
  </w:abstractNum>
  <w:abstractNum w:abstractNumId="2">
    <w:nsid w:val="DCEBC675"/>
    <w:multiLevelType w:val="singleLevel"/>
    <w:tmpl w:val="DCEBC675"/>
    <w:lvl w:ilvl="0" w:tentative="0">
      <w:start w:val="3"/>
      <w:numFmt w:val="decimal"/>
      <w:lvlText w:val="%1."/>
      <w:lvlJc w:val="left"/>
      <w:pPr>
        <w:tabs>
          <w:tab w:val="left" w:pos="312"/>
        </w:tabs>
      </w:pPr>
    </w:lvl>
  </w:abstractNum>
  <w:abstractNum w:abstractNumId="3">
    <w:nsid w:val="148E7040"/>
    <w:multiLevelType w:val="singleLevel"/>
    <w:tmpl w:val="148E7040"/>
    <w:lvl w:ilvl="0" w:tentative="0">
      <w:start w:val="3"/>
      <w:numFmt w:val="decimal"/>
      <w:suff w:val="nothing"/>
      <w:lvlText w:val="%1、"/>
      <w:lvlJc w:val="left"/>
    </w:lvl>
  </w:abstractNum>
  <w:abstractNum w:abstractNumId="4">
    <w:nsid w:val="18C4BF31"/>
    <w:multiLevelType w:val="singleLevel"/>
    <w:tmpl w:val="18C4BF31"/>
    <w:lvl w:ilvl="0" w:tentative="0">
      <w:start w:val="1"/>
      <w:numFmt w:val="bullet"/>
      <w:pStyle w:val="16"/>
      <w:lvlText w:val=""/>
      <w:lvlJc w:val="left"/>
      <w:pPr>
        <w:tabs>
          <w:tab w:val="left" w:pos="2040"/>
        </w:tabs>
        <w:ind w:left="2040" w:hanging="360"/>
      </w:pPr>
      <w:rPr>
        <w:rFonts w:hint="default" w:ascii="Wingdings" w:hAnsi="Wingdings"/>
      </w:rPr>
    </w:lvl>
  </w:abstractNum>
  <w:abstractNum w:abstractNumId="5">
    <w:nsid w:val="1A155931"/>
    <w:multiLevelType w:val="singleLevel"/>
    <w:tmpl w:val="1A155931"/>
    <w:lvl w:ilvl="0" w:tentative="0">
      <w:start w:val="1"/>
      <w:numFmt w:val="decimal"/>
      <w:suff w:val="nothing"/>
      <w:lvlText w:val="（%1）"/>
      <w:lvlJc w:val="left"/>
    </w:lvl>
  </w:abstractNum>
  <w:abstractNum w:abstractNumId="6">
    <w:nsid w:val="30314D30"/>
    <w:multiLevelType w:val="singleLevel"/>
    <w:tmpl w:val="30314D30"/>
    <w:lvl w:ilvl="0" w:tentative="0">
      <w:start w:val="2"/>
      <w:numFmt w:val="chineseCounting"/>
      <w:suff w:val="nothing"/>
      <w:lvlText w:val="%1、"/>
      <w:lvlJc w:val="left"/>
      <w:rPr>
        <w:rFonts w:hint="eastAsia"/>
      </w:rPr>
    </w:lvl>
  </w:abstractNum>
  <w:abstractNum w:abstractNumId="7">
    <w:nsid w:val="4DA5A74E"/>
    <w:multiLevelType w:val="singleLevel"/>
    <w:tmpl w:val="4DA5A74E"/>
    <w:lvl w:ilvl="0" w:tentative="0">
      <w:start w:val="4"/>
      <w:numFmt w:val="decimal"/>
      <w:suff w:val="nothing"/>
      <w:lvlText w:val="（%1）"/>
      <w:lvlJc w:val="left"/>
    </w:lvl>
  </w:abstractNum>
  <w:abstractNum w:abstractNumId="8">
    <w:nsid w:val="53B1DF6B"/>
    <w:multiLevelType w:val="multilevel"/>
    <w:tmpl w:val="53B1DF6B"/>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pStyle w:val="8"/>
      <w:isLgl/>
      <w:lvlText w:val="%1.%2.%3."/>
      <w:lvlJc w:val="left"/>
      <w:pPr>
        <w:ind w:left="720" w:hanging="720"/>
      </w:pPr>
      <w:rPr>
        <w:rFonts w:hint="eastAsia"/>
      </w:rPr>
    </w:lvl>
    <w:lvl w:ilvl="3" w:tentative="0">
      <w:start w:val="1"/>
      <w:numFmt w:val="decimal"/>
      <w:pStyle w:val="9"/>
      <w:isLgl/>
      <w:lvlText w:val="%1.%2.%3.%4."/>
      <w:lvlJc w:val="left"/>
      <w:pPr>
        <w:ind w:left="864" w:hanging="864"/>
      </w:pPr>
      <w:rPr>
        <w:rFonts w:hint="eastAsia"/>
      </w:rPr>
    </w:lvl>
    <w:lvl w:ilvl="4" w:tentative="0">
      <w:start w:val="1"/>
      <w:numFmt w:val="decimal"/>
      <w:pStyle w:val="10"/>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9">
    <w:nsid w:val="690BB664"/>
    <w:multiLevelType w:val="singleLevel"/>
    <w:tmpl w:val="690BB664"/>
    <w:lvl w:ilvl="0" w:tentative="0">
      <w:start w:val="2"/>
      <w:numFmt w:val="decimal"/>
      <w:lvlText w:val="%1."/>
      <w:lvlJc w:val="left"/>
      <w:pPr>
        <w:tabs>
          <w:tab w:val="left" w:pos="312"/>
        </w:tabs>
      </w:pPr>
    </w:lvl>
  </w:abstractNum>
  <w:num w:numId="1">
    <w:abstractNumId w:val="8"/>
  </w:num>
  <w:num w:numId="2">
    <w:abstractNumId w:val="4"/>
  </w:num>
  <w:num w:numId="3">
    <w:abstractNumId w:val="1"/>
  </w:num>
  <w:num w:numId="4">
    <w:abstractNumId w:val="7"/>
  </w:num>
  <w:num w:numId="5">
    <w:abstractNumId w:val="6"/>
  </w:num>
  <w:num w:numId="6">
    <w:abstractNumId w:val="0"/>
  </w:num>
  <w:num w:numId="7">
    <w:abstractNumId w:val="2"/>
  </w:num>
  <w:num w:numId="8">
    <w:abstractNumId w:val="3"/>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wYzI1Njc5M2ZhMTBhOThiMzI5N2M5YWI5NzA4MzUifQ=="/>
    <w:docVar w:name="KSO_WPS_MARK_KEY" w:val="cc0ae1aa-36d3-472c-ac17-ea49725519b5"/>
  </w:docVars>
  <w:rsids>
    <w:rsidRoot w:val="00172A2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1056A0"/>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57C7"/>
    <w:rsid w:val="002367C4"/>
    <w:rsid w:val="0025679E"/>
    <w:rsid w:val="00260C68"/>
    <w:rsid w:val="002648B0"/>
    <w:rsid w:val="00275271"/>
    <w:rsid w:val="0027535E"/>
    <w:rsid w:val="00275AA6"/>
    <w:rsid w:val="002807D5"/>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66321"/>
    <w:rsid w:val="004672AF"/>
    <w:rsid w:val="004727B0"/>
    <w:rsid w:val="00480247"/>
    <w:rsid w:val="0048081D"/>
    <w:rsid w:val="0048117E"/>
    <w:rsid w:val="004855F6"/>
    <w:rsid w:val="00486F0C"/>
    <w:rsid w:val="00494670"/>
    <w:rsid w:val="004A0EB4"/>
    <w:rsid w:val="004A3823"/>
    <w:rsid w:val="004A59BB"/>
    <w:rsid w:val="004B43A3"/>
    <w:rsid w:val="004B4C49"/>
    <w:rsid w:val="004B58A5"/>
    <w:rsid w:val="004B63D9"/>
    <w:rsid w:val="004C0882"/>
    <w:rsid w:val="004C55BE"/>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53FE"/>
    <w:rsid w:val="005D7A0F"/>
    <w:rsid w:val="005E0438"/>
    <w:rsid w:val="005E1791"/>
    <w:rsid w:val="005E2CE6"/>
    <w:rsid w:val="005E6324"/>
    <w:rsid w:val="005F228B"/>
    <w:rsid w:val="005F29CD"/>
    <w:rsid w:val="005F4DFB"/>
    <w:rsid w:val="005F6CC0"/>
    <w:rsid w:val="00603E5B"/>
    <w:rsid w:val="00604BC8"/>
    <w:rsid w:val="00615B4C"/>
    <w:rsid w:val="00615B5D"/>
    <w:rsid w:val="0062146F"/>
    <w:rsid w:val="006343AF"/>
    <w:rsid w:val="0063634A"/>
    <w:rsid w:val="00636408"/>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03A4"/>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C05719"/>
    <w:rsid w:val="00C10578"/>
    <w:rsid w:val="00C17D62"/>
    <w:rsid w:val="00C21FDC"/>
    <w:rsid w:val="00C24EE7"/>
    <w:rsid w:val="00C2596A"/>
    <w:rsid w:val="00C271BE"/>
    <w:rsid w:val="00C27425"/>
    <w:rsid w:val="00C328FE"/>
    <w:rsid w:val="00C33A05"/>
    <w:rsid w:val="00C42500"/>
    <w:rsid w:val="00C4409D"/>
    <w:rsid w:val="00C455BE"/>
    <w:rsid w:val="00C51E5F"/>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A301A"/>
    <w:rsid w:val="00FA406A"/>
    <w:rsid w:val="00FA5CB6"/>
    <w:rsid w:val="00FC66AC"/>
    <w:rsid w:val="00FD18F4"/>
    <w:rsid w:val="00FD74B4"/>
    <w:rsid w:val="00FF6FCE"/>
    <w:rsid w:val="00FF7518"/>
    <w:rsid w:val="00FF7FD8"/>
    <w:rsid w:val="01B779BD"/>
    <w:rsid w:val="01E91FA5"/>
    <w:rsid w:val="02145238"/>
    <w:rsid w:val="02BF237C"/>
    <w:rsid w:val="02FE3E7B"/>
    <w:rsid w:val="032237A1"/>
    <w:rsid w:val="03575C81"/>
    <w:rsid w:val="037D141B"/>
    <w:rsid w:val="038D342C"/>
    <w:rsid w:val="042167B5"/>
    <w:rsid w:val="04B30C95"/>
    <w:rsid w:val="04D37589"/>
    <w:rsid w:val="05015EA4"/>
    <w:rsid w:val="05742AC8"/>
    <w:rsid w:val="06352F05"/>
    <w:rsid w:val="063E7D85"/>
    <w:rsid w:val="068E19BA"/>
    <w:rsid w:val="06A04DD8"/>
    <w:rsid w:val="070875E0"/>
    <w:rsid w:val="07293586"/>
    <w:rsid w:val="07295285"/>
    <w:rsid w:val="07770C56"/>
    <w:rsid w:val="07911761"/>
    <w:rsid w:val="07E60D4A"/>
    <w:rsid w:val="0845254C"/>
    <w:rsid w:val="0888022A"/>
    <w:rsid w:val="089253E9"/>
    <w:rsid w:val="092217DD"/>
    <w:rsid w:val="093A7294"/>
    <w:rsid w:val="094C3B0F"/>
    <w:rsid w:val="09644C54"/>
    <w:rsid w:val="0A477FC8"/>
    <w:rsid w:val="0A602341"/>
    <w:rsid w:val="0A631D2F"/>
    <w:rsid w:val="0B046740"/>
    <w:rsid w:val="0BD27BF6"/>
    <w:rsid w:val="0BDA6D49"/>
    <w:rsid w:val="0BF85CB4"/>
    <w:rsid w:val="0C41127C"/>
    <w:rsid w:val="0C721436"/>
    <w:rsid w:val="0D2A6B4B"/>
    <w:rsid w:val="0D557AE1"/>
    <w:rsid w:val="0D58795C"/>
    <w:rsid w:val="0E110D06"/>
    <w:rsid w:val="0EF05FE5"/>
    <w:rsid w:val="0F0611A2"/>
    <w:rsid w:val="0F13775A"/>
    <w:rsid w:val="0F1D1B19"/>
    <w:rsid w:val="0F5B7AF1"/>
    <w:rsid w:val="0F835C00"/>
    <w:rsid w:val="0F9A112B"/>
    <w:rsid w:val="0FB230BD"/>
    <w:rsid w:val="0FF56922"/>
    <w:rsid w:val="105B45EA"/>
    <w:rsid w:val="106D2F64"/>
    <w:rsid w:val="107A4C70"/>
    <w:rsid w:val="10A92A68"/>
    <w:rsid w:val="10B63710"/>
    <w:rsid w:val="111C2F7A"/>
    <w:rsid w:val="113013DE"/>
    <w:rsid w:val="11654518"/>
    <w:rsid w:val="11AD64B0"/>
    <w:rsid w:val="121D3B59"/>
    <w:rsid w:val="122B06C2"/>
    <w:rsid w:val="126E269F"/>
    <w:rsid w:val="12EA608E"/>
    <w:rsid w:val="131E5E73"/>
    <w:rsid w:val="13681A95"/>
    <w:rsid w:val="13951726"/>
    <w:rsid w:val="14396509"/>
    <w:rsid w:val="1447165C"/>
    <w:rsid w:val="149E14C9"/>
    <w:rsid w:val="14A80500"/>
    <w:rsid w:val="14E870BA"/>
    <w:rsid w:val="165A18B8"/>
    <w:rsid w:val="16B66426"/>
    <w:rsid w:val="16F72FC5"/>
    <w:rsid w:val="17735226"/>
    <w:rsid w:val="180C72A5"/>
    <w:rsid w:val="1810788C"/>
    <w:rsid w:val="18826186"/>
    <w:rsid w:val="18C633D5"/>
    <w:rsid w:val="18CD0562"/>
    <w:rsid w:val="19400C7E"/>
    <w:rsid w:val="19F841F2"/>
    <w:rsid w:val="1A1C66C0"/>
    <w:rsid w:val="1A42393B"/>
    <w:rsid w:val="1A762D9D"/>
    <w:rsid w:val="1AC37383"/>
    <w:rsid w:val="1B026AF1"/>
    <w:rsid w:val="1B046F80"/>
    <w:rsid w:val="1B3267B5"/>
    <w:rsid w:val="1B705971"/>
    <w:rsid w:val="1BC25DC8"/>
    <w:rsid w:val="1C5E7925"/>
    <w:rsid w:val="1C887FC8"/>
    <w:rsid w:val="1CFA29FD"/>
    <w:rsid w:val="1D5F6196"/>
    <w:rsid w:val="1D6132A5"/>
    <w:rsid w:val="1D8E56D5"/>
    <w:rsid w:val="1E1E31CB"/>
    <w:rsid w:val="1E433DCE"/>
    <w:rsid w:val="1E470974"/>
    <w:rsid w:val="1E7A43DA"/>
    <w:rsid w:val="1EB277FE"/>
    <w:rsid w:val="1EC20ACA"/>
    <w:rsid w:val="1FA109DA"/>
    <w:rsid w:val="1FE7539E"/>
    <w:rsid w:val="20923F96"/>
    <w:rsid w:val="20963CB8"/>
    <w:rsid w:val="20B07FB6"/>
    <w:rsid w:val="20C241EC"/>
    <w:rsid w:val="20F34678"/>
    <w:rsid w:val="213B74B1"/>
    <w:rsid w:val="215A2310"/>
    <w:rsid w:val="21840B8D"/>
    <w:rsid w:val="21DE318A"/>
    <w:rsid w:val="21EF5B80"/>
    <w:rsid w:val="22056297"/>
    <w:rsid w:val="222F2564"/>
    <w:rsid w:val="22576990"/>
    <w:rsid w:val="229C4EAB"/>
    <w:rsid w:val="22BF43FA"/>
    <w:rsid w:val="23740C22"/>
    <w:rsid w:val="238479DC"/>
    <w:rsid w:val="23A37F40"/>
    <w:rsid w:val="23BF276F"/>
    <w:rsid w:val="245650A5"/>
    <w:rsid w:val="24B15D35"/>
    <w:rsid w:val="250624BE"/>
    <w:rsid w:val="25143477"/>
    <w:rsid w:val="252D53FE"/>
    <w:rsid w:val="25902C01"/>
    <w:rsid w:val="25B91395"/>
    <w:rsid w:val="25EC2D81"/>
    <w:rsid w:val="25F22D17"/>
    <w:rsid w:val="262F37AA"/>
    <w:rsid w:val="264528BD"/>
    <w:rsid w:val="26C558A0"/>
    <w:rsid w:val="27562859"/>
    <w:rsid w:val="275C7803"/>
    <w:rsid w:val="276A3362"/>
    <w:rsid w:val="27B8715C"/>
    <w:rsid w:val="27D15DD1"/>
    <w:rsid w:val="2840422F"/>
    <w:rsid w:val="28752C1B"/>
    <w:rsid w:val="28843B01"/>
    <w:rsid w:val="28A57AD0"/>
    <w:rsid w:val="28A76295"/>
    <w:rsid w:val="29206EB8"/>
    <w:rsid w:val="294A349D"/>
    <w:rsid w:val="29873FD7"/>
    <w:rsid w:val="29945E50"/>
    <w:rsid w:val="29E325E0"/>
    <w:rsid w:val="2A230C4C"/>
    <w:rsid w:val="2A2D4B75"/>
    <w:rsid w:val="2A452503"/>
    <w:rsid w:val="2AF825A0"/>
    <w:rsid w:val="2B066E85"/>
    <w:rsid w:val="2B0F6376"/>
    <w:rsid w:val="2BA936A8"/>
    <w:rsid w:val="2C123D24"/>
    <w:rsid w:val="2C315A5A"/>
    <w:rsid w:val="2C532ABA"/>
    <w:rsid w:val="2CF16916"/>
    <w:rsid w:val="2D1821D2"/>
    <w:rsid w:val="2D7922C5"/>
    <w:rsid w:val="2D9E56F5"/>
    <w:rsid w:val="2E4E3659"/>
    <w:rsid w:val="2E667F96"/>
    <w:rsid w:val="2E8226AB"/>
    <w:rsid w:val="2E896AD3"/>
    <w:rsid w:val="2EA21EAD"/>
    <w:rsid w:val="2F6E08D9"/>
    <w:rsid w:val="2F832C79"/>
    <w:rsid w:val="2FC26DE7"/>
    <w:rsid w:val="2FE83639"/>
    <w:rsid w:val="2FEF2D58"/>
    <w:rsid w:val="30580BC9"/>
    <w:rsid w:val="30B43DA0"/>
    <w:rsid w:val="30DA11D4"/>
    <w:rsid w:val="311E2ED7"/>
    <w:rsid w:val="315C449C"/>
    <w:rsid w:val="31A57A34"/>
    <w:rsid w:val="31B82709"/>
    <w:rsid w:val="3228746A"/>
    <w:rsid w:val="32400B34"/>
    <w:rsid w:val="328024BD"/>
    <w:rsid w:val="329E6876"/>
    <w:rsid w:val="32BC7B09"/>
    <w:rsid w:val="33773688"/>
    <w:rsid w:val="33847100"/>
    <w:rsid w:val="33D934D4"/>
    <w:rsid w:val="33FE167D"/>
    <w:rsid w:val="33FE2F6A"/>
    <w:rsid w:val="344352E2"/>
    <w:rsid w:val="34BE761C"/>
    <w:rsid w:val="35286684"/>
    <w:rsid w:val="36043BF1"/>
    <w:rsid w:val="36074A7F"/>
    <w:rsid w:val="36923549"/>
    <w:rsid w:val="36A558B3"/>
    <w:rsid w:val="36B75FBF"/>
    <w:rsid w:val="36FB4891"/>
    <w:rsid w:val="375A12C0"/>
    <w:rsid w:val="3817303C"/>
    <w:rsid w:val="387D68B2"/>
    <w:rsid w:val="38AF66A6"/>
    <w:rsid w:val="38CA6C16"/>
    <w:rsid w:val="38F12CD3"/>
    <w:rsid w:val="38F94775"/>
    <w:rsid w:val="392971ED"/>
    <w:rsid w:val="39AA123C"/>
    <w:rsid w:val="39D325FF"/>
    <w:rsid w:val="3A3E27D3"/>
    <w:rsid w:val="3A7C3EFD"/>
    <w:rsid w:val="3AE73441"/>
    <w:rsid w:val="3B3763D1"/>
    <w:rsid w:val="3BCD3252"/>
    <w:rsid w:val="3BD66A3C"/>
    <w:rsid w:val="3C00585C"/>
    <w:rsid w:val="3C106A21"/>
    <w:rsid w:val="3C860478"/>
    <w:rsid w:val="3CCB2319"/>
    <w:rsid w:val="3CDA245A"/>
    <w:rsid w:val="3CEE0A37"/>
    <w:rsid w:val="3D513680"/>
    <w:rsid w:val="3D5E71F2"/>
    <w:rsid w:val="3DE152CF"/>
    <w:rsid w:val="3E34199D"/>
    <w:rsid w:val="3E5B1AE3"/>
    <w:rsid w:val="3EA83C7B"/>
    <w:rsid w:val="3EDA71CC"/>
    <w:rsid w:val="3F5C54AA"/>
    <w:rsid w:val="3F660E74"/>
    <w:rsid w:val="3FDC041B"/>
    <w:rsid w:val="407A6407"/>
    <w:rsid w:val="41A87907"/>
    <w:rsid w:val="423A3BCC"/>
    <w:rsid w:val="425D3875"/>
    <w:rsid w:val="42892A5A"/>
    <w:rsid w:val="42C0098F"/>
    <w:rsid w:val="42C96BB9"/>
    <w:rsid w:val="431E3958"/>
    <w:rsid w:val="433A6FE6"/>
    <w:rsid w:val="4350713C"/>
    <w:rsid w:val="436653E0"/>
    <w:rsid w:val="436843FD"/>
    <w:rsid w:val="43882D11"/>
    <w:rsid w:val="43A20770"/>
    <w:rsid w:val="448E07FB"/>
    <w:rsid w:val="44CD14E0"/>
    <w:rsid w:val="45726A18"/>
    <w:rsid w:val="458946E9"/>
    <w:rsid w:val="45985001"/>
    <w:rsid w:val="45B15BFD"/>
    <w:rsid w:val="467757AF"/>
    <w:rsid w:val="46D955A7"/>
    <w:rsid w:val="46E40C60"/>
    <w:rsid w:val="47133957"/>
    <w:rsid w:val="4779329E"/>
    <w:rsid w:val="477B5067"/>
    <w:rsid w:val="47A07E0C"/>
    <w:rsid w:val="47CC58C3"/>
    <w:rsid w:val="482B1D4A"/>
    <w:rsid w:val="485F70C6"/>
    <w:rsid w:val="4870272E"/>
    <w:rsid w:val="48F15863"/>
    <w:rsid w:val="48F906F7"/>
    <w:rsid w:val="49144F1F"/>
    <w:rsid w:val="49284D7B"/>
    <w:rsid w:val="496F3B8C"/>
    <w:rsid w:val="49DC7715"/>
    <w:rsid w:val="4A013E21"/>
    <w:rsid w:val="4A023139"/>
    <w:rsid w:val="4A062BE2"/>
    <w:rsid w:val="4A7B576F"/>
    <w:rsid w:val="4AA5332D"/>
    <w:rsid w:val="4C2227CC"/>
    <w:rsid w:val="4C4A0649"/>
    <w:rsid w:val="4C8D3147"/>
    <w:rsid w:val="4CE470D3"/>
    <w:rsid w:val="4D977D29"/>
    <w:rsid w:val="4DA14E74"/>
    <w:rsid w:val="4DB72576"/>
    <w:rsid w:val="4DEC4FB0"/>
    <w:rsid w:val="4E075D8A"/>
    <w:rsid w:val="4E810ADD"/>
    <w:rsid w:val="4FAC304C"/>
    <w:rsid w:val="4FC62A8C"/>
    <w:rsid w:val="4FE20F0D"/>
    <w:rsid w:val="50220DBE"/>
    <w:rsid w:val="50504C4B"/>
    <w:rsid w:val="509A4E8D"/>
    <w:rsid w:val="509C6E7C"/>
    <w:rsid w:val="50AA076B"/>
    <w:rsid w:val="5121161A"/>
    <w:rsid w:val="513A6FB9"/>
    <w:rsid w:val="5162104E"/>
    <w:rsid w:val="5176689F"/>
    <w:rsid w:val="51835F03"/>
    <w:rsid w:val="519F744A"/>
    <w:rsid w:val="51CB0999"/>
    <w:rsid w:val="51DE3FE9"/>
    <w:rsid w:val="526B48ED"/>
    <w:rsid w:val="53A039CC"/>
    <w:rsid w:val="53A1505A"/>
    <w:rsid w:val="53BB7CF4"/>
    <w:rsid w:val="54063E08"/>
    <w:rsid w:val="543437E8"/>
    <w:rsid w:val="546926EB"/>
    <w:rsid w:val="547B722A"/>
    <w:rsid w:val="54E80090"/>
    <w:rsid w:val="55097F40"/>
    <w:rsid w:val="55423D37"/>
    <w:rsid w:val="559B174B"/>
    <w:rsid w:val="55BD520B"/>
    <w:rsid w:val="55CE0CF4"/>
    <w:rsid w:val="56B22A9C"/>
    <w:rsid w:val="571C0757"/>
    <w:rsid w:val="572F635C"/>
    <w:rsid w:val="57B72A76"/>
    <w:rsid w:val="57B8375F"/>
    <w:rsid w:val="585C0292"/>
    <w:rsid w:val="5861258C"/>
    <w:rsid w:val="589E6E07"/>
    <w:rsid w:val="58D2203B"/>
    <w:rsid w:val="58E750A5"/>
    <w:rsid w:val="5A3C747D"/>
    <w:rsid w:val="5A405974"/>
    <w:rsid w:val="5A860764"/>
    <w:rsid w:val="5ABE2233"/>
    <w:rsid w:val="5ADA60F3"/>
    <w:rsid w:val="5ADD5B1E"/>
    <w:rsid w:val="5B276D18"/>
    <w:rsid w:val="5BDF5D95"/>
    <w:rsid w:val="5BE2525D"/>
    <w:rsid w:val="5CBE5F42"/>
    <w:rsid w:val="5DF87A0F"/>
    <w:rsid w:val="5E516BFF"/>
    <w:rsid w:val="5E7D1355"/>
    <w:rsid w:val="5E914D18"/>
    <w:rsid w:val="5EA21750"/>
    <w:rsid w:val="5F1A2B43"/>
    <w:rsid w:val="5FB837BB"/>
    <w:rsid w:val="5FD168C7"/>
    <w:rsid w:val="60095DAC"/>
    <w:rsid w:val="604605EC"/>
    <w:rsid w:val="6088046F"/>
    <w:rsid w:val="62364782"/>
    <w:rsid w:val="623837AF"/>
    <w:rsid w:val="629B43B7"/>
    <w:rsid w:val="62D94663"/>
    <w:rsid w:val="630D13B0"/>
    <w:rsid w:val="6369092E"/>
    <w:rsid w:val="63D40BE9"/>
    <w:rsid w:val="63E0211F"/>
    <w:rsid w:val="64F056DB"/>
    <w:rsid w:val="65373578"/>
    <w:rsid w:val="65865484"/>
    <w:rsid w:val="669B09C4"/>
    <w:rsid w:val="66BC48FC"/>
    <w:rsid w:val="670E33AA"/>
    <w:rsid w:val="673F2C7A"/>
    <w:rsid w:val="67EF500D"/>
    <w:rsid w:val="67FD6F7B"/>
    <w:rsid w:val="681F6961"/>
    <w:rsid w:val="68610A2F"/>
    <w:rsid w:val="68624A3A"/>
    <w:rsid w:val="68805514"/>
    <w:rsid w:val="68947D52"/>
    <w:rsid w:val="68A613C0"/>
    <w:rsid w:val="69390486"/>
    <w:rsid w:val="694E2071"/>
    <w:rsid w:val="697A3B33"/>
    <w:rsid w:val="699E2456"/>
    <w:rsid w:val="6A244C92"/>
    <w:rsid w:val="6ACF2E50"/>
    <w:rsid w:val="6AD4379A"/>
    <w:rsid w:val="6B322639"/>
    <w:rsid w:val="6B3B5F28"/>
    <w:rsid w:val="6C0C23AB"/>
    <w:rsid w:val="6C410F9C"/>
    <w:rsid w:val="6C636C38"/>
    <w:rsid w:val="6D3064D9"/>
    <w:rsid w:val="6D434B50"/>
    <w:rsid w:val="6D6630F8"/>
    <w:rsid w:val="6DB34098"/>
    <w:rsid w:val="6DB545B6"/>
    <w:rsid w:val="6E4375A0"/>
    <w:rsid w:val="6E514CED"/>
    <w:rsid w:val="6E79491A"/>
    <w:rsid w:val="6EB563D5"/>
    <w:rsid w:val="6F225983"/>
    <w:rsid w:val="6F286128"/>
    <w:rsid w:val="6F61711B"/>
    <w:rsid w:val="6FFC5590"/>
    <w:rsid w:val="700C2451"/>
    <w:rsid w:val="70301DA3"/>
    <w:rsid w:val="70642491"/>
    <w:rsid w:val="706D1DD0"/>
    <w:rsid w:val="70856B87"/>
    <w:rsid w:val="70D527EE"/>
    <w:rsid w:val="70F15996"/>
    <w:rsid w:val="715B5300"/>
    <w:rsid w:val="715F4BD7"/>
    <w:rsid w:val="71881FAB"/>
    <w:rsid w:val="71D27F8A"/>
    <w:rsid w:val="71ED37DF"/>
    <w:rsid w:val="71F744C6"/>
    <w:rsid w:val="71F960CF"/>
    <w:rsid w:val="72EC6569"/>
    <w:rsid w:val="731F5D5E"/>
    <w:rsid w:val="741E793C"/>
    <w:rsid w:val="742A66FA"/>
    <w:rsid w:val="74F83220"/>
    <w:rsid w:val="74F87854"/>
    <w:rsid w:val="758D75E2"/>
    <w:rsid w:val="75C1022D"/>
    <w:rsid w:val="75E924D8"/>
    <w:rsid w:val="75F94F4C"/>
    <w:rsid w:val="77762421"/>
    <w:rsid w:val="77EC3133"/>
    <w:rsid w:val="780F09F4"/>
    <w:rsid w:val="7879264D"/>
    <w:rsid w:val="789C4F47"/>
    <w:rsid w:val="78A90480"/>
    <w:rsid w:val="78F86E3B"/>
    <w:rsid w:val="79415ED0"/>
    <w:rsid w:val="79722B73"/>
    <w:rsid w:val="79811327"/>
    <w:rsid w:val="7A364017"/>
    <w:rsid w:val="7A6A66F1"/>
    <w:rsid w:val="7A726D40"/>
    <w:rsid w:val="7A8265E1"/>
    <w:rsid w:val="7ACF6434"/>
    <w:rsid w:val="7B686D42"/>
    <w:rsid w:val="7B841746"/>
    <w:rsid w:val="7CEF7FAD"/>
    <w:rsid w:val="7D0239FF"/>
    <w:rsid w:val="7D5E40CD"/>
    <w:rsid w:val="7D693BED"/>
    <w:rsid w:val="7D9464C2"/>
    <w:rsid w:val="7E48528F"/>
    <w:rsid w:val="7ED42DD6"/>
    <w:rsid w:val="7F4339B5"/>
    <w:rsid w:val="7F7E0657"/>
    <w:rsid w:val="7FCB6498"/>
    <w:rsid w:val="7FE47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iPriority="0" w:semiHidden="0" w:name="heading 3" w:locked="1"/>
    <w:lsdException w:qFormat="1" w:uiPriority="0" w:semiHidden="0" w:name="heading 4" w:locked="1"/>
    <w:lsdException w:qFormat="1"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autoRedefine/>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7">
    <w:name w:val="heading 2"/>
    <w:basedOn w:val="1"/>
    <w:next w:val="1"/>
    <w:autoRedefine/>
    <w:qFormat/>
    <w:locked/>
    <w:uiPriority w:val="0"/>
    <w:pPr>
      <w:keepNext/>
      <w:keepLines/>
      <w:spacing w:line="600" w:lineRule="exact"/>
      <w:ind w:firstLine="0" w:firstLineChars="0"/>
      <w:jc w:val="left"/>
      <w:outlineLvl w:val="1"/>
    </w:pPr>
    <w:rPr>
      <w:rFonts w:ascii="Arial" w:hAnsi="Arial" w:eastAsia="黑体"/>
      <w:sz w:val="28"/>
      <w:szCs w:val="28"/>
    </w:rPr>
  </w:style>
  <w:style w:type="paragraph" w:styleId="8">
    <w:name w:val="heading 3"/>
    <w:basedOn w:val="1"/>
    <w:next w:val="1"/>
    <w:autoRedefine/>
    <w:unhideWhenUsed/>
    <w:qFormat/>
    <w:locked/>
    <w:uiPriority w:val="0"/>
    <w:pPr>
      <w:keepNext/>
      <w:keepLines/>
      <w:numPr>
        <w:ilvl w:val="2"/>
        <w:numId w:val="1"/>
      </w:numPr>
      <w:spacing w:before="100" w:beforeLines="0" w:afterLines="0" w:line="360" w:lineRule="auto"/>
      <w:ind w:left="720" w:hanging="720"/>
      <w:outlineLvl w:val="2"/>
    </w:pPr>
    <w:rPr>
      <w:rFonts w:ascii="Times New Roman" w:hAnsi="Times New Roman" w:eastAsia="宋体"/>
      <w:b/>
      <w:sz w:val="30"/>
    </w:rPr>
  </w:style>
  <w:style w:type="paragraph" w:styleId="9">
    <w:name w:val="heading 4"/>
    <w:basedOn w:val="1"/>
    <w:next w:val="1"/>
    <w:autoRedefine/>
    <w:unhideWhenUsed/>
    <w:qFormat/>
    <w:locked/>
    <w:uiPriority w:val="0"/>
    <w:pPr>
      <w:keepNext/>
      <w:keepLines/>
      <w:numPr>
        <w:ilvl w:val="3"/>
        <w:numId w:val="1"/>
      </w:numPr>
      <w:spacing w:beforeLines="0" w:beforeAutospacing="0" w:afterLines="0" w:afterAutospacing="0" w:line="360" w:lineRule="auto"/>
      <w:ind w:left="864" w:hanging="864" w:firstLineChars="0"/>
      <w:outlineLvl w:val="3"/>
    </w:pPr>
    <w:rPr>
      <w:rFonts w:ascii="Arial" w:hAnsi="Arial" w:eastAsia="黑体" w:cs="Times New Roman"/>
      <w:sz w:val="28"/>
    </w:rPr>
  </w:style>
  <w:style w:type="paragraph" w:styleId="10">
    <w:name w:val="heading 5"/>
    <w:basedOn w:val="1"/>
    <w:next w:val="1"/>
    <w:autoRedefine/>
    <w:unhideWhenUsed/>
    <w:qFormat/>
    <w:locked/>
    <w:uiPriority w:val="0"/>
    <w:pPr>
      <w:keepNext/>
      <w:keepLines/>
      <w:numPr>
        <w:ilvl w:val="4"/>
        <w:numId w:val="1"/>
      </w:numPr>
      <w:spacing w:beforeLines="0" w:beforeAutospacing="0" w:afterLines="0" w:afterAutospacing="0" w:line="360" w:lineRule="auto"/>
      <w:ind w:left="0" w:firstLine="0" w:firstLineChars="0"/>
      <w:outlineLvl w:val="4"/>
    </w:pPr>
    <w:rPr>
      <w:rFonts w:ascii="Times New Roman" w:hAnsi="Times New Roman"/>
      <w:b/>
      <w:sz w:val="28"/>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autoRedefine/>
    <w:qFormat/>
    <w:uiPriority w:val="0"/>
    <w:pPr>
      <w:spacing w:line="360" w:lineRule="auto"/>
      <w:ind w:firstLine="200"/>
    </w:pPr>
    <w:rPr>
      <w:rFonts w:cs="宋体"/>
      <w:sz w:val="24"/>
    </w:rPr>
  </w:style>
  <w:style w:type="paragraph" w:styleId="3">
    <w:name w:val="Normal Indent"/>
    <w:basedOn w:val="1"/>
    <w:next w:val="4"/>
    <w:autoRedefine/>
    <w:qFormat/>
    <w:uiPriority w:val="0"/>
    <w:pPr>
      <w:adjustRightInd w:val="0"/>
      <w:spacing w:line="360" w:lineRule="auto"/>
      <w:ind w:firstLine="992" w:firstLineChars="200"/>
      <w:textAlignment w:val="baseline"/>
    </w:pPr>
    <w:rPr>
      <w:rFonts w:ascii="宋体" w:hAnsi="宋体"/>
      <w:sz w:val="28"/>
      <w:szCs w:val="24"/>
    </w:rPr>
  </w:style>
  <w:style w:type="paragraph" w:styleId="4">
    <w:name w:val="Body Text First Indent 2"/>
    <w:basedOn w:val="5"/>
    <w:next w:val="1"/>
    <w:autoRedefine/>
    <w:qFormat/>
    <w:uiPriority w:val="0"/>
    <w:pPr>
      <w:ind w:firstLine="420" w:firstLineChars="200"/>
    </w:pPr>
  </w:style>
  <w:style w:type="paragraph" w:styleId="5">
    <w:name w:val="Body Text Indent"/>
    <w:basedOn w:val="1"/>
    <w:next w:val="1"/>
    <w:link w:val="30"/>
    <w:autoRedefine/>
    <w:semiHidden/>
    <w:qFormat/>
    <w:uiPriority w:val="0"/>
    <w:pPr>
      <w:spacing w:after="120"/>
      <w:ind w:left="420" w:leftChars="200"/>
    </w:pPr>
  </w:style>
  <w:style w:type="paragraph" w:styleId="11">
    <w:name w:val="index 8"/>
    <w:basedOn w:val="1"/>
    <w:next w:val="1"/>
    <w:autoRedefine/>
    <w:qFormat/>
    <w:uiPriority w:val="0"/>
    <w:pPr>
      <w:ind w:left="1400" w:leftChars="1400"/>
    </w:pPr>
  </w:style>
  <w:style w:type="paragraph" w:styleId="12">
    <w:name w:val="annotation text"/>
    <w:basedOn w:val="1"/>
    <w:link w:val="31"/>
    <w:autoRedefine/>
    <w:semiHidden/>
    <w:qFormat/>
    <w:uiPriority w:val="0"/>
    <w:pPr>
      <w:jc w:val="left"/>
    </w:pPr>
    <w:rPr>
      <w:kern w:val="0"/>
      <w:sz w:val="20"/>
    </w:rPr>
  </w:style>
  <w:style w:type="paragraph" w:styleId="13">
    <w:name w:val="Body Text"/>
    <w:basedOn w:val="1"/>
    <w:next w:val="14"/>
    <w:link w:val="32"/>
    <w:autoRedefine/>
    <w:qFormat/>
    <w:uiPriority w:val="0"/>
    <w:pPr>
      <w:widowControl/>
      <w:snapToGrid w:val="0"/>
      <w:spacing w:before="60" w:after="160" w:line="259" w:lineRule="auto"/>
      <w:ind w:right="113"/>
    </w:pPr>
    <w:rPr>
      <w:kern w:val="0"/>
      <w:sz w:val="18"/>
      <w:szCs w:val="18"/>
    </w:rPr>
  </w:style>
  <w:style w:type="paragraph" w:styleId="14">
    <w:name w:val="header"/>
    <w:basedOn w:val="1"/>
    <w:next w:val="1"/>
    <w:link w:val="36"/>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Plain Text"/>
    <w:basedOn w:val="1"/>
    <w:next w:val="13"/>
    <w:autoRedefine/>
    <w:qFormat/>
    <w:uiPriority w:val="0"/>
    <w:pPr>
      <w:widowControl w:val="0"/>
      <w:jc w:val="both"/>
    </w:pPr>
    <w:rPr>
      <w:rFonts w:ascii="宋体" w:hAnsi="Courier New" w:eastAsia="宋体" w:cs="Times New Roman"/>
      <w:kern w:val="2"/>
      <w:sz w:val="21"/>
      <w:szCs w:val="24"/>
      <w:lang w:val="en-US" w:eastAsia="zh-CN" w:bidi="ar-SA"/>
    </w:rPr>
  </w:style>
  <w:style w:type="paragraph" w:styleId="16">
    <w:name w:val="List Bullet 5"/>
    <w:basedOn w:val="1"/>
    <w:autoRedefine/>
    <w:qFormat/>
    <w:uiPriority w:val="0"/>
    <w:pPr>
      <w:numPr>
        <w:ilvl w:val="0"/>
        <w:numId w:val="2"/>
      </w:numPr>
    </w:pPr>
  </w:style>
  <w:style w:type="paragraph" w:styleId="17">
    <w:name w:val="Date"/>
    <w:basedOn w:val="1"/>
    <w:next w:val="1"/>
    <w:link w:val="33"/>
    <w:autoRedefine/>
    <w:qFormat/>
    <w:uiPriority w:val="0"/>
    <w:pPr>
      <w:ind w:left="100" w:leftChars="2500"/>
    </w:pPr>
    <w:rPr>
      <w:kern w:val="0"/>
      <w:sz w:val="20"/>
    </w:rPr>
  </w:style>
  <w:style w:type="paragraph" w:styleId="18">
    <w:name w:val="Balloon Text"/>
    <w:basedOn w:val="1"/>
    <w:link w:val="34"/>
    <w:autoRedefine/>
    <w:semiHidden/>
    <w:qFormat/>
    <w:uiPriority w:val="0"/>
    <w:rPr>
      <w:sz w:val="18"/>
      <w:szCs w:val="18"/>
    </w:rPr>
  </w:style>
  <w:style w:type="paragraph" w:styleId="19">
    <w:name w:val="footer"/>
    <w:basedOn w:val="1"/>
    <w:link w:val="35"/>
    <w:autoRedefine/>
    <w:qFormat/>
    <w:uiPriority w:val="0"/>
    <w:pPr>
      <w:tabs>
        <w:tab w:val="center" w:pos="4153"/>
        <w:tab w:val="right" w:pos="8306"/>
      </w:tabs>
      <w:snapToGrid w:val="0"/>
      <w:jc w:val="left"/>
    </w:pPr>
    <w:rPr>
      <w:sz w:val="18"/>
      <w:szCs w:val="18"/>
    </w:rPr>
  </w:style>
  <w:style w:type="paragraph" w:styleId="20">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1">
    <w:name w:val="Normal (Web)"/>
    <w:basedOn w:val="1"/>
    <w:link w:val="37"/>
    <w:autoRedefine/>
    <w:qFormat/>
    <w:uiPriority w:val="0"/>
    <w:pPr>
      <w:widowControl/>
      <w:spacing w:before="100" w:beforeAutospacing="1" w:after="100" w:afterAutospacing="1"/>
      <w:jc w:val="left"/>
    </w:pPr>
    <w:rPr>
      <w:rFonts w:ascii="宋体" w:hAnsi="宋体"/>
      <w:kern w:val="0"/>
      <w:sz w:val="24"/>
    </w:rPr>
  </w:style>
  <w:style w:type="paragraph" w:styleId="22">
    <w:name w:val="annotation subject"/>
    <w:basedOn w:val="12"/>
    <w:next w:val="12"/>
    <w:link w:val="38"/>
    <w:autoRedefine/>
    <w:semiHidden/>
    <w:qFormat/>
    <w:uiPriority w:val="0"/>
    <w:rPr>
      <w:b/>
      <w:bCs/>
    </w:rPr>
  </w:style>
  <w:style w:type="paragraph" w:styleId="23">
    <w:name w:val="Body Text First Indent"/>
    <w:basedOn w:val="13"/>
    <w:next w:val="1"/>
    <w:autoRedefine/>
    <w:qFormat/>
    <w:uiPriority w:val="0"/>
    <w:pPr>
      <w:ind w:firstLine="420" w:firstLineChars="100"/>
    </w:pPr>
  </w:style>
  <w:style w:type="table" w:styleId="25">
    <w:name w:val="Table Grid"/>
    <w:basedOn w:val="24"/>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autoRedefine/>
    <w:qFormat/>
    <w:locked/>
    <w:uiPriority w:val="0"/>
    <w:rPr>
      <w:b/>
    </w:rPr>
  </w:style>
  <w:style w:type="character" w:styleId="28">
    <w:name w:val="page number"/>
    <w:basedOn w:val="26"/>
    <w:autoRedefine/>
    <w:qFormat/>
    <w:uiPriority w:val="0"/>
  </w:style>
  <w:style w:type="character" w:styleId="29">
    <w:name w:val="annotation reference"/>
    <w:basedOn w:val="26"/>
    <w:autoRedefine/>
    <w:semiHidden/>
    <w:qFormat/>
    <w:uiPriority w:val="0"/>
    <w:rPr>
      <w:sz w:val="21"/>
    </w:rPr>
  </w:style>
  <w:style w:type="character" w:customStyle="1" w:styleId="30">
    <w:name w:val="Body Text Indent Char"/>
    <w:basedOn w:val="26"/>
    <w:link w:val="5"/>
    <w:autoRedefine/>
    <w:semiHidden/>
    <w:qFormat/>
    <w:locked/>
    <w:uiPriority w:val="0"/>
    <w:rPr>
      <w:rFonts w:ascii="Times New Roman" w:hAnsi="Times New Roman" w:eastAsia="宋体" w:cs="Times New Roman"/>
      <w:sz w:val="24"/>
      <w:szCs w:val="24"/>
    </w:rPr>
  </w:style>
  <w:style w:type="character" w:customStyle="1" w:styleId="31">
    <w:name w:val="Comment Text Char"/>
    <w:link w:val="12"/>
    <w:autoRedefine/>
    <w:qFormat/>
    <w:locked/>
    <w:uiPriority w:val="0"/>
    <w:rPr>
      <w:rFonts w:ascii="Times New Roman" w:hAnsi="Times New Roman" w:eastAsia="宋体"/>
      <w:sz w:val="24"/>
    </w:rPr>
  </w:style>
  <w:style w:type="character" w:customStyle="1" w:styleId="32">
    <w:name w:val="Body Text Char"/>
    <w:link w:val="13"/>
    <w:autoRedefine/>
    <w:qFormat/>
    <w:locked/>
    <w:uiPriority w:val="0"/>
    <w:rPr>
      <w:sz w:val="18"/>
    </w:rPr>
  </w:style>
  <w:style w:type="character" w:customStyle="1" w:styleId="33">
    <w:name w:val="Date Char"/>
    <w:link w:val="17"/>
    <w:autoRedefine/>
    <w:qFormat/>
    <w:locked/>
    <w:uiPriority w:val="0"/>
    <w:rPr>
      <w:rFonts w:ascii="Times New Roman" w:hAnsi="Times New Roman" w:eastAsia="宋体"/>
      <w:sz w:val="24"/>
    </w:rPr>
  </w:style>
  <w:style w:type="character" w:customStyle="1" w:styleId="34">
    <w:name w:val="Balloon Text Char"/>
    <w:basedOn w:val="26"/>
    <w:link w:val="18"/>
    <w:autoRedefine/>
    <w:semiHidden/>
    <w:qFormat/>
    <w:locked/>
    <w:uiPriority w:val="0"/>
    <w:rPr>
      <w:rFonts w:ascii="Times New Roman" w:hAnsi="Times New Roman" w:eastAsia="宋体" w:cs="Times New Roman"/>
      <w:sz w:val="18"/>
      <w:szCs w:val="18"/>
    </w:rPr>
  </w:style>
  <w:style w:type="character" w:customStyle="1" w:styleId="35">
    <w:name w:val="Footer Char"/>
    <w:basedOn w:val="26"/>
    <w:link w:val="19"/>
    <w:autoRedefine/>
    <w:qFormat/>
    <w:locked/>
    <w:uiPriority w:val="0"/>
    <w:rPr>
      <w:rFonts w:cs="Times New Roman"/>
      <w:sz w:val="18"/>
      <w:szCs w:val="18"/>
    </w:rPr>
  </w:style>
  <w:style w:type="character" w:customStyle="1" w:styleId="36">
    <w:name w:val="Header Char"/>
    <w:basedOn w:val="26"/>
    <w:link w:val="14"/>
    <w:autoRedefine/>
    <w:qFormat/>
    <w:locked/>
    <w:uiPriority w:val="0"/>
    <w:rPr>
      <w:rFonts w:cs="Times New Roman"/>
      <w:sz w:val="18"/>
      <w:szCs w:val="18"/>
    </w:rPr>
  </w:style>
  <w:style w:type="character" w:customStyle="1" w:styleId="37">
    <w:name w:val="Normal (Web) Char"/>
    <w:link w:val="21"/>
    <w:autoRedefine/>
    <w:qFormat/>
    <w:locked/>
    <w:uiPriority w:val="0"/>
    <w:rPr>
      <w:rFonts w:ascii="宋体" w:hAnsi="宋体" w:eastAsia="宋体"/>
      <w:sz w:val="24"/>
    </w:rPr>
  </w:style>
  <w:style w:type="character" w:customStyle="1" w:styleId="38">
    <w:name w:val="Comment Subject Char"/>
    <w:basedOn w:val="31"/>
    <w:link w:val="22"/>
    <w:autoRedefine/>
    <w:semiHidden/>
    <w:qFormat/>
    <w:locked/>
    <w:uiPriority w:val="0"/>
    <w:rPr>
      <w:rFonts w:cs="Times New Roman"/>
      <w:b/>
      <w:bCs/>
      <w:kern w:val="2"/>
      <w:szCs w:val="24"/>
    </w:rPr>
  </w:style>
  <w:style w:type="character" w:customStyle="1" w:styleId="39">
    <w:name w:val="普通(网站) Char"/>
    <w:autoRedefine/>
    <w:qFormat/>
    <w:locked/>
    <w:uiPriority w:val="0"/>
    <w:rPr>
      <w:rFonts w:ascii="宋体" w:hAnsi="宋体" w:eastAsia="宋体"/>
      <w:sz w:val="24"/>
    </w:rPr>
  </w:style>
  <w:style w:type="character" w:customStyle="1" w:styleId="40">
    <w:name w:val="表格 Char"/>
    <w:link w:val="41"/>
    <w:autoRedefine/>
    <w:qFormat/>
    <w:locked/>
    <w:uiPriority w:val="0"/>
    <w:rPr>
      <w:rFonts w:ascii="宋体"/>
      <w:sz w:val="21"/>
    </w:rPr>
  </w:style>
  <w:style w:type="paragraph" w:customStyle="1" w:styleId="41">
    <w:name w:val="表格"/>
    <w:basedOn w:val="1"/>
    <w:next w:val="1"/>
    <w:link w:val="40"/>
    <w:autoRedefine/>
    <w:qFormat/>
    <w:uiPriority w:val="0"/>
    <w:pPr>
      <w:adjustRightInd w:val="0"/>
      <w:snapToGrid w:val="0"/>
      <w:spacing w:beforeLines="10" w:afterLines="10" w:line="259" w:lineRule="auto"/>
      <w:jc w:val="center"/>
    </w:pPr>
    <w:rPr>
      <w:rFonts w:ascii="宋体"/>
      <w:kern w:val="0"/>
      <w:sz w:val="20"/>
      <w:szCs w:val="21"/>
    </w:rPr>
  </w:style>
  <w:style w:type="character" w:customStyle="1" w:styleId="42">
    <w:name w:val="日期 字符"/>
    <w:basedOn w:val="26"/>
    <w:autoRedefine/>
    <w:semiHidden/>
    <w:qFormat/>
    <w:uiPriority w:val="0"/>
    <w:rPr>
      <w:rFonts w:ascii="Times New Roman" w:hAnsi="Times New Roman" w:eastAsia="宋体" w:cs="Times New Roman"/>
      <w:sz w:val="24"/>
      <w:szCs w:val="24"/>
    </w:rPr>
  </w:style>
  <w:style w:type="character" w:customStyle="1" w:styleId="43">
    <w:name w:val="批注文字 字符1"/>
    <w:basedOn w:val="26"/>
    <w:autoRedefine/>
    <w:semiHidden/>
    <w:qFormat/>
    <w:uiPriority w:val="0"/>
    <w:rPr>
      <w:rFonts w:ascii="Times New Roman" w:hAnsi="Times New Roman" w:eastAsia="宋体" w:cs="Times New Roman"/>
      <w:sz w:val="24"/>
      <w:szCs w:val="24"/>
    </w:rPr>
  </w:style>
  <w:style w:type="character" w:customStyle="1" w:styleId="44">
    <w:name w:val="正文文本 字符1"/>
    <w:basedOn w:val="26"/>
    <w:autoRedefine/>
    <w:semiHidden/>
    <w:qFormat/>
    <w:uiPriority w:val="0"/>
    <w:rPr>
      <w:rFonts w:ascii="Times New Roman" w:hAnsi="Times New Roman" w:eastAsia="宋体" w:cs="Times New Roman"/>
      <w:sz w:val="24"/>
      <w:szCs w:val="24"/>
    </w:rPr>
  </w:style>
  <w:style w:type="paragraph" w:customStyle="1" w:styleId="45">
    <w:name w:val="注释"/>
    <w:basedOn w:val="1"/>
    <w:autoRedefine/>
    <w:qFormat/>
    <w:uiPriority w:val="0"/>
    <w:pPr>
      <w:keepNext w:val="0"/>
      <w:keepLines w:val="0"/>
      <w:widowControl w:val="0"/>
      <w:suppressLineNumbers w:val="0"/>
      <w:adjustRightInd w:val="0"/>
      <w:snapToGrid w:val="0"/>
      <w:spacing w:before="0" w:beforeAutospacing="0" w:after="0" w:afterAutospacing="0" w:line="360" w:lineRule="auto"/>
      <w:ind w:left="0" w:right="0"/>
      <w:jc w:val="both"/>
    </w:pPr>
    <w:rPr>
      <w:rFonts w:hint="eastAsia" w:ascii="宋体" w:hAnsi="宋体"/>
      <w:spacing w:val="4"/>
    </w:rPr>
  </w:style>
  <w:style w:type="paragraph" w:customStyle="1" w:styleId="46">
    <w:name w:val="Table Paragraph"/>
    <w:basedOn w:val="1"/>
    <w:autoRedefine/>
    <w:qFormat/>
    <w:uiPriority w:val="1"/>
    <w:pPr>
      <w:jc w:val="center"/>
    </w:pPr>
    <w:rPr>
      <w:rFonts w:ascii="Arial" w:hAnsi="Arial" w:eastAsia="Arial" w:cs="Arial"/>
      <w:lang w:val="zh-CN" w:eastAsia="zh-CN" w:bidi="zh-CN"/>
    </w:rPr>
  </w:style>
  <w:style w:type="paragraph" w:customStyle="1" w:styleId="47">
    <w:name w:val="HP 表格内容"/>
    <w:autoRedefine/>
    <w:qFormat/>
    <w:uiPriority w:val="0"/>
    <w:pPr>
      <w:jc w:val="center"/>
    </w:pPr>
    <w:rPr>
      <w:rFonts w:ascii="Calibri" w:hAnsi="Calibri" w:eastAsia="宋体" w:cs="Times New Roman"/>
      <w:sz w:val="21"/>
      <w:szCs w:val="21"/>
      <w:lang w:val="en-US" w:eastAsia="zh-CN" w:bidi="ar-SA"/>
    </w:rPr>
  </w:style>
  <w:style w:type="paragraph" w:customStyle="1" w:styleId="48">
    <w:name w:val="报告正文"/>
    <w:basedOn w:val="1"/>
    <w:autoRedefine/>
    <w:qFormat/>
    <w:uiPriority w:val="0"/>
    <w:pPr>
      <w:spacing w:line="360" w:lineRule="auto"/>
      <w:ind w:firstLine="200" w:firstLineChars="200"/>
    </w:pPr>
    <w:rPr>
      <w:color w:val="000000"/>
      <w:kern w:val="2"/>
      <w:sz w:val="24"/>
      <w:szCs w:val="24"/>
    </w:rPr>
  </w:style>
  <w:style w:type="paragraph" w:customStyle="1" w:styleId="49">
    <w:name w:val="表内容"/>
    <w:basedOn w:val="1"/>
    <w:next w:val="1"/>
    <w:autoRedefine/>
    <w:qFormat/>
    <w:uiPriority w:val="0"/>
    <w:pPr>
      <w:spacing w:line="320" w:lineRule="exact"/>
      <w:jc w:val="center"/>
    </w:pPr>
    <w:rPr>
      <w:szCs w:val="21"/>
    </w:rPr>
  </w:style>
  <w:style w:type="paragraph" w:customStyle="1" w:styleId="50">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51">
    <w:name w:val="Normal"/>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52">
    <w:name w:val="样式1"/>
    <w:basedOn w:val="1"/>
    <w:autoRedefine/>
    <w:qFormat/>
    <w:uiPriority w:val="0"/>
    <w:pPr>
      <w:spacing w:line="360" w:lineRule="auto"/>
      <w:ind w:firstLine="200" w:firstLineChars="200"/>
    </w:pPr>
    <w:rPr>
      <w:b/>
      <w:sz w:val="24"/>
    </w:rPr>
  </w:style>
  <w:style w:type="paragraph" w:customStyle="1" w:styleId="53">
    <w:name w:val="p0"/>
    <w:basedOn w:val="1"/>
    <w:autoRedefine/>
    <w:qFormat/>
    <w:uiPriority w:val="0"/>
    <w:pPr>
      <w:widowControl/>
      <w:spacing w:line="480" w:lineRule="atLeast"/>
    </w:pPr>
    <w:rPr>
      <w:rFonts w:ascii="Arial" w:hAnsi="Arial" w:cs="Arial"/>
      <w:kern w:val="0"/>
      <w:sz w:val="28"/>
      <w:szCs w:val="28"/>
    </w:rPr>
  </w:style>
  <w:style w:type="paragraph" w:customStyle="1" w:styleId="54">
    <w:name w:val="正"/>
    <w:basedOn w:val="1"/>
    <w:autoRedefine/>
    <w:qFormat/>
    <w:uiPriority w:val="0"/>
    <w:pPr>
      <w:spacing w:line="360" w:lineRule="auto"/>
      <w:ind w:firstLine="200" w:firstLineChars="200"/>
    </w:pPr>
    <w:rPr>
      <w:szCs w:val="21"/>
    </w:rPr>
  </w:style>
  <w:style w:type="paragraph" w:customStyle="1" w:styleId="55">
    <w:name w:val="正式表格"/>
    <w:basedOn w:val="56"/>
    <w:autoRedefine/>
    <w:qFormat/>
    <w:uiPriority w:val="0"/>
  </w:style>
  <w:style w:type="paragraph" w:customStyle="1" w:styleId="56">
    <w:name w:val="正式表格文字-居中"/>
    <w:basedOn w:val="23"/>
    <w:autoRedefine/>
    <w:qFormat/>
    <w:uiPriority w:val="0"/>
    <w:pPr>
      <w:adjustRightInd w:val="0"/>
      <w:spacing w:after="0"/>
      <w:ind w:firstLine="0" w:firstLineChars="0"/>
      <w:jc w:val="center"/>
    </w:pPr>
    <w:rPr>
      <w:szCs w:val="21"/>
    </w:rPr>
  </w:style>
  <w:style w:type="table" w:customStyle="1" w:styleId="57">
    <w:name w:val="Table Normal"/>
    <w:autoRedefine/>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58">
    <w:name w:val="正文1"/>
    <w:basedOn w:val="1"/>
    <w:autoRedefine/>
    <w:qFormat/>
    <w:uiPriority w:val="0"/>
    <w:pPr>
      <w:spacing w:line="360" w:lineRule="auto"/>
    </w:pPr>
    <w:rPr>
      <w:rFonts w:ascii="仿宋_GB2312" w:eastAsia="仿宋_GB2312"/>
      <w:sz w:val="24"/>
      <w:szCs w:val="20"/>
    </w:rPr>
  </w:style>
  <w:style w:type="paragraph" w:customStyle="1" w:styleId="59">
    <w:name w:val="正文11111"/>
    <w:basedOn w:val="60"/>
    <w:autoRedefine/>
    <w:qFormat/>
    <w:uiPriority w:val="0"/>
    <w:pPr>
      <w:ind w:firstLine="640"/>
    </w:pPr>
    <w:rPr>
      <w:sz w:val="32"/>
      <w:szCs w:val="32"/>
    </w:rPr>
  </w:style>
  <w:style w:type="paragraph" w:customStyle="1" w:styleId="60">
    <w:name w:val="正文000"/>
    <w:basedOn w:val="61"/>
    <w:autoRedefine/>
    <w:qFormat/>
    <w:uiPriority w:val="0"/>
    <w:pPr>
      <w:spacing w:line="560" w:lineRule="exact"/>
      <w:ind w:firstLine="560" w:firstLineChars="200"/>
      <w:jc w:val="both"/>
    </w:pPr>
    <w:rPr>
      <w:rFonts w:ascii="Times New Roman" w:eastAsia="仿宋_GB2312" w:cs="Times New Roman"/>
      <w:sz w:val="28"/>
      <w:szCs w:val="28"/>
      <w:lang w:val="zh-CN"/>
    </w:rPr>
  </w:style>
  <w:style w:type="paragraph" w:customStyle="1" w:styleId="6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2">
    <w:name w:val="Table Text"/>
    <w:basedOn w:val="1"/>
    <w:autoRedefine/>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footer" Target="foot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footer" Target="footer1.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pn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微软中国</Company>
  <Pages>62</Pages>
  <Words>20638</Words>
  <Characters>23146</Characters>
  <Lines>9</Lines>
  <Paragraphs>2</Paragraphs>
  <TotalTime>3</TotalTime>
  <ScaleCrop>false</ScaleCrop>
  <LinksUpToDate>false</LinksUpToDate>
  <CharactersWithSpaces>23474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lhj</dc:creator>
  <cp:lastModifiedBy>王红</cp:lastModifiedBy>
  <cp:lastPrinted>2024-01-25T10:24:00Z</cp:lastPrinted>
  <dcterms:modified xsi:type="dcterms:W3CDTF">2024-02-21T06:58:48Z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75E2E03436ED4FE69B81C0FDAA8D2615_13</vt:lpwstr>
  </property>
</Properties>
</file>